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宋体" w:hAnsi="宋体" w:cs="宋体"/>
          <w:b/>
          <w:kern w:val="0"/>
          <w:sz w:val="32"/>
          <w:szCs w:val="32"/>
        </w:rPr>
      </w:pPr>
      <w:r>
        <w:rPr>
          <w:rFonts w:ascii="宋体" w:eastAsia="宋体" w:hAnsi="宋体" w:cs="宋体" w:hint="eastAsia"/>
          <w:b/>
          <w:kern w:val="0"/>
          <w:sz w:val="32"/>
          <w:szCs w:val="32"/>
        </w:rPr>
        <w:t>周口师范学院</w:t>
      </w:r>
    </w:p>
    <w:p>
      <w:pPr>
        <w:jc w:val="center"/>
        <w:rPr>
          <w:rFonts w:ascii="宋体" w:hAnsi="宋体" w:cs="宋体" w:hint="eastAsia"/>
          <w:b/>
          <w:kern w:val="0"/>
          <w:sz w:val="32"/>
          <w:szCs w:val="32"/>
        </w:rPr>
      </w:pPr>
      <w:r>
        <w:rPr>
          <w:rFonts w:ascii="宋体" w:eastAsia="宋体" w:hAnsi="宋体" w:cs="宋体" w:hint="eastAsia"/>
          <w:b/>
          <w:kern w:val="0"/>
          <w:sz w:val="32"/>
          <w:szCs w:val="32"/>
        </w:rPr>
        <w:t>关于修订人才培养方案（本科）的若干意见</w:t>
      </w:r>
    </w:p>
    <w:p>
      <w:pPr>
        <w:jc w:val="center"/>
        <w:rPr>
          <w:kern w:val="0"/>
          <w:sz w:val="24"/>
        </w:rPr>
      </w:pPr>
      <w:r>
        <w:rPr>
          <w:rFonts w:hint="eastAsia"/>
          <w:kern w:val="0"/>
          <w:sz w:val="24"/>
        </w:rPr>
        <w:t>（征求意见</w:t>
      </w:r>
      <w:r>
        <w:rPr>
          <w:kern w:val="0"/>
          <w:sz w:val="24"/>
        </w:rPr>
        <w:t>第</w:t>
      </w:r>
      <w:r>
        <w:rPr>
          <w:rFonts w:hint="eastAsia"/>
          <w:kern w:val="0"/>
          <w:sz w:val="24"/>
        </w:rPr>
        <w:t>三稿）</w:t>
      </w:r>
    </w:p>
    <w:p>
      <w:pPr>
        <w:jc w:val="both"/>
        <w:rPr>
          <w:rFonts w:ascii="宋体" w:hAnsi="宋体" w:cs="宋体"/>
          <w:kern w:val="0"/>
          <w:sz w:val="24"/>
        </w:rPr>
      </w:pPr>
    </w:p>
    <w:p>
      <w:pPr>
        <w:bidi w:val="0"/>
        <w:spacing w:line="360" w:lineRule="auto"/>
        <w:ind w:firstLine="480" w:firstLineChars="200"/>
        <w:jc w:val="both"/>
        <w:rPr>
          <w:rFonts w:hint="eastAsia"/>
          <w:color w:val="000000"/>
          <w:sz w:val="24"/>
        </w:rPr>
      </w:pPr>
      <w:r>
        <w:rPr>
          <w:kern w:val="0"/>
          <w:sz w:val="24"/>
        </w:rPr>
        <w:t>为全面贯彻《国家中长期教育改革和发展规划纲要（2010-2020年）</w:t>
      </w:r>
      <w:r>
        <w:rPr>
          <w:rFonts w:hint="eastAsia"/>
          <w:kern w:val="0"/>
          <w:sz w:val="24"/>
        </w:rPr>
        <w:t>（以下简称纲要）</w:t>
      </w:r>
      <w:r>
        <w:rPr>
          <w:kern w:val="0"/>
          <w:sz w:val="24"/>
        </w:rPr>
        <w:t>》精神，落实教育部《关于大力推进教师教育课程改革的意见》（〔2011〕6号），</w:t>
      </w:r>
      <w:r>
        <w:rPr>
          <w:sz w:val="24"/>
        </w:rPr>
        <w:t>进一步深化我校教育教学改革，构建特色鲜明、具有时代特征的多样化人才培养方案</w:t>
      </w:r>
      <w:r>
        <w:rPr>
          <w:rFonts w:hint="eastAsia"/>
          <w:sz w:val="24"/>
        </w:rPr>
        <w:t>，培养和造就更多高素质应用型人才</w:t>
      </w:r>
      <w:r>
        <w:rPr>
          <w:sz w:val="24"/>
        </w:rPr>
        <w:t>，</w:t>
      </w:r>
      <w:r>
        <w:rPr>
          <w:rFonts w:hint="eastAsia"/>
          <w:sz w:val="24"/>
        </w:rPr>
        <w:t>为国家经济发展、中原经济区建设</w:t>
      </w:r>
      <w:r>
        <w:rPr>
          <w:sz w:val="24"/>
        </w:rPr>
        <w:t>和社会发展</w:t>
      </w:r>
      <w:r>
        <w:rPr>
          <w:rFonts w:hint="eastAsia"/>
          <w:sz w:val="24"/>
        </w:rPr>
        <w:t>做出新的更大贡献。经研究</w:t>
      </w:r>
      <w:r>
        <w:rPr>
          <w:sz w:val="24"/>
        </w:rPr>
        <w:t>决定</w:t>
      </w:r>
      <w:r>
        <w:rPr>
          <w:rFonts w:hint="eastAsia"/>
          <w:sz w:val="24"/>
        </w:rPr>
        <w:t>，</w:t>
      </w:r>
      <w:r>
        <w:rPr>
          <w:kern w:val="0"/>
          <w:sz w:val="24"/>
        </w:rPr>
        <w:t>2012年</w:t>
      </w:r>
      <w:r>
        <w:rPr>
          <w:sz w:val="24"/>
        </w:rPr>
        <w:t>学校</w:t>
      </w:r>
      <w:r>
        <w:rPr>
          <w:rFonts w:hint="eastAsia"/>
          <w:kern w:val="0"/>
          <w:sz w:val="24"/>
        </w:rPr>
        <w:t>在对现行</w:t>
      </w:r>
      <w:r>
        <w:rPr>
          <w:sz w:val="24"/>
        </w:rPr>
        <w:t>本科专业人才培养方案进行修订。</w:t>
      </w:r>
    </w:p>
    <w:p>
      <w:pPr>
        <w:bidi w:val="0"/>
        <w:spacing w:line="360" w:lineRule="auto"/>
        <w:ind w:firstLine="482"/>
        <w:jc w:val="both"/>
        <w:rPr>
          <w:rFonts w:ascii="宋体" w:hAnsi="宋体" w:hint="eastAsia"/>
          <w:b/>
          <w:sz w:val="24"/>
        </w:rPr>
      </w:pPr>
      <w:r>
        <w:rPr>
          <w:rFonts w:ascii="宋体" w:eastAsia="宋体" w:hAnsi="宋体" w:hint="eastAsia"/>
          <w:b/>
          <w:sz w:val="24"/>
        </w:rPr>
        <w:t>一、指导思想</w:t>
      </w:r>
    </w:p>
    <w:p>
      <w:pPr>
        <w:bidi w:val="0"/>
        <w:spacing w:line="360" w:lineRule="auto"/>
        <w:ind w:firstLine="482"/>
        <w:jc w:val="both"/>
        <w:rPr>
          <w:rFonts w:hint="eastAsia"/>
          <w:kern w:val="0"/>
          <w:sz w:val="24"/>
        </w:rPr>
      </w:pPr>
      <w:r>
        <w:rPr>
          <w:rFonts w:hint="eastAsia"/>
          <w:kern w:val="0"/>
          <w:sz w:val="24"/>
        </w:rPr>
        <w:t>以科学发展观为指导，依据《纲要》，主动适应国家和中原区域经济发展、社会发展对人才培养的要求，遵循高等教育发展规律</w:t>
      </w:r>
      <w:r>
        <w:rPr>
          <w:rFonts w:hint="eastAsia"/>
          <w:sz w:val="24"/>
        </w:rPr>
        <w:t>及人才成长规</w:t>
      </w:r>
      <w:r>
        <w:rPr>
          <w:rFonts w:hint="eastAsia"/>
          <w:color w:val="000000"/>
          <w:sz w:val="24"/>
        </w:rPr>
        <w:t>律</w:t>
      </w:r>
      <w:r>
        <w:rPr>
          <w:rFonts w:hint="eastAsia"/>
          <w:color w:val="000000"/>
          <w:kern w:val="0"/>
          <w:sz w:val="24"/>
        </w:rPr>
        <w:t>、学校</w:t>
      </w:r>
      <w:r>
        <w:rPr>
          <w:rFonts w:ascii="宋体" w:eastAsia="宋体" w:hAnsi="宋体" w:cs="宋体" w:hint="eastAsia"/>
          <w:color w:val="000000"/>
          <w:kern w:val="0"/>
          <w:sz w:val="24"/>
        </w:rPr>
        <w:t>“</w:t>
      </w:r>
      <w:r>
        <w:rPr>
          <w:rFonts w:ascii="宋体" w:eastAsia="宋体" w:hAnsi="宋体" w:cs="宋体" w:hint="eastAsia"/>
          <w:color w:val="000000"/>
          <w:kern w:val="0"/>
          <w:sz w:val="24"/>
        </w:rPr>
        <w:t>师范性、地方性、教学型、应用型</w:t>
      </w:r>
      <w:r>
        <w:rPr>
          <w:rFonts w:ascii="宋体" w:eastAsia="宋体" w:hAnsi="宋体" w:cs="宋体" w:hint="eastAsia"/>
          <w:color w:val="000000"/>
          <w:kern w:val="0"/>
          <w:sz w:val="24"/>
        </w:rPr>
        <w:t>”</w:t>
      </w:r>
      <w:r>
        <w:rPr>
          <w:rFonts w:ascii="宋体" w:eastAsia="宋体" w:hAnsi="宋体" w:cs="宋体" w:hint="eastAsia"/>
          <w:color w:val="000000"/>
          <w:kern w:val="0"/>
          <w:sz w:val="24"/>
        </w:rPr>
        <w:t>的办学定位，</w:t>
      </w:r>
      <w:r>
        <w:rPr>
          <w:rFonts w:hint="eastAsia"/>
          <w:color w:val="000000"/>
          <w:kern w:val="0"/>
          <w:sz w:val="24"/>
        </w:rPr>
        <w:t>按照</w:t>
      </w:r>
      <w:r>
        <w:rPr>
          <w:rFonts w:hint="eastAsia"/>
          <w:color w:val="000000"/>
          <w:kern w:val="0"/>
          <w:sz w:val="24"/>
        </w:rPr>
        <w:t>“</w:t>
      </w:r>
      <w:r>
        <w:rPr>
          <w:rFonts w:hint="eastAsia"/>
          <w:color w:val="000000"/>
          <w:kern w:val="0"/>
          <w:sz w:val="24"/>
        </w:rPr>
        <w:t>夯实基础，强</w:t>
      </w:r>
      <w:r>
        <w:rPr>
          <w:rFonts w:hint="eastAsia"/>
          <w:kern w:val="0"/>
          <w:sz w:val="24"/>
        </w:rPr>
        <w:t>化实践，突出特色，提高质量</w:t>
      </w:r>
      <w:r>
        <w:rPr>
          <w:rFonts w:hint="eastAsia"/>
          <w:kern w:val="0"/>
          <w:sz w:val="24"/>
        </w:rPr>
        <w:t>”</w:t>
      </w:r>
      <w:r>
        <w:rPr>
          <w:rFonts w:hint="eastAsia"/>
          <w:kern w:val="0"/>
          <w:sz w:val="24"/>
        </w:rPr>
        <w:t>的思路形成科学合理的课程体系、教学内容体系、以及</w:t>
      </w:r>
      <w:r>
        <w:rPr>
          <w:rFonts w:hint="eastAsia"/>
          <w:kern w:val="0"/>
          <w:sz w:val="24"/>
        </w:rPr>
        <w:t>“</w:t>
      </w:r>
      <w:r>
        <w:rPr>
          <w:rFonts w:hint="eastAsia"/>
          <w:sz w:val="24"/>
        </w:rPr>
        <w:t>以生为本</w:t>
      </w:r>
      <w:r>
        <w:rPr>
          <w:rFonts w:hint="eastAsia"/>
          <w:sz w:val="24"/>
        </w:rPr>
        <w:t>”</w:t>
      </w:r>
      <w:r>
        <w:rPr>
          <w:rFonts w:hint="eastAsia"/>
          <w:sz w:val="24"/>
        </w:rPr>
        <w:t>的</w:t>
      </w:r>
      <w:r>
        <w:rPr>
          <w:kern w:val="0"/>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51.16pt;height:11.98pt;mso-position-horizontal-relative:page;mso-position-vertical-relative:page;mso-wrap-style:square" o:ole="" o:preferrelative="t" filled="f" stroked="f">
            <v:stroke linestyle="single"/>
            <v:imagedata r:id="rId4" o:title=""/>
            <v:path o:extrusionok="f"/>
            <o:lock v:ext="edit" aspectratio="t"/>
          </v:shape>
          <o:OLEObject Type="Embed" ProgID="Equation.3" ShapeID="对象 1" DrawAspect="Content" ObjectID="_1234567890" r:id="rId5"/>
        </w:object>
      </w:r>
      <w:r>
        <w:rPr>
          <w:rFonts w:hint="eastAsia"/>
          <w:kern w:val="0"/>
          <w:sz w:val="24"/>
        </w:rPr>
        <w:t>人才</w:t>
      </w:r>
      <w:r>
        <w:rPr>
          <w:rFonts w:hint="eastAsia"/>
          <w:sz w:val="24"/>
        </w:rPr>
        <w:t>分类培养模式，</w:t>
      </w:r>
      <w:r>
        <w:rPr>
          <w:rFonts w:hint="eastAsia"/>
          <w:kern w:val="0"/>
          <w:sz w:val="24"/>
        </w:rPr>
        <w:t>积极构建产学研合作办学模式，努力实现我校培养</w:t>
      </w:r>
      <w:r>
        <w:rPr>
          <w:rFonts w:hint="eastAsia"/>
          <w:kern w:val="0"/>
          <w:sz w:val="24"/>
        </w:rPr>
        <w:t>“</w:t>
      </w:r>
      <w:r>
        <w:rPr>
          <w:rFonts w:hint="eastAsia"/>
          <w:kern w:val="0"/>
          <w:sz w:val="24"/>
        </w:rPr>
        <w:t>强专业、重实践、敢创新的高素质应用型人才</w:t>
      </w:r>
      <w:r>
        <w:rPr>
          <w:rFonts w:hint="eastAsia"/>
          <w:kern w:val="0"/>
          <w:sz w:val="24"/>
        </w:rPr>
        <w:t>”</w:t>
      </w:r>
      <w:r>
        <w:rPr>
          <w:rFonts w:hint="eastAsia"/>
          <w:kern w:val="0"/>
          <w:sz w:val="24"/>
        </w:rPr>
        <w:t>的培养目标，在2009级本科人才培养方案的基础上，进一步优化人才培养方案。</w:t>
      </w:r>
    </w:p>
    <w:p>
      <w:pPr>
        <w:bidi w:val="0"/>
        <w:spacing w:line="360" w:lineRule="auto"/>
        <w:ind w:firstLine="482"/>
        <w:jc w:val="both"/>
        <w:rPr>
          <w:rFonts w:ascii="宋体" w:hAnsi="宋体" w:hint="eastAsia"/>
          <w:b/>
          <w:sz w:val="24"/>
        </w:rPr>
      </w:pPr>
      <w:r>
        <w:rPr>
          <w:rFonts w:ascii="宋体" w:eastAsia="宋体" w:hAnsi="宋体" w:hint="eastAsia"/>
          <w:b/>
          <w:sz w:val="24"/>
        </w:rPr>
        <w:t>二、基本原则</w:t>
      </w:r>
    </w:p>
    <w:p>
      <w:pPr>
        <w:bidi w:val="0"/>
        <w:spacing w:line="360" w:lineRule="auto"/>
        <w:ind w:firstLine="482"/>
        <w:jc w:val="both"/>
        <w:rPr>
          <w:rFonts w:hint="eastAsia"/>
          <w:color w:val="000000"/>
          <w:kern w:val="0"/>
          <w:sz w:val="24"/>
        </w:rPr>
      </w:pPr>
      <w:r>
        <w:rPr>
          <w:rFonts w:hint="eastAsia"/>
          <w:color w:val="000000"/>
          <w:kern w:val="0"/>
          <w:sz w:val="24"/>
        </w:rPr>
        <w:t>1. 各专业人才培养方案的修订要树立先进的教育思想理念， 要在人才培养模式、教学内容、教学方法等方向大胆探索和改革， 从而实现该专业人才培养的目标并体现特色。</w:t>
      </w:r>
    </w:p>
    <w:p>
      <w:pPr>
        <w:bidi w:val="0"/>
        <w:spacing w:line="360" w:lineRule="auto"/>
        <w:ind w:firstLine="482"/>
        <w:jc w:val="both"/>
        <w:rPr>
          <w:rFonts w:hint="eastAsia"/>
          <w:color w:val="000000"/>
          <w:kern w:val="0"/>
          <w:sz w:val="24"/>
        </w:rPr>
      </w:pPr>
      <w:r>
        <w:rPr>
          <w:rFonts w:hint="eastAsia"/>
          <w:color w:val="000000"/>
          <w:kern w:val="0"/>
          <w:sz w:val="24"/>
        </w:rPr>
        <w:t>2. 人才培养方案修订要从研究确定专业培养目标入手， 而人才培养目标需符合学校的办学特色定位。</w:t>
      </w:r>
    </w:p>
    <w:p>
      <w:pPr>
        <w:widowControl/>
        <w:bidi w:val="0"/>
        <w:spacing w:line="360" w:lineRule="auto"/>
        <w:ind w:firstLine="480" w:firstLineChars="200"/>
        <w:jc w:val="both"/>
        <w:rPr>
          <w:rFonts w:ascii="宋体" w:hAnsi="宋体" w:cs="宋体" w:hint="eastAsia"/>
          <w:color w:val="000000"/>
          <w:kern w:val="0"/>
          <w:sz w:val="24"/>
        </w:rPr>
      </w:pPr>
      <w:r>
        <w:rPr>
          <w:rFonts w:hint="eastAsia"/>
          <w:color w:val="000000"/>
          <w:kern w:val="0"/>
          <w:sz w:val="24"/>
        </w:rPr>
        <w:t>3. 根据专业培养目标进行课程体系的调整与全面的梳理，加大课程体系改革，构建</w:t>
      </w:r>
      <w:r>
        <w:rPr>
          <w:rFonts w:hint="eastAsia"/>
          <w:color w:val="000000"/>
          <w:kern w:val="0"/>
          <w:sz w:val="24"/>
        </w:rPr>
        <w:t>“</w:t>
      </w:r>
      <w:r>
        <w:rPr>
          <w:color w:val="000000"/>
          <w:kern w:val="0"/>
          <w:sz w:val="24"/>
        </w:rPr>
        <w:t>平台+模块+课程群</w:t>
      </w:r>
      <w:r>
        <w:rPr>
          <w:rFonts w:hint="eastAsia"/>
          <w:color w:val="000000"/>
          <w:kern w:val="0"/>
          <w:sz w:val="24"/>
        </w:rPr>
        <w:t>”</w:t>
      </w:r>
      <w:r>
        <w:rPr>
          <w:rFonts w:hint="eastAsia"/>
          <w:color w:val="000000"/>
          <w:kern w:val="0"/>
          <w:sz w:val="24"/>
        </w:rPr>
        <w:t>课程体系。坚持课程体系前瞻性，科学设置专业基础、专业主干、专业方向模块课程， 使课程体系更符合高等教育发展的规律、符合时代发展和以学生为本的要求</w:t>
      </w:r>
      <w:r>
        <w:rPr>
          <w:rFonts w:ascii="宋体" w:eastAsia="宋体" w:hAnsi="宋体" w:cs="宋体" w:hint="eastAsia"/>
          <w:color w:val="000000"/>
          <w:kern w:val="0"/>
          <w:sz w:val="24"/>
        </w:rPr>
        <w:t>。</w:t>
      </w:r>
    </w:p>
    <w:p>
      <w:pPr>
        <w:bidi w:val="0"/>
        <w:spacing w:line="360" w:lineRule="auto"/>
        <w:ind w:firstLine="482"/>
        <w:jc w:val="both"/>
        <w:rPr>
          <w:rFonts w:hint="eastAsia"/>
          <w:color w:val="000000"/>
          <w:sz w:val="24"/>
        </w:rPr>
        <w:sectPr>
          <w:headerReference w:type="default" r:id="rId6"/>
          <w:footerReference w:type="even" r:id="rId7"/>
          <w:footerReference w:type="default" r:id="rId8"/>
          <w:type w:val="nextPage"/>
          <w:pgSz w:w="11906" w:h="16838"/>
          <w:pgMar w:top="1440" w:right="1800" w:bottom="1440" w:left="1800" w:header="851" w:footer="992" w:gutter="0"/>
          <w:pgNumType w:fmt="decimal"/>
          <w:cols w:space="708"/>
          <w:docGrid w:type="lines" w:linePitch="312"/>
        </w:sectPr>
      </w:pPr>
      <w:r>
        <w:rPr>
          <w:rFonts w:hint="eastAsia"/>
          <w:color w:val="000000"/>
          <w:kern w:val="0"/>
          <w:sz w:val="24"/>
        </w:rPr>
        <w:t>4.</w:t>
      </w:r>
    </w:p>
    <w:p>
      <w:pPr>
        <w:bidi w:val="0"/>
        <w:spacing w:line="360" w:lineRule="auto"/>
        <w:ind w:firstLine="482"/>
        <w:jc w:val="both"/>
        <w:rPr>
          <w:rFonts w:hint="eastAsia"/>
          <w:color w:val="000000"/>
          <w:sz w:val="24"/>
        </w:rPr>
      </w:pPr>
      <w:r>
        <w:rPr>
          <w:rFonts w:hint="eastAsia"/>
          <w:color w:val="000000"/>
          <w:kern w:val="0"/>
          <w:sz w:val="24"/>
        </w:rPr>
        <w:t xml:space="preserve"> 要在保证主干课程基本学时、基本教学质量的基础上，适当降低必修课比例、加大选修课比例、减少课堂讲授学时，增加实践教学学时，着力提高学生的实践能力，将实践性教学环节贯穿于人才培养过程中，积极推动研究性教学，提高大学生创新能力，增强人才培养的适应性。</w:t>
      </w:r>
      <w:r>
        <w:rPr>
          <w:rFonts w:hint="eastAsia"/>
          <w:color w:val="000000"/>
          <w:sz w:val="24"/>
        </w:rPr>
        <w:t xml:space="preserve"> </w:t>
      </w:r>
    </w:p>
    <w:p>
      <w:pPr>
        <w:bidi w:val="0"/>
        <w:spacing w:line="360" w:lineRule="auto"/>
        <w:ind w:firstLine="480" w:firstLineChars="200"/>
        <w:jc w:val="both"/>
        <w:rPr>
          <w:b/>
          <w:sz w:val="24"/>
        </w:rPr>
      </w:pPr>
      <w:r>
        <w:rPr>
          <w:rFonts w:hint="eastAsia"/>
          <w:b/>
          <w:sz w:val="24"/>
        </w:rPr>
        <w:t>三、修订目标</w:t>
      </w:r>
    </w:p>
    <w:p>
      <w:pPr>
        <w:bidi w:val="0"/>
        <w:spacing w:line="360" w:lineRule="auto"/>
        <w:ind w:firstLine="480" w:firstLineChars="200"/>
        <w:jc w:val="both"/>
        <w:rPr>
          <w:rFonts w:ascii="宋体" w:hAnsi="宋体" w:cs="宋体"/>
          <w:kern w:val="0"/>
          <w:sz w:val="24"/>
        </w:rPr>
      </w:pPr>
      <w:r>
        <w:rPr>
          <w:rFonts w:hint="eastAsia"/>
          <w:sz w:val="24"/>
        </w:rPr>
        <w:t>通过本次修订预期目标：符合《纲要》对高等教育的发展要求；推行人才分类培养模式，完善多样化的创新、创业、就业等教育体系；理论教学与实践教学学时比例更合理，实践环节更全面和有效，专业特色更突出。</w:t>
      </w:r>
      <w:r>
        <w:rPr>
          <w:rFonts w:ascii="宋体" w:eastAsia="宋体" w:hAnsi="宋体" w:cs="宋体" w:hint="eastAsia"/>
          <w:kern w:val="0"/>
          <w:sz w:val="24"/>
        </w:rPr>
        <w:t>具体目标如下：</w:t>
      </w:r>
    </w:p>
    <w:p>
      <w:pPr>
        <w:bidi w:val="0"/>
        <w:spacing w:line="360" w:lineRule="auto"/>
        <w:ind w:firstLine="480" w:firstLineChars="200"/>
        <w:jc w:val="both"/>
        <w:rPr>
          <w:color w:val="FF0000"/>
          <w:kern w:val="0"/>
          <w:sz w:val="24"/>
        </w:rPr>
      </w:pPr>
      <w:r>
        <w:rPr>
          <w:kern w:val="0"/>
          <w:sz w:val="24"/>
        </w:rPr>
        <w:t>1．推行</w:t>
      </w:r>
      <w:r>
        <w:rPr>
          <w:rFonts w:hint="eastAsia"/>
          <w:sz w:val="24"/>
        </w:rPr>
        <w:t>“</w:t>
      </w:r>
      <w:r>
        <w:rPr>
          <w:kern w:val="0"/>
          <w:sz w:val="24"/>
        </w:rPr>
        <w:object>
          <v:shape id="对象 2" o:spid="_x0000_i1026" type="#_x0000_t75" style="width:51.16pt;height:11.98pt;mso-position-horizontal-relative:page;mso-position-vertical-relative:page;mso-wrap-style:square" o:ole="" o:preferrelative="t" filled="f" stroked="f">
            <v:stroke linestyle="single"/>
            <v:imagedata r:id="rId4" o:title=""/>
            <v:path o:extrusionok="f"/>
            <o:lock v:ext="edit" aspectratio="t"/>
          </v:shape>
          <o:OLEObject Type="Embed" ProgID="Equation.3" ShapeID="对象 2" DrawAspect="Content" ObjectID="_1234567891" r:id="rId9"/>
        </w:object>
      </w:r>
      <w:r>
        <w:rPr>
          <w:rFonts w:hint="eastAsia"/>
          <w:kern w:val="0"/>
          <w:sz w:val="24"/>
        </w:rPr>
        <w:t>”</w:t>
      </w:r>
      <w:r>
        <w:rPr>
          <w:kern w:val="0"/>
          <w:sz w:val="24"/>
        </w:rPr>
        <w:t>人才</w:t>
      </w:r>
      <w:r>
        <w:rPr>
          <w:sz w:val="24"/>
        </w:rPr>
        <w:t>分类培养</w:t>
      </w:r>
      <w:r>
        <w:rPr>
          <w:kern w:val="0"/>
          <w:sz w:val="24"/>
        </w:rPr>
        <w:t>模式。通过实施人才分类培养模式，</w:t>
      </w:r>
      <w:r>
        <w:rPr>
          <w:sz w:val="24"/>
        </w:rPr>
        <w:t>树立</w:t>
      </w:r>
      <w:r>
        <w:rPr>
          <w:rFonts w:hint="eastAsia"/>
          <w:sz w:val="24"/>
        </w:rPr>
        <w:t>“</w:t>
      </w:r>
      <w:r>
        <w:rPr>
          <w:sz w:val="24"/>
        </w:rPr>
        <w:t>以生为本，因材施教</w:t>
      </w:r>
      <w:r>
        <w:rPr>
          <w:rFonts w:hint="eastAsia"/>
          <w:sz w:val="24"/>
        </w:rPr>
        <w:t>”</w:t>
      </w:r>
      <w:r>
        <w:rPr>
          <w:sz w:val="24"/>
        </w:rPr>
        <w:t>理念，促进学生个性发展；树立</w:t>
      </w:r>
      <w:r>
        <w:rPr>
          <w:rFonts w:hint="eastAsia"/>
          <w:sz w:val="24"/>
        </w:rPr>
        <w:t>“</w:t>
      </w:r>
      <w:r>
        <w:rPr>
          <w:sz w:val="24"/>
        </w:rPr>
        <w:t>淡化专业本位，注重素质提高</w:t>
      </w:r>
      <w:r>
        <w:rPr>
          <w:rFonts w:hint="eastAsia"/>
          <w:sz w:val="24"/>
        </w:rPr>
        <w:t>”</w:t>
      </w:r>
      <w:r>
        <w:rPr>
          <w:sz w:val="24"/>
        </w:rPr>
        <w:t>理念，促进学生全面发展；树立</w:t>
      </w:r>
      <w:r>
        <w:rPr>
          <w:rFonts w:hint="eastAsia"/>
          <w:sz w:val="24"/>
        </w:rPr>
        <w:t>“</w:t>
      </w:r>
      <w:r>
        <w:rPr>
          <w:sz w:val="24"/>
        </w:rPr>
        <w:t>精英教育与大众教育</w:t>
      </w:r>
      <w:r>
        <w:rPr>
          <w:rFonts w:hint="eastAsia"/>
          <w:sz w:val="24"/>
        </w:rPr>
        <w:t>”</w:t>
      </w:r>
      <w:r>
        <w:rPr>
          <w:sz w:val="24"/>
        </w:rPr>
        <w:t>并存理念，使得精英人才脱颖而出；树立</w:t>
      </w:r>
      <w:r>
        <w:rPr>
          <w:rFonts w:hint="eastAsia"/>
          <w:sz w:val="24"/>
        </w:rPr>
        <w:t>“</w:t>
      </w:r>
      <w:r>
        <w:rPr>
          <w:sz w:val="24"/>
        </w:rPr>
        <w:t>以提高质量为核心，以服务就业为宗旨</w:t>
      </w:r>
      <w:r>
        <w:rPr>
          <w:rFonts w:hint="eastAsia"/>
          <w:sz w:val="24"/>
        </w:rPr>
        <w:t>”</w:t>
      </w:r>
      <w:r>
        <w:rPr>
          <w:sz w:val="24"/>
        </w:rPr>
        <w:t>理念，帮助毕业生充分就业，</w:t>
      </w:r>
      <w:r>
        <w:rPr>
          <w:kern w:val="0"/>
          <w:sz w:val="24"/>
        </w:rPr>
        <w:t>从而实现人才培养多样化和个性化。</w:t>
      </w:r>
    </w:p>
    <w:p>
      <w:pPr>
        <w:bidi w:val="0"/>
        <w:spacing w:line="360" w:lineRule="auto"/>
        <w:ind w:firstLine="480" w:firstLineChars="200"/>
        <w:jc w:val="both"/>
        <w:rPr>
          <w:kern w:val="0"/>
          <w:sz w:val="24"/>
        </w:rPr>
      </w:pPr>
      <w:r>
        <w:rPr>
          <w:kern w:val="0"/>
          <w:sz w:val="24"/>
        </w:rPr>
        <w:t>2</w:t>
      </w:r>
      <w:r>
        <w:rPr>
          <w:rFonts w:hint="eastAsia"/>
          <w:kern w:val="0"/>
          <w:sz w:val="24"/>
        </w:rPr>
        <w:t>．</w:t>
      </w:r>
      <w:r>
        <w:rPr>
          <w:kern w:val="0"/>
          <w:sz w:val="24"/>
        </w:rPr>
        <w:t>构建</w:t>
      </w:r>
      <w:r>
        <w:rPr>
          <w:rFonts w:hint="eastAsia"/>
          <w:kern w:val="0"/>
          <w:sz w:val="24"/>
        </w:rPr>
        <w:t>“</w:t>
      </w:r>
      <w:r>
        <w:rPr>
          <w:kern w:val="0"/>
          <w:sz w:val="24"/>
        </w:rPr>
        <w:t>平台+模块+课程群</w:t>
      </w:r>
      <w:r>
        <w:rPr>
          <w:rFonts w:hint="eastAsia"/>
          <w:kern w:val="0"/>
          <w:sz w:val="24"/>
        </w:rPr>
        <w:t>”</w:t>
      </w:r>
      <w:r>
        <w:rPr>
          <w:kern w:val="0"/>
          <w:sz w:val="24"/>
        </w:rPr>
        <w:t>的课程体系。课程体系</w:t>
      </w:r>
      <w:r>
        <w:rPr>
          <w:rFonts w:hint="eastAsia"/>
          <w:kern w:val="0"/>
          <w:sz w:val="24"/>
        </w:rPr>
        <w:t>按纵向层次搭建四个教育平台，即</w:t>
      </w:r>
      <w:r>
        <w:rPr>
          <w:kern w:val="0"/>
          <w:sz w:val="24"/>
        </w:rPr>
        <w:t>通识教育</w:t>
      </w:r>
      <w:r>
        <w:rPr>
          <w:rFonts w:hint="eastAsia"/>
          <w:kern w:val="0"/>
          <w:sz w:val="24"/>
        </w:rPr>
        <w:t>平台</w:t>
      </w:r>
      <w:r>
        <w:rPr>
          <w:kern w:val="0"/>
          <w:sz w:val="24"/>
        </w:rPr>
        <w:t>、</w:t>
      </w:r>
      <w:r>
        <w:rPr>
          <w:rFonts w:hint="eastAsia"/>
          <w:kern w:val="0"/>
          <w:sz w:val="24"/>
        </w:rPr>
        <w:t>专业教育平台、</w:t>
      </w:r>
      <w:r>
        <w:rPr>
          <w:kern w:val="0"/>
          <w:sz w:val="24"/>
        </w:rPr>
        <w:t>职业技能教育</w:t>
      </w:r>
      <w:r>
        <w:rPr>
          <w:rFonts w:hint="eastAsia"/>
          <w:kern w:val="0"/>
          <w:sz w:val="24"/>
        </w:rPr>
        <w:t>平台</w:t>
      </w:r>
      <w:r>
        <w:rPr>
          <w:kern w:val="0"/>
          <w:sz w:val="24"/>
        </w:rPr>
        <w:t>、</w:t>
      </w:r>
      <w:r>
        <w:rPr>
          <w:rFonts w:hint="eastAsia"/>
          <w:kern w:val="0"/>
          <w:sz w:val="24"/>
        </w:rPr>
        <w:t>公共</w:t>
      </w:r>
      <w:r>
        <w:rPr>
          <w:kern w:val="0"/>
          <w:sz w:val="24"/>
        </w:rPr>
        <w:t>实践教学</w:t>
      </w:r>
      <w:r>
        <w:rPr>
          <w:rFonts w:hint="eastAsia"/>
          <w:kern w:val="0"/>
          <w:sz w:val="24"/>
        </w:rPr>
        <w:t>平台。平台由学科、专业共同知识的课程组成，</w:t>
      </w:r>
      <w:r>
        <w:rPr>
          <w:kern w:val="0"/>
          <w:sz w:val="24"/>
        </w:rPr>
        <w:t>充分体现厚基础、宽口径，高素质、强能力的人才培养特点，培养高素质应用型人才。</w:t>
      </w:r>
    </w:p>
    <w:p>
      <w:pPr>
        <w:widowControl/>
        <w:bidi w:val="0"/>
        <w:spacing w:line="360" w:lineRule="auto"/>
        <w:ind w:firstLine="480" w:firstLineChars="200"/>
        <w:jc w:val="both"/>
        <w:rPr>
          <w:kern w:val="0"/>
          <w:sz w:val="24"/>
        </w:rPr>
      </w:pPr>
      <w:r>
        <w:rPr>
          <w:kern w:val="0"/>
          <w:sz w:val="24"/>
        </w:rPr>
        <w:t>3. 凸显专业特色。一是突出教师教育</w:t>
      </w:r>
      <w:r>
        <w:rPr>
          <w:rFonts w:hint="eastAsia"/>
          <w:kern w:val="0"/>
          <w:sz w:val="24"/>
        </w:rPr>
        <w:t>专业</w:t>
      </w:r>
      <w:r>
        <w:rPr>
          <w:kern w:val="0"/>
          <w:sz w:val="24"/>
        </w:rPr>
        <w:t>特色。</w:t>
      </w:r>
      <w:r>
        <w:rPr>
          <w:sz w:val="24"/>
        </w:rPr>
        <w:t>教师教育类课程是教师教育</w:t>
      </w:r>
      <w:r>
        <w:rPr>
          <w:rFonts w:hint="eastAsia"/>
          <w:sz w:val="24"/>
        </w:rPr>
        <w:t>专业</w:t>
      </w:r>
      <w:r>
        <w:rPr>
          <w:sz w:val="24"/>
        </w:rPr>
        <w:t>中不可缺少的特色课程，也是我校教师教育</w:t>
      </w:r>
      <w:r>
        <w:rPr>
          <w:rFonts w:hint="eastAsia"/>
          <w:sz w:val="24"/>
        </w:rPr>
        <w:t>专业</w:t>
      </w:r>
      <w:r>
        <w:rPr>
          <w:sz w:val="24"/>
        </w:rPr>
        <w:t>的强项。通过设置教师教育平台，增加教师教育</w:t>
      </w:r>
      <w:r>
        <w:rPr>
          <w:rFonts w:hint="eastAsia"/>
          <w:sz w:val="24"/>
        </w:rPr>
        <w:t>课程</w:t>
      </w:r>
      <w:r>
        <w:rPr>
          <w:sz w:val="24"/>
        </w:rPr>
        <w:t>，加大教师教育课程比例，切实提高教师教育</w:t>
      </w:r>
      <w:r>
        <w:rPr>
          <w:rFonts w:hint="eastAsia"/>
          <w:sz w:val="24"/>
        </w:rPr>
        <w:t>专业</w:t>
      </w:r>
      <w:r>
        <w:rPr>
          <w:sz w:val="24"/>
        </w:rPr>
        <w:t>学生的教师职业</w:t>
      </w:r>
      <w:r>
        <w:rPr>
          <w:rFonts w:hint="eastAsia"/>
          <w:sz w:val="24"/>
        </w:rPr>
        <w:t>技能和</w:t>
      </w:r>
      <w:r>
        <w:rPr>
          <w:sz w:val="24"/>
        </w:rPr>
        <w:t>综合素质。二是</w:t>
      </w:r>
      <w:r>
        <w:rPr>
          <w:kern w:val="0"/>
          <w:sz w:val="24"/>
        </w:rPr>
        <w:t>倡导</w:t>
      </w:r>
      <w:r>
        <w:rPr>
          <w:sz w:val="24"/>
        </w:rPr>
        <w:t>非教师教育专业</w:t>
      </w:r>
      <w:r>
        <w:rPr>
          <w:kern w:val="0"/>
          <w:sz w:val="24"/>
        </w:rPr>
        <w:t>特色方向</w:t>
      </w:r>
      <w:r>
        <w:rPr>
          <w:rFonts w:hint="eastAsia"/>
          <w:kern w:val="0"/>
          <w:sz w:val="24"/>
        </w:rPr>
        <w:t>。</w:t>
      </w:r>
      <w:r>
        <w:rPr>
          <w:kern w:val="0"/>
          <w:sz w:val="24"/>
        </w:rPr>
        <w:t>根据自身优势社会需求，灵活设置专业方向，开设特色课程，逐步形成</w:t>
      </w:r>
      <w:r>
        <w:rPr>
          <w:rFonts w:hint="eastAsia"/>
          <w:kern w:val="0"/>
          <w:sz w:val="24"/>
        </w:rPr>
        <w:t>专业的</w:t>
      </w:r>
      <w:r>
        <w:rPr>
          <w:kern w:val="0"/>
          <w:sz w:val="24"/>
        </w:rPr>
        <w:t>特色优势。</w:t>
      </w:r>
    </w:p>
    <w:p>
      <w:pPr>
        <w:bidi w:val="0"/>
        <w:spacing w:line="360" w:lineRule="auto"/>
        <w:ind w:firstLine="470" w:firstLineChars="196"/>
        <w:jc w:val="both"/>
        <w:rPr>
          <w:color w:val="000000"/>
        </w:rPr>
        <w:sectPr>
          <w:headerReference w:type="default" r:id="rId10"/>
          <w:footerReference w:type="even" r:id="rId11"/>
          <w:footerReference w:type="default" r:id="rId12"/>
          <w:type w:val="nextPage"/>
          <w:pgSz w:w="11906" w:h="16838"/>
          <w:pgMar w:top="1440" w:right="1800" w:bottom="1440" w:left="1800" w:header="851" w:footer="992" w:gutter="0"/>
          <w:pgNumType w:fmt="decimal" w:start="2"/>
          <w:cols w:space="708"/>
          <w:titlePg w:val="0"/>
          <w:docGrid w:type="lines" w:linePitch="312"/>
        </w:sectPr>
      </w:pPr>
      <w:r>
        <w:rPr>
          <w:color w:val="000000"/>
          <w:kern w:val="0"/>
          <w:sz w:val="24"/>
        </w:rPr>
        <w:t>4．</w:t>
      </w:r>
      <w:r>
        <w:rPr>
          <w:rFonts w:hint="eastAsia"/>
          <w:color w:val="000000"/>
          <w:kern w:val="0"/>
          <w:sz w:val="24"/>
        </w:rPr>
        <w:t>完善实践教学体系。结合我校实际情况，加强实践教学环节，</w:t>
      </w:r>
      <w:r>
        <w:rPr>
          <w:rFonts w:ascii="宋体" w:eastAsia="宋体" w:hAnsi="宋体" w:cs="宋体" w:hint="eastAsia"/>
          <w:kern w:val="0"/>
          <w:sz w:val="24"/>
        </w:rPr>
        <w:t>建立符合人才培养规格和能力要求的实践教学体系。</w:t>
      </w:r>
      <w:r>
        <w:rPr>
          <w:kern w:val="0"/>
          <w:sz w:val="24"/>
        </w:rPr>
        <w:t>各教学院</w:t>
      </w:r>
      <w:r>
        <w:rPr>
          <w:rFonts w:hint="eastAsia"/>
          <w:kern w:val="0"/>
          <w:sz w:val="24"/>
        </w:rPr>
        <w:t>、</w:t>
      </w:r>
      <w:r>
        <w:rPr>
          <w:kern w:val="0"/>
          <w:sz w:val="24"/>
        </w:rPr>
        <w:t>系根据专业特点</w:t>
      </w:r>
      <w:r>
        <w:rPr>
          <w:rFonts w:hint="eastAsia"/>
          <w:kern w:val="0"/>
          <w:sz w:val="24"/>
        </w:rPr>
        <w:t>和公共实践教学平台要求</w:t>
      </w:r>
      <w:r>
        <w:rPr>
          <w:kern w:val="0"/>
          <w:sz w:val="24"/>
        </w:rPr>
        <w:t>，</w:t>
      </w:r>
      <w:r>
        <w:rPr>
          <w:color w:val="000000"/>
          <w:kern w:val="0"/>
          <w:sz w:val="24"/>
        </w:rPr>
        <w:t>建立</w:t>
      </w:r>
      <w:r>
        <w:rPr>
          <w:rFonts w:hint="eastAsia"/>
          <w:color w:val="000000"/>
          <w:kern w:val="0"/>
          <w:sz w:val="24"/>
        </w:rPr>
        <w:t>实践</w:t>
      </w:r>
      <w:r>
        <w:rPr>
          <w:color w:val="000000"/>
          <w:kern w:val="0"/>
          <w:sz w:val="24"/>
        </w:rPr>
        <w:t>与理</w:t>
      </w:r>
      <w:r>
        <w:rPr>
          <w:kern w:val="0"/>
          <w:sz w:val="24"/>
        </w:rPr>
        <w:t>论教学相互贯通的实践教学体系</w:t>
      </w:r>
      <w:r>
        <w:rPr>
          <w:rFonts w:hint="eastAsia"/>
          <w:kern w:val="0"/>
          <w:sz w:val="24"/>
        </w:rPr>
        <w:t>。加大单独开设实验课程的比例，实验课程单独考核。通过理论和实践教学学时调整及实践教学改进，使得理论教学与实践教学学时比例更合理，实践训练更全面和有效。推行创新实践学分，提供多种</w:t>
      </w:r>
      <w:r>
        <w:rPr>
          <w:kern w:val="0"/>
          <w:sz w:val="24"/>
        </w:rPr>
        <w:t>科学研究的形式和途径</w:t>
      </w:r>
      <w:r>
        <w:rPr>
          <w:rFonts w:hint="eastAsia"/>
          <w:kern w:val="0"/>
          <w:sz w:val="24"/>
        </w:rPr>
        <w:t>加强学生</w:t>
      </w:r>
      <w:r>
        <w:rPr>
          <w:kern w:val="0"/>
          <w:sz w:val="24"/>
        </w:rPr>
        <w:t>科研能力</w:t>
      </w:r>
      <w:r>
        <w:rPr>
          <w:rFonts w:hint="eastAsia"/>
          <w:kern w:val="0"/>
          <w:sz w:val="24"/>
        </w:rPr>
        <w:t>。</w:t>
      </w:r>
      <w:r>
        <w:rPr>
          <w:sz w:val="24"/>
        </w:rPr>
        <w:t>开设周口地域</w:t>
      </w:r>
      <w:r>
        <w:rPr>
          <w:kern w:val="0"/>
          <w:sz w:val="24"/>
        </w:rPr>
        <w:t>文化</w:t>
      </w:r>
      <w:r>
        <w:rPr>
          <w:rFonts w:hint="eastAsia"/>
          <w:kern w:val="0"/>
          <w:sz w:val="24"/>
        </w:rPr>
        <w:t>、</w:t>
      </w:r>
      <w:r>
        <w:rPr>
          <w:kern w:val="0"/>
          <w:sz w:val="24"/>
        </w:rPr>
        <w:t>音乐聆听·美术感悟</w:t>
      </w:r>
      <w:r>
        <w:rPr>
          <w:rFonts w:hint="eastAsia"/>
          <w:kern w:val="0"/>
          <w:sz w:val="24"/>
        </w:rPr>
        <w:t>等方面</w:t>
      </w:r>
      <w:r>
        <w:rPr>
          <w:rFonts w:hint="eastAsia"/>
          <w:sz w:val="24"/>
        </w:rPr>
        <w:t>讲座</w:t>
      </w:r>
      <w:r>
        <w:rPr>
          <w:sz w:val="24"/>
        </w:rPr>
        <w:t>和开展校园文化活动，推进大学生素质拓展计划的实施，不断提升学生的综合素质。</w:t>
      </w:r>
    </w:p>
    <w:p>
      <w:pPr>
        <w:bidi w:val="0"/>
        <w:spacing w:line="360" w:lineRule="auto"/>
        <w:ind w:firstLine="480" w:firstLineChars="200"/>
        <w:jc w:val="both"/>
        <w:rPr>
          <w:rFonts w:ascii="宋体" w:hAnsi="宋体" w:cs="楷体_GB2312"/>
          <w:b/>
          <w:sz w:val="24"/>
          <w:lang w:val="zh-CN"/>
        </w:rPr>
      </w:pPr>
      <w:r>
        <w:rPr>
          <w:rFonts w:ascii="宋体" w:eastAsia="宋体" w:hAnsi="宋体" w:cs="楷体_GB2312" w:hint="eastAsia"/>
          <w:b/>
          <w:sz w:val="24"/>
          <w:lang w:val="zh-CN"/>
        </w:rPr>
        <w:t>四、培养目标和培养规格</w:t>
      </w:r>
    </w:p>
    <w:p>
      <w:pPr>
        <w:bidi w:val="0"/>
        <w:spacing w:line="360" w:lineRule="auto"/>
        <w:ind w:firstLine="480" w:firstLineChars="200"/>
        <w:jc w:val="both"/>
        <w:rPr>
          <w:rFonts w:ascii="宋体" w:hAnsi="宋体" w:cs="楷体_GB2312" w:hint="eastAsia"/>
          <w:sz w:val="24"/>
          <w:lang w:val="zh-CN"/>
        </w:rPr>
      </w:pPr>
      <w:r>
        <w:rPr>
          <w:rFonts w:ascii="宋体" w:eastAsia="宋体" w:hAnsi="宋体" w:cs="楷体_GB2312" w:hint="eastAsia"/>
          <w:sz w:val="24"/>
          <w:lang w:val="zh-CN"/>
        </w:rPr>
        <w:t>（一）培养目标</w:t>
      </w:r>
    </w:p>
    <w:p>
      <w:pPr>
        <w:bidi w:val="0"/>
        <w:spacing w:line="360" w:lineRule="auto"/>
        <w:ind w:firstLine="480" w:firstLineChars="200"/>
        <w:jc w:val="both"/>
        <w:rPr>
          <w:rFonts w:hint="eastAsia"/>
          <w:sz w:val="24"/>
        </w:rPr>
      </w:pPr>
      <w:r>
        <w:rPr>
          <w:rFonts w:hint="eastAsia"/>
          <w:sz w:val="24"/>
        </w:rPr>
        <w:t>依据学校办学定位，培养德智体美全面发展，</w:t>
      </w:r>
      <w:r>
        <w:rPr>
          <w:sz w:val="24"/>
        </w:rPr>
        <w:t>适应现代社会经济、文化、科技、教育发展需要</w:t>
      </w:r>
      <w:r>
        <w:rPr>
          <w:rFonts w:hint="eastAsia"/>
          <w:sz w:val="24"/>
        </w:rPr>
        <w:t>，具备学习能力、创新能力、实践能力、交流能力和社会适应能力，具</w:t>
      </w:r>
      <w:r>
        <w:rPr>
          <w:sz w:val="24"/>
        </w:rPr>
        <w:t>有高度责任感和事业心并有发展潜力的</w:t>
      </w:r>
      <w:r>
        <w:rPr>
          <w:rFonts w:hint="eastAsia"/>
          <w:sz w:val="24"/>
        </w:rPr>
        <w:t>高素质应用型</w:t>
      </w:r>
      <w:r>
        <w:rPr>
          <w:sz w:val="24"/>
        </w:rPr>
        <w:t>人才。</w:t>
      </w:r>
    </w:p>
    <w:p>
      <w:pPr>
        <w:bidi w:val="0"/>
        <w:spacing w:line="360" w:lineRule="auto"/>
        <w:ind w:firstLine="480" w:firstLineChars="200"/>
        <w:jc w:val="both"/>
        <w:rPr>
          <w:rFonts w:hint="eastAsia"/>
          <w:sz w:val="24"/>
        </w:rPr>
      </w:pPr>
      <w:r>
        <w:rPr>
          <w:sz w:val="24"/>
        </w:rPr>
        <w:t>1.</w:t>
      </w:r>
      <w:r>
        <w:rPr>
          <w:rFonts w:hint="eastAsia"/>
          <w:sz w:val="24"/>
        </w:rPr>
        <w:t xml:space="preserve"> </w:t>
      </w:r>
      <w:r>
        <w:rPr>
          <w:sz w:val="24"/>
        </w:rPr>
        <w:t>教师教育类专业培养目标：为国家基础教育事业的发展培养德才兼备的专业化</w:t>
      </w:r>
      <w:r>
        <w:rPr>
          <w:rFonts w:hint="eastAsia"/>
          <w:sz w:val="24"/>
        </w:rPr>
        <w:t>教师和</w:t>
      </w:r>
      <w:r>
        <w:rPr>
          <w:sz w:val="24"/>
        </w:rPr>
        <w:t>能在各类教育机构从事教学和科研的教育</w:t>
      </w:r>
      <w:r>
        <w:rPr>
          <w:rFonts w:hint="eastAsia"/>
          <w:sz w:val="24"/>
        </w:rPr>
        <w:t>工作者，也为其进一步接受高层次学历教育</w:t>
      </w:r>
      <w:r>
        <w:rPr>
          <w:sz w:val="24"/>
        </w:rPr>
        <w:t>。</w:t>
      </w:r>
    </w:p>
    <w:p>
      <w:pPr>
        <w:bidi w:val="0"/>
        <w:spacing w:line="360" w:lineRule="auto"/>
        <w:ind w:firstLine="480" w:firstLineChars="200"/>
        <w:jc w:val="both"/>
        <w:rPr>
          <w:rFonts w:cs="黑体"/>
          <w:sz w:val="24"/>
        </w:rPr>
      </w:pPr>
      <w:r>
        <w:rPr>
          <w:sz w:val="24"/>
        </w:rPr>
        <w:t>2.</w:t>
      </w:r>
      <w:r>
        <w:rPr>
          <w:rFonts w:hint="eastAsia"/>
          <w:sz w:val="24"/>
        </w:rPr>
        <w:t xml:space="preserve"> </w:t>
      </w:r>
      <w:r>
        <w:rPr>
          <w:sz w:val="24"/>
        </w:rPr>
        <w:t>非教师教育类专业培养目标：为经济社会发展培养基础学术型人才及应用型人才</w:t>
      </w:r>
      <w:r>
        <w:rPr>
          <w:rFonts w:hint="eastAsia"/>
          <w:sz w:val="24"/>
        </w:rPr>
        <w:t>；为其进一步接受高层次学历教育</w:t>
      </w:r>
      <w:r>
        <w:rPr>
          <w:sz w:val="24"/>
        </w:rPr>
        <w:t>和相关科学研究奠定基础。</w:t>
      </w:r>
    </w:p>
    <w:p>
      <w:pPr>
        <w:widowControl/>
        <w:bidi w:val="0"/>
        <w:spacing w:line="360" w:lineRule="auto"/>
        <w:ind w:firstLine="480" w:firstLineChars="200"/>
        <w:jc w:val="both"/>
        <w:rPr>
          <w:rFonts w:ascii="宋体" w:hAnsi="宋体" w:cs="楷体_GB2312" w:hint="eastAsia"/>
          <w:sz w:val="24"/>
          <w:lang w:val="zh-CN"/>
        </w:rPr>
      </w:pPr>
      <w:r>
        <w:rPr>
          <w:rFonts w:ascii="宋体" w:eastAsia="宋体" w:hAnsi="宋体" w:cs="楷体_GB2312" w:hint="eastAsia"/>
          <w:sz w:val="24"/>
        </w:rPr>
        <w:t>要求：</w:t>
      </w:r>
      <w:r>
        <w:rPr>
          <w:rFonts w:ascii="宋体" w:eastAsia="宋体" w:hAnsi="宋体" w:cs="楷体_GB2312" w:hint="eastAsia"/>
          <w:sz w:val="24"/>
          <w:lang w:val="zh-CN"/>
        </w:rPr>
        <w:t>各专业的培养目标应符合学校总体人才培养目标，体现各专业本身的具体要求，反映社会对人才的需求状况。</w:t>
      </w:r>
    </w:p>
    <w:p>
      <w:pPr>
        <w:bidi w:val="0"/>
        <w:spacing w:line="360" w:lineRule="auto"/>
        <w:ind w:firstLine="480" w:firstLineChars="200"/>
        <w:jc w:val="both"/>
        <w:rPr>
          <w:rFonts w:ascii="宋体" w:hAnsi="宋体" w:cs="楷体_GB2312"/>
          <w:sz w:val="24"/>
          <w:lang w:val="zh-CN"/>
        </w:rPr>
      </w:pPr>
      <w:r>
        <w:rPr>
          <w:rFonts w:ascii="宋体" w:eastAsia="宋体" w:hAnsi="宋体" w:cs="楷体_GB2312" w:hint="eastAsia"/>
          <w:sz w:val="24"/>
          <w:lang w:val="zh-CN"/>
        </w:rPr>
        <w:t>（二）培养规格</w:t>
      </w:r>
    </w:p>
    <w:p>
      <w:pPr>
        <w:bidi w:val="0"/>
        <w:spacing w:line="360" w:lineRule="auto"/>
        <w:ind w:firstLine="480" w:firstLineChars="200"/>
        <w:jc w:val="both"/>
        <w:rPr>
          <w:sz w:val="24"/>
          <w:lang w:val="zh-CN"/>
        </w:rPr>
      </w:pPr>
      <w:r>
        <w:rPr>
          <w:sz w:val="24"/>
          <w:lang w:val="zh-CN"/>
        </w:rPr>
        <w:t xml:space="preserve">1. </w:t>
      </w:r>
      <w:r>
        <w:rPr>
          <w:sz w:val="24"/>
        </w:rPr>
        <w:t>具有良好的思想道德修养。</w:t>
      </w:r>
      <w:r>
        <w:rPr>
          <w:sz w:val="24"/>
          <w:lang w:val="zh-CN"/>
        </w:rPr>
        <w:t>热爱祖国，拥护中国共产党的领导，掌握马克思列宁主义、毛泽东思想和中国特色社会主义理论；具有爱岗敬业、遵纪守法、团结协作、诚实守信的良好品质。</w:t>
      </w:r>
    </w:p>
    <w:p>
      <w:pPr>
        <w:bidi w:val="0"/>
        <w:spacing w:line="360" w:lineRule="auto"/>
        <w:ind w:firstLine="480" w:firstLineChars="200"/>
        <w:jc w:val="both"/>
        <w:rPr>
          <w:sz w:val="24"/>
        </w:rPr>
      </w:pPr>
      <w:r>
        <w:rPr>
          <w:sz w:val="24"/>
          <w:lang w:val="zh-CN"/>
        </w:rPr>
        <w:t xml:space="preserve">2. </w:t>
      </w:r>
      <w:r>
        <w:rPr>
          <w:sz w:val="24"/>
        </w:rPr>
        <w:t>具有扎实的学科基础知识。</w:t>
      </w:r>
      <w:r>
        <w:rPr>
          <w:sz w:val="24"/>
          <w:lang w:val="zh-CN"/>
        </w:rPr>
        <w:t>系统掌握本专业的基础知识、基本理论和基本技能，具有从事本专业工作和适应相近专业工作的素质和能力；</w:t>
      </w:r>
      <w:r>
        <w:rPr>
          <w:sz w:val="24"/>
        </w:rPr>
        <w:t>了解本专业的发展趋势和新进展，具有较强的综合运用能力和一定的科学研究能力。</w:t>
      </w:r>
    </w:p>
    <w:p>
      <w:pPr>
        <w:pStyle w:val="default"/>
        <w:spacing w:before="0" w:beforeAutospacing="0" w:after="0" w:afterAutospacing="0" w:line="360" w:lineRule="auto"/>
        <w:ind w:firstLine="480" w:firstLineChars="200"/>
        <w:jc w:val="both"/>
        <w:rPr>
          <w:rFonts w:ascii="Times New Roman" w:eastAsia="Times New Roman" w:hAnsi="Times New Roman" w:cs="Times New Roman"/>
          <w:kern w:val="2"/>
        </w:rPr>
      </w:pPr>
      <w:r>
        <w:rPr>
          <w:rFonts w:ascii="Times New Roman" w:eastAsia="Times New Roman" w:hAnsi="Times New Roman" w:cs="Times New Roman"/>
        </w:rPr>
        <w:t>3</w:t>
      </w:r>
      <w:r>
        <w:rPr>
          <w:rFonts w:ascii="Times New Roman" w:eastAsia="Times New Roman" w:hAnsi="Times New Roman" w:cs="Times New Roman"/>
          <w:kern w:val="2"/>
        </w:rPr>
        <w:t>. 具有创新精神和终身学习能力。</w:t>
      </w:r>
      <w:r>
        <w:rPr>
          <w:rFonts w:ascii="Times New Roman" w:eastAsia="Times New Roman" w:hAnsi="Times New Roman" w:cs="Times New Roman" w:hint="eastAsia"/>
          <w:kern w:val="2"/>
        </w:rPr>
        <w:t>具有</w:t>
      </w:r>
      <w:r>
        <w:rPr>
          <w:rFonts w:ascii="Times New Roman" w:eastAsia="Times New Roman" w:hAnsi="Times New Roman" w:cs="Times New Roman"/>
          <w:kern w:val="2"/>
        </w:rPr>
        <w:t>基本的信息收集、分析、处理和应用能力，形成良好的责任感；</w:t>
      </w:r>
      <w:r>
        <w:rPr>
          <w:rFonts w:ascii="Times New Roman" w:eastAsia="Times New Roman" w:hAnsi="Times New Roman" w:cs="Times New Roman" w:hint="eastAsia"/>
          <w:kern w:val="2"/>
        </w:rPr>
        <w:t>具有</w:t>
      </w:r>
      <w:r>
        <w:rPr>
          <w:rFonts w:ascii="Times New Roman" w:eastAsia="Times New Roman" w:hAnsi="Times New Roman" w:cs="Times New Roman"/>
          <w:kern w:val="2"/>
        </w:rPr>
        <w:t>较强的动手能力和自学能力；具有科学的思维方法和习惯及求实与探索精神。</w:t>
      </w:r>
    </w:p>
    <w:p>
      <w:pPr>
        <w:bidi w:val="0"/>
        <w:spacing w:line="360" w:lineRule="auto"/>
        <w:ind w:firstLine="480" w:firstLineChars="200"/>
        <w:jc w:val="both"/>
        <w:rPr>
          <w:sz w:val="24"/>
        </w:rPr>
      </w:pPr>
      <w:r>
        <w:rPr>
          <w:sz w:val="24"/>
        </w:rPr>
        <w:t>4. 具有良好的语言表达和沟通能力。</w:t>
      </w:r>
    </w:p>
    <w:p>
      <w:pPr>
        <w:bidi w:val="0"/>
        <w:spacing w:line="360" w:lineRule="auto"/>
        <w:ind w:firstLine="480" w:firstLineChars="200"/>
        <w:jc w:val="both"/>
        <w:rPr>
          <w:rFonts w:hint="eastAsia"/>
          <w:sz w:val="24"/>
          <w:lang w:val="zh-CN"/>
        </w:rPr>
      </w:pPr>
      <w:r>
        <w:rPr>
          <w:sz w:val="24"/>
        </w:rPr>
        <w:t>5.</w:t>
      </w:r>
      <w:r>
        <w:rPr>
          <w:rFonts w:hint="eastAsia"/>
          <w:sz w:val="24"/>
        </w:rPr>
        <w:t xml:space="preserve"> 具有健全的心理和健康体魄。系统掌握体育锻炼的基本技能，养成良好的体育锻炼和卫生习惯。</w:t>
      </w:r>
    </w:p>
    <w:p>
      <w:pPr>
        <w:bidi w:val="0"/>
        <w:spacing w:line="360" w:lineRule="auto"/>
        <w:ind w:firstLine="480" w:firstLineChars="200"/>
        <w:jc w:val="both"/>
        <w:rPr>
          <w:rFonts w:hint="eastAsia"/>
          <w:sz w:val="24"/>
        </w:rPr>
        <w:sectPr>
          <w:headerReference w:type="default" r:id="rId13"/>
          <w:footerReference w:type="even" r:id="rId14"/>
          <w:footerReference w:type="default" r:id="rId15"/>
          <w:type w:val="nextPage"/>
          <w:pgSz w:w="11906" w:h="16838"/>
          <w:pgMar w:top="1440" w:right="1800" w:bottom="1440" w:left="1800" w:header="851" w:footer="992" w:gutter="0"/>
          <w:pgNumType w:fmt="decimal" w:start="3"/>
          <w:cols w:space="708"/>
          <w:titlePg w:val="0"/>
          <w:docGrid w:type="lines" w:linePitch="312"/>
        </w:sectPr>
      </w:pPr>
      <w:r>
        <w:rPr>
          <w:sz w:val="24"/>
        </w:rPr>
        <w:t>6</w:t>
      </w:r>
      <w:r>
        <w:rPr>
          <w:sz w:val="24"/>
          <w:lang w:val="zh-CN"/>
        </w:rPr>
        <w:t xml:space="preserve">. </w:t>
      </w:r>
      <w:r>
        <w:rPr>
          <w:sz w:val="24"/>
        </w:rPr>
        <w:t>教师教育专业学生应具有适应新课程改革的现代教育理念和先进的教育教学方法，并具备相应的教育教学能力和一定的教学研究能力，同时具备乐教、懂教、会教、善教等教师教育专业素养</w:t>
      </w:r>
      <w:r>
        <w:rPr>
          <w:rFonts w:hint="eastAsia"/>
          <w:sz w:val="24"/>
        </w:rPr>
        <w:t>。</w:t>
      </w:r>
    </w:p>
    <w:p>
      <w:pPr>
        <w:bidi w:val="0"/>
        <w:spacing w:line="360" w:lineRule="auto"/>
        <w:ind w:firstLine="480" w:firstLineChars="200"/>
        <w:jc w:val="both"/>
        <w:rPr>
          <w:sz w:val="24"/>
        </w:rPr>
      </w:pPr>
      <w:r>
        <w:rPr>
          <w:rFonts w:hint="eastAsia"/>
          <w:sz w:val="24"/>
        </w:rPr>
        <w:t xml:space="preserve">7. </w:t>
      </w:r>
      <w:r>
        <w:rPr>
          <w:sz w:val="24"/>
        </w:rPr>
        <w:t>非教师教育专业学生应具有较强的创新意识和竞争意识，具有较强的专业特长和技能，以及适应相邻专业业务工作的基本能力，掌握科学技术的理论和方法，并具有一定的应用能力。</w:t>
      </w:r>
    </w:p>
    <w:p>
      <w:pPr>
        <w:bidi w:val="0"/>
        <w:spacing w:line="360" w:lineRule="auto"/>
        <w:ind w:firstLine="480" w:firstLineChars="200"/>
        <w:jc w:val="both"/>
        <w:rPr>
          <w:rFonts w:ascii="宋体" w:hAnsi="宋体" w:cs="楷体_GB2312" w:hint="eastAsia"/>
          <w:sz w:val="24"/>
          <w:lang w:val="zh-CN"/>
        </w:rPr>
      </w:pPr>
      <w:r>
        <w:rPr>
          <w:rFonts w:ascii="宋体" w:eastAsia="宋体" w:hAnsi="宋体" w:cs="楷体_GB2312" w:hint="eastAsia"/>
          <w:sz w:val="24"/>
          <w:lang w:val="zh-CN"/>
        </w:rPr>
        <w:t>要求：各专业根据上述要求，结合本专业特点，制定具体的培养目标和培养规格。</w:t>
      </w:r>
    </w:p>
    <w:p>
      <w:pPr>
        <w:bidi w:val="0"/>
        <w:spacing w:line="360" w:lineRule="auto"/>
        <w:ind w:firstLine="480" w:firstLineChars="200"/>
        <w:jc w:val="both"/>
        <w:rPr>
          <w:rFonts w:ascii="宋体" w:hAnsi="宋体" w:cs="楷体_GB2312"/>
          <w:b/>
          <w:sz w:val="24"/>
          <w:lang w:val="zh-CN"/>
        </w:rPr>
      </w:pPr>
      <w:r>
        <w:rPr>
          <w:rFonts w:ascii="宋体" w:eastAsia="宋体" w:hAnsi="宋体" w:cs="楷体_GB2312" w:hint="eastAsia"/>
          <w:b/>
          <w:sz w:val="24"/>
          <w:lang w:val="zh-CN"/>
        </w:rPr>
        <w:t>五、培养模式</w:t>
      </w:r>
    </w:p>
    <w:p>
      <w:pPr>
        <w:pStyle w:val="default"/>
        <w:spacing w:before="0" w:beforeAutospacing="0" w:after="0" w:afterAutospacing="0" w:line="500" w:lineRule="exact"/>
        <w:ind w:firstLine="480" w:firstLineChars="200"/>
        <w:jc w:val="both"/>
        <w:rPr>
          <w:rFonts w:ascii="Times New Roman" w:eastAsia="Times New Roman" w:hAnsi="Times New Roman" w:cs="Times New Roman"/>
          <w:kern w:val="2"/>
        </w:rPr>
      </w:pPr>
      <w:r>
        <w:rPr>
          <w:rFonts w:ascii="Times New Roman" w:eastAsia="Times New Roman" w:hAnsi="Times New Roman" w:cs="Times New Roman" w:hint="eastAsia"/>
          <w:kern w:val="2"/>
        </w:rPr>
        <w:t xml:space="preserve">1. </w:t>
      </w:r>
      <w:r>
        <w:rPr>
          <w:rFonts w:hint="eastAsia"/>
        </w:rPr>
        <w:t>推行</w:t>
      </w:r>
      <w:r>
        <w:object>
          <v:shape id="对象 3" o:spid="_x0000_i1027" type="#_x0000_t75" style="width:55.56pt;height:13.02pt;mso-position-horizontal-relative:page;mso-position-vertical-relative:page;mso-wrap-style:square" o:ole="" o:preferrelative="t" filled="f" stroked="f">
            <v:stroke linestyle="single"/>
            <v:imagedata r:id="rId4" o:title=""/>
            <v:path o:extrusionok="f"/>
            <o:lock v:ext="edit" aspectratio="t"/>
          </v:shape>
          <o:OLEObject Type="Embed" ProgID="Equation.3" ShapeID="对象 3" DrawAspect="Content" ObjectID="_1234567892" r:id="rId16"/>
        </w:object>
      </w:r>
      <w:r>
        <w:rPr>
          <w:rFonts w:hint="eastAsia"/>
        </w:rPr>
        <w:t>人才分类培养模式。结合我校办学定位和专业设置实际情况，结合专业特点、社会需求和学生个性要求设置专业方向模块课，实现人才分类培养。同时，教育科学系和各学院、系学科教学论教师研制了教师教育专业的</w:t>
      </w:r>
      <w:r>
        <w:rPr>
          <w:rFonts w:hint="eastAsia"/>
        </w:rPr>
        <w:t>“</w:t>
      </w:r>
      <w:r>
        <w:rPr>
          <w:rFonts w:hint="eastAsia"/>
        </w:rPr>
        <w:t>教师教育平台</w:t>
      </w:r>
      <w:r>
        <w:rPr>
          <w:rFonts w:hint="eastAsia"/>
        </w:rPr>
        <w:t>”</w:t>
      </w:r>
      <w:r>
        <w:rPr>
          <w:rFonts w:hint="eastAsia"/>
        </w:rPr>
        <w:t>，让教师教育课程渗透到四年教育过程中，充分利用</w:t>
      </w:r>
      <w:r>
        <w:rPr>
          <w:rFonts w:hint="eastAsia"/>
        </w:rPr>
        <w:t>“</w:t>
      </w:r>
      <w:r>
        <w:rPr>
          <w:rFonts w:hint="eastAsia"/>
        </w:rPr>
        <w:t>教师教育实验教学中心</w:t>
      </w:r>
      <w:r>
        <w:rPr>
          <w:rFonts w:hint="eastAsia"/>
        </w:rPr>
        <w:t>”</w:t>
      </w:r>
      <w:r>
        <w:rPr>
          <w:rFonts w:hint="eastAsia"/>
        </w:rPr>
        <w:t>，以凸显我校教师</w:t>
      </w:r>
      <w:r>
        <w:rPr>
          <w:rFonts w:ascii="Times New Roman" w:eastAsia="Times New Roman" w:hAnsi="Times New Roman" w:cs="Times New Roman"/>
        </w:rPr>
        <w:t>教育的特色。</w:t>
      </w:r>
    </w:p>
    <w:p>
      <w:pPr>
        <w:pStyle w:val="default"/>
        <w:spacing w:before="0" w:beforeAutospacing="0" w:after="0" w:afterAutospacing="0" w:line="500" w:lineRule="exact"/>
        <w:ind w:firstLine="480" w:firstLineChars="200"/>
        <w:jc w:val="both"/>
        <w:rPr>
          <w:rFonts w:ascii="Times New Roman" w:eastAsia="Times New Roman" w:hAnsi="Times New Roman" w:cs="Times New Roman"/>
        </w:rPr>
      </w:pPr>
      <w:r>
        <w:rPr>
          <w:rFonts w:ascii="Times New Roman" w:eastAsia="Times New Roman" w:hAnsi="Times New Roman" w:cs="Times New Roman" w:hint="eastAsia"/>
          <w:kern w:val="2"/>
        </w:rPr>
        <w:t>2.</w:t>
      </w:r>
      <w:r>
        <w:rPr>
          <w:rFonts w:hint="eastAsia"/>
        </w:rPr>
        <w:t xml:space="preserve"> </w:t>
      </w:r>
      <w:r>
        <w:rPr>
          <w:rFonts w:ascii="Times New Roman" w:eastAsia="Times New Roman" w:hAnsi="Times New Roman" w:cs="Times New Roman" w:hint="eastAsia"/>
          <w:kern w:val="2"/>
        </w:rPr>
        <w:t>产学研合作培养模式。不同的学科依据其自身特色，探索出了不同的产学研合作形式。采用实践应用、项目合作、成果转让等与教育单位、</w:t>
      </w:r>
      <w:r>
        <w:rPr>
          <w:rFonts w:ascii="Times New Roman" w:eastAsia="Times New Roman" w:hAnsi="Times New Roman" w:cs="Times New Roman"/>
          <w:kern w:val="2"/>
        </w:rPr>
        <w:t>行政单位、事业单位</w:t>
      </w:r>
      <w:r>
        <w:rPr>
          <w:rFonts w:ascii="Times New Roman" w:eastAsia="Times New Roman" w:hAnsi="Times New Roman" w:cs="Times New Roman" w:hint="eastAsia"/>
          <w:kern w:val="2"/>
        </w:rPr>
        <w:t>、企业等合作教育模式，探索复合型人才的培养方案。实行开放办学与国际合作办学，与国外高校实行联合培养。</w:t>
      </w:r>
    </w:p>
    <w:p>
      <w:pPr>
        <w:pStyle w:val="default"/>
        <w:spacing w:before="0" w:beforeAutospacing="0" w:after="0" w:afterAutospacing="0" w:line="500" w:lineRule="exact"/>
        <w:ind w:firstLine="480" w:firstLineChars="200"/>
        <w:jc w:val="both"/>
        <w:rPr>
          <w:rFonts w:ascii="Times New Roman" w:eastAsia="Times New Roman" w:hAnsi="Times New Roman" w:cs="Times New Roman"/>
          <w:kern w:val="2"/>
        </w:rPr>
      </w:pPr>
      <w:r>
        <w:rPr>
          <w:rFonts w:ascii="Times New Roman" w:eastAsia="Times New Roman" w:hAnsi="Times New Roman" w:cs="Times New Roman"/>
          <w:kern w:val="2"/>
        </w:rPr>
        <w:t xml:space="preserve">3. </w:t>
      </w:r>
      <w:r>
        <w:rPr>
          <w:rFonts w:ascii="Times New Roman" w:eastAsia="Times New Roman" w:hAnsi="Times New Roman" w:cs="Times New Roman" w:hint="eastAsia"/>
          <w:kern w:val="2"/>
        </w:rPr>
        <w:t>辅修</w:t>
      </w:r>
      <w:r>
        <w:rPr>
          <w:rFonts w:ascii="Times New Roman" w:eastAsia="Times New Roman" w:hAnsi="Times New Roman" w:cs="Times New Roman"/>
          <w:kern w:val="2"/>
        </w:rPr>
        <w:t>双学位培养模式。</w:t>
      </w:r>
      <w:r>
        <w:rPr>
          <w:rFonts w:ascii="Times New Roman" w:eastAsia="Times New Roman" w:hAnsi="Times New Roman" w:cs="Times New Roman" w:hint="eastAsia"/>
          <w:kern w:val="2"/>
        </w:rPr>
        <w:t>学生</w:t>
      </w:r>
      <w:r>
        <w:rPr>
          <w:rFonts w:ascii="Times New Roman" w:eastAsia="Times New Roman" w:hAnsi="Times New Roman" w:cs="Times New Roman"/>
          <w:kern w:val="2"/>
        </w:rPr>
        <w:t>学习本专业的同时，可根据本人兴趣和特长跨学科门类学习辅修另一专业的学位课程，达到规定要求后</w:t>
      </w:r>
      <w:r>
        <w:rPr>
          <w:rFonts w:ascii="Times New Roman" w:eastAsia="Times New Roman" w:hAnsi="Times New Roman" w:cs="Times New Roman" w:hint="eastAsia"/>
          <w:kern w:val="2"/>
        </w:rPr>
        <w:t>，</w:t>
      </w:r>
      <w:r>
        <w:rPr>
          <w:rFonts w:ascii="Times New Roman" w:eastAsia="Times New Roman" w:hAnsi="Times New Roman" w:cs="Times New Roman"/>
        </w:rPr>
        <w:t>经学校核准、颁发</w:t>
      </w:r>
      <w:r>
        <w:rPr>
          <w:rFonts w:ascii="Times New Roman" w:eastAsia="Times New Roman" w:hAnsi="Times New Roman" w:cs="Times New Roman"/>
          <w:kern w:val="2"/>
        </w:rPr>
        <w:t>另一学科的辅修学士学位</w:t>
      </w:r>
      <w:r>
        <w:rPr>
          <w:rFonts w:ascii="Times New Roman" w:eastAsia="Times New Roman" w:hAnsi="Times New Roman" w:cs="Times New Roman" w:hint="eastAsia"/>
          <w:kern w:val="2"/>
        </w:rPr>
        <w:t>。</w:t>
      </w:r>
    </w:p>
    <w:p>
      <w:pPr>
        <w:bidi w:val="0"/>
        <w:spacing w:line="360" w:lineRule="auto"/>
        <w:ind w:firstLine="480" w:firstLineChars="200"/>
        <w:jc w:val="both"/>
        <w:rPr>
          <w:rFonts w:hint="eastAsia"/>
          <w:sz w:val="24"/>
          <w:lang w:val="zh-CN"/>
        </w:rPr>
      </w:pPr>
      <w:r>
        <w:rPr>
          <w:sz w:val="24"/>
          <w:lang w:val="zh-CN"/>
        </w:rPr>
        <w:t>教师教育专业实施</w:t>
      </w:r>
      <w:r>
        <w:rPr>
          <w:rFonts w:hint="eastAsia"/>
          <w:sz w:val="24"/>
          <w:lang w:val="zh-CN"/>
        </w:rPr>
        <w:t>“</w:t>
      </w:r>
      <w:r>
        <w:object>
          <v:shape id="对象 4" o:spid="_x0000_i1028" type="#_x0000_t75" style="width:55.56pt;height:13.02pt;mso-position-horizontal-relative:page;mso-position-vertical-relative:page;mso-wrap-style:square" o:ole="" o:preferrelative="t" filled="f" stroked="f">
            <v:stroke linestyle="single"/>
            <v:imagedata r:id="rId4" o:title=""/>
            <v:path o:extrusionok="f"/>
            <o:lock v:ext="edit" aspectratio="t"/>
          </v:shape>
          <o:OLEObject Type="Embed" ProgID="Equation.3" ShapeID="对象 4" DrawAspect="Content" ObjectID="_1234567893" r:id="rId17"/>
        </w:object>
      </w:r>
      <w:r>
        <w:rPr>
          <w:rFonts w:hint="eastAsia"/>
          <w:sz w:val="24"/>
          <w:lang w:val="zh-CN"/>
        </w:rPr>
        <w:t>”</w:t>
      </w:r>
      <w:r>
        <w:rPr>
          <w:sz w:val="24"/>
          <w:lang w:val="zh-CN"/>
        </w:rPr>
        <w:t>人才分类培养模式具体解读如下：</w:t>
      </w:r>
    </w:p>
    <w:p>
      <w:pPr>
        <w:bidi w:val="0"/>
        <w:spacing w:line="360" w:lineRule="auto"/>
        <w:ind w:firstLine="480" w:firstLineChars="200"/>
        <w:jc w:val="both"/>
        <w:rPr>
          <w:sz w:val="24"/>
        </w:rPr>
      </w:pPr>
      <w:r>
        <w:rPr>
          <w:rFonts w:ascii="宋体" w:eastAsia="宋体" w:hAnsi="宋体" w:cs="宋体" w:hint="eastAsia"/>
          <w:kern w:val="0"/>
          <w:sz w:val="24"/>
        </w:rPr>
        <w:t>人才培养类型分为三类：（</w:t>
      </w:r>
      <w:r>
        <w:rPr>
          <w:rFonts w:ascii="宋体" w:eastAsia="宋体" w:hAnsi="宋体" w:cs="宋体"/>
          <w:kern w:val="0"/>
          <w:sz w:val="24"/>
        </w:rPr>
        <w:t>1</w:t>
      </w:r>
      <w:r>
        <w:rPr>
          <w:rFonts w:ascii="宋体" w:eastAsia="宋体" w:hAnsi="宋体" w:cs="宋体" w:hint="eastAsia"/>
          <w:kern w:val="0"/>
          <w:sz w:val="24"/>
        </w:rPr>
        <w:t>）</w:t>
      </w:r>
      <w:r>
        <w:rPr>
          <w:rFonts w:hAnsi="宋体" w:hint="eastAsia"/>
          <w:sz w:val="24"/>
        </w:rPr>
        <w:t>具备扎实的专业基础，掌握教育科学的基本理论和方法及专业教学的基本技能，准确把握基础教育改革方向，并具有一定的教育教学管理及教学研究能力的师资型人才；</w:t>
      </w:r>
      <w:r>
        <w:rPr>
          <w:rFonts w:hint="eastAsia"/>
          <w:sz w:val="24"/>
        </w:rPr>
        <w:t>（</w:t>
      </w:r>
      <w:r>
        <w:rPr>
          <w:sz w:val="24"/>
        </w:rPr>
        <w:t>2</w:t>
      </w:r>
      <w:r>
        <w:rPr>
          <w:rFonts w:hint="eastAsia"/>
          <w:sz w:val="24"/>
        </w:rPr>
        <w:t>）培养</w:t>
      </w:r>
      <w:r>
        <w:rPr>
          <w:rFonts w:hAnsi="宋体" w:hint="eastAsia"/>
          <w:sz w:val="24"/>
        </w:rPr>
        <w:t>具备扎实的专业基础，掌握专业知识在社会发展及自然科学、社会科学中应用的基本方法，并能够利用专业知识解决问题的高素质应用型人才；（</w:t>
      </w:r>
      <w:r>
        <w:rPr>
          <w:sz w:val="24"/>
        </w:rPr>
        <w:t>3</w:t>
      </w:r>
      <w:r>
        <w:rPr>
          <w:rFonts w:hAnsi="宋体" w:hint="eastAsia"/>
          <w:sz w:val="24"/>
        </w:rPr>
        <w:t>）培养具备扎实的专业基础，掌握科学研究的基本方法，熟悉本学科的若干最新发展状况，为进一步深造奠定良好基础的研究生优质生源即研究型人才。包括二个阶段：</w:t>
      </w:r>
    </w:p>
    <w:p>
      <w:pPr>
        <w:bidi w:val="0"/>
        <w:spacing w:line="360" w:lineRule="auto"/>
        <w:ind w:firstLine="480" w:firstLineChars="200"/>
        <w:jc w:val="both"/>
        <w:rPr>
          <w:rFonts w:hAnsi="宋体"/>
          <w:sz w:val="24"/>
        </w:rPr>
        <w:sectPr>
          <w:headerReference w:type="default" r:id="rId18"/>
          <w:footerReference w:type="even" r:id="rId19"/>
          <w:footerReference w:type="default" r:id="rId20"/>
          <w:type w:val="nextPage"/>
          <w:pgSz w:w="11906" w:h="16838"/>
          <w:pgMar w:top="1440" w:right="1800" w:bottom="1440" w:left="1800" w:header="851" w:footer="992" w:gutter="0"/>
          <w:pgNumType w:fmt="decimal" w:start="4"/>
          <w:cols w:space="708"/>
          <w:titlePg w:val="0"/>
          <w:docGrid w:type="lines" w:linePitch="312"/>
        </w:sectPr>
      </w:pPr>
      <w:r>
        <w:rPr>
          <w:sz w:val="24"/>
          <w:lang w:val="zh-CN"/>
        </w:rPr>
        <w:t xml:space="preserve"> 第一阶</w:t>
      </w:r>
      <w:r>
        <w:rPr>
          <w:rFonts w:hAnsi="宋体"/>
          <w:sz w:val="24"/>
        </w:rPr>
        <w:t>段：前</w:t>
      </w:r>
      <w:r>
        <w:rPr>
          <w:rFonts w:hAnsi="宋体"/>
          <w:sz w:val="24"/>
        </w:rPr>
        <w:object>
          <v:shape id="对象 5" o:spid="_x0000_i1029" type="#_x0000_t75" style="width:35.02pt;height:13.01pt;mso-position-horizontal-relative:page;mso-position-vertical-relative:page;mso-wrap-style:square" o:ole="" o:preferrelative="t" filled="f" stroked="f">
            <v:stroke linestyle="single"/>
            <v:imagedata r:id="rId21" o:title=""/>
            <v:path o:extrusionok="f"/>
            <o:lock v:ext="edit" aspectratio="t"/>
          </v:shape>
          <o:OLEObject Type="Embed" ProgID="Equation.3" ShapeID="对象 5" DrawAspect="Content" ObjectID="_1234567894" r:id="rId22"/>
        </w:object>
      </w:r>
      <w:r>
        <w:rPr>
          <w:rFonts w:hAnsi="宋体"/>
          <w:sz w:val="24"/>
        </w:rPr>
        <w:t>年是基础理论学习的主要阶段，它由通识教育课、专业</w:t>
      </w:r>
      <w:r>
        <w:rPr>
          <w:rFonts w:hAnsi="宋体" w:hint="eastAsia"/>
          <w:sz w:val="24"/>
        </w:rPr>
        <w:t>基础</w:t>
      </w:r>
      <w:r>
        <w:rPr>
          <w:rFonts w:hAnsi="宋体"/>
          <w:sz w:val="24"/>
        </w:rPr>
        <w:t>课及</w:t>
      </w:r>
      <w:r>
        <w:rPr>
          <w:rFonts w:hAnsi="宋体" w:hint="eastAsia"/>
          <w:sz w:val="24"/>
        </w:rPr>
        <w:t>教师教育部分课</w:t>
      </w:r>
      <w:r>
        <w:rPr>
          <w:rFonts w:hAnsi="宋体"/>
          <w:sz w:val="24"/>
        </w:rPr>
        <w:t>组成。</w:t>
      </w:r>
      <w:r>
        <w:rPr>
          <w:rFonts w:hAnsi="宋体" w:hint="eastAsia"/>
          <w:sz w:val="24"/>
        </w:rPr>
        <w:t>[</w:t>
      </w:r>
      <w:r>
        <w:rPr>
          <w:rFonts w:hAnsi="宋体" w:hint="eastAsia"/>
          <w:sz w:val="24"/>
        </w:rPr>
        <w:t>“</w:t>
      </w:r>
      <w:r>
        <w:rPr>
          <w:rFonts w:hAnsi="宋体"/>
          <w:sz w:val="24"/>
        </w:rPr>
        <w:object>
          <v:shape id="对象 6" o:spid="_x0000_i1030" type="#_x0000_t75" style="width:55.56pt;height:13.02pt;mso-position-horizontal-relative:page;mso-position-vertical-relative:page;mso-wrap-style:square" o:ole="" o:preferrelative="t" filled="f" stroked="f">
            <v:stroke linestyle="single"/>
            <v:imagedata r:id="rId4" o:title=""/>
            <v:path o:extrusionok="f"/>
            <o:lock v:ext="edit" aspectratio="t"/>
          </v:shape>
          <o:OLEObject Type="Embed" ProgID="Equation.3" ShapeID="对象 6" DrawAspect="Content" ObjectID="_1234567895" r:id="rId23"/>
        </w:object>
      </w:r>
      <w:r>
        <w:rPr>
          <w:rFonts w:hAnsi="宋体" w:hint="eastAsia"/>
          <w:sz w:val="24"/>
        </w:rPr>
        <w:t>”</w:t>
      </w:r>
      <w:r>
        <w:rPr>
          <w:rFonts w:hAnsi="宋体"/>
          <w:sz w:val="24"/>
        </w:rPr>
        <w:t>培养模式中的</w:t>
      </w:r>
      <w:r>
        <w:rPr>
          <w:rFonts w:hAnsi="宋体"/>
          <w:sz w:val="24"/>
        </w:rPr>
        <w:object>
          <v:shape id="对象 7" o:spid="_x0000_i1031" type="#_x0000_t75" style="width:12.01pt;height:13.01pt;mso-position-horizontal-relative:page;mso-position-vertical-relative:page;mso-wrap-style:square" o:ole="" o:preferrelative="t" filled="f" stroked="f">
            <v:stroke linestyle="single"/>
            <v:imagedata r:id="rId24" o:title=""/>
            <v:path o:extrusionok="f"/>
            <o:lock v:ext="edit" aspectratio="t"/>
          </v:shape>
          <o:OLEObject Type="Embed" ProgID="Equation.3" ShapeID="对象 7" DrawAspect="Content" ObjectID="_1234567896" r:id="rId25"/>
        </w:object>
      </w:r>
    </w:p>
    <w:p>
      <w:pPr>
        <w:bidi w:val="0"/>
        <w:spacing w:line="360" w:lineRule="auto"/>
        <w:ind w:firstLine="480" w:firstLineChars="200"/>
        <w:jc w:val="both"/>
        <w:rPr>
          <w:rFonts w:hAnsi="宋体"/>
          <w:sz w:val="24"/>
        </w:rPr>
      </w:pPr>
      <w:r>
        <w:rPr>
          <w:rFonts w:hAnsi="宋体"/>
          <w:sz w:val="24"/>
        </w:rPr>
        <w:t>是由不同专业的特点确定的。一般而言，它介于1到2之间</w:t>
      </w:r>
      <w:r>
        <w:rPr>
          <w:rFonts w:hAnsi="宋体" w:hint="eastAsia"/>
          <w:sz w:val="24"/>
        </w:rPr>
        <w:t>]</w:t>
      </w:r>
      <w:r>
        <w:rPr>
          <w:rFonts w:hAnsi="宋体"/>
          <w:sz w:val="24"/>
        </w:rPr>
        <w:t>。这一阶段基本实现专业教育与教师教育的融合。在专业教育中，既要使学生具有扎实的专业基础，又要使学生初步具有从事教师职业的能力。</w:t>
      </w:r>
    </w:p>
    <w:p>
      <w:pPr>
        <w:bidi w:val="0"/>
        <w:spacing w:line="360" w:lineRule="auto"/>
        <w:ind w:firstLine="480" w:firstLineChars="200"/>
        <w:jc w:val="both"/>
        <w:rPr>
          <w:sz w:val="24"/>
          <w:lang w:val="zh-CN"/>
        </w:rPr>
      </w:pPr>
      <w:r>
        <w:rPr>
          <w:sz w:val="24"/>
          <w:lang w:val="zh-CN"/>
        </w:rPr>
        <w:t>第二阶段：分类培养主要阶段，根据教师教育专业特点和培养目标的要求，设计</w:t>
      </w:r>
      <w:r>
        <w:rPr>
          <w:rFonts w:hint="eastAsia"/>
          <w:sz w:val="24"/>
          <w:lang w:val="zh-CN"/>
        </w:rPr>
        <w:t>专业方向模块课，</w:t>
      </w:r>
      <w:r>
        <w:rPr>
          <w:sz w:val="24"/>
          <w:lang w:val="zh-CN"/>
        </w:rPr>
        <w:t>多样性的教学内容，实施多样化的教学方法，建立多</w:t>
      </w:r>
      <w:r>
        <w:rPr>
          <w:rFonts w:hint="eastAsia"/>
          <w:sz w:val="24"/>
          <w:lang w:val="zh-CN"/>
        </w:rPr>
        <w:t>元化</w:t>
      </w:r>
      <w:r>
        <w:rPr>
          <w:sz w:val="24"/>
          <w:lang w:val="zh-CN"/>
        </w:rPr>
        <w:t>的教学质量及学习效果评价</w:t>
      </w:r>
      <w:r>
        <w:rPr>
          <w:rFonts w:hint="eastAsia"/>
          <w:sz w:val="24"/>
          <w:lang w:val="zh-CN"/>
        </w:rPr>
        <w:t>体系</w:t>
      </w:r>
      <w:r>
        <w:rPr>
          <w:sz w:val="24"/>
          <w:lang w:val="zh-CN"/>
        </w:rPr>
        <w:t>。使毕业生成为基础扎实、知识面宽、实践能力强、具有较强就业竞争力的高素质人才。</w:t>
      </w:r>
    </w:p>
    <w:p>
      <w:pPr>
        <w:bidi w:val="0"/>
        <w:spacing w:line="360" w:lineRule="auto"/>
        <w:ind w:firstLine="480" w:firstLineChars="200"/>
        <w:jc w:val="both"/>
      </w:pPr>
      <w:r>
        <w:rPr>
          <w:sz w:val="24"/>
        </w:rPr>
        <w:t>非教师教育专业参照教师教育类</w:t>
      </w:r>
      <w:r>
        <w:rPr>
          <w:rFonts w:hint="eastAsia"/>
          <w:sz w:val="24"/>
          <w:lang w:val="zh-CN"/>
        </w:rPr>
        <w:t>“</w:t>
      </w:r>
      <w:r>
        <w:object>
          <v:shape id="对象 8" o:spid="_x0000_i1032" type="#_x0000_t75" style="width:55.56pt;height:13.02pt;mso-position-horizontal-relative:page;mso-position-vertical-relative:page;mso-wrap-style:square" o:ole="" o:preferrelative="t" filled="f" stroked="f">
            <v:stroke linestyle="single"/>
            <v:imagedata r:id="rId4" o:title=""/>
            <v:path o:extrusionok="f"/>
            <o:lock v:ext="edit" aspectratio="t"/>
          </v:shape>
          <o:OLEObject Type="Embed" ProgID="Equation.3" ShapeID="对象 8" DrawAspect="Content" ObjectID="_1234567897" r:id="rId26"/>
        </w:object>
      </w:r>
      <w:r>
        <w:rPr>
          <w:rFonts w:hint="eastAsia"/>
          <w:sz w:val="24"/>
          <w:lang w:val="zh-CN"/>
        </w:rPr>
        <w:t>”</w:t>
      </w:r>
      <w:r>
        <w:rPr>
          <w:sz w:val="24"/>
          <w:lang w:val="zh-CN"/>
        </w:rPr>
        <w:t>分类培养模式，根据本专业特点，建立相应的人才分类培养模式。</w:t>
      </w:r>
    </w:p>
    <w:p>
      <w:pPr>
        <w:bidi w:val="0"/>
        <w:spacing w:line="360" w:lineRule="auto"/>
        <w:ind w:firstLine="480" w:firstLineChars="200"/>
        <w:jc w:val="both"/>
        <w:rPr>
          <w:rFonts w:ascii="宋体" w:hAnsi="宋体" w:cs="楷体_GB2312"/>
          <w:b/>
          <w:sz w:val="24"/>
          <w:lang w:val="zh-CN"/>
        </w:rPr>
      </w:pPr>
      <w:r>
        <w:rPr>
          <w:rFonts w:ascii="宋体" w:eastAsia="宋体" w:hAnsi="宋体" w:cs="楷体_GB2312" w:hint="eastAsia"/>
          <w:b/>
          <w:sz w:val="24"/>
          <w:lang w:val="zh-CN"/>
        </w:rPr>
        <w:t>六、课程体系</w:t>
      </w:r>
    </w:p>
    <w:p>
      <w:pPr>
        <w:bidi w:val="0"/>
        <w:spacing w:line="360" w:lineRule="auto"/>
        <w:ind w:firstLine="480" w:firstLineChars="200"/>
        <w:jc w:val="both"/>
        <w:rPr>
          <w:rFonts w:ascii="宋体" w:hAnsi="宋体" w:cs="宋体" w:hint="eastAsia"/>
          <w:color w:val="000000"/>
          <w:kern w:val="0"/>
          <w:sz w:val="24"/>
        </w:rPr>
      </w:pPr>
      <w:r>
        <w:rPr>
          <w:rFonts w:ascii="宋体" w:eastAsia="宋体" w:hAnsi="宋体" w:cs="宋体" w:hint="eastAsia"/>
          <w:color w:val="000000"/>
          <w:kern w:val="0"/>
          <w:sz w:val="24"/>
        </w:rPr>
        <w:t>根据教</w:t>
      </w:r>
      <w:r>
        <w:rPr>
          <w:color w:val="000000"/>
          <w:kern w:val="0"/>
          <w:sz w:val="24"/>
        </w:rPr>
        <w:t>育部1、2号文件精神</w:t>
      </w:r>
      <w:r>
        <w:rPr>
          <w:rFonts w:ascii="宋体" w:eastAsia="宋体" w:hAnsi="宋体" w:cs="宋体" w:hint="eastAsia"/>
          <w:color w:val="000000"/>
          <w:kern w:val="0"/>
          <w:sz w:val="24"/>
        </w:rPr>
        <w:t>，</w:t>
      </w:r>
      <w:r>
        <w:rPr>
          <w:rFonts w:ascii="宋体" w:eastAsia="宋体" w:hAnsi="宋体" w:hint="eastAsia"/>
          <w:color w:val="000000"/>
          <w:sz w:val="24"/>
        </w:rPr>
        <w:t>适当</w:t>
      </w:r>
      <w:r>
        <w:rPr>
          <w:rFonts w:ascii="宋体" w:eastAsia="宋体" w:hAnsi="宋体" w:cs="宋体" w:hint="eastAsia"/>
          <w:color w:val="000000"/>
          <w:kern w:val="0"/>
          <w:sz w:val="24"/>
        </w:rPr>
        <w:t>压缩</w:t>
      </w:r>
      <w:r>
        <w:rPr>
          <w:rFonts w:ascii="宋体" w:eastAsia="宋体" w:hAnsi="宋体" w:hint="eastAsia"/>
          <w:color w:val="000000"/>
          <w:sz w:val="24"/>
        </w:rPr>
        <w:t>必修课，</w:t>
      </w:r>
      <w:r>
        <w:rPr>
          <w:rFonts w:ascii="宋体" w:eastAsia="宋体" w:hAnsi="宋体" w:cs="宋体" w:hint="eastAsia"/>
          <w:color w:val="000000"/>
          <w:kern w:val="0"/>
          <w:sz w:val="24"/>
        </w:rPr>
        <w:t>增加</w:t>
      </w:r>
      <w:r>
        <w:rPr>
          <w:rFonts w:ascii="宋体" w:eastAsia="宋体" w:hAnsi="宋体" w:hint="eastAsia"/>
          <w:color w:val="000000"/>
          <w:sz w:val="24"/>
        </w:rPr>
        <w:t>选修课，强化实践性教学环节</w:t>
      </w:r>
      <w:r>
        <w:rPr>
          <w:rFonts w:ascii="宋体" w:eastAsia="宋体" w:hAnsi="宋体" w:cs="宋体" w:hint="eastAsia"/>
          <w:color w:val="000000"/>
          <w:kern w:val="0"/>
          <w:sz w:val="24"/>
        </w:rPr>
        <w:t>，构建</w:t>
      </w:r>
      <w:r>
        <w:rPr>
          <w:rFonts w:ascii="宋体" w:eastAsia="宋体" w:hAnsi="宋体" w:cs="宋体" w:hint="eastAsia"/>
          <w:color w:val="000000"/>
          <w:kern w:val="0"/>
          <w:sz w:val="24"/>
        </w:rPr>
        <w:t>“</w:t>
      </w:r>
      <w:r>
        <w:rPr>
          <w:rFonts w:ascii="宋体" w:eastAsia="宋体" w:hAnsi="宋体" w:cs="宋体" w:hint="eastAsia"/>
          <w:color w:val="000000"/>
          <w:kern w:val="0"/>
          <w:sz w:val="24"/>
        </w:rPr>
        <w:t>平台</w:t>
      </w:r>
      <w:r>
        <w:rPr>
          <w:rFonts w:ascii="宋体" w:eastAsia="宋体" w:hAnsi="宋体" w:cs="宋体"/>
          <w:color w:val="000000"/>
          <w:kern w:val="0"/>
          <w:sz w:val="24"/>
        </w:rPr>
        <w:t>+</w:t>
      </w:r>
      <w:r>
        <w:rPr>
          <w:rFonts w:ascii="宋体" w:eastAsia="宋体" w:hAnsi="宋体" w:cs="宋体" w:hint="eastAsia"/>
          <w:color w:val="000000"/>
          <w:kern w:val="0"/>
          <w:sz w:val="24"/>
        </w:rPr>
        <w:t>模块</w:t>
      </w:r>
      <w:r>
        <w:rPr>
          <w:rFonts w:ascii="宋体" w:eastAsia="宋体" w:hAnsi="宋体" w:cs="宋体"/>
          <w:color w:val="000000"/>
          <w:kern w:val="0"/>
          <w:sz w:val="24"/>
        </w:rPr>
        <w:t>+</w:t>
      </w:r>
      <w:r>
        <w:rPr>
          <w:rFonts w:ascii="宋体" w:eastAsia="宋体" w:hAnsi="宋体" w:cs="宋体" w:hint="eastAsia"/>
          <w:color w:val="000000"/>
          <w:kern w:val="0"/>
          <w:sz w:val="24"/>
        </w:rPr>
        <w:t>课程群</w:t>
      </w:r>
      <w:r>
        <w:rPr>
          <w:rFonts w:ascii="宋体" w:eastAsia="宋体" w:hAnsi="宋体" w:cs="宋体" w:hint="eastAsia"/>
          <w:color w:val="000000"/>
          <w:kern w:val="0"/>
          <w:sz w:val="24"/>
        </w:rPr>
        <w:t>”</w:t>
      </w:r>
      <w:r>
        <w:rPr>
          <w:rFonts w:ascii="宋体" w:eastAsia="宋体" w:hAnsi="宋体" w:cs="宋体" w:hint="eastAsia"/>
          <w:color w:val="000000"/>
          <w:kern w:val="0"/>
          <w:sz w:val="24"/>
        </w:rPr>
        <w:t>的课程体系。</w:t>
      </w:r>
    </w:p>
    <w:p>
      <w:pPr>
        <w:bidi w:val="0"/>
        <w:spacing w:line="360" w:lineRule="auto"/>
        <w:ind w:firstLine="480" w:firstLineChars="200"/>
        <w:jc w:val="both"/>
        <w:rPr>
          <w:rFonts w:ascii="宋体" w:hAnsi="宋体" w:cs="仿宋_GB2312" w:hint="eastAsia"/>
          <w:color w:val="000000"/>
          <w:sz w:val="24"/>
          <w:lang w:val="zh-CN"/>
        </w:rPr>
      </w:pPr>
      <w:r>
        <w:rPr>
          <w:rFonts w:ascii="宋体" w:eastAsia="宋体" w:hAnsi="宋体" w:cs="宋体" w:hint="eastAsia"/>
          <w:color w:val="000000"/>
          <w:kern w:val="0"/>
          <w:sz w:val="24"/>
        </w:rPr>
        <w:t>平台包括通识教育平台、专业教育平台（</w:t>
      </w:r>
      <w:r>
        <w:rPr>
          <w:rFonts w:ascii="宋体" w:eastAsia="宋体" w:hAnsi="宋体" w:hint="eastAsia"/>
          <w:color w:val="000000"/>
          <w:sz w:val="24"/>
        </w:rPr>
        <w:t>专业</w:t>
      </w:r>
      <w:r>
        <w:rPr>
          <w:rFonts w:ascii="宋体" w:eastAsia="宋体" w:hAnsi="宋体"/>
          <w:color w:val="000000"/>
          <w:sz w:val="24"/>
        </w:rPr>
        <w:t>基础课、专业主干课、专业方向</w:t>
      </w:r>
      <w:r>
        <w:rPr>
          <w:rFonts w:ascii="宋体" w:eastAsia="宋体" w:hAnsi="宋体" w:hint="eastAsia"/>
          <w:color w:val="000000"/>
          <w:sz w:val="24"/>
        </w:rPr>
        <w:t>模块</w:t>
      </w:r>
      <w:r>
        <w:rPr>
          <w:rFonts w:ascii="宋体" w:eastAsia="宋体" w:hAnsi="宋体"/>
          <w:color w:val="000000"/>
          <w:sz w:val="24"/>
        </w:rPr>
        <w:t>课</w:t>
      </w:r>
      <w:r>
        <w:rPr>
          <w:rFonts w:ascii="宋体" w:eastAsia="宋体" w:hAnsi="宋体" w:cs="宋体" w:hint="eastAsia"/>
          <w:color w:val="000000"/>
          <w:kern w:val="0"/>
          <w:sz w:val="24"/>
        </w:rPr>
        <w:t>）、职业技能教育平台（教师教育平台或专业技能平台）和公共实践教学平台等四个平台。</w:t>
      </w:r>
      <w:r>
        <w:rPr>
          <w:rFonts w:hint="eastAsia"/>
          <w:color w:val="000000"/>
          <w:sz w:val="24"/>
        </w:rPr>
        <w:t>每个教育平台学时、学分可上下浮动不超过5%。</w:t>
      </w:r>
    </w:p>
    <w:p>
      <w:pPr>
        <w:bidi w:val="0"/>
        <w:spacing w:line="360" w:lineRule="auto"/>
        <w:ind w:firstLine="480" w:firstLineChars="200"/>
        <w:jc w:val="both"/>
        <w:rPr>
          <w:rFonts w:ascii="宋体" w:hAnsi="宋体" w:cs="宋体" w:hint="eastAsia"/>
          <w:color w:val="000000"/>
          <w:kern w:val="0"/>
          <w:sz w:val="24"/>
        </w:rPr>
      </w:pPr>
      <w:r>
        <w:rPr>
          <w:rFonts w:ascii="宋体" w:eastAsia="宋体" w:hAnsi="宋体" w:cs="宋体" w:hint="eastAsia"/>
          <w:color w:val="000000"/>
          <w:kern w:val="0"/>
          <w:sz w:val="24"/>
        </w:rPr>
        <w:t>模块</w:t>
      </w:r>
      <w:r>
        <w:rPr>
          <w:rFonts w:ascii="宋体" w:eastAsia="宋体" w:hAnsi="宋体" w:cs="仿宋_GB2312" w:hint="eastAsia"/>
          <w:color w:val="000000"/>
          <w:sz w:val="24"/>
          <w:lang w:val="zh-CN"/>
        </w:rPr>
        <w:t>根据不同学生的个性要求和专业发展方向趋势而设置专业方向模块课，体现专业教育和个性教育人才培养的专业特征和个性要求的结合。</w:t>
      </w:r>
      <w:r>
        <w:rPr>
          <w:rFonts w:ascii="宋体" w:eastAsia="宋体" w:hAnsi="宋体" w:cs="宋体" w:hint="eastAsia"/>
          <w:color w:val="000000"/>
          <w:kern w:val="0"/>
          <w:sz w:val="24"/>
        </w:rPr>
        <w:t>由体现专业方向特色的课程组成，根据专业发展趋势、社会需要和学生个性需求而灵活设置的。</w:t>
      </w:r>
    </w:p>
    <w:p>
      <w:pPr>
        <w:bidi w:val="0"/>
        <w:spacing w:line="360" w:lineRule="auto"/>
        <w:ind w:firstLine="480" w:firstLineChars="200"/>
        <w:jc w:val="both"/>
        <w:rPr>
          <w:rFonts w:ascii="宋体" w:hAnsi="宋体" w:cs="宋体" w:hint="eastAsia"/>
          <w:color w:val="000000"/>
          <w:kern w:val="0"/>
          <w:sz w:val="24"/>
        </w:rPr>
      </w:pPr>
      <w:r>
        <w:rPr>
          <w:rFonts w:ascii="宋体" w:eastAsia="宋体" w:hAnsi="宋体" w:cs="宋体" w:hint="eastAsia"/>
          <w:color w:val="000000"/>
          <w:kern w:val="0"/>
          <w:sz w:val="24"/>
        </w:rPr>
        <w:t>课程群是根据学生的个性发展要求和综合素质教育需要而设置的任选课程， 体现个性化教育，反映人才培养的知识综合性、学科交融性和个性要求的结合。不同学科的学生按照课程群选修相应的学分数。各专业根据专业方向和分类培养的类型可设置不同课程群，每个课程群学分大体相当，让学生自主选择，体现专业基本素养和能力的培养。课程群主要有专业任选课（含学科前沿课）、跨学科选修课等组成，主要是扩大学生的知识视野，体现创新性。</w:t>
      </w:r>
    </w:p>
    <w:p>
      <w:pPr>
        <w:widowControl/>
        <w:bidi w:val="0"/>
        <w:spacing w:line="360" w:lineRule="auto"/>
        <w:ind w:firstLine="480" w:firstLineChars="200"/>
        <w:jc w:val="both"/>
        <w:rPr>
          <w:rFonts w:ascii="宋体" w:hAnsi="宋体" w:cs="宋体" w:hint="eastAsia"/>
          <w:kern w:val="0"/>
          <w:sz w:val="24"/>
        </w:rPr>
        <w:sectPr>
          <w:headerReference w:type="default" r:id="rId27"/>
          <w:footerReference w:type="even" r:id="rId28"/>
          <w:footerReference w:type="default" r:id="rId29"/>
          <w:type w:val="nextPage"/>
          <w:pgSz w:w="11906" w:h="16838"/>
          <w:pgMar w:top="1440" w:right="1800" w:bottom="1440" w:left="1800" w:header="851" w:footer="992" w:gutter="0"/>
          <w:pgNumType w:fmt="decimal" w:start="5"/>
          <w:cols w:space="708"/>
          <w:titlePg w:val="0"/>
          <w:docGrid w:type="lines" w:linePitch="312"/>
        </w:sectPr>
      </w:pPr>
      <w:r>
        <w:rPr>
          <w:rFonts w:ascii="宋体" w:eastAsia="宋体" w:hAnsi="宋体" w:cs="宋体"/>
          <w:kern w:val="0"/>
          <w:sz w:val="24"/>
        </w:rPr>
        <w:t>课程</w:t>
      </w:r>
      <w:r>
        <w:rPr>
          <w:rFonts w:ascii="宋体" w:eastAsia="宋体" w:hAnsi="宋体" w:cs="宋体" w:hint="eastAsia"/>
          <w:kern w:val="0"/>
          <w:sz w:val="24"/>
        </w:rPr>
        <w:t>设置</w:t>
      </w:r>
      <w:r>
        <w:rPr>
          <w:rFonts w:ascii="宋体" w:eastAsia="宋体" w:hAnsi="宋体" w:cs="宋体"/>
          <w:kern w:val="0"/>
          <w:sz w:val="24"/>
        </w:rPr>
        <w:t>应注重拓展教学内容的深度和广度，注意避免知识点的重复和缺失</w:t>
      </w:r>
      <w:r>
        <w:rPr>
          <w:rFonts w:ascii="宋体" w:eastAsia="宋体" w:hAnsi="宋体" w:cs="宋体" w:hint="eastAsia"/>
          <w:kern w:val="0"/>
          <w:sz w:val="24"/>
        </w:rPr>
        <w:t>，</w:t>
      </w:r>
      <w:r>
        <w:rPr>
          <w:rFonts w:ascii="宋体" w:eastAsia="宋体" w:hAnsi="宋体" w:cs="宋体"/>
          <w:kern w:val="0"/>
          <w:sz w:val="24"/>
        </w:rPr>
        <w:t>兼顾教育部各专业教学指导委员会制定的</w:t>
      </w:r>
      <w:r>
        <w:rPr>
          <w:rFonts w:ascii="宋体" w:eastAsia="宋体" w:hAnsi="宋体" w:cs="宋体" w:hint="eastAsia"/>
          <w:kern w:val="0"/>
          <w:sz w:val="24"/>
        </w:rPr>
        <w:t>“</w:t>
      </w:r>
      <w:r>
        <w:rPr>
          <w:rFonts w:ascii="宋体" w:eastAsia="宋体" w:hAnsi="宋体" w:cs="宋体"/>
          <w:kern w:val="0"/>
          <w:sz w:val="24"/>
        </w:rPr>
        <w:t>指导性专业规范</w:t>
      </w:r>
      <w:r>
        <w:rPr>
          <w:rFonts w:ascii="宋体" w:eastAsia="宋体" w:hAnsi="宋体" w:cs="宋体" w:hint="eastAsia"/>
          <w:kern w:val="0"/>
          <w:sz w:val="24"/>
        </w:rPr>
        <w:t>”</w:t>
      </w:r>
      <w:r>
        <w:rPr>
          <w:rFonts w:ascii="宋体" w:eastAsia="宋体" w:hAnsi="宋体" w:cs="宋体"/>
          <w:kern w:val="0"/>
          <w:sz w:val="24"/>
        </w:rPr>
        <w:t>要求，相关工科专业兼顾教育部工程教育专业认证组织制定的</w:t>
      </w:r>
      <w:r>
        <w:rPr>
          <w:rFonts w:ascii="宋体" w:eastAsia="宋体" w:hAnsi="宋体" w:cs="宋体" w:hint="eastAsia"/>
          <w:kern w:val="0"/>
          <w:sz w:val="24"/>
        </w:rPr>
        <w:t>“</w:t>
      </w:r>
      <w:r>
        <w:rPr>
          <w:rFonts w:ascii="宋体" w:eastAsia="宋体" w:hAnsi="宋体" w:cs="宋体"/>
          <w:kern w:val="0"/>
          <w:sz w:val="24"/>
        </w:rPr>
        <w:t>专业补充标准</w:t>
      </w:r>
      <w:r>
        <w:rPr>
          <w:rFonts w:ascii="宋体" w:eastAsia="宋体" w:hAnsi="宋体" w:cs="宋体" w:hint="eastAsia"/>
          <w:kern w:val="0"/>
          <w:sz w:val="24"/>
        </w:rPr>
        <w:t>”</w:t>
      </w:r>
      <w:r>
        <w:rPr>
          <w:rFonts w:ascii="宋体" w:eastAsia="宋体" w:hAnsi="宋体" w:cs="宋体"/>
          <w:kern w:val="0"/>
          <w:sz w:val="24"/>
        </w:rPr>
        <w:t>要求，术科类专业应参照教育部印发的全国普通高等学校有关术科类本科</w:t>
      </w:r>
      <w:r>
        <w:rPr>
          <w:kern w:val="0"/>
          <w:sz w:val="24"/>
        </w:rPr>
        <w:t>专业课程指导方案和教学指导纲要执行，其他专业兼顾相应执业资格要求；面向2012-2020年产</w:t>
      </w:r>
    </w:p>
    <w:p>
      <w:pPr>
        <w:widowControl/>
        <w:bidi w:val="0"/>
        <w:spacing w:line="360" w:lineRule="auto"/>
        <w:ind w:firstLine="480" w:firstLineChars="200"/>
        <w:jc w:val="both"/>
        <w:rPr>
          <w:rFonts w:ascii="宋体" w:hAnsi="宋体" w:cs="宋体" w:hint="eastAsia"/>
          <w:kern w:val="0"/>
          <w:sz w:val="24"/>
        </w:rPr>
      </w:pPr>
      <w:r>
        <w:rPr>
          <w:rFonts w:ascii="宋体" w:eastAsia="宋体" w:hAnsi="宋体" w:cs="宋体"/>
          <w:kern w:val="0"/>
          <w:sz w:val="24"/>
        </w:rPr>
        <w:t>业与社会发展需求，</w:t>
      </w:r>
      <w:r>
        <w:rPr>
          <w:rFonts w:ascii="宋体" w:eastAsia="宋体" w:hAnsi="宋体" w:cs="宋体" w:hint="eastAsia"/>
          <w:kern w:val="0"/>
          <w:sz w:val="24"/>
        </w:rPr>
        <w:t>合理、有序安排课程；避免课程之间的逻辑顺序颠倒、理论课与相对应的实践实验课相脱节；合理安排课程门数、课时总量、周学时及各类课程的课时比例，</w:t>
      </w:r>
      <w:r>
        <w:rPr>
          <w:rFonts w:ascii="宋体" w:eastAsia="宋体" w:hAnsi="宋体" w:cs="宋体"/>
          <w:kern w:val="0"/>
          <w:sz w:val="24"/>
        </w:rPr>
        <w:t>使课程体系符合培养目标，培养目标符合社会需求。</w:t>
      </w:r>
    </w:p>
    <w:p>
      <w:pPr>
        <w:bidi w:val="0"/>
        <w:spacing w:line="360" w:lineRule="auto"/>
        <w:ind w:firstLine="480" w:firstLineChars="200"/>
        <w:jc w:val="both"/>
        <w:rPr>
          <w:rFonts w:hint="eastAsia"/>
          <w:sz w:val="24"/>
        </w:rPr>
      </w:pPr>
      <w:r>
        <w:rPr>
          <w:rFonts w:ascii="宋体" w:eastAsia="宋体" w:hAnsi="宋体" w:cs="宋体" w:hint="eastAsia"/>
          <w:kern w:val="0"/>
          <w:sz w:val="24"/>
        </w:rPr>
        <w:t>一些新兴专业课程应及时开设，</w:t>
      </w:r>
      <w:r>
        <w:rPr>
          <w:rFonts w:hint="eastAsia"/>
          <w:sz w:val="24"/>
        </w:rPr>
        <w:t>对暂时没有能力开设、且对专业人才培养至关重要的课程，应组织教师到相关单位进修学习，以尽快开设；停止开设已经老化且对人才培养目标的实现无足轻重的课程。杜绝因人设课。</w:t>
      </w:r>
      <w:r>
        <w:rPr>
          <w:sz w:val="24"/>
        </w:rPr>
        <w:t xml:space="preserve"> </w:t>
      </w:r>
    </w:p>
    <w:p>
      <w:pPr>
        <w:bidi w:val="0"/>
        <w:spacing w:line="360" w:lineRule="auto"/>
        <w:ind w:firstLine="480" w:firstLineChars="200"/>
        <w:jc w:val="both"/>
        <w:rPr>
          <w:rFonts w:ascii="宋体" w:hAnsi="宋体" w:cs="宋体" w:hint="eastAsia"/>
          <w:color w:val="000000"/>
          <w:kern w:val="0"/>
          <w:sz w:val="24"/>
        </w:rPr>
      </w:pPr>
      <w:r>
        <w:rPr>
          <w:rFonts w:ascii="宋体" w:eastAsia="宋体" w:hAnsi="宋体" w:cs="宋体"/>
          <w:color w:val="000000"/>
          <w:kern w:val="0"/>
          <w:sz w:val="24"/>
        </w:rPr>
        <w:t>原则上各专业按照学校规定的本科毕业</w:t>
      </w:r>
      <w:r>
        <w:rPr>
          <w:rFonts w:ascii="宋体" w:eastAsia="宋体" w:hAnsi="宋体" w:cs="宋体" w:hint="eastAsia"/>
          <w:color w:val="000000"/>
          <w:kern w:val="0"/>
          <w:sz w:val="24"/>
        </w:rPr>
        <w:t>课内</w:t>
      </w:r>
      <w:r>
        <w:rPr>
          <w:rFonts w:ascii="宋体" w:eastAsia="宋体" w:hAnsi="宋体" w:cs="宋体"/>
          <w:color w:val="000000"/>
          <w:kern w:val="0"/>
          <w:sz w:val="24"/>
        </w:rPr>
        <w:t>学分设置的必修课与选修课的学分（学时）比例</w:t>
      </w:r>
      <w:r>
        <w:rPr>
          <w:color w:val="000000"/>
          <w:kern w:val="0"/>
          <w:sz w:val="24"/>
        </w:rPr>
        <w:t>为7：3。</w:t>
      </w:r>
    </w:p>
    <w:p>
      <w:pPr>
        <w:bidi w:val="0"/>
        <w:spacing w:line="360" w:lineRule="auto"/>
        <w:ind w:firstLine="480" w:firstLineChars="200"/>
        <w:jc w:val="both"/>
        <w:rPr>
          <w:rFonts w:ascii="宋体" w:hAnsi="宋体" w:cs="宋体"/>
          <w:b/>
          <w:kern w:val="0"/>
          <w:sz w:val="24"/>
        </w:rPr>
      </w:pPr>
      <w:r>
        <w:rPr>
          <w:rFonts w:ascii="宋体" w:eastAsia="宋体" w:hAnsi="宋体" w:cs="宋体" w:hint="eastAsia"/>
          <w:b/>
          <w:kern w:val="0"/>
          <w:sz w:val="24"/>
        </w:rPr>
        <w:t>（注：教育科学系的小学教育专业和学前教育专业应按照《教育部关于大力推进教师教育课程改革的意见》（</w:t>
      </w:r>
      <w:r>
        <w:rPr>
          <w:b/>
          <w:kern w:val="0"/>
          <w:sz w:val="24"/>
        </w:rPr>
        <w:t>〔2011〕6号）要求设置课程体系。）</w:t>
      </w:r>
    </w:p>
    <w:p>
      <w:pPr>
        <w:bidi w:val="0"/>
        <w:spacing w:line="360" w:lineRule="auto"/>
        <w:ind w:firstLine="480" w:firstLineChars="200"/>
        <w:jc w:val="both"/>
        <w:rPr>
          <w:sz w:val="24"/>
        </w:rPr>
      </w:pPr>
      <w:r>
        <w:rPr>
          <w:sz w:val="24"/>
        </w:rPr>
        <w:t>（一）通识教育平台（总学分</w:t>
      </w:r>
      <w:r>
        <w:rPr>
          <w:rFonts w:hint="eastAsia"/>
          <w:sz w:val="24"/>
        </w:rPr>
        <w:t>49</w:t>
      </w:r>
      <w:r>
        <w:rPr>
          <w:sz w:val="24"/>
        </w:rPr>
        <w:t>，其中必修课4</w:t>
      </w:r>
      <w:r>
        <w:rPr>
          <w:rFonts w:hint="eastAsia"/>
          <w:sz w:val="24"/>
        </w:rPr>
        <w:t>3</w:t>
      </w:r>
      <w:r>
        <w:rPr>
          <w:sz w:val="24"/>
        </w:rPr>
        <w:t>学分，选修课 6学分）</w:t>
      </w:r>
    </w:p>
    <w:p>
      <w:pPr>
        <w:bidi w:val="0"/>
        <w:spacing w:line="360" w:lineRule="auto"/>
        <w:ind w:firstLine="480" w:firstLineChars="200"/>
        <w:jc w:val="both"/>
        <w:rPr>
          <w:rFonts w:hint="eastAsia"/>
          <w:sz w:val="24"/>
        </w:rPr>
      </w:pPr>
      <w:r>
        <w:rPr>
          <w:sz w:val="24"/>
        </w:rPr>
        <w:t>通识教育</w:t>
      </w:r>
      <w:r>
        <w:rPr>
          <w:rFonts w:hint="eastAsia"/>
          <w:sz w:val="24"/>
        </w:rPr>
        <w:t>平台</w:t>
      </w:r>
      <w:r>
        <w:rPr>
          <w:sz w:val="24"/>
        </w:rPr>
        <w:t>由</w:t>
      </w:r>
      <w:r>
        <w:rPr>
          <w:rFonts w:hint="eastAsia"/>
          <w:sz w:val="24"/>
        </w:rPr>
        <w:t>公共基础课和跨学科课程群</w:t>
      </w:r>
      <w:r>
        <w:rPr>
          <w:sz w:val="24"/>
        </w:rPr>
        <w:t>（见表1）</w:t>
      </w:r>
      <w:r>
        <w:rPr>
          <w:rFonts w:hint="eastAsia"/>
          <w:sz w:val="24"/>
        </w:rPr>
        <w:t>。公共基础课程由</w:t>
      </w:r>
      <w:r>
        <w:rPr>
          <w:sz w:val="24"/>
        </w:rPr>
        <w:t>思想政治理论、</w:t>
      </w:r>
      <w:r>
        <w:rPr>
          <w:rFonts w:hint="eastAsia"/>
          <w:sz w:val="24"/>
        </w:rPr>
        <w:t>外语基础</w:t>
      </w:r>
      <w:r>
        <w:rPr>
          <w:sz w:val="24"/>
        </w:rPr>
        <w:t>、体育与健康、信息技术基础</w:t>
      </w:r>
      <w:r>
        <w:rPr>
          <w:rFonts w:hint="eastAsia"/>
          <w:sz w:val="24"/>
        </w:rPr>
        <w:t>、大学生职业规划与就业指导、信息检索与利用等六类学科课程组成，</w:t>
      </w:r>
      <w:r>
        <w:rPr>
          <w:sz w:val="24"/>
        </w:rPr>
        <w:t>安排在第一、二、三、四学期开设</w:t>
      </w:r>
      <w:r>
        <w:rPr>
          <w:rFonts w:hint="eastAsia"/>
          <w:sz w:val="24"/>
        </w:rPr>
        <w:t>；跨学科课程群由社会科学、自然科学、人文科学、艺术修养</w:t>
      </w:r>
      <w:r>
        <w:rPr>
          <w:sz w:val="24"/>
        </w:rPr>
        <w:t>等</w:t>
      </w:r>
      <w:r>
        <w:rPr>
          <w:rFonts w:hint="eastAsia"/>
          <w:sz w:val="24"/>
        </w:rPr>
        <w:t>四类学科课程</w:t>
      </w:r>
      <w:r>
        <w:rPr>
          <w:sz w:val="24"/>
        </w:rPr>
        <w:t>组成</w:t>
      </w:r>
      <w:r>
        <w:rPr>
          <w:rFonts w:hint="eastAsia"/>
          <w:sz w:val="24"/>
        </w:rPr>
        <w:t>，教学时间</w:t>
      </w:r>
      <w:r>
        <w:rPr>
          <w:sz w:val="24"/>
        </w:rPr>
        <w:t>安排在第</w:t>
      </w:r>
      <w:r>
        <w:rPr>
          <w:rFonts w:hint="eastAsia"/>
          <w:sz w:val="24"/>
        </w:rPr>
        <w:t>二</w:t>
      </w:r>
      <w:r>
        <w:rPr>
          <w:sz w:val="24"/>
        </w:rPr>
        <w:t>至第六学期。</w:t>
      </w:r>
      <w:r>
        <w:rPr>
          <w:rFonts w:hint="eastAsia"/>
          <w:sz w:val="24"/>
        </w:rPr>
        <w:t>该平台课程由学校统一安排，实施分层次教学。</w:t>
      </w: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pPr>
    </w:p>
    <w:p>
      <w:pPr>
        <w:bidi w:val="0"/>
        <w:spacing w:line="360" w:lineRule="auto"/>
        <w:ind w:firstLine="480" w:firstLineChars="200"/>
        <w:jc w:val="both"/>
        <w:rPr>
          <w:rFonts w:hint="eastAsia"/>
          <w:sz w:val="24"/>
        </w:rPr>
        <w:sectPr>
          <w:headerReference w:type="default" r:id="rId30"/>
          <w:footerReference w:type="even" r:id="rId31"/>
          <w:footerReference w:type="default" r:id="rId32"/>
          <w:type w:val="nextPage"/>
          <w:pgSz w:w="11906" w:h="16838"/>
          <w:pgMar w:top="1440" w:right="1800" w:bottom="1440" w:left="1800" w:header="851" w:footer="992" w:gutter="0"/>
          <w:pgNumType w:fmt="decimal" w:start="6"/>
          <w:cols w:space="708"/>
          <w:titlePg w:val="0"/>
          <w:docGrid w:type="lines" w:linePitch="312"/>
        </w:sectPr>
      </w:pPr>
    </w:p>
    <w:p>
      <w:pPr>
        <w:autoSpaceDE w:val="0"/>
        <w:autoSpaceDN w:val="0"/>
        <w:bidi w:val="0"/>
        <w:spacing w:after="100" w:afterAutospacing="1" w:line="620" w:lineRule="exact"/>
        <w:jc w:val="center"/>
        <w:rPr>
          <w:rFonts w:eastAsia="黑体" w:hint="eastAsia"/>
          <w:b/>
          <w:sz w:val="24"/>
        </w:rPr>
      </w:pPr>
      <w:r>
        <w:rPr>
          <w:rFonts w:eastAsia="黑体"/>
          <w:b/>
          <w:sz w:val="24"/>
        </w:rPr>
        <w:t>表</w:t>
      </w:r>
      <w:r>
        <w:rPr>
          <w:rFonts w:eastAsia="黑体" w:hint="eastAsia"/>
          <w:b/>
          <w:sz w:val="24"/>
        </w:rPr>
        <w:t xml:space="preserve"> </w:t>
      </w:r>
      <w:r>
        <w:rPr>
          <w:rFonts w:eastAsia="黑体"/>
          <w:b/>
          <w:sz w:val="24"/>
        </w:rPr>
        <w:t>1  通识教育平台及课程设置一览表</w:t>
      </w:r>
    </w:p>
    <w:tbl>
      <w:tblPr>
        <w:tblStyle w:val="TableNormal"/>
        <w:jc w:val="center"/>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
        <w:gridCol w:w="425"/>
        <w:gridCol w:w="407"/>
        <w:gridCol w:w="1907"/>
        <w:gridCol w:w="1140"/>
        <w:gridCol w:w="564"/>
        <w:gridCol w:w="635"/>
        <w:gridCol w:w="666"/>
        <w:gridCol w:w="470"/>
        <w:gridCol w:w="568"/>
        <w:gridCol w:w="501"/>
        <w:gridCol w:w="424"/>
        <w:gridCol w:w="568"/>
      </w:tblGrid>
      <w:tr>
        <w:tblPrEx>
          <w:jc w:val="center"/>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1"/>
          <w:jc w:val="center"/>
        </w:trPr>
        <w:tc>
          <w:tcPr>
            <w:tcW w:w="1222" w:type="dxa"/>
            <w:gridSpan w:val="3"/>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课程类别</w:t>
            </w:r>
          </w:p>
        </w:tc>
        <w:tc>
          <w:tcPr>
            <w:tcW w:w="1907"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课程名称</w:t>
            </w:r>
          </w:p>
        </w:tc>
        <w:tc>
          <w:tcPr>
            <w:tcW w:w="1140"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课程编码</w:t>
            </w:r>
          </w:p>
        </w:tc>
        <w:tc>
          <w:tcPr>
            <w:tcW w:w="564"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总学时</w:t>
            </w:r>
          </w:p>
        </w:tc>
        <w:tc>
          <w:tcPr>
            <w:tcW w:w="1301" w:type="dxa"/>
            <w:gridSpan w:val="2"/>
            <w:vAlign w:val="center"/>
          </w:tcPr>
          <w:p>
            <w:pPr>
              <w:autoSpaceDE w:val="0"/>
              <w:autoSpaceDN w:val="0"/>
              <w:bidi w:val="0"/>
              <w:spacing w:line="360" w:lineRule="auto"/>
              <w:jc w:val="center"/>
              <w:rPr>
                <w:rFonts w:ascii="楷体_GB2312" w:eastAsia="楷体_GB2312" w:hAnsi="楷体_GB2312" w:hint="eastAsia"/>
                <w:szCs w:val="21"/>
              </w:rPr>
            </w:pPr>
            <w:r>
              <w:rPr>
                <w:rFonts w:ascii="楷体_GB2312" w:eastAsia="楷体_GB2312" w:hAnsi="楷体_GB2312" w:hint="eastAsia"/>
                <w:szCs w:val="21"/>
              </w:rPr>
              <w:t>学时分配</w:t>
            </w:r>
          </w:p>
        </w:tc>
        <w:tc>
          <w:tcPr>
            <w:tcW w:w="470"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周学时</w:t>
            </w:r>
          </w:p>
        </w:tc>
        <w:tc>
          <w:tcPr>
            <w:tcW w:w="568"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学分</w:t>
            </w:r>
          </w:p>
        </w:tc>
        <w:tc>
          <w:tcPr>
            <w:tcW w:w="501"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开课学期</w:t>
            </w:r>
          </w:p>
        </w:tc>
        <w:tc>
          <w:tcPr>
            <w:tcW w:w="424" w:type="dxa"/>
            <w:vMerge w:val="restart"/>
            <w:vAlign w:val="center"/>
          </w:tcPr>
          <w:p>
            <w:pPr>
              <w:autoSpaceDE w:val="0"/>
              <w:autoSpaceDN w:val="0"/>
              <w:adjustRightInd w:val="0"/>
              <w:spacing w:line="240" w:lineRule="exact"/>
              <w:jc w:val="center"/>
              <w:rPr>
                <w:rFonts w:ascii="楷体_GB2312" w:eastAsia="楷体_GB2312" w:hAnsi="楷体_GB2312" w:hint="eastAsia"/>
                <w:color w:val="000000"/>
                <w:szCs w:val="21"/>
              </w:rPr>
            </w:pPr>
            <w:r>
              <w:rPr>
                <w:rFonts w:ascii="楷体_GB2312" w:eastAsia="楷体_GB2312" w:hAnsi="楷体_GB2312" w:hint="eastAsia"/>
                <w:color w:val="000000"/>
                <w:szCs w:val="21"/>
              </w:rPr>
              <w:t>考核方式</w:t>
            </w:r>
          </w:p>
        </w:tc>
        <w:tc>
          <w:tcPr>
            <w:tcW w:w="568"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备</w:t>
            </w:r>
          </w:p>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注</w:t>
            </w:r>
          </w:p>
        </w:tc>
      </w:tr>
      <w:tr>
        <w:tblPrEx>
          <w:jc w:val="center"/>
          <w:tblInd w:w="1362" w:type="dxa"/>
          <w:tblLayout w:type="fixed"/>
          <w:tblCellMar>
            <w:top w:w="0" w:type="dxa"/>
            <w:left w:w="108" w:type="dxa"/>
            <w:bottom w:w="0" w:type="dxa"/>
            <w:right w:w="108" w:type="dxa"/>
          </w:tblCellMar>
          <w:tblLook w:val="0000"/>
        </w:tblPrEx>
        <w:trPr>
          <w:trHeight w:val="366"/>
          <w:jc w:val="center"/>
        </w:trPr>
        <w:tc>
          <w:tcPr>
            <w:tcW w:w="1222" w:type="dxa"/>
            <w:gridSpan w:val="3"/>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1907"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1140"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564"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635" w:type="dxa"/>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 w:val="18"/>
                <w:szCs w:val="18"/>
              </w:rPr>
              <w:t>理论讲授</w:t>
            </w:r>
          </w:p>
        </w:tc>
        <w:tc>
          <w:tcPr>
            <w:tcW w:w="666" w:type="dxa"/>
            <w:vAlign w:val="center"/>
          </w:tcPr>
          <w:p>
            <w:pPr>
              <w:autoSpaceDE w:val="0"/>
              <w:autoSpaceDN w:val="0"/>
              <w:adjustRightInd w:val="0"/>
              <w:spacing w:line="240" w:lineRule="exact"/>
              <w:jc w:val="center"/>
              <w:rPr>
                <w:rFonts w:ascii="楷体_GB2312" w:eastAsia="楷体_GB2312" w:hAnsi="楷体_GB2312" w:hint="eastAsia"/>
                <w:sz w:val="18"/>
                <w:szCs w:val="18"/>
              </w:rPr>
            </w:pPr>
            <w:r>
              <w:rPr>
                <w:rFonts w:ascii="楷体_GB2312" w:eastAsia="楷体_GB2312" w:hAnsi="楷体_GB2312" w:hint="eastAsia"/>
                <w:sz w:val="18"/>
                <w:szCs w:val="18"/>
              </w:rPr>
              <w:t>实践实验</w:t>
            </w:r>
          </w:p>
        </w:tc>
        <w:tc>
          <w:tcPr>
            <w:tcW w:w="470"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568"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501"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424"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c>
          <w:tcPr>
            <w:tcW w:w="568" w:type="dxa"/>
            <w:vMerge/>
            <w:vAlign w:val="center"/>
          </w:tcPr>
          <w:p>
            <w:pPr>
              <w:autoSpaceDE w:val="0"/>
              <w:autoSpaceDN w:val="0"/>
              <w:adjustRightInd w:val="0"/>
              <w:spacing w:line="240" w:lineRule="exact"/>
              <w:jc w:val="center"/>
              <w:rPr>
                <w:rFonts w:ascii="楷体_GB2312" w:eastAsia="楷体_GB2312" w:hAnsi="楷体_GB2312" w:hint="eastAsia"/>
                <w:szCs w:val="21"/>
              </w:rPr>
            </w:pPr>
          </w:p>
        </w:tc>
      </w:tr>
      <w:tr>
        <w:tblPrEx>
          <w:jc w:val="center"/>
          <w:tblInd w:w="1362" w:type="dxa"/>
          <w:tblLayout w:type="fixed"/>
          <w:tblCellMar>
            <w:top w:w="0" w:type="dxa"/>
            <w:left w:w="108" w:type="dxa"/>
            <w:bottom w:w="0" w:type="dxa"/>
            <w:right w:w="108" w:type="dxa"/>
          </w:tblCellMar>
          <w:tblLook w:val="0000"/>
        </w:tblPrEx>
        <w:trPr>
          <w:cantSplit/>
          <w:trHeight w:val="470"/>
          <w:jc w:val="center"/>
        </w:trPr>
        <w:tc>
          <w:tcPr>
            <w:tcW w:w="390"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公共基础课</w:t>
            </w:r>
          </w:p>
        </w:tc>
        <w:tc>
          <w:tcPr>
            <w:tcW w:w="425"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思想政治理论</w:t>
            </w:r>
          </w:p>
        </w:tc>
        <w:tc>
          <w:tcPr>
            <w:tcW w:w="407" w:type="dxa"/>
            <w:vMerge w:val="restart"/>
            <w:vAlign w:val="center"/>
          </w:tcPr>
          <w:p>
            <w:pPr>
              <w:autoSpaceDE w:val="0"/>
              <w:autoSpaceDN w:val="0"/>
              <w:adjustRightInd w:val="0"/>
              <w:spacing w:line="240" w:lineRule="exact"/>
              <w:jc w:val="center"/>
              <w:rPr>
                <w:rFonts w:ascii="楷体_GB2312" w:eastAsia="楷体_GB2312" w:hAnsi="楷体_GB2312" w:hint="eastAsia"/>
                <w:szCs w:val="21"/>
              </w:rPr>
            </w:pPr>
            <w:r>
              <w:rPr>
                <w:rFonts w:ascii="楷体_GB2312" w:eastAsia="楷体_GB2312" w:hAnsi="楷体_GB2312" w:hint="eastAsia"/>
                <w:szCs w:val="21"/>
              </w:rPr>
              <w:t>必修课</w:t>
            </w:r>
          </w:p>
        </w:tc>
        <w:tc>
          <w:tcPr>
            <w:tcW w:w="1907" w:type="dxa"/>
            <w:tcBorders>
              <w:bottom w:val="nil"/>
            </w:tcBorders>
            <w:vAlign w:val="center"/>
          </w:tcPr>
          <w:p>
            <w:pPr>
              <w:autoSpaceDE w:val="0"/>
              <w:autoSpaceDN w:val="0"/>
              <w:adjustRightInd w:val="0"/>
              <w:spacing w:line="240" w:lineRule="exact"/>
              <w:jc w:val="center"/>
              <w:rPr>
                <w:rFonts w:eastAsia="楷体_GB2312"/>
                <w:szCs w:val="21"/>
              </w:rPr>
            </w:pPr>
            <w:r>
              <w:rPr>
                <w:rFonts w:eastAsia="楷体_GB2312"/>
                <w:szCs w:val="21"/>
              </w:rPr>
              <w:t>思想道德修养</w:t>
            </w:r>
          </w:p>
          <w:p>
            <w:pPr>
              <w:autoSpaceDE w:val="0"/>
              <w:autoSpaceDN w:val="0"/>
              <w:adjustRightInd w:val="0"/>
              <w:spacing w:line="240" w:lineRule="exact"/>
              <w:jc w:val="center"/>
              <w:rPr>
                <w:rFonts w:eastAsia="楷体_GB2312"/>
                <w:szCs w:val="21"/>
              </w:rPr>
            </w:pPr>
            <w:r>
              <w:rPr>
                <w:rFonts w:eastAsia="楷体_GB2312"/>
                <w:szCs w:val="21"/>
              </w:rPr>
              <w:t>与法律基础</w:t>
            </w:r>
          </w:p>
        </w:tc>
        <w:tc>
          <w:tcPr>
            <w:tcW w:w="1140" w:type="dxa"/>
            <w:vAlign w:val="center"/>
          </w:tcPr>
          <w:p>
            <w:pPr>
              <w:autoSpaceDE w:val="0"/>
              <w:autoSpaceDN w:val="0"/>
              <w:bidi w:val="0"/>
              <w:spacing w:line="240" w:lineRule="exact"/>
              <w:jc w:val="center"/>
              <w:rPr>
                <w:rFonts w:eastAsia="楷体_GB2312"/>
                <w:szCs w:val="21"/>
              </w:rPr>
            </w:pPr>
          </w:p>
        </w:tc>
        <w:tc>
          <w:tcPr>
            <w:tcW w:w="564" w:type="dxa"/>
            <w:vAlign w:val="center"/>
          </w:tcPr>
          <w:p>
            <w:pPr>
              <w:autoSpaceDE w:val="0"/>
              <w:autoSpaceDN w:val="0"/>
              <w:adjustRightInd w:val="0"/>
              <w:spacing w:line="240" w:lineRule="exact"/>
              <w:jc w:val="center"/>
              <w:rPr>
                <w:rFonts w:eastAsia="楷体_GB2312"/>
                <w:color w:val="FF0000"/>
                <w:szCs w:val="21"/>
              </w:rPr>
            </w:pPr>
            <w:r>
              <w:rPr>
                <w:rFonts w:eastAsia="楷体_GB2312"/>
                <w:color w:val="FF0000"/>
                <w:szCs w:val="21"/>
              </w:rPr>
              <w:t>42</w:t>
            </w:r>
          </w:p>
        </w:tc>
        <w:tc>
          <w:tcPr>
            <w:tcW w:w="635" w:type="dxa"/>
            <w:vAlign w:val="center"/>
          </w:tcPr>
          <w:p>
            <w:pPr>
              <w:autoSpaceDE w:val="0"/>
              <w:autoSpaceDN w:val="0"/>
              <w:adjustRightInd w:val="0"/>
              <w:spacing w:line="240" w:lineRule="exact"/>
              <w:jc w:val="center"/>
              <w:rPr>
                <w:rFonts w:eastAsia="楷体_GB2312"/>
                <w:color w:val="FF0000"/>
                <w:szCs w:val="21"/>
              </w:rPr>
            </w:pPr>
            <w:r>
              <w:rPr>
                <w:rFonts w:eastAsia="楷体_GB2312"/>
                <w:color w:val="FF0000"/>
                <w:szCs w:val="21"/>
              </w:rPr>
              <w:t>28</w:t>
            </w:r>
          </w:p>
        </w:tc>
        <w:tc>
          <w:tcPr>
            <w:tcW w:w="666" w:type="dxa"/>
            <w:vAlign w:val="center"/>
          </w:tcPr>
          <w:p>
            <w:pPr>
              <w:autoSpaceDE w:val="0"/>
              <w:autoSpaceDN w:val="0"/>
              <w:adjustRightInd w:val="0"/>
              <w:spacing w:line="240" w:lineRule="exact"/>
              <w:jc w:val="center"/>
              <w:rPr>
                <w:rFonts w:eastAsia="楷体_GB2312"/>
                <w:color w:val="FF0000"/>
                <w:szCs w:val="21"/>
              </w:rPr>
            </w:pPr>
            <w:r>
              <w:rPr>
                <w:rFonts w:eastAsia="楷体_GB2312"/>
                <w:color w:val="FF0000"/>
                <w:szCs w:val="21"/>
              </w:rPr>
              <w:t>14</w:t>
            </w:r>
          </w:p>
        </w:tc>
        <w:tc>
          <w:tcPr>
            <w:tcW w:w="470" w:type="dxa"/>
            <w:vAlign w:val="center"/>
          </w:tcPr>
          <w:p>
            <w:pPr>
              <w:autoSpaceDE w:val="0"/>
              <w:autoSpaceDN w:val="0"/>
              <w:adjustRightInd w:val="0"/>
              <w:spacing w:line="240" w:lineRule="exact"/>
              <w:jc w:val="center"/>
              <w:rPr>
                <w:rFonts w:eastAsia="楷体_GB2312"/>
                <w:szCs w:val="21"/>
              </w:rPr>
            </w:pPr>
            <w:r>
              <w:rPr>
                <w:rFonts w:eastAsia="楷体_GB2312"/>
                <w:szCs w:val="21"/>
              </w:rPr>
              <w:t>2</w:t>
            </w:r>
          </w:p>
        </w:tc>
        <w:tc>
          <w:tcPr>
            <w:tcW w:w="568" w:type="dxa"/>
            <w:vAlign w:val="center"/>
          </w:tcPr>
          <w:p>
            <w:pPr>
              <w:autoSpaceDE w:val="0"/>
              <w:autoSpaceDN w:val="0"/>
              <w:adjustRightInd w:val="0"/>
              <w:spacing w:line="240" w:lineRule="exact"/>
              <w:jc w:val="center"/>
              <w:rPr>
                <w:rFonts w:eastAsia="楷体_GB2312"/>
                <w:szCs w:val="21"/>
              </w:rPr>
            </w:pPr>
            <w:r>
              <w:rPr>
                <w:rFonts w:eastAsia="楷体_GB2312"/>
                <w:szCs w:val="21"/>
              </w:rPr>
              <w:t>3</w:t>
            </w:r>
          </w:p>
        </w:tc>
        <w:tc>
          <w:tcPr>
            <w:tcW w:w="501" w:type="dxa"/>
            <w:vAlign w:val="center"/>
          </w:tcPr>
          <w:p>
            <w:pPr>
              <w:autoSpaceDE w:val="0"/>
              <w:autoSpaceDN w:val="0"/>
              <w:adjustRightInd w:val="0"/>
              <w:spacing w:line="240" w:lineRule="exact"/>
              <w:jc w:val="center"/>
              <w:rPr>
                <w:rFonts w:eastAsia="楷体_GB2312"/>
                <w:szCs w:val="21"/>
              </w:rPr>
            </w:pPr>
            <w:r>
              <w:rPr>
                <w:rFonts w:eastAsia="楷体_GB2312"/>
                <w:szCs w:val="21"/>
              </w:rPr>
              <w:t>1</w:t>
            </w:r>
          </w:p>
        </w:tc>
        <w:tc>
          <w:tcPr>
            <w:tcW w:w="424" w:type="dxa"/>
            <w:vAlign w:val="center"/>
          </w:tcPr>
          <w:p>
            <w:pPr>
              <w:autoSpaceDE w:val="0"/>
              <w:autoSpaceDN w:val="0"/>
              <w:adjustRightInd w:val="0"/>
              <w:spacing w:line="240" w:lineRule="exact"/>
              <w:jc w:val="center"/>
              <w:rPr>
                <w:rFonts w:eastAsia="楷体_GB2312"/>
                <w:szCs w:val="21"/>
              </w:rPr>
            </w:pPr>
            <w:r>
              <w:rPr>
                <w:rFonts w:eastAsia="楷体_GB2312"/>
                <w:szCs w:val="21"/>
              </w:rPr>
              <w:t>1</w:t>
            </w:r>
          </w:p>
        </w:tc>
        <w:tc>
          <w:tcPr>
            <w:tcW w:w="568" w:type="dxa"/>
            <w:vAlign w:val="center"/>
          </w:tcPr>
          <w:p>
            <w:pPr>
              <w:autoSpaceDE w:val="0"/>
              <w:autoSpaceDN w:val="0"/>
              <w:bidi w:val="0"/>
              <w:spacing w:line="240" w:lineRule="exact"/>
              <w:jc w:val="center"/>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val="433"/>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adjustRightIn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 w:val="18"/>
                <w:szCs w:val="18"/>
              </w:rPr>
            </w:pPr>
          </w:p>
        </w:tc>
        <w:tc>
          <w:tcPr>
            <w:tcW w:w="1907" w:type="dxa"/>
            <w:vAlign w:val="center"/>
          </w:tcPr>
          <w:p>
            <w:pPr>
              <w:autoSpaceDE w:val="0"/>
              <w:autoSpaceDN w:val="0"/>
              <w:adjustRightInd w:val="0"/>
              <w:jc w:val="center"/>
              <w:rPr>
                <w:rFonts w:eastAsia="楷体_GB2312"/>
                <w:sz w:val="18"/>
                <w:szCs w:val="18"/>
              </w:rPr>
            </w:pPr>
            <w:r>
              <w:rPr>
                <w:rFonts w:eastAsia="楷体_GB2312"/>
                <w:sz w:val="18"/>
                <w:szCs w:val="18"/>
              </w:rPr>
              <w:t>中国近现代史纲要</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66" w:type="dxa"/>
            <w:vAlign w:val="center"/>
          </w:tcPr>
          <w:p>
            <w:pPr>
              <w:autoSpaceDE w:val="0"/>
              <w:autoSpaceDN w:val="0"/>
              <w:adjustRightInd w:val="0"/>
              <w:jc w:val="center"/>
              <w:rPr>
                <w:rFonts w:eastAsia="楷体_GB2312"/>
                <w:color w:val="FF0000"/>
                <w:szCs w:val="21"/>
              </w:rPr>
            </w:pPr>
          </w:p>
        </w:tc>
        <w:tc>
          <w:tcPr>
            <w:tcW w:w="470"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szCs w:val="21"/>
              </w:rPr>
            </w:pPr>
            <w:r>
              <w:rPr>
                <w:rFonts w:eastAsia="楷体_GB2312"/>
                <w:szCs w:val="21"/>
              </w:rPr>
              <w:t>2</w:t>
            </w:r>
          </w:p>
        </w:tc>
        <w:tc>
          <w:tcPr>
            <w:tcW w:w="501" w:type="dxa"/>
            <w:vAlign w:val="center"/>
          </w:tcPr>
          <w:p>
            <w:pPr>
              <w:autoSpaceDE w:val="0"/>
              <w:autoSpaceDN w:val="0"/>
              <w:adjustRightInd w:val="0"/>
              <w:jc w:val="center"/>
              <w:rPr>
                <w:rFonts w:eastAsia="楷体_GB2312"/>
                <w:szCs w:val="21"/>
              </w:rPr>
            </w:pPr>
            <w:r>
              <w:rPr>
                <w:rFonts w:eastAsia="楷体_GB2312"/>
                <w:szCs w:val="21"/>
              </w:rPr>
              <w:t>2</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Align w:val="center"/>
          </w:tcPr>
          <w:p>
            <w:pPr>
              <w:autoSpaceDE w:val="0"/>
              <w:autoSpaceDN w:val="0"/>
              <w:adjustRightInd w:val="0"/>
              <w:jc w:val="center"/>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438"/>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adjustRightInd w:val="0"/>
              <w:jc w:val="center"/>
              <w:rPr>
                <w:rFonts w:ascii="楷体_GB2312" w:eastAsia="楷体_GB2312" w:hAnsi="楷体_GB2312" w:hint="eastAsia"/>
                <w:szCs w:val="21"/>
              </w:rPr>
            </w:pPr>
          </w:p>
        </w:tc>
        <w:tc>
          <w:tcPr>
            <w:tcW w:w="407" w:type="dxa"/>
            <w:vMerge/>
          </w:tcPr>
          <w:p>
            <w:pPr>
              <w:autoSpaceDE w:val="0"/>
              <w:autoSpaceDN w:val="0"/>
              <w:adjustRightInd w:val="0"/>
              <w:ind w:left="-37" w:right="-212" w:hanging="221" w:leftChars="-123" w:rightChars="-101" w:hangingChars="123"/>
              <w:jc w:val="center"/>
              <w:rPr>
                <w:rFonts w:ascii="楷体_GB2312" w:eastAsia="楷体_GB2312" w:hAnsi="楷体_GB2312" w:hint="eastAsia"/>
                <w:sz w:val="18"/>
                <w:szCs w:val="18"/>
              </w:rPr>
            </w:pPr>
          </w:p>
        </w:tc>
        <w:tc>
          <w:tcPr>
            <w:tcW w:w="1907" w:type="dxa"/>
            <w:vAlign w:val="center"/>
          </w:tcPr>
          <w:p>
            <w:pPr>
              <w:autoSpaceDE w:val="0"/>
              <w:autoSpaceDN w:val="0"/>
              <w:adjustRightInd w:val="0"/>
              <w:ind w:left="-37" w:right="-212" w:hanging="221" w:leftChars="-123" w:rightChars="-101" w:hangingChars="123"/>
              <w:jc w:val="center"/>
              <w:rPr>
                <w:rFonts w:eastAsia="楷体_GB2312"/>
                <w:sz w:val="18"/>
                <w:szCs w:val="18"/>
              </w:rPr>
            </w:pPr>
            <w:r>
              <w:rPr>
                <w:rFonts w:eastAsia="楷体_GB2312"/>
                <w:sz w:val="18"/>
                <w:szCs w:val="18"/>
              </w:rPr>
              <w:t>马克思主义基本原理</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51</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17</w:t>
            </w:r>
          </w:p>
        </w:tc>
        <w:tc>
          <w:tcPr>
            <w:tcW w:w="470"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szCs w:val="21"/>
              </w:rPr>
            </w:pPr>
            <w:r>
              <w:rPr>
                <w:rFonts w:eastAsia="楷体_GB2312"/>
                <w:szCs w:val="21"/>
              </w:rPr>
              <w:t>3</w:t>
            </w:r>
          </w:p>
        </w:tc>
        <w:tc>
          <w:tcPr>
            <w:tcW w:w="501" w:type="dxa"/>
            <w:vAlign w:val="center"/>
          </w:tcPr>
          <w:p>
            <w:pPr>
              <w:autoSpaceDE w:val="0"/>
              <w:autoSpaceDN w:val="0"/>
              <w:adjustRightInd w:val="0"/>
              <w:jc w:val="center"/>
              <w:rPr>
                <w:rFonts w:eastAsia="楷体_GB2312"/>
                <w:szCs w:val="21"/>
              </w:rPr>
            </w:pPr>
            <w:r>
              <w:rPr>
                <w:rFonts w:eastAsia="楷体_GB2312"/>
                <w:szCs w:val="21"/>
              </w:rPr>
              <w:t>3</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Align w:val="center"/>
          </w:tcPr>
          <w:p>
            <w:pPr>
              <w:autoSpaceDE w:val="0"/>
              <w:autoSpaceDN w:val="0"/>
              <w:bidi w:val="0"/>
              <w:spacing w:line="240" w:lineRule="exact"/>
              <w:jc w:val="center"/>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575"/>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adjustRightInd w:val="0"/>
              <w:jc w:val="center"/>
              <w:rPr>
                <w:rFonts w:ascii="楷体_GB2312" w:eastAsia="楷体_GB2312" w:hAnsi="楷体_GB2312" w:hint="eastAsia"/>
                <w:szCs w:val="21"/>
              </w:rPr>
            </w:pPr>
          </w:p>
        </w:tc>
        <w:tc>
          <w:tcPr>
            <w:tcW w:w="407" w:type="dxa"/>
            <w:vMerge/>
          </w:tcPr>
          <w:p>
            <w:pPr>
              <w:autoSpaceDE w:val="0"/>
              <w:autoSpaceDN w:val="0"/>
              <w:adjustRightInd w:val="0"/>
              <w:spacing w:line="240" w:lineRule="exact"/>
              <w:jc w:val="center"/>
              <w:rPr>
                <w:rFonts w:ascii="楷体_GB2312" w:eastAsia="楷体_GB2312" w:hAnsi="楷体_GB2312" w:hint="eastAsia"/>
                <w:sz w:val="15"/>
                <w:szCs w:val="15"/>
              </w:rPr>
            </w:pPr>
          </w:p>
        </w:tc>
        <w:tc>
          <w:tcPr>
            <w:tcW w:w="1907" w:type="dxa"/>
            <w:vAlign w:val="center"/>
          </w:tcPr>
          <w:p>
            <w:pPr>
              <w:autoSpaceDE w:val="0"/>
              <w:autoSpaceDN w:val="0"/>
              <w:adjustRightInd w:val="0"/>
              <w:spacing w:line="240" w:lineRule="exact"/>
              <w:jc w:val="center"/>
              <w:rPr>
                <w:rFonts w:eastAsia="楷体_GB2312"/>
                <w:sz w:val="15"/>
                <w:szCs w:val="15"/>
              </w:rPr>
            </w:pPr>
            <w:r>
              <w:rPr>
                <w:rFonts w:eastAsia="楷体_GB2312"/>
                <w:sz w:val="15"/>
                <w:szCs w:val="15"/>
              </w:rPr>
              <w:t>毛泽东思想和中国特色社会主义理论体系概论</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102</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6</w:t>
            </w:r>
          </w:p>
        </w:tc>
        <w:tc>
          <w:tcPr>
            <w:tcW w:w="501" w:type="dxa"/>
            <w:vAlign w:val="center"/>
          </w:tcPr>
          <w:p>
            <w:pPr>
              <w:autoSpaceDE w:val="0"/>
              <w:autoSpaceDN w:val="0"/>
              <w:adjustRightInd w:val="0"/>
              <w:jc w:val="center"/>
              <w:rPr>
                <w:rFonts w:eastAsia="楷体_GB2312"/>
                <w:szCs w:val="21"/>
              </w:rPr>
            </w:pPr>
            <w:r>
              <w:rPr>
                <w:rFonts w:eastAsia="楷体_GB2312"/>
                <w:szCs w:val="21"/>
              </w:rPr>
              <w:t>4</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Align w:val="center"/>
          </w:tcPr>
          <w:p>
            <w:pPr>
              <w:autoSpaceDE w:val="0"/>
              <w:autoSpaceDN w:val="0"/>
              <w:adjustRightInd w:val="0"/>
              <w:spacing w:line="240" w:lineRule="exact"/>
              <w:jc w:val="center"/>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440"/>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adjustRightIn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形势与政策</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66" w:type="dxa"/>
            <w:vAlign w:val="center"/>
          </w:tcPr>
          <w:p>
            <w:pPr>
              <w:autoSpaceDE w:val="0"/>
              <w:autoSpaceDN w:val="0"/>
              <w:adjustRightInd w:val="0"/>
              <w:jc w:val="center"/>
              <w:rPr>
                <w:rFonts w:eastAsia="楷体_GB2312"/>
                <w:color w:val="FF0000"/>
                <w:szCs w:val="21"/>
              </w:rPr>
            </w:pPr>
          </w:p>
        </w:tc>
        <w:tc>
          <w:tcPr>
            <w:tcW w:w="470" w:type="dxa"/>
            <w:vAlign w:val="center"/>
          </w:tcPr>
          <w:p>
            <w:pPr>
              <w:autoSpaceDE w:val="0"/>
              <w:autoSpaceDN w:val="0"/>
              <w:adjustRightInd w:val="0"/>
              <w:jc w:val="center"/>
              <w:rPr>
                <w:rFonts w:eastAsia="楷体_GB2312"/>
                <w:szCs w:val="21"/>
              </w:rPr>
            </w:pPr>
          </w:p>
        </w:tc>
        <w:tc>
          <w:tcPr>
            <w:tcW w:w="568" w:type="dxa"/>
            <w:vAlign w:val="center"/>
          </w:tcPr>
          <w:p>
            <w:pPr>
              <w:autoSpaceDE w:val="0"/>
              <w:autoSpaceDN w:val="0"/>
              <w:adjustRightInd w:val="0"/>
              <w:jc w:val="center"/>
              <w:rPr>
                <w:rFonts w:eastAsia="楷体_GB2312"/>
                <w:szCs w:val="21"/>
              </w:rPr>
            </w:pPr>
            <w:r>
              <w:rPr>
                <w:rFonts w:eastAsia="楷体_GB2312"/>
                <w:szCs w:val="21"/>
              </w:rPr>
              <w:t>2</w:t>
            </w:r>
          </w:p>
        </w:tc>
        <w:tc>
          <w:tcPr>
            <w:tcW w:w="501" w:type="dxa"/>
            <w:vAlign w:val="center"/>
          </w:tcPr>
          <w:p>
            <w:pPr>
              <w:autoSpaceDE w:val="0"/>
              <w:autoSpaceDN w:val="0"/>
              <w:adjustRightInd w:val="0"/>
              <w:jc w:val="center"/>
              <w:rPr>
                <w:rFonts w:eastAsia="楷体_GB2312"/>
                <w:szCs w:val="21"/>
              </w:rPr>
            </w:pPr>
            <w:r>
              <w:rPr>
                <w:rFonts w:eastAsia="楷体_GB2312"/>
                <w:szCs w:val="21"/>
              </w:rPr>
              <w:t>1-8</w:t>
            </w:r>
          </w:p>
        </w:tc>
        <w:tc>
          <w:tcPr>
            <w:tcW w:w="424" w:type="dxa"/>
            <w:vAlign w:val="center"/>
          </w:tcPr>
          <w:p>
            <w:pPr>
              <w:autoSpaceDE w:val="0"/>
              <w:autoSpaceDN w:val="0"/>
              <w:bidi w:val="0"/>
              <w:spacing w:line="240" w:lineRule="exact"/>
              <w:jc w:val="center"/>
              <w:rPr>
                <w:rFonts w:eastAsia="楷体_GB2312"/>
                <w:szCs w:val="21"/>
              </w:rPr>
            </w:pPr>
            <w:r>
              <w:rPr>
                <w:rFonts w:eastAsia="楷体_GB2312"/>
                <w:szCs w:val="21"/>
              </w:rPr>
              <w:t>2</w:t>
            </w:r>
          </w:p>
        </w:tc>
        <w:tc>
          <w:tcPr>
            <w:tcW w:w="568" w:type="dxa"/>
            <w:vAlign w:val="center"/>
          </w:tcPr>
          <w:p>
            <w:pPr>
              <w:autoSpaceDE w:val="0"/>
              <w:autoSpaceDN w:val="0"/>
              <w:bidi w:val="0"/>
              <w:adjustRightInd w:val="0"/>
              <w:snapToGrid w:val="0"/>
              <w:spacing w:line="160" w:lineRule="exact"/>
              <w:jc w:val="center"/>
              <w:rPr>
                <w:rFonts w:eastAsia="楷体_GB2312"/>
                <w:sz w:val="13"/>
                <w:szCs w:val="13"/>
              </w:rPr>
            </w:pPr>
            <w:r>
              <w:rPr>
                <w:rFonts w:eastAsia="楷体_GB2312"/>
                <w:sz w:val="13"/>
                <w:szCs w:val="13"/>
              </w:rPr>
              <w:t>集中分散</w:t>
            </w:r>
          </w:p>
        </w:tc>
      </w:tr>
      <w:tr>
        <w:tblPrEx>
          <w:jc w:val="center"/>
          <w:tblInd w:w="1362" w:type="dxa"/>
          <w:tblLayout w:type="fixed"/>
          <w:tblCellMar>
            <w:top w:w="0" w:type="dxa"/>
            <w:left w:w="108" w:type="dxa"/>
            <w:bottom w:w="0" w:type="dxa"/>
            <w:right w:w="108" w:type="dxa"/>
          </w:tblCellMar>
          <w:tblLook w:val="0000"/>
        </w:tblPrEx>
        <w:trPr>
          <w:cantSplit/>
          <w:trHeight w:hRule="exact" w:val="491"/>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外语基础</w:t>
            </w:r>
          </w:p>
        </w:tc>
        <w:tc>
          <w:tcPr>
            <w:tcW w:w="407"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必修课</w:t>
            </w:r>
          </w:p>
        </w:tc>
        <w:tc>
          <w:tcPr>
            <w:tcW w:w="1907" w:type="dxa"/>
            <w:vAlign w:val="center"/>
          </w:tcPr>
          <w:p>
            <w:pPr>
              <w:autoSpaceDE w:val="0"/>
              <w:autoSpaceDN w:val="0"/>
              <w:adjustRightInd w:val="0"/>
              <w:jc w:val="center"/>
              <w:rPr>
                <w:rFonts w:eastAsia="楷体_GB2312"/>
                <w:szCs w:val="21"/>
              </w:rPr>
            </w:pPr>
            <w:r>
              <w:rPr>
                <w:rFonts w:eastAsia="楷体_GB2312"/>
                <w:szCs w:val="21"/>
              </w:rPr>
              <w:t>大学英语I</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56</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46</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10</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4</w:t>
            </w:r>
          </w:p>
        </w:tc>
        <w:tc>
          <w:tcPr>
            <w:tcW w:w="501" w:type="dxa"/>
            <w:vAlign w:val="center"/>
          </w:tcPr>
          <w:p>
            <w:pPr>
              <w:autoSpaceDE w:val="0"/>
              <w:autoSpaceDN w:val="0"/>
              <w:adjustRightInd w:val="0"/>
              <w:jc w:val="center"/>
              <w:rPr>
                <w:rFonts w:eastAsia="楷体_GB2312"/>
                <w:szCs w:val="21"/>
              </w:rPr>
            </w:pPr>
            <w:r>
              <w:rPr>
                <w:rFonts w:eastAsia="楷体_GB2312"/>
                <w:szCs w:val="21"/>
              </w:rPr>
              <w:t>1</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restart"/>
            <w:vAlign w:val="center"/>
          </w:tcPr>
          <w:p>
            <w:pPr>
              <w:autoSpaceDE w:val="0"/>
              <w:autoSpaceDN w:val="0"/>
              <w:bidi w:val="0"/>
              <w:adjustRightInd w:val="0"/>
              <w:snapToGrid w:val="0"/>
              <w:jc w:val="both"/>
              <w:rPr>
                <w:rFonts w:eastAsia="楷体_GB2312"/>
                <w:sz w:val="13"/>
                <w:szCs w:val="13"/>
              </w:rPr>
            </w:pPr>
            <w:r>
              <w:rPr>
                <w:rFonts w:eastAsia="楷体_GB2312"/>
                <w:sz w:val="13"/>
                <w:szCs w:val="13"/>
              </w:rPr>
              <w:t>英语小学教育对外汉语三个专业不开</w:t>
            </w:r>
          </w:p>
        </w:tc>
      </w:tr>
      <w:tr>
        <w:tblPrEx>
          <w:jc w:val="center"/>
          <w:tblInd w:w="1362" w:type="dxa"/>
          <w:tblLayout w:type="fixed"/>
          <w:tblCellMar>
            <w:top w:w="0" w:type="dxa"/>
            <w:left w:w="108" w:type="dxa"/>
            <w:bottom w:w="0" w:type="dxa"/>
            <w:right w:w="108" w:type="dxa"/>
          </w:tblCellMar>
          <w:tblLook w:val="0000"/>
        </w:tblPrEx>
        <w:trPr>
          <w:cantSplit/>
          <w:trHeight w:hRule="exact" w:val="440"/>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大学英语II</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56</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12</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4</w:t>
            </w:r>
          </w:p>
        </w:tc>
        <w:tc>
          <w:tcPr>
            <w:tcW w:w="501" w:type="dxa"/>
            <w:vAlign w:val="center"/>
          </w:tcPr>
          <w:p>
            <w:pPr>
              <w:autoSpaceDE w:val="0"/>
              <w:autoSpaceDN w:val="0"/>
              <w:adjustRightInd w:val="0"/>
              <w:jc w:val="center"/>
              <w:rPr>
                <w:rFonts w:eastAsia="楷体_GB2312"/>
                <w:szCs w:val="21"/>
              </w:rPr>
            </w:pPr>
            <w:r>
              <w:rPr>
                <w:rFonts w:eastAsia="楷体_GB2312"/>
                <w:szCs w:val="21"/>
              </w:rPr>
              <w:t>2</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ign w:val="center"/>
          </w:tcPr>
          <w:p>
            <w:pPr>
              <w:autoSpaceDE w:val="0"/>
              <w:autoSpaceDN w:val="0"/>
              <w:bidi w:val="0"/>
              <w:adjustRightInd w:val="0"/>
              <w:snapToGrid w:val="0"/>
              <w:jc w:val="both"/>
              <w:rPr>
                <w:rFonts w:eastAsia="楷体_GB2312"/>
                <w:sz w:val="13"/>
                <w:szCs w:val="13"/>
              </w:rPr>
            </w:pPr>
          </w:p>
        </w:tc>
      </w:tr>
      <w:tr>
        <w:tblPrEx>
          <w:jc w:val="center"/>
          <w:tblInd w:w="1362" w:type="dxa"/>
          <w:tblLayout w:type="fixed"/>
          <w:tblCellMar>
            <w:top w:w="0" w:type="dxa"/>
            <w:left w:w="108" w:type="dxa"/>
            <w:bottom w:w="0" w:type="dxa"/>
            <w:right w:w="108" w:type="dxa"/>
          </w:tblCellMar>
          <w:tblLook w:val="0000"/>
        </w:tblPrEx>
        <w:trPr>
          <w:cantSplit/>
          <w:trHeight w:hRule="exact" w:val="430"/>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大学英语</w:t>
            </w:r>
            <w:r>
              <w:rPr>
                <w:rFonts w:eastAsia="楷体_GB2312"/>
                <w:szCs w:val="21"/>
              </w:rPr>
              <w:fldChar w:fldCharType="begin"/>
            </w:r>
            <w:r>
              <w:rPr>
                <w:rFonts w:eastAsia="楷体_GB2312"/>
                <w:szCs w:val="21"/>
              </w:rPr>
              <w:instrText xml:space="preserve"> = 3 \* ROMAN </w:instrText>
            </w:r>
            <w:r>
              <w:rPr>
                <w:rFonts w:eastAsia="楷体_GB2312"/>
                <w:szCs w:val="21"/>
              </w:rPr>
              <w:fldChar w:fldCharType="separate"/>
            </w:r>
            <w:r>
              <w:rPr>
                <w:rFonts w:eastAsia="楷体_GB2312"/>
                <w:szCs w:val="21"/>
              </w:rPr>
              <w:t>III</w:t>
            </w:r>
            <w:r>
              <w:rPr>
                <w:rFonts w:eastAsia="楷体_GB2312"/>
                <w:szCs w:val="21"/>
              </w:rPr>
              <w:fldChar w:fldCharType="end"/>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56</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12</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4</w:t>
            </w:r>
          </w:p>
        </w:tc>
        <w:tc>
          <w:tcPr>
            <w:tcW w:w="501" w:type="dxa"/>
            <w:vAlign w:val="center"/>
          </w:tcPr>
          <w:p>
            <w:pPr>
              <w:autoSpaceDE w:val="0"/>
              <w:autoSpaceDN w:val="0"/>
              <w:adjustRightInd w:val="0"/>
              <w:jc w:val="center"/>
              <w:rPr>
                <w:rFonts w:eastAsia="楷体_GB2312"/>
                <w:szCs w:val="21"/>
              </w:rPr>
            </w:pPr>
            <w:r>
              <w:rPr>
                <w:rFonts w:eastAsia="楷体_GB2312"/>
                <w:szCs w:val="21"/>
              </w:rPr>
              <w:t>3</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ign w:val="center"/>
          </w:tcPr>
          <w:p>
            <w:pPr>
              <w:autoSpaceDE w:val="0"/>
              <w:autoSpaceDN w:val="0"/>
              <w:bidi w:val="0"/>
              <w:adjustRightInd w:val="0"/>
              <w:snapToGrid w:val="0"/>
              <w:jc w:val="both"/>
              <w:rPr>
                <w:rFonts w:eastAsia="楷体_GB2312"/>
                <w:sz w:val="13"/>
                <w:szCs w:val="13"/>
              </w:rPr>
            </w:pPr>
          </w:p>
        </w:tc>
      </w:tr>
      <w:tr>
        <w:tblPrEx>
          <w:jc w:val="center"/>
          <w:tblInd w:w="1362" w:type="dxa"/>
          <w:tblLayout w:type="fixed"/>
          <w:tblCellMar>
            <w:top w:w="0" w:type="dxa"/>
            <w:left w:w="108" w:type="dxa"/>
            <w:bottom w:w="0" w:type="dxa"/>
            <w:right w:w="108" w:type="dxa"/>
          </w:tblCellMar>
          <w:tblLook w:val="0000"/>
        </w:tblPrEx>
        <w:trPr>
          <w:cantSplit/>
          <w:trHeight w:hRule="exact" w:val="438"/>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大学英语</w:t>
            </w:r>
            <w:r>
              <w:rPr>
                <w:rFonts w:eastAsia="楷体_GB2312"/>
                <w:szCs w:val="21"/>
              </w:rPr>
              <w:fldChar w:fldCharType="begin"/>
            </w:r>
            <w:r>
              <w:rPr>
                <w:rFonts w:eastAsia="楷体_GB2312"/>
                <w:szCs w:val="21"/>
              </w:rPr>
              <w:instrText xml:space="preserve"> = 4 \* ROMAN </w:instrText>
            </w:r>
            <w:r>
              <w:rPr>
                <w:rFonts w:eastAsia="楷体_GB2312"/>
                <w:szCs w:val="21"/>
              </w:rPr>
              <w:fldChar w:fldCharType="separate"/>
            </w:r>
            <w:r>
              <w:rPr>
                <w:rFonts w:eastAsia="楷体_GB2312"/>
                <w:szCs w:val="21"/>
              </w:rPr>
              <w:t>IV</w:t>
            </w:r>
            <w:r>
              <w:rPr>
                <w:rFonts w:eastAsia="楷体_GB2312"/>
                <w:szCs w:val="21"/>
              </w:rPr>
              <w:fldChar w:fldCharType="end"/>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56</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12</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4</w:t>
            </w:r>
          </w:p>
        </w:tc>
        <w:tc>
          <w:tcPr>
            <w:tcW w:w="501" w:type="dxa"/>
            <w:vAlign w:val="center"/>
          </w:tcPr>
          <w:p>
            <w:pPr>
              <w:autoSpaceDE w:val="0"/>
              <w:autoSpaceDN w:val="0"/>
              <w:adjustRightInd w:val="0"/>
              <w:jc w:val="center"/>
              <w:rPr>
                <w:rFonts w:eastAsia="楷体_GB2312"/>
                <w:szCs w:val="21"/>
              </w:rPr>
            </w:pPr>
            <w:r>
              <w:rPr>
                <w:rFonts w:eastAsia="楷体_GB2312"/>
                <w:szCs w:val="21"/>
              </w:rPr>
              <w:t>4</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ign w:val="center"/>
          </w:tcPr>
          <w:p>
            <w:pPr>
              <w:autoSpaceDE w:val="0"/>
              <w:autoSpaceDN w:val="0"/>
              <w:bidi w:val="0"/>
              <w:adjustRightInd w:val="0"/>
              <w:snapToGrid w:val="0"/>
              <w:jc w:val="both"/>
              <w:rPr>
                <w:rFonts w:eastAsia="楷体_GB2312"/>
                <w:sz w:val="13"/>
                <w:szCs w:val="13"/>
              </w:rPr>
            </w:pPr>
          </w:p>
        </w:tc>
      </w:tr>
      <w:tr>
        <w:tblPrEx>
          <w:jc w:val="center"/>
          <w:tblInd w:w="1362" w:type="dxa"/>
          <w:tblLayout w:type="fixed"/>
          <w:tblCellMar>
            <w:top w:w="0" w:type="dxa"/>
            <w:left w:w="108" w:type="dxa"/>
            <w:bottom w:w="0" w:type="dxa"/>
            <w:right w:w="108" w:type="dxa"/>
          </w:tblCellMar>
          <w:tblLook w:val="0000"/>
        </w:tblPrEx>
        <w:trPr>
          <w:cantSplit/>
          <w:trHeight w:hRule="exact" w:val="501"/>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体育与健康</w:t>
            </w:r>
          </w:p>
        </w:tc>
        <w:tc>
          <w:tcPr>
            <w:tcW w:w="407"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必修课</w:t>
            </w:r>
          </w:p>
        </w:tc>
        <w:tc>
          <w:tcPr>
            <w:tcW w:w="1907" w:type="dxa"/>
            <w:vAlign w:val="center"/>
          </w:tcPr>
          <w:p>
            <w:pPr>
              <w:autoSpaceDE w:val="0"/>
              <w:autoSpaceDN w:val="0"/>
              <w:adjustRightInd w:val="0"/>
              <w:jc w:val="center"/>
              <w:rPr>
                <w:rFonts w:eastAsia="楷体_GB2312"/>
                <w:szCs w:val="21"/>
              </w:rPr>
            </w:pPr>
            <w:r>
              <w:rPr>
                <w:rFonts w:eastAsia="楷体_GB2312"/>
                <w:szCs w:val="21"/>
              </w:rPr>
              <w:t>大学体育I</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28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24</w:t>
            </w:r>
          </w:p>
        </w:tc>
        <w:tc>
          <w:tcPr>
            <w:tcW w:w="470"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szCs w:val="21"/>
              </w:rPr>
            </w:pPr>
            <w:r>
              <w:rPr>
                <w:rFonts w:eastAsia="楷体_GB2312"/>
                <w:szCs w:val="21"/>
              </w:rPr>
              <w:t>1</w:t>
            </w:r>
          </w:p>
        </w:tc>
        <w:tc>
          <w:tcPr>
            <w:tcW w:w="501" w:type="dxa"/>
            <w:vAlign w:val="center"/>
          </w:tcPr>
          <w:p>
            <w:pPr>
              <w:autoSpaceDE w:val="0"/>
              <w:autoSpaceDN w:val="0"/>
              <w:adjustRightInd w:val="0"/>
              <w:jc w:val="center"/>
              <w:rPr>
                <w:rFonts w:eastAsia="楷体_GB2312"/>
                <w:szCs w:val="21"/>
              </w:rPr>
            </w:pPr>
            <w:r>
              <w:rPr>
                <w:rFonts w:eastAsia="楷体_GB2312"/>
                <w:szCs w:val="21"/>
              </w:rPr>
              <w:t>1</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restart"/>
            <w:vAlign w:val="center"/>
          </w:tcPr>
          <w:p>
            <w:pPr>
              <w:autoSpaceDE w:val="0"/>
              <w:autoSpaceDN w:val="0"/>
              <w:bidi w:val="0"/>
              <w:adjustRightInd w:val="0"/>
              <w:snapToGrid w:val="0"/>
              <w:jc w:val="both"/>
              <w:rPr>
                <w:rFonts w:eastAsia="楷体_GB2312"/>
                <w:sz w:val="18"/>
                <w:szCs w:val="18"/>
              </w:rPr>
            </w:pPr>
          </w:p>
        </w:tc>
      </w:tr>
      <w:tr>
        <w:tblPrEx>
          <w:jc w:val="center"/>
          <w:tblInd w:w="1362" w:type="dxa"/>
          <w:tblLayout w:type="fixed"/>
          <w:tblCellMar>
            <w:top w:w="0" w:type="dxa"/>
            <w:left w:w="108" w:type="dxa"/>
            <w:bottom w:w="0" w:type="dxa"/>
            <w:right w:w="108" w:type="dxa"/>
          </w:tblCellMar>
          <w:tblLook w:val="0000"/>
        </w:tblPrEx>
        <w:trPr>
          <w:cantSplit/>
          <w:trHeight w:hRule="exact" w:val="432"/>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大学体育II</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30</w:t>
            </w:r>
          </w:p>
        </w:tc>
        <w:tc>
          <w:tcPr>
            <w:tcW w:w="470"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szCs w:val="21"/>
              </w:rPr>
            </w:pPr>
            <w:r>
              <w:rPr>
                <w:rFonts w:eastAsia="楷体_GB2312"/>
                <w:szCs w:val="21"/>
              </w:rPr>
              <w:t>1</w:t>
            </w:r>
          </w:p>
        </w:tc>
        <w:tc>
          <w:tcPr>
            <w:tcW w:w="501" w:type="dxa"/>
            <w:vAlign w:val="center"/>
          </w:tcPr>
          <w:p>
            <w:pPr>
              <w:autoSpaceDE w:val="0"/>
              <w:autoSpaceDN w:val="0"/>
              <w:adjustRightInd w:val="0"/>
              <w:jc w:val="center"/>
              <w:rPr>
                <w:rFonts w:eastAsia="楷体_GB2312"/>
                <w:szCs w:val="21"/>
              </w:rPr>
            </w:pPr>
            <w:r>
              <w:rPr>
                <w:rFonts w:eastAsia="楷体_GB2312"/>
                <w:szCs w:val="21"/>
              </w:rPr>
              <w:t>1</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ign w:val="center"/>
          </w:tcPr>
          <w:p>
            <w:pPr>
              <w:autoSpaceDE w:val="0"/>
              <w:autoSpaceDN w:val="0"/>
              <w:bidi w:val="0"/>
              <w:adjustRightInd w:val="0"/>
              <w:snapToGrid w:val="0"/>
              <w:jc w:val="both"/>
              <w:rPr>
                <w:rFonts w:eastAsia="楷体_GB2312"/>
                <w:sz w:val="18"/>
                <w:szCs w:val="18"/>
              </w:rPr>
            </w:pPr>
          </w:p>
        </w:tc>
      </w:tr>
      <w:tr>
        <w:tblPrEx>
          <w:jc w:val="center"/>
          <w:tblInd w:w="1362" w:type="dxa"/>
          <w:tblLayout w:type="fixed"/>
          <w:tblCellMar>
            <w:top w:w="0" w:type="dxa"/>
            <w:left w:w="108" w:type="dxa"/>
            <w:bottom w:w="0" w:type="dxa"/>
            <w:right w:w="108" w:type="dxa"/>
          </w:tblCellMar>
          <w:tblLook w:val="0000"/>
        </w:tblPrEx>
        <w:trPr>
          <w:cantSplit/>
          <w:trHeight w:hRule="exact" w:val="439"/>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大学体育</w:t>
            </w:r>
            <w:r>
              <w:rPr>
                <w:rFonts w:eastAsia="楷体_GB2312"/>
                <w:szCs w:val="21"/>
              </w:rPr>
              <w:fldChar w:fldCharType="begin"/>
            </w:r>
            <w:r>
              <w:rPr>
                <w:rFonts w:eastAsia="楷体_GB2312"/>
                <w:szCs w:val="21"/>
              </w:rPr>
              <w:instrText xml:space="preserve"> = 3 \* ROMAN </w:instrText>
            </w:r>
            <w:r>
              <w:rPr>
                <w:rFonts w:eastAsia="楷体_GB2312"/>
                <w:szCs w:val="21"/>
              </w:rPr>
              <w:fldChar w:fldCharType="separate"/>
            </w:r>
            <w:r>
              <w:rPr>
                <w:rFonts w:eastAsia="楷体_GB2312"/>
                <w:szCs w:val="21"/>
              </w:rPr>
              <w:t>III</w:t>
            </w:r>
            <w:r>
              <w:rPr>
                <w:rFonts w:eastAsia="楷体_GB2312"/>
                <w:szCs w:val="21"/>
              </w:rPr>
              <w:fldChar w:fldCharType="end"/>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30</w:t>
            </w:r>
          </w:p>
        </w:tc>
        <w:tc>
          <w:tcPr>
            <w:tcW w:w="470"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szCs w:val="21"/>
              </w:rPr>
            </w:pPr>
            <w:r>
              <w:rPr>
                <w:rFonts w:eastAsia="楷体_GB2312"/>
                <w:szCs w:val="21"/>
              </w:rPr>
              <w:t>1</w:t>
            </w:r>
          </w:p>
        </w:tc>
        <w:tc>
          <w:tcPr>
            <w:tcW w:w="501" w:type="dxa"/>
            <w:vAlign w:val="center"/>
          </w:tcPr>
          <w:p>
            <w:pPr>
              <w:autoSpaceDE w:val="0"/>
              <w:autoSpaceDN w:val="0"/>
              <w:adjustRightInd w:val="0"/>
              <w:jc w:val="center"/>
              <w:rPr>
                <w:rFonts w:eastAsia="楷体_GB2312"/>
                <w:szCs w:val="21"/>
              </w:rPr>
            </w:pPr>
            <w:r>
              <w:rPr>
                <w:rFonts w:eastAsia="楷体_GB2312"/>
                <w:szCs w:val="21"/>
              </w:rPr>
              <w:t>1</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ign w:val="center"/>
          </w:tcPr>
          <w:p>
            <w:pPr>
              <w:autoSpaceDE w:val="0"/>
              <w:autoSpaceDN w:val="0"/>
              <w:bidi w:val="0"/>
              <w:adjustRightInd w:val="0"/>
              <w:snapToGrid w:val="0"/>
              <w:jc w:val="both"/>
              <w:rPr>
                <w:rFonts w:eastAsia="楷体_GB2312"/>
                <w:sz w:val="18"/>
                <w:szCs w:val="18"/>
              </w:rPr>
            </w:pPr>
          </w:p>
        </w:tc>
      </w:tr>
      <w:tr>
        <w:tblPrEx>
          <w:jc w:val="center"/>
          <w:tblInd w:w="1362" w:type="dxa"/>
          <w:tblLayout w:type="fixed"/>
          <w:tblCellMar>
            <w:top w:w="0" w:type="dxa"/>
            <w:left w:w="108" w:type="dxa"/>
            <w:bottom w:w="0" w:type="dxa"/>
            <w:right w:w="108" w:type="dxa"/>
          </w:tblCellMar>
          <w:tblLook w:val="0000"/>
        </w:tblPrEx>
        <w:trPr>
          <w:cantSplit/>
          <w:trHeight w:hRule="exact" w:val="446"/>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大学体育</w:t>
            </w:r>
            <w:r>
              <w:rPr>
                <w:rFonts w:eastAsia="楷体_GB2312"/>
                <w:szCs w:val="21"/>
              </w:rPr>
              <w:fldChar w:fldCharType="begin"/>
            </w:r>
            <w:r>
              <w:rPr>
                <w:rFonts w:eastAsia="楷体_GB2312"/>
                <w:szCs w:val="21"/>
              </w:rPr>
              <w:instrText xml:space="preserve"> = 4 \* ROMAN </w:instrText>
            </w:r>
            <w:r>
              <w:rPr>
                <w:rFonts w:eastAsia="楷体_GB2312"/>
                <w:szCs w:val="21"/>
              </w:rPr>
              <w:fldChar w:fldCharType="separate"/>
            </w:r>
            <w:r>
              <w:rPr>
                <w:rFonts w:eastAsia="楷体_GB2312"/>
                <w:szCs w:val="21"/>
              </w:rPr>
              <w:t>IV</w:t>
            </w:r>
            <w:r>
              <w:rPr>
                <w:rFonts w:eastAsia="楷体_GB2312"/>
                <w:szCs w:val="21"/>
              </w:rPr>
              <w:fldChar w:fldCharType="end"/>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30</w:t>
            </w:r>
          </w:p>
        </w:tc>
        <w:tc>
          <w:tcPr>
            <w:tcW w:w="470"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szCs w:val="21"/>
              </w:rPr>
            </w:pPr>
            <w:r>
              <w:rPr>
                <w:rFonts w:eastAsia="楷体_GB2312"/>
                <w:szCs w:val="21"/>
              </w:rPr>
              <w:t>1</w:t>
            </w:r>
          </w:p>
        </w:tc>
        <w:tc>
          <w:tcPr>
            <w:tcW w:w="501" w:type="dxa"/>
            <w:vAlign w:val="center"/>
          </w:tcPr>
          <w:p>
            <w:pPr>
              <w:autoSpaceDE w:val="0"/>
              <w:autoSpaceDN w:val="0"/>
              <w:adjustRightInd w:val="0"/>
              <w:jc w:val="center"/>
              <w:rPr>
                <w:rFonts w:eastAsia="楷体_GB2312"/>
                <w:szCs w:val="21"/>
              </w:rPr>
            </w:pPr>
            <w:r>
              <w:rPr>
                <w:rFonts w:eastAsia="楷体_GB2312"/>
                <w:szCs w:val="21"/>
              </w:rPr>
              <w:t>1</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Merge/>
            <w:vAlign w:val="center"/>
          </w:tcPr>
          <w:p>
            <w:pPr>
              <w:autoSpaceDE w:val="0"/>
              <w:autoSpaceDN w:val="0"/>
              <w:bidi w:val="0"/>
              <w:adjustRightInd w:val="0"/>
              <w:snapToGrid w:val="0"/>
              <w:jc w:val="both"/>
              <w:rPr>
                <w:rFonts w:eastAsia="楷体_GB2312"/>
                <w:sz w:val="18"/>
                <w:szCs w:val="18"/>
              </w:rPr>
            </w:pPr>
          </w:p>
        </w:tc>
      </w:tr>
      <w:tr>
        <w:tblPrEx>
          <w:jc w:val="center"/>
          <w:tblInd w:w="1362" w:type="dxa"/>
          <w:tblLayout w:type="fixed"/>
          <w:tblCellMar>
            <w:top w:w="0" w:type="dxa"/>
            <w:left w:w="108" w:type="dxa"/>
            <w:bottom w:w="0" w:type="dxa"/>
            <w:right w:w="108" w:type="dxa"/>
          </w:tblCellMar>
          <w:tblLook w:val="0000"/>
        </w:tblPrEx>
        <w:trPr>
          <w:cantSplit/>
          <w:trHeight w:hRule="exact" w:val="423"/>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restart"/>
            <w:vAlign w:val="center"/>
          </w:tcPr>
          <w:p>
            <w:pPr>
              <w:autoSpaceDE w:val="0"/>
              <w:autoSpaceDN w:val="0"/>
              <w:bidi w:val="0"/>
              <w:adjustRightInd w:val="0"/>
              <w:snapToGrid w:val="0"/>
              <w:jc w:val="center"/>
              <w:rPr>
                <w:rFonts w:ascii="楷体_GB2312" w:eastAsia="楷体_GB2312" w:hAnsi="楷体_GB2312" w:hint="eastAsia"/>
                <w:sz w:val="18"/>
                <w:szCs w:val="18"/>
              </w:rPr>
            </w:pPr>
            <w:r>
              <w:rPr>
                <w:rFonts w:ascii="楷体_GB2312" w:eastAsia="楷体_GB2312" w:hAnsi="楷体_GB2312" w:hint="eastAsia"/>
                <w:sz w:val="18"/>
                <w:szCs w:val="18"/>
              </w:rPr>
              <w:t>信息技术基础</w:t>
            </w:r>
          </w:p>
        </w:tc>
        <w:tc>
          <w:tcPr>
            <w:tcW w:w="407"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必修课</w:t>
            </w:r>
          </w:p>
        </w:tc>
        <w:tc>
          <w:tcPr>
            <w:tcW w:w="1907" w:type="dxa"/>
            <w:vAlign w:val="center"/>
          </w:tcPr>
          <w:p>
            <w:pPr>
              <w:autoSpaceDE w:val="0"/>
              <w:autoSpaceDN w:val="0"/>
              <w:adjustRightInd w:val="0"/>
              <w:jc w:val="center"/>
              <w:rPr>
                <w:rFonts w:eastAsia="楷体_GB2312"/>
                <w:szCs w:val="21"/>
              </w:rPr>
            </w:pPr>
            <w:r>
              <w:rPr>
                <w:rFonts w:eastAsia="楷体_GB2312"/>
                <w:szCs w:val="21"/>
              </w:rPr>
              <w:t>大学计算机基础</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3</w:t>
            </w:r>
          </w:p>
        </w:tc>
        <w:tc>
          <w:tcPr>
            <w:tcW w:w="501" w:type="dxa"/>
            <w:vAlign w:val="center"/>
          </w:tcPr>
          <w:p>
            <w:pPr>
              <w:autoSpaceDE w:val="0"/>
              <w:autoSpaceDN w:val="0"/>
              <w:adjustRightInd w:val="0"/>
              <w:jc w:val="center"/>
              <w:rPr>
                <w:rFonts w:eastAsia="楷体_GB2312"/>
                <w:szCs w:val="21"/>
              </w:rPr>
            </w:pPr>
            <w:r>
              <w:rPr>
                <w:rFonts w:eastAsia="楷体_GB2312"/>
                <w:szCs w:val="21"/>
              </w:rPr>
              <w:t>2</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Align w:val="center"/>
          </w:tcPr>
          <w:p>
            <w:pPr>
              <w:autoSpaceDE w:val="0"/>
              <w:autoSpaceDN w:val="0"/>
              <w:adjustRightInd w:val="0"/>
              <w:spacing w:line="240" w:lineRule="exact"/>
              <w:jc w:val="center"/>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478"/>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adjustRightIn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 w:val="18"/>
                <w:szCs w:val="18"/>
              </w:rPr>
            </w:pPr>
          </w:p>
        </w:tc>
        <w:tc>
          <w:tcPr>
            <w:tcW w:w="1907" w:type="dxa"/>
            <w:vAlign w:val="center"/>
          </w:tcPr>
          <w:p>
            <w:pPr>
              <w:autoSpaceDE w:val="0"/>
              <w:autoSpaceDN w:val="0"/>
              <w:adjustRightInd w:val="0"/>
              <w:jc w:val="center"/>
              <w:rPr>
                <w:rFonts w:eastAsia="楷体_GB2312"/>
                <w:sz w:val="18"/>
                <w:szCs w:val="18"/>
              </w:rPr>
            </w:pPr>
            <w:r>
              <w:rPr>
                <w:rFonts w:eastAsia="楷体_GB2312"/>
                <w:sz w:val="18"/>
                <w:szCs w:val="18"/>
              </w:rPr>
              <w:t>数据库基础及应用</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3</w:t>
            </w:r>
          </w:p>
        </w:tc>
        <w:tc>
          <w:tcPr>
            <w:tcW w:w="501" w:type="dxa"/>
            <w:vAlign w:val="center"/>
          </w:tcPr>
          <w:p>
            <w:pPr>
              <w:autoSpaceDE w:val="0"/>
              <w:autoSpaceDN w:val="0"/>
              <w:adjustRightInd w:val="0"/>
              <w:jc w:val="center"/>
              <w:rPr>
                <w:rFonts w:eastAsia="楷体_GB2312"/>
                <w:szCs w:val="21"/>
              </w:rPr>
            </w:pPr>
            <w:r>
              <w:rPr>
                <w:rFonts w:eastAsia="楷体_GB2312"/>
                <w:szCs w:val="21"/>
              </w:rPr>
              <w:t>3</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Align w:val="center"/>
          </w:tcPr>
          <w:p>
            <w:pPr>
              <w:autoSpaceDE w:val="0"/>
              <w:autoSpaceDN w:val="0"/>
              <w:adjustRightInd w:val="0"/>
              <w:spacing w:line="200" w:lineRule="exact"/>
              <w:jc w:val="center"/>
              <w:rPr>
                <w:rFonts w:eastAsia="楷体_GB2312"/>
                <w:sz w:val="15"/>
                <w:szCs w:val="15"/>
              </w:rPr>
            </w:pPr>
            <w:r>
              <w:rPr>
                <w:rFonts w:eastAsia="楷体_GB2312"/>
                <w:sz w:val="15"/>
                <w:szCs w:val="15"/>
              </w:rPr>
              <w:t>文科艺体</w:t>
            </w:r>
          </w:p>
        </w:tc>
      </w:tr>
      <w:tr>
        <w:tblPrEx>
          <w:jc w:val="center"/>
          <w:tblInd w:w="1362" w:type="dxa"/>
          <w:tblLayout w:type="fixed"/>
          <w:tblCellMar>
            <w:top w:w="0" w:type="dxa"/>
            <w:left w:w="108" w:type="dxa"/>
            <w:bottom w:w="0" w:type="dxa"/>
            <w:right w:w="108" w:type="dxa"/>
          </w:tblCellMar>
          <w:tblLook w:val="0000"/>
        </w:tblPrEx>
        <w:trPr>
          <w:cantSplit/>
          <w:trHeight w:hRule="exact" w:val="586"/>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Merge/>
            <w:vAlign w:val="center"/>
          </w:tcPr>
          <w:p>
            <w:pPr>
              <w:autoSpaceDE w:val="0"/>
              <w:autoSpaceDN w:val="0"/>
              <w:adjustRightInd w:val="0"/>
              <w:jc w:val="center"/>
              <w:rPr>
                <w:rFonts w:ascii="楷体_GB2312" w:eastAsia="楷体_GB2312" w:hAnsi="楷体_GB2312" w:hint="eastAsia"/>
                <w:szCs w:val="21"/>
              </w:rPr>
            </w:pPr>
          </w:p>
        </w:tc>
        <w:tc>
          <w:tcPr>
            <w:tcW w:w="407" w:type="dxa"/>
            <w:vMerge/>
          </w:tcPr>
          <w:p>
            <w:pPr>
              <w:autoSpaceDE w:val="0"/>
              <w:autoSpaceDN w:val="0"/>
              <w:adjustRightInd w:val="0"/>
              <w:jc w:val="center"/>
              <w:rPr>
                <w:rFonts w:ascii="楷体_GB2312" w:eastAsia="楷体_GB2312" w:hAnsi="楷体_GB2312" w:hint="eastAsia"/>
                <w:sz w:val="15"/>
                <w:szCs w:val="15"/>
              </w:rPr>
            </w:pPr>
          </w:p>
        </w:tc>
        <w:tc>
          <w:tcPr>
            <w:tcW w:w="1907" w:type="dxa"/>
            <w:vAlign w:val="center"/>
          </w:tcPr>
          <w:p>
            <w:pPr>
              <w:autoSpaceDE w:val="0"/>
              <w:autoSpaceDN w:val="0"/>
              <w:adjustRightInd w:val="0"/>
              <w:jc w:val="center"/>
              <w:rPr>
                <w:rFonts w:eastAsia="楷体_GB2312"/>
                <w:sz w:val="18"/>
                <w:szCs w:val="18"/>
              </w:rPr>
            </w:pPr>
            <w:r>
              <w:rPr>
                <w:rFonts w:eastAsia="楷体_GB2312"/>
                <w:sz w:val="18"/>
                <w:szCs w:val="18"/>
              </w:rPr>
              <w:t>计算机程序设计基础</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68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34</w:t>
            </w:r>
          </w:p>
        </w:tc>
        <w:tc>
          <w:tcPr>
            <w:tcW w:w="470" w:type="dxa"/>
            <w:vAlign w:val="center"/>
          </w:tcPr>
          <w:p>
            <w:pPr>
              <w:autoSpaceDE w:val="0"/>
              <w:autoSpaceDN w:val="0"/>
              <w:adjustRightInd w:val="0"/>
              <w:jc w:val="center"/>
              <w:rPr>
                <w:rFonts w:eastAsia="楷体_GB2312"/>
                <w:szCs w:val="21"/>
              </w:rPr>
            </w:pPr>
            <w:r>
              <w:rPr>
                <w:rFonts w:eastAsia="楷体_GB2312"/>
                <w:szCs w:val="21"/>
              </w:rPr>
              <w:t>4</w:t>
            </w:r>
          </w:p>
        </w:tc>
        <w:tc>
          <w:tcPr>
            <w:tcW w:w="568" w:type="dxa"/>
            <w:vAlign w:val="center"/>
          </w:tcPr>
          <w:p>
            <w:pPr>
              <w:autoSpaceDE w:val="0"/>
              <w:autoSpaceDN w:val="0"/>
              <w:adjustRightInd w:val="0"/>
              <w:jc w:val="center"/>
              <w:rPr>
                <w:rFonts w:eastAsia="楷体_GB2312"/>
                <w:szCs w:val="21"/>
              </w:rPr>
            </w:pPr>
            <w:r>
              <w:rPr>
                <w:rFonts w:eastAsia="楷体_GB2312"/>
                <w:szCs w:val="21"/>
              </w:rPr>
              <w:t>3</w:t>
            </w:r>
          </w:p>
        </w:tc>
        <w:tc>
          <w:tcPr>
            <w:tcW w:w="501" w:type="dxa"/>
            <w:vAlign w:val="center"/>
          </w:tcPr>
          <w:p>
            <w:pPr>
              <w:autoSpaceDE w:val="0"/>
              <w:autoSpaceDN w:val="0"/>
              <w:adjustRightInd w:val="0"/>
              <w:jc w:val="center"/>
              <w:rPr>
                <w:rFonts w:eastAsia="楷体_GB2312"/>
                <w:szCs w:val="21"/>
              </w:rPr>
            </w:pPr>
            <w:r>
              <w:rPr>
                <w:rFonts w:eastAsia="楷体_GB2312"/>
                <w:szCs w:val="21"/>
              </w:rPr>
              <w:t>3</w:t>
            </w:r>
          </w:p>
        </w:tc>
        <w:tc>
          <w:tcPr>
            <w:tcW w:w="424" w:type="dxa"/>
            <w:vAlign w:val="center"/>
          </w:tcPr>
          <w:p>
            <w:pPr>
              <w:autoSpaceDE w:val="0"/>
              <w:autoSpaceDN w:val="0"/>
              <w:adjustRightInd w:val="0"/>
              <w:jc w:val="center"/>
              <w:rPr>
                <w:rFonts w:eastAsia="楷体_GB2312"/>
                <w:szCs w:val="21"/>
              </w:rPr>
            </w:pPr>
            <w:r>
              <w:rPr>
                <w:rFonts w:eastAsia="楷体_GB2312"/>
                <w:szCs w:val="21"/>
              </w:rPr>
              <w:t>1</w:t>
            </w:r>
          </w:p>
        </w:tc>
        <w:tc>
          <w:tcPr>
            <w:tcW w:w="568" w:type="dxa"/>
            <w:vAlign w:val="center"/>
          </w:tcPr>
          <w:p>
            <w:pPr>
              <w:autoSpaceDE w:val="0"/>
              <w:autoSpaceDN w:val="0"/>
              <w:adjustRightInd w:val="0"/>
              <w:spacing w:line="240" w:lineRule="exact"/>
              <w:jc w:val="center"/>
              <w:rPr>
                <w:rFonts w:eastAsia="楷体_GB2312"/>
                <w:sz w:val="18"/>
                <w:szCs w:val="18"/>
              </w:rPr>
            </w:pPr>
            <w:r>
              <w:rPr>
                <w:rFonts w:eastAsia="楷体_GB2312"/>
                <w:sz w:val="18"/>
                <w:szCs w:val="18"/>
              </w:rPr>
              <w:t>理工</w:t>
            </w:r>
          </w:p>
        </w:tc>
      </w:tr>
      <w:tr>
        <w:tblPrEx>
          <w:jc w:val="center"/>
          <w:tblInd w:w="1362" w:type="dxa"/>
          <w:tblLayout w:type="fixed"/>
          <w:tblCellMar>
            <w:top w:w="0" w:type="dxa"/>
            <w:left w:w="108" w:type="dxa"/>
            <w:bottom w:w="0" w:type="dxa"/>
            <w:right w:w="108" w:type="dxa"/>
          </w:tblCellMar>
          <w:tblLook w:val="0000"/>
        </w:tblPrEx>
        <w:trPr>
          <w:cantSplit/>
          <w:trHeight w:hRule="exact" w:val="464"/>
          <w:jc w:val="center"/>
        </w:trPr>
        <w:tc>
          <w:tcPr>
            <w:tcW w:w="390" w:type="dxa"/>
            <w:vMerge/>
            <w:vAlign w:val="center"/>
          </w:tcPr>
          <w:p>
            <w:pPr>
              <w:autoSpaceDE w:val="0"/>
              <w:autoSpaceDN w:val="0"/>
              <w:adjustRightInd w:val="0"/>
              <w:jc w:val="center"/>
              <w:rPr>
                <w:rFonts w:ascii="楷体_GB2312" w:eastAsia="楷体_GB2312" w:hAnsi="楷体_GB2312" w:hint="eastAsia"/>
                <w:szCs w:val="21"/>
              </w:rPr>
            </w:pPr>
          </w:p>
        </w:tc>
        <w:tc>
          <w:tcPr>
            <w:tcW w:w="425" w:type="dxa"/>
            <w:vAlign w:val="center"/>
          </w:tcPr>
          <w:p>
            <w:pPr>
              <w:autoSpaceDE w:val="0"/>
              <w:autoSpaceDN w:val="0"/>
              <w:adjustRightInd w:val="0"/>
              <w:jc w:val="center"/>
              <w:rPr>
                <w:rFonts w:ascii="楷体_GB2312" w:eastAsia="楷体_GB2312" w:hAnsi="楷体_GB2312" w:hint="eastAsia"/>
                <w:sz w:val="15"/>
                <w:szCs w:val="15"/>
              </w:rPr>
            </w:pPr>
          </w:p>
        </w:tc>
        <w:tc>
          <w:tcPr>
            <w:tcW w:w="407" w:type="dxa"/>
            <w:vAlign w:val="center"/>
          </w:tcPr>
          <w:p>
            <w:pPr>
              <w:autoSpaceDE w:val="0"/>
              <w:autoSpaceDN w:val="0"/>
              <w:adjustRightInd w:val="0"/>
              <w:jc w:val="center"/>
              <w:rPr>
                <w:rFonts w:ascii="楷体_GB2312" w:eastAsia="楷体_GB2312" w:hAnsi="楷体_GB2312" w:hint="eastAsia"/>
                <w:sz w:val="18"/>
                <w:szCs w:val="18"/>
              </w:rPr>
            </w:pPr>
            <w:r>
              <w:rPr>
                <w:rFonts w:ascii="楷体_GB2312" w:eastAsia="楷体_GB2312" w:hAnsi="楷体_GB2312" w:hint="eastAsia"/>
                <w:sz w:val="18"/>
                <w:szCs w:val="18"/>
              </w:rPr>
              <w:t>必</w:t>
            </w:r>
          </w:p>
        </w:tc>
        <w:tc>
          <w:tcPr>
            <w:tcW w:w="1907" w:type="dxa"/>
            <w:vAlign w:val="center"/>
          </w:tcPr>
          <w:p>
            <w:pPr>
              <w:autoSpaceDE w:val="0"/>
              <w:autoSpaceDN w:val="0"/>
              <w:adjustRightInd w:val="0"/>
              <w:jc w:val="center"/>
              <w:rPr>
                <w:rFonts w:eastAsia="楷体_GB2312"/>
                <w:sz w:val="13"/>
                <w:szCs w:val="13"/>
              </w:rPr>
            </w:pPr>
            <w:r>
              <w:rPr>
                <w:rFonts w:eastAsia="楷体_GB2312"/>
                <w:sz w:val="13"/>
                <w:szCs w:val="13"/>
              </w:rPr>
              <w:t>大学生职业规划与就业指导</w:t>
            </w:r>
          </w:p>
        </w:tc>
        <w:tc>
          <w:tcPr>
            <w:tcW w:w="1140" w:type="dxa"/>
            <w:vAlign w:val="center"/>
          </w:tcPr>
          <w:p>
            <w:pPr>
              <w:autoSpaceDE w:val="0"/>
              <w:autoSpaceDN w:val="0"/>
              <w:adjustRightInd w:val="0"/>
              <w:jc w:val="center"/>
              <w:rPr>
                <w:rFonts w:eastAsia="楷体_GB2312"/>
                <w:szCs w:val="21"/>
              </w:rPr>
            </w:pP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17</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17</w:t>
            </w:r>
          </w:p>
        </w:tc>
        <w:tc>
          <w:tcPr>
            <w:tcW w:w="666" w:type="dxa"/>
            <w:vAlign w:val="center"/>
          </w:tcPr>
          <w:p>
            <w:pPr>
              <w:autoSpaceDE w:val="0"/>
              <w:autoSpaceDN w:val="0"/>
              <w:adjustRightInd w:val="0"/>
              <w:jc w:val="center"/>
              <w:rPr>
                <w:rFonts w:eastAsia="楷体_GB2312"/>
                <w:color w:val="FF0000"/>
                <w:szCs w:val="21"/>
              </w:rPr>
            </w:pPr>
          </w:p>
        </w:tc>
        <w:tc>
          <w:tcPr>
            <w:tcW w:w="470" w:type="dxa"/>
            <w:vAlign w:val="center"/>
          </w:tcPr>
          <w:p>
            <w:pPr>
              <w:autoSpaceDE w:val="0"/>
              <w:autoSpaceDN w:val="0"/>
              <w:adjustRightInd w:val="0"/>
              <w:jc w:val="center"/>
              <w:rPr>
                <w:rFonts w:eastAsia="楷体_GB2312"/>
                <w:szCs w:val="21"/>
              </w:rPr>
            </w:pPr>
          </w:p>
        </w:tc>
        <w:tc>
          <w:tcPr>
            <w:tcW w:w="568" w:type="dxa"/>
            <w:vAlign w:val="center"/>
          </w:tcPr>
          <w:p>
            <w:pPr>
              <w:autoSpaceDE w:val="0"/>
              <w:autoSpaceDN w:val="0"/>
              <w:adjustRightInd w:val="0"/>
              <w:jc w:val="center"/>
              <w:rPr>
                <w:rFonts w:eastAsia="楷体_GB2312"/>
                <w:szCs w:val="21"/>
              </w:rPr>
            </w:pPr>
            <w:r>
              <w:rPr>
                <w:rFonts w:eastAsia="楷体_GB2312"/>
                <w:szCs w:val="21"/>
              </w:rPr>
              <w:t>1</w:t>
            </w:r>
          </w:p>
        </w:tc>
        <w:tc>
          <w:tcPr>
            <w:tcW w:w="501" w:type="dxa"/>
            <w:vAlign w:val="center"/>
          </w:tcPr>
          <w:p>
            <w:pPr>
              <w:autoSpaceDE w:val="0"/>
              <w:autoSpaceDN w:val="0"/>
              <w:adjustRightInd w:val="0"/>
              <w:jc w:val="center"/>
              <w:rPr>
                <w:rFonts w:eastAsia="楷体_GB2312"/>
                <w:szCs w:val="21"/>
              </w:rPr>
            </w:pPr>
            <w:r>
              <w:rPr>
                <w:rFonts w:eastAsia="楷体_GB2312"/>
                <w:szCs w:val="21"/>
              </w:rPr>
              <w:t>1-8</w:t>
            </w:r>
          </w:p>
        </w:tc>
        <w:tc>
          <w:tcPr>
            <w:tcW w:w="424" w:type="dxa"/>
            <w:vAlign w:val="center"/>
          </w:tcPr>
          <w:p>
            <w:pPr>
              <w:autoSpaceDE w:val="0"/>
              <w:autoSpaceDN w:val="0"/>
              <w:adjustRightInd w:val="0"/>
              <w:jc w:val="center"/>
              <w:rPr>
                <w:rFonts w:eastAsia="楷体_GB2312"/>
                <w:szCs w:val="21"/>
              </w:rPr>
            </w:pPr>
            <w:r>
              <w:rPr>
                <w:rFonts w:eastAsia="楷体_GB2312"/>
                <w:szCs w:val="21"/>
              </w:rPr>
              <w:t>2</w:t>
            </w:r>
          </w:p>
        </w:tc>
        <w:tc>
          <w:tcPr>
            <w:tcW w:w="568" w:type="dxa"/>
            <w:vAlign w:val="center"/>
          </w:tcPr>
          <w:p>
            <w:pPr>
              <w:autoSpaceDE w:val="0"/>
              <w:autoSpaceDN w:val="0"/>
              <w:adjustRightInd w:val="0"/>
              <w:jc w:val="center"/>
              <w:rPr>
                <w:rFonts w:eastAsia="楷体_GB2312"/>
                <w:color w:val="FF0000"/>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377"/>
          <w:jc w:val="center"/>
        </w:trPr>
        <w:tc>
          <w:tcPr>
            <w:tcW w:w="815" w:type="dxa"/>
            <w:gridSpan w:val="2"/>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跨学科课程群</w:t>
            </w:r>
          </w:p>
        </w:tc>
        <w:tc>
          <w:tcPr>
            <w:tcW w:w="407"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选修课</w:t>
            </w:r>
          </w:p>
        </w:tc>
        <w:tc>
          <w:tcPr>
            <w:tcW w:w="1907" w:type="dxa"/>
            <w:vAlign w:val="center"/>
          </w:tcPr>
          <w:p>
            <w:pPr>
              <w:autoSpaceDE w:val="0"/>
              <w:autoSpaceDN w:val="0"/>
              <w:adjustRightInd w:val="0"/>
              <w:jc w:val="center"/>
              <w:rPr>
                <w:rFonts w:eastAsia="楷体_GB2312"/>
                <w:szCs w:val="21"/>
              </w:rPr>
            </w:pPr>
            <w:r>
              <w:rPr>
                <w:rFonts w:eastAsia="楷体_GB2312"/>
                <w:szCs w:val="21"/>
              </w:rPr>
              <w:t>社会科学</w:t>
            </w:r>
          </w:p>
        </w:tc>
        <w:tc>
          <w:tcPr>
            <w:tcW w:w="1140" w:type="dxa"/>
            <w:vMerge w:val="restart"/>
            <w:vAlign w:val="center"/>
          </w:tcPr>
          <w:p>
            <w:pPr>
              <w:autoSpaceDE w:val="0"/>
              <w:autoSpaceDN w:val="0"/>
              <w:adjustRightInd w:val="0"/>
              <w:jc w:val="center"/>
              <w:rPr>
                <w:rFonts w:eastAsia="楷体_GB2312"/>
                <w:szCs w:val="21"/>
              </w:rPr>
            </w:pPr>
          </w:p>
        </w:tc>
        <w:tc>
          <w:tcPr>
            <w:tcW w:w="564" w:type="dxa"/>
            <w:vMerge w:val="restart"/>
            <w:vAlign w:val="center"/>
          </w:tcPr>
          <w:p>
            <w:pPr>
              <w:autoSpaceDE w:val="0"/>
              <w:autoSpaceDN w:val="0"/>
              <w:adjustRightInd w:val="0"/>
              <w:jc w:val="center"/>
              <w:rPr>
                <w:rFonts w:eastAsia="楷体_GB2312"/>
                <w:color w:val="FF0000"/>
                <w:szCs w:val="21"/>
              </w:rPr>
            </w:pPr>
            <w:r>
              <w:rPr>
                <w:rFonts w:eastAsia="楷体_GB2312"/>
                <w:color w:val="FF0000"/>
                <w:szCs w:val="21"/>
              </w:rPr>
              <w:t>102</w:t>
            </w:r>
          </w:p>
        </w:tc>
        <w:tc>
          <w:tcPr>
            <w:tcW w:w="3832" w:type="dxa"/>
            <w:gridSpan w:val="7"/>
            <w:vMerge w:val="restart"/>
            <w:vAlign w:val="center"/>
          </w:tcPr>
          <w:p>
            <w:pPr>
              <w:widowControl/>
              <w:bidi w:val="0"/>
              <w:snapToGrid w:val="0"/>
              <w:jc w:val="both"/>
              <w:rPr>
                <w:rFonts w:eastAsia="楷体_GB2312"/>
                <w:color w:val="FF0000"/>
                <w:szCs w:val="21"/>
              </w:rPr>
            </w:pPr>
            <w:r>
              <w:rPr>
                <w:rFonts w:eastAsia="楷体_GB2312"/>
                <w:sz w:val="18"/>
                <w:szCs w:val="18"/>
              </w:rPr>
              <w:t>安排在2-6学期开设。学生必须从每一个系列中至少选修2个学分的课程。文科学生至少选修科学技术系列2个学分课程，理工科学生至少在社会科学系列选修2个学分课程。学生选修非本专业选修课的学分数不低于6学分。</w:t>
            </w:r>
            <w:r>
              <w:rPr>
                <w:rFonts w:eastAsia="楷体_GB2312"/>
                <w:color w:val="FF0000"/>
                <w:szCs w:val="21"/>
              </w:rPr>
              <w:t xml:space="preserve"> </w:t>
            </w:r>
          </w:p>
        </w:tc>
      </w:tr>
      <w:tr>
        <w:tblPrEx>
          <w:jc w:val="center"/>
          <w:tblInd w:w="1362" w:type="dxa"/>
          <w:tblLayout w:type="fixed"/>
          <w:tblCellMar>
            <w:top w:w="0" w:type="dxa"/>
            <w:left w:w="108" w:type="dxa"/>
            <w:bottom w:w="0" w:type="dxa"/>
            <w:right w:w="108" w:type="dxa"/>
          </w:tblCellMar>
          <w:tblLook w:val="0000"/>
        </w:tblPrEx>
        <w:trPr>
          <w:cantSplit/>
          <w:trHeight w:val="460"/>
          <w:jc w:val="center"/>
        </w:trPr>
        <w:tc>
          <w:tcPr>
            <w:tcW w:w="815" w:type="dxa"/>
            <w:gridSpan w:val="2"/>
            <w:vMerge/>
            <w:vAlign w:val="center"/>
          </w:tcPr>
          <w:p>
            <w:pPr>
              <w:autoSpaceDE w:val="0"/>
              <w:autoSpaceDN w:val="0"/>
              <w:adjustRightInd w:val="0"/>
              <w:jc w:val="center"/>
              <w:rPr>
                <w:rFonts w:ascii="楷体_GB2312" w:eastAsia="楷体_GB2312" w:hAnsi="楷体_GB2312" w:hint="eastAsia"/>
                <w:szCs w:val="21"/>
              </w:rPr>
            </w:pPr>
          </w:p>
        </w:tc>
        <w:tc>
          <w:tcPr>
            <w:tcW w:w="407" w:type="dxa"/>
            <w:vMerge/>
            <w:vAlign w:val="center"/>
          </w:tcPr>
          <w:p>
            <w:pPr>
              <w:autoSpaceDE w:val="0"/>
              <w:autoSpaceDN w:val="0"/>
              <w:adjustRightInd w:val="0"/>
              <w:jc w:val="center"/>
              <w:rPr>
                <w:rFonts w:ascii="楷体_GB2312" w:eastAsia="楷体_GB2312" w:hAnsi="楷体_GB2312" w:hint="eastAsia"/>
                <w:szCs w:val="21"/>
              </w:rPr>
            </w:pPr>
          </w:p>
        </w:tc>
        <w:tc>
          <w:tcPr>
            <w:tcW w:w="1907" w:type="dxa"/>
            <w:tcBorders>
              <w:bottom w:val="single" w:sz="4" w:space="0" w:color="auto"/>
            </w:tcBorders>
            <w:vAlign w:val="center"/>
          </w:tcPr>
          <w:p>
            <w:pPr>
              <w:autoSpaceDE w:val="0"/>
              <w:autoSpaceDN w:val="0"/>
              <w:adjustRightInd w:val="0"/>
              <w:jc w:val="center"/>
              <w:rPr>
                <w:rFonts w:eastAsia="楷体_GB2312"/>
                <w:szCs w:val="21"/>
              </w:rPr>
            </w:pPr>
            <w:r>
              <w:rPr>
                <w:rFonts w:eastAsia="楷体_GB2312"/>
                <w:szCs w:val="21"/>
              </w:rPr>
              <w:t>自然科学</w:t>
            </w:r>
          </w:p>
        </w:tc>
        <w:tc>
          <w:tcPr>
            <w:tcW w:w="1140" w:type="dxa"/>
            <w:vMerge/>
            <w:tcBorders>
              <w:bottom w:val="single" w:sz="4" w:space="0" w:color="auto"/>
            </w:tcBorders>
            <w:vAlign w:val="center"/>
          </w:tcPr>
          <w:p>
            <w:pPr>
              <w:autoSpaceDE w:val="0"/>
              <w:autoSpaceDN w:val="0"/>
              <w:adjustRightInd w:val="0"/>
              <w:jc w:val="center"/>
              <w:rPr>
                <w:rFonts w:eastAsia="楷体_GB2312"/>
                <w:szCs w:val="21"/>
              </w:rPr>
            </w:pPr>
          </w:p>
        </w:tc>
        <w:tc>
          <w:tcPr>
            <w:tcW w:w="564" w:type="dxa"/>
            <w:vMerge/>
            <w:tcBorders>
              <w:bottom w:val="single" w:sz="4" w:space="0" w:color="auto"/>
            </w:tcBorders>
            <w:vAlign w:val="center"/>
          </w:tcPr>
          <w:p>
            <w:pPr>
              <w:autoSpaceDE w:val="0"/>
              <w:autoSpaceDN w:val="0"/>
              <w:adjustRightInd w:val="0"/>
              <w:jc w:val="center"/>
              <w:rPr>
                <w:rFonts w:eastAsia="楷体_GB2312"/>
                <w:szCs w:val="21"/>
              </w:rPr>
            </w:pPr>
          </w:p>
        </w:tc>
        <w:tc>
          <w:tcPr>
            <w:tcW w:w="3832" w:type="dxa"/>
            <w:gridSpan w:val="7"/>
            <w:vMerge/>
          </w:tcPr>
          <w:p>
            <w:pPr>
              <w:widowControl/>
              <w:jc w:val="left"/>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445"/>
          <w:jc w:val="center"/>
        </w:trPr>
        <w:tc>
          <w:tcPr>
            <w:tcW w:w="815" w:type="dxa"/>
            <w:gridSpan w:val="2"/>
            <w:vMerge/>
            <w:vAlign w:val="center"/>
          </w:tcPr>
          <w:p>
            <w:pPr>
              <w:autoSpaceDE w:val="0"/>
              <w:autoSpaceDN w:val="0"/>
              <w:adjustRightInd w:val="0"/>
              <w:jc w:val="center"/>
              <w:rPr>
                <w:rFonts w:ascii="楷体_GB2312" w:eastAsia="楷体_GB2312" w:hAnsi="楷体_GB2312" w:hint="eastAsia"/>
                <w:szCs w:val="21"/>
              </w:rPr>
            </w:pPr>
          </w:p>
        </w:tc>
        <w:tc>
          <w:tcPr>
            <w:tcW w:w="407" w:type="dxa"/>
            <w:vMerge/>
            <w:vAlign w:val="center"/>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人文科学</w:t>
            </w:r>
          </w:p>
        </w:tc>
        <w:tc>
          <w:tcPr>
            <w:tcW w:w="1140" w:type="dxa"/>
            <w:vMerge/>
            <w:vAlign w:val="center"/>
          </w:tcPr>
          <w:p>
            <w:pPr>
              <w:autoSpaceDE w:val="0"/>
              <w:autoSpaceDN w:val="0"/>
              <w:adjustRightInd w:val="0"/>
              <w:jc w:val="center"/>
              <w:rPr>
                <w:rFonts w:eastAsia="楷体_GB2312"/>
                <w:szCs w:val="21"/>
              </w:rPr>
            </w:pPr>
          </w:p>
        </w:tc>
        <w:tc>
          <w:tcPr>
            <w:tcW w:w="564" w:type="dxa"/>
            <w:vMerge/>
            <w:vAlign w:val="center"/>
          </w:tcPr>
          <w:p>
            <w:pPr>
              <w:autoSpaceDE w:val="0"/>
              <w:autoSpaceDN w:val="0"/>
              <w:adjustRightInd w:val="0"/>
              <w:jc w:val="center"/>
              <w:rPr>
                <w:rFonts w:eastAsia="楷体_GB2312"/>
                <w:szCs w:val="21"/>
              </w:rPr>
            </w:pPr>
          </w:p>
        </w:tc>
        <w:tc>
          <w:tcPr>
            <w:tcW w:w="3832" w:type="dxa"/>
            <w:gridSpan w:val="7"/>
            <w:vMerge/>
          </w:tcPr>
          <w:p>
            <w:pPr>
              <w:widowControl/>
              <w:jc w:val="left"/>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429"/>
          <w:jc w:val="center"/>
        </w:trPr>
        <w:tc>
          <w:tcPr>
            <w:tcW w:w="815" w:type="dxa"/>
            <w:gridSpan w:val="2"/>
            <w:vMerge/>
            <w:vAlign w:val="center"/>
          </w:tcPr>
          <w:p>
            <w:pPr>
              <w:autoSpaceDE w:val="0"/>
              <w:autoSpaceDN w:val="0"/>
              <w:adjustRightInd w:val="0"/>
              <w:jc w:val="center"/>
              <w:rPr>
                <w:rFonts w:ascii="楷体_GB2312" w:eastAsia="楷体_GB2312" w:hAnsi="楷体_GB2312" w:hint="eastAsia"/>
                <w:szCs w:val="21"/>
              </w:rPr>
            </w:pPr>
          </w:p>
        </w:tc>
        <w:tc>
          <w:tcPr>
            <w:tcW w:w="407" w:type="dxa"/>
            <w:vMerge/>
            <w:vAlign w:val="center"/>
          </w:tcPr>
          <w:p>
            <w:pPr>
              <w:autoSpaceDE w:val="0"/>
              <w:autoSpaceDN w:val="0"/>
              <w:adjustRightInd w:val="0"/>
              <w:jc w:val="center"/>
              <w:rPr>
                <w:rFonts w:ascii="楷体_GB2312" w:eastAsia="楷体_GB2312" w:hAnsi="楷体_GB2312" w:hint="eastAsia"/>
                <w:szCs w:val="21"/>
              </w:rPr>
            </w:pPr>
          </w:p>
        </w:tc>
        <w:tc>
          <w:tcPr>
            <w:tcW w:w="1907" w:type="dxa"/>
            <w:vAlign w:val="center"/>
          </w:tcPr>
          <w:p>
            <w:pPr>
              <w:autoSpaceDE w:val="0"/>
              <w:autoSpaceDN w:val="0"/>
              <w:adjustRightInd w:val="0"/>
              <w:jc w:val="center"/>
              <w:rPr>
                <w:rFonts w:eastAsia="楷体_GB2312"/>
                <w:szCs w:val="21"/>
              </w:rPr>
            </w:pPr>
            <w:r>
              <w:rPr>
                <w:rFonts w:eastAsia="楷体_GB2312"/>
                <w:szCs w:val="21"/>
              </w:rPr>
              <w:t>艺术修养</w:t>
            </w:r>
          </w:p>
        </w:tc>
        <w:tc>
          <w:tcPr>
            <w:tcW w:w="1140" w:type="dxa"/>
            <w:vMerge/>
            <w:vAlign w:val="center"/>
          </w:tcPr>
          <w:p>
            <w:pPr>
              <w:autoSpaceDE w:val="0"/>
              <w:autoSpaceDN w:val="0"/>
              <w:adjustRightInd w:val="0"/>
              <w:jc w:val="center"/>
              <w:rPr>
                <w:rFonts w:eastAsia="楷体_GB2312"/>
                <w:szCs w:val="21"/>
              </w:rPr>
            </w:pPr>
          </w:p>
        </w:tc>
        <w:tc>
          <w:tcPr>
            <w:tcW w:w="564" w:type="dxa"/>
            <w:vMerge/>
            <w:vAlign w:val="center"/>
          </w:tcPr>
          <w:p>
            <w:pPr>
              <w:autoSpaceDE w:val="0"/>
              <w:autoSpaceDN w:val="0"/>
              <w:adjustRightInd w:val="0"/>
              <w:jc w:val="center"/>
              <w:rPr>
                <w:rFonts w:eastAsia="楷体_GB2312"/>
                <w:szCs w:val="21"/>
              </w:rPr>
            </w:pPr>
          </w:p>
        </w:tc>
        <w:tc>
          <w:tcPr>
            <w:tcW w:w="3832" w:type="dxa"/>
            <w:gridSpan w:val="7"/>
            <w:vMerge/>
          </w:tcPr>
          <w:p>
            <w:pPr>
              <w:widowControl/>
              <w:jc w:val="left"/>
              <w:rPr>
                <w:rFonts w:eastAsia="楷体_GB2312"/>
                <w:szCs w:val="21"/>
              </w:rPr>
            </w:pPr>
          </w:p>
        </w:tc>
      </w:tr>
      <w:tr>
        <w:tblPrEx>
          <w:jc w:val="center"/>
          <w:tblInd w:w="1362" w:type="dxa"/>
          <w:tblLayout w:type="fixed"/>
          <w:tblCellMar>
            <w:top w:w="0" w:type="dxa"/>
            <w:left w:w="108" w:type="dxa"/>
            <w:bottom w:w="0" w:type="dxa"/>
            <w:right w:w="108" w:type="dxa"/>
          </w:tblCellMar>
          <w:tblLook w:val="0000"/>
        </w:tblPrEx>
        <w:trPr>
          <w:cantSplit/>
          <w:trHeight w:hRule="exact" w:val="518"/>
          <w:jc w:val="center"/>
        </w:trPr>
        <w:tc>
          <w:tcPr>
            <w:tcW w:w="4269" w:type="dxa"/>
            <w:gridSpan w:val="5"/>
            <w:vAlign w:val="center"/>
          </w:tcPr>
          <w:p>
            <w:pPr>
              <w:autoSpaceDE w:val="0"/>
              <w:autoSpaceDN w:val="0"/>
              <w:adjustRightInd w:val="0"/>
              <w:jc w:val="center"/>
              <w:rPr>
                <w:rFonts w:eastAsia="楷体_GB2312"/>
                <w:color w:val="000000"/>
                <w:szCs w:val="21"/>
              </w:rPr>
            </w:pPr>
            <w:r>
              <w:rPr>
                <w:rFonts w:eastAsia="楷体_GB2312"/>
                <w:color w:val="000000"/>
                <w:szCs w:val="21"/>
              </w:rPr>
              <w:t>合计</w:t>
            </w:r>
          </w:p>
        </w:tc>
        <w:tc>
          <w:tcPr>
            <w:tcW w:w="564" w:type="dxa"/>
            <w:vAlign w:val="center"/>
          </w:tcPr>
          <w:p>
            <w:pPr>
              <w:autoSpaceDE w:val="0"/>
              <w:autoSpaceDN w:val="0"/>
              <w:adjustRightInd w:val="0"/>
              <w:jc w:val="center"/>
              <w:rPr>
                <w:rFonts w:eastAsia="楷体_GB2312"/>
                <w:color w:val="FF0000"/>
                <w:szCs w:val="21"/>
              </w:rPr>
            </w:pPr>
            <w:r>
              <w:rPr>
                <w:rFonts w:eastAsia="楷体_GB2312"/>
                <w:color w:val="FF0000"/>
                <w:szCs w:val="21"/>
              </w:rPr>
              <w:t>908</w:t>
            </w:r>
          </w:p>
        </w:tc>
        <w:tc>
          <w:tcPr>
            <w:tcW w:w="635" w:type="dxa"/>
            <w:vAlign w:val="center"/>
          </w:tcPr>
          <w:p>
            <w:pPr>
              <w:autoSpaceDE w:val="0"/>
              <w:autoSpaceDN w:val="0"/>
              <w:adjustRightInd w:val="0"/>
              <w:jc w:val="center"/>
              <w:rPr>
                <w:rFonts w:eastAsia="楷体_GB2312"/>
                <w:color w:val="FF0000"/>
                <w:szCs w:val="21"/>
              </w:rPr>
            </w:pPr>
            <w:r>
              <w:rPr>
                <w:rFonts w:eastAsia="楷体_GB2312"/>
                <w:color w:val="FF0000"/>
                <w:szCs w:val="21"/>
              </w:rPr>
              <w:t>615</w:t>
            </w:r>
          </w:p>
        </w:tc>
        <w:tc>
          <w:tcPr>
            <w:tcW w:w="666" w:type="dxa"/>
            <w:vAlign w:val="center"/>
          </w:tcPr>
          <w:p>
            <w:pPr>
              <w:autoSpaceDE w:val="0"/>
              <w:autoSpaceDN w:val="0"/>
              <w:adjustRightInd w:val="0"/>
              <w:jc w:val="center"/>
              <w:rPr>
                <w:rFonts w:eastAsia="楷体_GB2312"/>
                <w:color w:val="FF0000"/>
                <w:szCs w:val="21"/>
              </w:rPr>
            </w:pPr>
            <w:r>
              <w:rPr>
                <w:rFonts w:eastAsia="楷体_GB2312"/>
                <w:color w:val="FF0000"/>
                <w:szCs w:val="21"/>
              </w:rPr>
              <w:t>293</w:t>
            </w:r>
          </w:p>
        </w:tc>
        <w:tc>
          <w:tcPr>
            <w:tcW w:w="470" w:type="dxa"/>
            <w:vAlign w:val="center"/>
          </w:tcPr>
          <w:p>
            <w:pPr>
              <w:autoSpaceDE w:val="0"/>
              <w:autoSpaceDN w:val="0"/>
              <w:adjustRightInd w:val="0"/>
              <w:jc w:val="center"/>
              <w:rPr>
                <w:rFonts w:eastAsia="楷体_GB2312"/>
                <w:color w:val="000000"/>
                <w:szCs w:val="21"/>
              </w:rPr>
            </w:pPr>
          </w:p>
        </w:tc>
        <w:tc>
          <w:tcPr>
            <w:tcW w:w="568" w:type="dxa"/>
            <w:vAlign w:val="center"/>
          </w:tcPr>
          <w:p>
            <w:pPr>
              <w:autoSpaceDE w:val="0"/>
              <w:autoSpaceDN w:val="0"/>
              <w:adjustRightInd w:val="0"/>
              <w:jc w:val="center"/>
              <w:rPr>
                <w:rFonts w:eastAsia="楷体_GB2312"/>
                <w:color w:val="000000"/>
                <w:szCs w:val="21"/>
              </w:rPr>
            </w:pPr>
            <w:r>
              <w:rPr>
                <w:rFonts w:eastAsia="楷体_GB2312"/>
                <w:color w:val="000000"/>
                <w:szCs w:val="21"/>
              </w:rPr>
              <w:t>49</w:t>
            </w:r>
          </w:p>
        </w:tc>
        <w:tc>
          <w:tcPr>
            <w:tcW w:w="501" w:type="dxa"/>
            <w:vAlign w:val="center"/>
          </w:tcPr>
          <w:p>
            <w:pPr>
              <w:autoSpaceDE w:val="0"/>
              <w:autoSpaceDN w:val="0"/>
              <w:adjustRightInd w:val="0"/>
              <w:jc w:val="center"/>
              <w:rPr>
                <w:rFonts w:eastAsia="楷体_GB2312"/>
                <w:color w:val="000000"/>
                <w:szCs w:val="21"/>
              </w:rPr>
            </w:pPr>
          </w:p>
        </w:tc>
        <w:tc>
          <w:tcPr>
            <w:tcW w:w="424" w:type="dxa"/>
            <w:vAlign w:val="center"/>
          </w:tcPr>
          <w:p>
            <w:pPr>
              <w:autoSpaceDE w:val="0"/>
              <w:autoSpaceDN w:val="0"/>
              <w:adjustRightInd w:val="0"/>
              <w:jc w:val="center"/>
              <w:rPr>
                <w:rFonts w:eastAsia="楷体_GB2312"/>
                <w:szCs w:val="21"/>
              </w:rPr>
            </w:pPr>
          </w:p>
        </w:tc>
        <w:tc>
          <w:tcPr>
            <w:tcW w:w="568" w:type="dxa"/>
            <w:vAlign w:val="center"/>
          </w:tcPr>
          <w:p>
            <w:pPr>
              <w:autoSpaceDE w:val="0"/>
              <w:autoSpaceDN w:val="0"/>
              <w:adjustRightInd w:val="0"/>
              <w:jc w:val="center"/>
              <w:rPr>
                <w:rFonts w:eastAsia="楷体_GB2312"/>
                <w:szCs w:val="21"/>
              </w:rPr>
            </w:pPr>
          </w:p>
        </w:tc>
      </w:tr>
    </w:tbl>
    <w:p>
      <w:pPr>
        <w:autoSpaceDE w:val="0"/>
        <w:autoSpaceDN w:val="0"/>
        <w:bidi w:val="0"/>
        <w:spacing w:before="156" w:beforeLines="50" w:line="320" w:lineRule="exact"/>
        <w:ind w:left="361" w:hanging="90" w:leftChars="129" w:hangingChars="50"/>
        <w:jc w:val="both"/>
        <w:rPr>
          <w:rFonts w:eastAsia="仿宋_GB2312"/>
          <w:sz w:val="18"/>
          <w:szCs w:val="18"/>
        </w:rPr>
      </w:pPr>
      <w:r>
        <w:rPr>
          <w:rFonts w:ascii="仿宋_GB2312" w:eastAsia="仿宋_GB2312" w:hAnsi="宋体" w:cs="仿宋_GB2312" w:hint="eastAsia"/>
          <w:b/>
          <w:sz w:val="18"/>
          <w:szCs w:val="18"/>
        </w:rPr>
        <w:t>注：</w:t>
      </w:r>
      <w:r>
        <w:rPr>
          <w:rFonts w:eastAsia="仿宋_GB2312"/>
          <w:sz w:val="18"/>
          <w:szCs w:val="18"/>
        </w:rPr>
        <w:t>1.</w:t>
      </w:r>
      <w:r>
        <w:rPr>
          <w:rFonts w:eastAsia="仿宋_GB2312" w:hint="eastAsia"/>
          <w:sz w:val="18"/>
          <w:szCs w:val="18"/>
        </w:rPr>
        <w:t xml:space="preserve"> 考核分为考试和考查两种</w:t>
      </w:r>
      <w:r>
        <w:rPr>
          <w:rFonts w:eastAsia="仿宋_GB2312"/>
          <w:sz w:val="18"/>
          <w:szCs w:val="18"/>
        </w:rPr>
        <w:t>，1为考试，2为考查。</w:t>
      </w:r>
      <w:r>
        <w:rPr>
          <w:rFonts w:eastAsia="仿宋_GB2312" w:hint="eastAsia"/>
          <w:sz w:val="18"/>
          <w:szCs w:val="18"/>
        </w:rPr>
        <w:t>以下</w:t>
      </w:r>
      <w:r>
        <w:rPr>
          <w:rFonts w:eastAsia="仿宋_GB2312"/>
          <w:sz w:val="18"/>
          <w:szCs w:val="18"/>
        </w:rPr>
        <w:t>表格相同</w:t>
      </w:r>
      <w:r>
        <w:rPr>
          <w:rFonts w:eastAsia="仿宋_GB2312" w:hint="eastAsia"/>
          <w:sz w:val="18"/>
          <w:szCs w:val="18"/>
        </w:rPr>
        <w:t>。</w:t>
      </w:r>
    </w:p>
    <w:p>
      <w:pPr>
        <w:autoSpaceDE w:val="0"/>
        <w:autoSpaceDN w:val="0"/>
        <w:bidi w:val="0"/>
        <w:spacing w:line="320" w:lineRule="exact"/>
        <w:ind w:left="376" w:firstLine="284" w:leftChars="179" w:firstLineChars="158"/>
        <w:jc w:val="both"/>
        <w:rPr>
          <w:rFonts w:eastAsia="仿宋_GB2312"/>
          <w:sz w:val="18"/>
          <w:szCs w:val="18"/>
        </w:rPr>
      </w:pPr>
      <w:r>
        <w:rPr>
          <w:rFonts w:eastAsia="仿宋_GB2312" w:hint="eastAsia"/>
          <w:sz w:val="18"/>
          <w:szCs w:val="18"/>
        </w:rPr>
        <w:t>2</w:t>
      </w:r>
      <w:r>
        <w:rPr>
          <w:rFonts w:eastAsia="仿宋_GB2312"/>
          <w:sz w:val="18"/>
          <w:szCs w:val="18"/>
        </w:rPr>
        <w:t>.</w:t>
      </w:r>
      <w:r>
        <w:rPr>
          <w:rFonts w:eastAsia="仿宋_GB2312" w:hint="eastAsia"/>
          <w:sz w:val="18"/>
          <w:szCs w:val="18"/>
        </w:rPr>
        <w:t xml:space="preserve"> 实践</w:t>
      </w:r>
      <w:r>
        <w:rPr>
          <w:rFonts w:eastAsia="仿宋_GB2312"/>
          <w:sz w:val="18"/>
          <w:szCs w:val="18"/>
        </w:rPr>
        <w:t>实验课程</w:t>
      </w:r>
      <w:r>
        <w:rPr>
          <w:rFonts w:eastAsia="仿宋_GB2312" w:hint="eastAsia"/>
          <w:sz w:val="18"/>
          <w:szCs w:val="18"/>
        </w:rPr>
        <w:t>均</w:t>
      </w:r>
      <w:r>
        <w:rPr>
          <w:rFonts w:eastAsia="仿宋_GB2312"/>
          <w:sz w:val="18"/>
          <w:szCs w:val="18"/>
        </w:rPr>
        <w:t>有课程大纲</w:t>
      </w:r>
      <w:r>
        <w:rPr>
          <w:rFonts w:eastAsia="仿宋_GB2312" w:hint="eastAsia"/>
          <w:sz w:val="18"/>
          <w:szCs w:val="18"/>
        </w:rPr>
        <w:t>。</w:t>
      </w:r>
    </w:p>
    <w:p>
      <w:pPr>
        <w:autoSpaceDE w:val="0"/>
        <w:autoSpaceDN w:val="0"/>
        <w:bidi w:val="0"/>
        <w:spacing w:line="320" w:lineRule="exact"/>
        <w:ind w:left="376" w:firstLine="284" w:leftChars="179" w:firstLineChars="158"/>
        <w:jc w:val="both"/>
        <w:rPr>
          <w:rFonts w:eastAsia="仿宋_GB2312"/>
          <w:sz w:val="18"/>
          <w:szCs w:val="18"/>
        </w:rPr>
      </w:pPr>
      <w:r>
        <w:rPr>
          <w:rFonts w:eastAsia="仿宋_GB2312" w:hint="eastAsia"/>
          <w:sz w:val="18"/>
          <w:szCs w:val="18"/>
        </w:rPr>
        <w:t>3</w:t>
      </w:r>
      <w:r>
        <w:rPr>
          <w:rFonts w:eastAsia="仿宋_GB2312"/>
          <w:sz w:val="18"/>
          <w:szCs w:val="18"/>
        </w:rPr>
        <w:t>.</w:t>
      </w:r>
      <w:r>
        <w:rPr>
          <w:rFonts w:eastAsia="仿宋_GB2312" w:hint="eastAsia"/>
          <w:sz w:val="18"/>
          <w:szCs w:val="18"/>
        </w:rPr>
        <w:t xml:space="preserve"> 跨学科</w:t>
      </w:r>
      <w:r>
        <w:rPr>
          <w:rFonts w:eastAsia="仿宋_GB2312"/>
          <w:sz w:val="18"/>
          <w:szCs w:val="18"/>
        </w:rPr>
        <w:t>课程</w:t>
      </w:r>
      <w:r>
        <w:rPr>
          <w:rFonts w:eastAsia="仿宋_GB2312" w:hint="eastAsia"/>
          <w:sz w:val="18"/>
          <w:szCs w:val="18"/>
        </w:rPr>
        <w:t>群教学</w:t>
      </w:r>
      <w:r>
        <w:rPr>
          <w:rFonts w:eastAsia="仿宋_GB2312"/>
          <w:sz w:val="18"/>
          <w:szCs w:val="18"/>
        </w:rPr>
        <w:t>由学校统一安排并公布。</w:t>
      </w:r>
    </w:p>
    <w:p>
      <w:pPr>
        <w:autoSpaceDE w:val="0"/>
        <w:autoSpaceDN w:val="0"/>
        <w:bidi w:val="0"/>
        <w:spacing w:line="320" w:lineRule="exact"/>
        <w:ind w:left="376" w:firstLine="284" w:leftChars="179" w:firstLineChars="158"/>
        <w:jc w:val="both"/>
        <w:rPr>
          <w:rFonts w:eastAsia="仿宋_GB2312" w:hint="eastAsia"/>
          <w:sz w:val="18"/>
          <w:szCs w:val="18"/>
        </w:rPr>
      </w:pPr>
      <w:r>
        <w:rPr>
          <w:rFonts w:eastAsia="仿宋_GB2312" w:hint="eastAsia"/>
          <w:sz w:val="18"/>
          <w:szCs w:val="18"/>
        </w:rPr>
        <w:t xml:space="preserve">4. </w:t>
      </w:r>
      <w:r>
        <w:rPr>
          <w:rFonts w:eastAsia="仿宋_GB2312"/>
          <w:sz w:val="18"/>
          <w:szCs w:val="18"/>
        </w:rPr>
        <w:t>专业应根据本专业特点，确定</w:t>
      </w:r>
      <w:r>
        <w:rPr>
          <w:rFonts w:eastAsia="仿宋_GB2312" w:hint="eastAsia"/>
          <w:sz w:val="18"/>
          <w:szCs w:val="18"/>
        </w:rPr>
        <w:t>通识教育平台</w:t>
      </w:r>
      <w:r>
        <w:rPr>
          <w:rFonts w:eastAsia="仿宋_GB2312"/>
          <w:sz w:val="18"/>
          <w:szCs w:val="18"/>
        </w:rPr>
        <w:t>必修课中某些课程的开设。</w:t>
      </w:r>
    </w:p>
    <w:p>
      <w:pPr>
        <w:autoSpaceDE w:val="0"/>
        <w:autoSpaceDN w:val="0"/>
        <w:bidi w:val="0"/>
        <w:spacing w:line="320" w:lineRule="exact"/>
        <w:ind w:left="376" w:firstLine="284" w:leftChars="179" w:firstLineChars="158"/>
        <w:jc w:val="both"/>
        <w:rPr>
          <w:rFonts w:eastAsia="仿宋_GB2312" w:hint="eastAsia"/>
          <w:sz w:val="18"/>
          <w:szCs w:val="18"/>
        </w:rPr>
        <w:sectPr>
          <w:headerReference w:type="default" r:id="rId33"/>
          <w:footerReference w:type="even" r:id="rId34"/>
          <w:footerReference w:type="default" r:id="rId35"/>
          <w:type w:val="nextPage"/>
          <w:pgSz w:w="11906" w:h="16838"/>
          <w:pgMar w:top="1440" w:right="1800" w:bottom="1440" w:left="1800" w:header="851" w:footer="992" w:gutter="0"/>
          <w:pgNumType w:fmt="decimal" w:start="7"/>
          <w:cols w:space="708"/>
          <w:titlePg w:val="0"/>
          <w:docGrid w:type="lines" w:linePitch="312"/>
        </w:sectPr>
      </w:pPr>
    </w:p>
    <w:p>
      <w:pPr>
        <w:bidi w:val="0"/>
        <w:spacing w:line="360" w:lineRule="auto"/>
        <w:ind w:firstLine="480" w:firstLineChars="200"/>
        <w:jc w:val="both"/>
        <w:rPr>
          <w:rFonts w:hint="eastAsia"/>
          <w:color w:val="000000"/>
          <w:sz w:val="24"/>
        </w:rPr>
      </w:pPr>
      <w:r>
        <w:rPr>
          <w:color w:val="000000"/>
          <w:sz w:val="24"/>
        </w:rPr>
        <w:t>（二）专业教育平台（原则上教师教育专业</w:t>
      </w:r>
      <w:r>
        <w:rPr>
          <w:rFonts w:hint="eastAsia"/>
          <w:color w:val="000000"/>
          <w:sz w:val="24"/>
        </w:rPr>
        <w:t>65</w:t>
      </w:r>
      <w:r>
        <w:rPr>
          <w:color w:val="000000"/>
          <w:sz w:val="24"/>
        </w:rPr>
        <w:t>学分</w:t>
      </w:r>
      <w:r>
        <w:rPr>
          <w:rFonts w:hint="eastAsia"/>
          <w:color w:val="000000"/>
          <w:sz w:val="24"/>
        </w:rPr>
        <w:t>、</w:t>
      </w:r>
      <w:r>
        <w:rPr>
          <w:color w:val="000000"/>
          <w:sz w:val="24"/>
        </w:rPr>
        <w:t>非教师教育专业</w:t>
      </w:r>
      <w:r>
        <w:rPr>
          <w:rFonts w:hint="eastAsia"/>
          <w:color w:val="000000"/>
          <w:sz w:val="24"/>
        </w:rPr>
        <w:t>73</w:t>
      </w:r>
      <w:r>
        <w:rPr>
          <w:color w:val="000000"/>
          <w:sz w:val="24"/>
        </w:rPr>
        <w:t>学分）</w:t>
      </w:r>
    </w:p>
    <w:p>
      <w:pPr>
        <w:autoSpaceDE w:val="0"/>
        <w:autoSpaceDN w:val="0"/>
        <w:bidi w:val="0"/>
        <w:spacing w:line="360" w:lineRule="auto"/>
        <w:ind w:firstLine="480" w:firstLineChars="200"/>
        <w:jc w:val="both"/>
        <w:rPr>
          <w:rFonts w:ascii="宋体" w:hAnsi="宋体" w:cs="仿宋_GB2312" w:hint="eastAsia"/>
          <w:color w:val="000000"/>
          <w:sz w:val="24"/>
          <w:lang w:val="zh-CN"/>
        </w:rPr>
      </w:pPr>
      <w:r>
        <w:rPr>
          <w:rFonts w:ascii="宋体" w:eastAsia="宋体" w:hAnsi="宋体" w:cs="仿宋_GB2312" w:hint="eastAsia"/>
          <w:color w:val="000000"/>
          <w:sz w:val="24"/>
          <w:lang w:val="zh-CN"/>
        </w:rPr>
        <w:t>该平台课程设置必须反映本专业特点和培养目标。包括专业基础课、专业主干课、专业方向模块课、专业任选课程群。专业基础课</w:t>
      </w:r>
      <w:r>
        <w:rPr>
          <w:rFonts w:ascii="宋体" w:eastAsia="宋体" w:hAnsi="宋体" w:cs="仿宋_GB2312"/>
          <w:color w:val="000000"/>
          <w:sz w:val="24"/>
          <w:lang w:val="zh-CN"/>
        </w:rPr>
        <w:t>力求授课内容“精”和“实”知识领域覆盖面宽专业课</w:t>
      </w:r>
      <w:r>
        <w:rPr>
          <w:rFonts w:ascii="宋体" w:eastAsia="宋体" w:hAnsi="宋体" w:cs="仿宋_GB2312" w:hint="eastAsia"/>
          <w:color w:val="000000"/>
          <w:sz w:val="24"/>
          <w:lang w:val="zh-CN"/>
        </w:rPr>
        <w:t>，专业</w:t>
      </w:r>
      <w:r>
        <w:rPr>
          <w:rFonts w:ascii="宋体" w:eastAsia="宋体" w:hAnsi="宋体" w:cs="仿宋_GB2312"/>
          <w:color w:val="000000"/>
          <w:sz w:val="24"/>
          <w:lang w:val="zh-CN"/>
        </w:rPr>
        <w:t>主干</w:t>
      </w:r>
      <w:r>
        <w:rPr>
          <w:rFonts w:ascii="宋体" w:eastAsia="宋体" w:hAnsi="宋体" w:cs="仿宋_GB2312" w:hint="eastAsia"/>
          <w:color w:val="000000"/>
          <w:sz w:val="24"/>
          <w:lang w:val="zh-CN"/>
        </w:rPr>
        <w:t>课、</w:t>
      </w:r>
      <w:r>
        <w:rPr>
          <w:rFonts w:ascii="宋体" w:eastAsia="宋体" w:hAnsi="宋体" w:cs="仿宋_GB2312"/>
          <w:color w:val="000000"/>
          <w:sz w:val="24"/>
          <w:lang w:val="zh-CN"/>
        </w:rPr>
        <w:t>专业方向</w:t>
      </w:r>
      <w:r>
        <w:rPr>
          <w:rFonts w:ascii="宋体" w:eastAsia="宋体" w:hAnsi="宋体" w:cs="仿宋_GB2312" w:hint="eastAsia"/>
          <w:color w:val="000000"/>
          <w:sz w:val="24"/>
          <w:lang w:val="zh-CN"/>
        </w:rPr>
        <w:t>模块</w:t>
      </w:r>
      <w:r>
        <w:rPr>
          <w:rFonts w:ascii="宋体" w:eastAsia="宋体" w:hAnsi="宋体" w:cs="仿宋_GB2312"/>
          <w:color w:val="000000"/>
          <w:sz w:val="24"/>
          <w:lang w:val="zh-CN"/>
        </w:rPr>
        <w:t>课要</w:t>
      </w:r>
      <w:r>
        <w:rPr>
          <w:rFonts w:ascii="宋体" w:eastAsia="宋体" w:hAnsi="宋体" w:cs="仿宋_GB2312" w:hint="eastAsia"/>
          <w:color w:val="000000"/>
          <w:sz w:val="24"/>
          <w:lang w:val="zh-CN"/>
        </w:rPr>
        <w:t>体现出</w:t>
      </w:r>
      <w:r>
        <w:rPr>
          <w:rFonts w:ascii="宋体" w:eastAsia="宋体" w:hAnsi="宋体" w:cs="仿宋_GB2312"/>
          <w:color w:val="000000"/>
          <w:sz w:val="24"/>
          <w:lang w:val="zh-CN"/>
        </w:rPr>
        <w:t>适应社会需求凝练特色以有限的课程来覆盖日益增长的知识面</w:t>
      </w:r>
      <w:r>
        <w:rPr>
          <w:rFonts w:ascii="宋体" w:eastAsia="宋体" w:hAnsi="宋体" w:cs="仿宋_GB2312" w:hint="eastAsia"/>
          <w:color w:val="000000"/>
          <w:sz w:val="24"/>
          <w:lang w:val="zh-CN"/>
        </w:rPr>
        <w:t>，专业任选课程群目的是拓展学生专业知识面</w:t>
      </w:r>
      <w:r>
        <w:rPr>
          <w:rFonts w:ascii="宋体" w:eastAsia="宋体" w:hAnsi="宋体" w:cs="仿宋_GB2312"/>
          <w:color w:val="000000"/>
          <w:sz w:val="24"/>
          <w:lang w:val="zh-CN"/>
        </w:rPr>
        <w:t>。</w:t>
      </w:r>
      <w:r>
        <w:rPr>
          <w:rFonts w:ascii="宋体" w:eastAsia="宋体" w:hAnsi="宋体" w:cs="仿宋_GB2312" w:hint="eastAsia"/>
          <w:color w:val="000000"/>
          <w:sz w:val="24"/>
          <w:lang w:val="zh-CN"/>
        </w:rPr>
        <w:t>根据精炼、精简、严谨、创新的原则，按照教育部本科专业目录有关要求，</w:t>
      </w:r>
      <w:r>
        <w:rPr>
          <w:rFonts w:ascii="宋体" w:eastAsia="宋体" w:hAnsi="宋体" w:cs="仿宋_GB2312"/>
          <w:color w:val="000000"/>
          <w:sz w:val="24"/>
          <w:lang w:val="zh-CN"/>
        </w:rPr>
        <w:t>结合</w:t>
      </w:r>
      <w:r>
        <w:rPr>
          <w:rFonts w:ascii="宋体" w:eastAsia="宋体" w:hAnsi="宋体" w:cs="仿宋_GB2312" w:hint="eastAsia"/>
          <w:color w:val="000000"/>
          <w:sz w:val="24"/>
          <w:lang w:val="zh-CN"/>
        </w:rPr>
        <w:t>我校</w:t>
      </w:r>
      <w:r>
        <w:rPr>
          <w:rFonts w:ascii="宋体" w:eastAsia="宋体" w:hAnsi="宋体" w:cs="仿宋_GB2312"/>
          <w:color w:val="000000"/>
          <w:sz w:val="24"/>
          <w:lang w:val="zh-CN"/>
        </w:rPr>
        <w:t>专业实际</w:t>
      </w:r>
      <w:r>
        <w:rPr>
          <w:rFonts w:ascii="宋体" w:eastAsia="宋体" w:hAnsi="宋体" w:cs="仿宋_GB2312" w:hint="eastAsia"/>
          <w:color w:val="000000"/>
          <w:sz w:val="24"/>
          <w:lang w:val="zh-CN"/>
        </w:rPr>
        <w:t>设置专业主干课程和专业方向模块课程。重点加强专业主干课</w:t>
      </w:r>
      <w:r>
        <w:rPr>
          <w:color w:val="000000"/>
          <w:sz w:val="24"/>
          <w:lang w:val="zh-CN"/>
        </w:rPr>
        <w:t>程的设置与建设，灵活设置专业方向模块课程。该平台内各类课学时、学分上下浮动不超过5%。</w:t>
      </w:r>
    </w:p>
    <w:p>
      <w:pPr>
        <w:autoSpaceDE w:val="0"/>
        <w:autoSpaceDN w:val="0"/>
        <w:bidi w:val="0"/>
        <w:spacing w:line="360" w:lineRule="auto"/>
        <w:ind w:firstLine="480" w:firstLineChars="200"/>
        <w:jc w:val="both"/>
        <w:rPr>
          <w:rFonts w:ascii="宋体" w:hAnsi="宋体" w:cs="仿宋_GB2312" w:hint="eastAsia"/>
          <w:color w:val="000000"/>
          <w:sz w:val="24"/>
          <w:lang w:val="zh-CN"/>
        </w:rPr>
      </w:pPr>
      <w:r>
        <w:rPr>
          <w:rFonts w:ascii="宋体" w:eastAsia="宋体" w:hAnsi="宋体" w:cs="仿宋_GB2312" w:hint="eastAsia"/>
          <w:color w:val="000000"/>
          <w:sz w:val="24"/>
          <w:lang w:val="zh-CN"/>
        </w:rPr>
        <w:t>建议专业课程前移，在不违背学科逻辑前提下，根据专业特点，在第一学期即可开设一到两门专业基础课或专业主干课。</w:t>
      </w:r>
      <w:r>
        <w:rPr>
          <w:rFonts w:ascii="宋体" w:eastAsia="宋体" w:hAnsi="宋体" w:cs="仿宋_GB2312"/>
          <w:color w:val="000000"/>
          <w:sz w:val="24"/>
          <w:lang w:val="zh-CN"/>
        </w:rPr>
        <w:t>在时间安排上要充分考虑课程的衔接性及难易程度。符合开设双语课程条件的教学院、系可适当开设部分双语课程。</w:t>
      </w:r>
    </w:p>
    <w:p>
      <w:pPr>
        <w:bidi w:val="0"/>
        <w:spacing w:line="360" w:lineRule="auto"/>
        <w:ind w:firstLine="480" w:firstLineChars="200"/>
        <w:jc w:val="both"/>
        <w:rPr>
          <w:rFonts w:hint="eastAsia"/>
          <w:color w:val="FF0000"/>
          <w:sz w:val="24"/>
        </w:rPr>
      </w:pPr>
      <w:r>
        <w:rPr>
          <w:rFonts w:hint="eastAsia"/>
          <w:color w:val="000000"/>
          <w:sz w:val="24"/>
        </w:rPr>
        <w:t>1. 专业</w:t>
      </w:r>
      <w:r>
        <w:rPr>
          <w:color w:val="000000"/>
          <w:sz w:val="24"/>
        </w:rPr>
        <w:t>基础</w:t>
      </w:r>
      <w:r>
        <w:rPr>
          <w:rFonts w:hint="eastAsia"/>
          <w:color w:val="000000"/>
          <w:sz w:val="24"/>
        </w:rPr>
        <w:t>课</w:t>
      </w:r>
      <w:r>
        <w:rPr>
          <w:color w:val="000000"/>
          <w:sz w:val="24"/>
        </w:rPr>
        <w:t xml:space="preserve">（原则上教师教育专业为 </w:t>
      </w:r>
      <w:r>
        <w:rPr>
          <w:rFonts w:hint="eastAsia"/>
          <w:color w:val="000000"/>
          <w:sz w:val="24"/>
        </w:rPr>
        <w:t>25</w:t>
      </w:r>
      <w:r>
        <w:rPr>
          <w:color w:val="000000"/>
          <w:sz w:val="24"/>
        </w:rPr>
        <w:t xml:space="preserve"> 学分</w:t>
      </w:r>
      <w:r>
        <w:rPr>
          <w:rFonts w:hint="eastAsia"/>
          <w:color w:val="000000"/>
          <w:sz w:val="24"/>
        </w:rPr>
        <w:t>、</w:t>
      </w:r>
      <w:r>
        <w:rPr>
          <w:color w:val="000000"/>
          <w:sz w:val="24"/>
        </w:rPr>
        <w:t>非教师教育专业</w:t>
      </w:r>
      <w:r>
        <w:rPr>
          <w:rFonts w:hint="eastAsia"/>
          <w:color w:val="000000"/>
          <w:sz w:val="24"/>
        </w:rPr>
        <w:t>30</w:t>
      </w:r>
      <w:r>
        <w:rPr>
          <w:color w:val="000000"/>
          <w:sz w:val="24"/>
        </w:rPr>
        <w:t xml:space="preserve">学分） </w:t>
      </w:r>
    </w:p>
    <w:p>
      <w:pPr>
        <w:autoSpaceDE w:val="0"/>
        <w:autoSpaceDN w:val="0"/>
        <w:bidi w:val="0"/>
        <w:spacing w:line="360" w:lineRule="auto"/>
        <w:ind w:firstLine="480" w:firstLineChars="200"/>
        <w:jc w:val="both"/>
        <w:rPr>
          <w:rFonts w:ascii="宋体" w:hAnsi="宋体" w:cs="楷体_GB2312"/>
          <w:color w:val="FF0000"/>
          <w:sz w:val="24"/>
          <w:lang w:val="zh-CN"/>
        </w:rPr>
      </w:pPr>
      <w:r>
        <w:rPr>
          <w:rFonts w:ascii="宋体" w:eastAsia="宋体" w:hAnsi="宋体" w:cs="仿宋_GB2312" w:hint="eastAsia"/>
          <w:color w:val="000000"/>
          <w:sz w:val="24"/>
          <w:lang w:val="zh-CN"/>
        </w:rPr>
        <w:t>各院、系要在认真研讨的基础上提出专业基础课程的构成。必须设置一门专业学科史论课程，介绍专业学科发展史。建</w:t>
      </w:r>
      <w:r>
        <w:rPr>
          <w:color w:val="000000"/>
          <w:sz w:val="24"/>
          <w:lang w:val="zh-CN"/>
        </w:rPr>
        <w:t>议以一级学科为基础。学科基础课包括必修和选修，其中必修可所占比例不低于专业基础课学分的60％。</w:t>
      </w:r>
    </w:p>
    <w:p>
      <w:pPr>
        <w:autoSpaceDE w:val="0"/>
        <w:autoSpaceDN w:val="0"/>
        <w:bidi w:val="0"/>
        <w:spacing w:line="360" w:lineRule="auto"/>
        <w:ind w:firstLine="480" w:firstLineChars="200"/>
        <w:jc w:val="both"/>
        <w:rPr>
          <w:color w:val="FF0000"/>
          <w:sz w:val="24"/>
          <w:lang w:val="zh-CN"/>
        </w:rPr>
      </w:pPr>
      <w:r>
        <w:rPr>
          <w:rFonts w:hint="eastAsia"/>
          <w:sz w:val="24"/>
          <w:lang w:val="zh-CN"/>
        </w:rPr>
        <w:t>2</w:t>
      </w:r>
      <w:r>
        <w:rPr>
          <w:sz w:val="24"/>
          <w:lang w:val="zh-CN"/>
        </w:rPr>
        <w:t>．专</w:t>
      </w:r>
      <w:r>
        <w:rPr>
          <w:rFonts w:ascii="宋体" w:eastAsia="宋体" w:hAnsi="宋体" w:cs="仿宋_GB2312"/>
          <w:color w:val="000000"/>
          <w:sz w:val="24"/>
          <w:lang w:val="zh-CN"/>
        </w:rPr>
        <w:t>业</w:t>
      </w:r>
      <w:r>
        <w:rPr>
          <w:rFonts w:ascii="宋体" w:eastAsia="宋体" w:hAnsi="宋体" w:cs="仿宋_GB2312" w:hint="eastAsia"/>
          <w:color w:val="000000"/>
          <w:sz w:val="24"/>
          <w:lang w:val="zh-CN"/>
        </w:rPr>
        <w:t>主干课</w:t>
      </w:r>
      <w:r>
        <w:rPr>
          <w:rFonts w:ascii="宋体" w:eastAsia="宋体" w:hAnsi="宋体" w:cs="仿宋_GB2312"/>
          <w:color w:val="000000"/>
          <w:sz w:val="24"/>
          <w:lang w:val="zh-CN"/>
        </w:rPr>
        <w:t>（原则上</w:t>
      </w:r>
      <w:r>
        <w:rPr>
          <w:rFonts w:ascii="宋体" w:eastAsia="宋体" w:hAnsi="宋体" w:cs="仿宋_GB2312" w:hint="eastAsia"/>
          <w:color w:val="000000"/>
          <w:sz w:val="24"/>
          <w:lang w:val="zh-CN"/>
        </w:rPr>
        <w:t>教师教育、</w:t>
      </w:r>
      <w:r>
        <w:rPr>
          <w:rFonts w:ascii="宋体" w:eastAsia="宋体" w:hAnsi="宋体" w:cs="仿宋_GB2312"/>
          <w:color w:val="000000"/>
          <w:sz w:val="24"/>
          <w:lang w:val="zh-CN"/>
        </w:rPr>
        <w:t>非教师教育</w:t>
      </w:r>
      <w:r>
        <w:rPr>
          <w:color w:val="000000"/>
          <w:sz w:val="24"/>
          <w:lang w:val="zh-CN"/>
        </w:rPr>
        <w:t>专业均为18学分）</w:t>
      </w:r>
    </w:p>
    <w:p>
      <w:pPr>
        <w:autoSpaceDE w:val="0"/>
        <w:autoSpaceDN w:val="0"/>
        <w:bidi w:val="0"/>
        <w:spacing w:line="360" w:lineRule="auto"/>
        <w:ind w:firstLine="480" w:firstLineChars="200"/>
        <w:jc w:val="both"/>
        <w:rPr>
          <w:rFonts w:hint="eastAsia"/>
          <w:color w:val="FF0000"/>
          <w:sz w:val="24"/>
          <w:lang w:val="zh-CN"/>
        </w:rPr>
      </w:pPr>
      <w:r>
        <w:rPr>
          <w:sz w:val="24"/>
        </w:rPr>
        <w:t>专</w:t>
      </w:r>
      <w:r>
        <w:rPr>
          <w:color w:val="000000"/>
          <w:sz w:val="24"/>
          <w:lang w:val="zh-CN"/>
        </w:rPr>
        <w:t>业</w:t>
      </w:r>
      <w:r>
        <w:rPr>
          <w:rFonts w:hint="eastAsia"/>
          <w:color w:val="000000"/>
          <w:sz w:val="24"/>
          <w:lang w:val="zh-CN"/>
        </w:rPr>
        <w:t>主干课</w:t>
      </w:r>
      <w:r>
        <w:rPr>
          <w:color w:val="000000"/>
          <w:sz w:val="24"/>
          <w:lang w:val="zh-CN"/>
        </w:rPr>
        <w:t>为反映专业特点和人才培养目标而设置的课程，应依据教育部</w:t>
      </w:r>
      <w:r>
        <w:rPr>
          <w:rFonts w:hint="eastAsia"/>
          <w:color w:val="000000"/>
          <w:sz w:val="24"/>
          <w:lang w:val="zh-CN"/>
        </w:rPr>
        <w:t>学科教学指导委员会颁布的专业规范</w:t>
      </w:r>
      <w:r>
        <w:rPr>
          <w:color w:val="000000"/>
          <w:sz w:val="24"/>
          <w:lang w:val="zh-CN"/>
        </w:rPr>
        <w:t>设置，并适当兼顾我校实际情况。</w:t>
      </w:r>
      <w:r>
        <w:rPr>
          <w:rFonts w:hint="eastAsia"/>
          <w:color w:val="000000"/>
          <w:sz w:val="24"/>
          <w:lang w:val="zh-CN"/>
        </w:rPr>
        <w:t>优化专业主干课至关重要，各院、系必须经过充分研究论证，体现学科专业主干课程设置的科学性、规范性和前沿性，避免不同课程专业知识点的重复或缺失。建议以二级学科为基础。设置的专业主干课程应保持相对稳定。专业主干课均属必修。</w:t>
      </w:r>
    </w:p>
    <w:p>
      <w:pPr>
        <w:autoSpaceDE w:val="0"/>
        <w:autoSpaceDN w:val="0"/>
        <w:bidi w:val="0"/>
        <w:spacing w:line="360" w:lineRule="auto"/>
        <w:ind w:firstLine="480" w:firstLineChars="200"/>
        <w:jc w:val="both"/>
        <w:rPr>
          <w:color w:val="000000"/>
          <w:sz w:val="24"/>
          <w:lang w:val="zh-CN"/>
        </w:rPr>
      </w:pPr>
      <w:r>
        <w:rPr>
          <w:rFonts w:hint="eastAsia"/>
          <w:color w:val="000000"/>
          <w:sz w:val="24"/>
          <w:lang w:val="zh-CN"/>
        </w:rPr>
        <w:t>3</w:t>
      </w:r>
      <w:r>
        <w:rPr>
          <w:color w:val="000000"/>
          <w:sz w:val="24"/>
          <w:lang w:val="zh-CN"/>
        </w:rPr>
        <w:t>．专业方向</w:t>
      </w:r>
      <w:r>
        <w:rPr>
          <w:rFonts w:hint="eastAsia"/>
          <w:color w:val="000000"/>
          <w:sz w:val="24"/>
          <w:lang w:val="zh-CN"/>
        </w:rPr>
        <w:t>模块课</w:t>
      </w:r>
      <w:r>
        <w:rPr>
          <w:color w:val="000000"/>
          <w:sz w:val="24"/>
          <w:lang w:val="zh-CN"/>
        </w:rPr>
        <w:t>（原则上教师教育</w:t>
      </w:r>
      <w:r>
        <w:rPr>
          <w:rFonts w:hint="eastAsia"/>
          <w:color w:val="000000"/>
          <w:sz w:val="24"/>
          <w:lang w:val="zh-CN"/>
        </w:rPr>
        <w:t>、</w:t>
      </w:r>
      <w:r>
        <w:rPr>
          <w:color w:val="000000"/>
          <w:sz w:val="24"/>
          <w:lang w:val="zh-CN"/>
        </w:rPr>
        <w:t>非教师教育专业</w:t>
      </w:r>
      <w:r>
        <w:rPr>
          <w:rFonts w:hint="eastAsia"/>
          <w:color w:val="000000"/>
          <w:sz w:val="24"/>
          <w:lang w:val="zh-CN"/>
        </w:rPr>
        <w:t>均</w:t>
      </w:r>
      <w:r>
        <w:rPr>
          <w:color w:val="000000"/>
          <w:sz w:val="24"/>
          <w:lang w:val="zh-CN"/>
        </w:rPr>
        <w:t>为</w:t>
      </w:r>
      <w:r>
        <w:rPr>
          <w:rFonts w:hint="eastAsia"/>
          <w:color w:val="000000"/>
          <w:sz w:val="24"/>
          <w:lang w:val="zh-CN"/>
        </w:rPr>
        <w:t>10</w:t>
      </w:r>
      <w:r>
        <w:rPr>
          <w:color w:val="000000"/>
          <w:sz w:val="24"/>
          <w:lang w:val="zh-CN"/>
        </w:rPr>
        <w:t>学分）</w:t>
      </w:r>
    </w:p>
    <w:p>
      <w:pPr>
        <w:bidi w:val="0"/>
        <w:spacing w:line="360" w:lineRule="auto"/>
        <w:ind w:firstLine="480" w:firstLineChars="200"/>
        <w:jc w:val="both"/>
        <w:rPr>
          <w:rFonts w:hint="eastAsia"/>
          <w:color w:val="000000"/>
          <w:sz w:val="24"/>
          <w:lang w:val="zh-CN"/>
        </w:rPr>
        <w:sectPr>
          <w:headerReference w:type="default" r:id="rId36"/>
          <w:footerReference w:type="even" r:id="rId37"/>
          <w:footerReference w:type="default" r:id="rId38"/>
          <w:type w:val="nextPage"/>
          <w:pgSz w:w="11906" w:h="16838"/>
          <w:pgMar w:top="1440" w:right="1800" w:bottom="1440" w:left="1800" w:header="851" w:footer="992" w:gutter="0"/>
          <w:pgNumType w:fmt="decimal" w:start="8"/>
          <w:cols w:space="708"/>
          <w:titlePg w:val="0"/>
          <w:docGrid w:type="lines" w:linePitch="312"/>
        </w:sectPr>
      </w:pPr>
      <w:r>
        <w:rPr>
          <w:color w:val="000000"/>
          <w:sz w:val="24"/>
          <w:lang w:val="zh-CN"/>
        </w:rPr>
        <w:t>专业方向</w:t>
      </w:r>
      <w:r>
        <w:rPr>
          <w:rFonts w:hint="eastAsia"/>
          <w:color w:val="000000"/>
          <w:sz w:val="24"/>
          <w:lang w:val="zh-CN"/>
        </w:rPr>
        <w:t>模块</w:t>
      </w:r>
      <w:r>
        <w:rPr>
          <w:color w:val="000000"/>
          <w:sz w:val="24"/>
          <w:lang w:val="zh-CN"/>
        </w:rPr>
        <w:t>课要体现专业发展的基本趋势，集中反映专业的特点与优势。设置应保持一定的灵活性，努力追踪学科前沿并体现实际的应用前景。</w:t>
      </w:r>
      <w:r>
        <w:rPr>
          <w:rFonts w:hint="eastAsia"/>
          <w:color w:val="000000"/>
          <w:sz w:val="24"/>
          <w:lang w:val="zh-CN"/>
        </w:rPr>
        <w:t>各专业应结合招生计划人数、学生个性需求等实际条件，经过充分论证认为设置专业方向模块可行，设置专业方向模块课。建议最好设2个或2以上方向。重</w:t>
      </w:r>
      <w:r>
        <w:rPr>
          <w:rFonts w:ascii="宋体" w:eastAsia="宋体" w:hAnsi="宋体" w:cs="仿宋_GB2312" w:hint="eastAsia"/>
          <w:color w:val="000000"/>
          <w:sz w:val="24"/>
          <w:lang w:val="zh-CN"/>
        </w:rPr>
        <w:t>点培养学生的特长与个性。每个模块学分学时原则上相当。专业方向模块课</w:t>
      </w:r>
    </w:p>
    <w:p>
      <w:pPr>
        <w:bidi w:val="0"/>
        <w:spacing w:line="360" w:lineRule="auto"/>
        <w:ind w:firstLine="480" w:firstLineChars="200"/>
        <w:jc w:val="both"/>
        <w:rPr>
          <w:rFonts w:hint="eastAsia"/>
          <w:color w:val="000000"/>
          <w:sz w:val="24"/>
          <w:lang w:val="zh-CN"/>
        </w:rPr>
      </w:pPr>
      <w:r>
        <w:rPr>
          <w:color w:val="000000"/>
          <w:sz w:val="24"/>
          <w:lang w:val="zh-CN"/>
        </w:rPr>
        <w:t>包括必修和选修，其中选修课所占比例不低于专业方向</w:t>
      </w:r>
      <w:r>
        <w:rPr>
          <w:rFonts w:hint="eastAsia"/>
          <w:color w:val="000000"/>
          <w:sz w:val="24"/>
          <w:lang w:val="zh-CN"/>
        </w:rPr>
        <w:t>模块</w:t>
      </w:r>
      <w:r>
        <w:rPr>
          <w:color w:val="000000"/>
          <w:sz w:val="24"/>
          <w:lang w:val="zh-CN"/>
        </w:rPr>
        <w:t>课程学分的</w:t>
      </w:r>
      <w:r>
        <w:rPr>
          <w:rFonts w:hint="eastAsia"/>
          <w:color w:val="000000"/>
          <w:sz w:val="24"/>
          <w:lang w:val="zh-CN"/>
        </w:rPr>
        <w:t>4</w:t>
      </w:r>
      <w:r>
        <w:rPr>
          <w:color w:val="000000"/>
          <w:sz w:val="24"/>
          <w:lang w:val="zh-CN"/>
        </w:rPr>
        <w:t>0％。并按200％及以上比例提供课源。</w:t>
      </w:r>
    </w:p>
    <w:p>
      <w:pPr>
        <w:autoSpaceDE w:val="0"/>
        <w:autoSpaceDN w:val="0"/>
        <w:bidi w:val="0"/>
        <w:spacing w:line="360" w:lineRule="auto"/>
        <w:ind w:firstLine="480" w:firstLineChars="200"/>
        <w:jc w:val="both"/>
        <w:rPr>
          <w:rFonts w:hint="eastAsia"/>
          <w:color w:val="000000"/>
          <w:sz w:val="24"/>
          <w:lang w:val="zh-CN"/>
        </w:rPr>
      </w:pPr>
      <w:r>
        <w:rPr>
          <w:rFonts w:hint="eastAsia"/>
          <w:sz w:val="24"/>
          <w:lang w:val="zh-CN"/>
        </w:rPr>
        <w:t xml:space="preserve">4. </w:t>
      </w:r>
      <w:r>
        <w:rPr>
          <w:color w:val="000000"/>
          <w:sz w:val="24"/>
          <w:lang w:val="zh-CN"/>
        </w:rPr>
        <w:t>专业</w:t>
      </w:r>
      <w:r>
        <w:rPr>
          <w:rFonts w:hint="eastAsia"/>
          <w:color w:val="000000"/>
          <w:sz w:val="24"/>
          <w:lang w:val="zh-CN"/>
        </w:rPr>
        <w:t>任选</w:t>
      </w:r>
      <w:r>
        <w:rPr>
          <w:color w:val="000000"/>
          <w:sz w:val="24"/>
          <w:lang w:val="zh-CN"/>
        </w:rPr>
        <w:t>课程</w:t>
      </w:r>
      <w:r>
        <w:rPr>
          <w:rFonts w:hint="eastAsia"/>
          <w:color w:val="000000"/>
          <w:sz w:val="24"/>
          <w:lang w:val="zh-CN"/>
        </w:rPr>
        <w:t>群（</w:t>
      </w:r>
      <w:r>
        <w:rPr>
          <w:color w:val="000000"/>
          <w:sz w:val="24"/>
          <w:lang w:val="zh-CN"/>
        </w:rPr>
        <w:t>原则上</w:t>
      </w:r>
      <w:r>
        <w:rPr>
          <w:rFonts w:hint="eastAsia"/>
          <w:color w:val="000000"/>
          <w:sz w:val="24"/>
          <w:lang w:val="zh-CN"/>
        </w:rPr>
        <w:t>教师教育专业</w:t>
      </w:r>
      <w:r>
        <w:rPr>
          <w:color w:val="000000"/>
          <w:sz w:val="24"/>
          <w:lang w:val="zh-CN"/>
        </w:rPr>
        <w:t>为</w:t>
      </w:r>
      <w:r>
        <w:rPr>
          <w:rFonts w:hint="eastAsia"/>
          <w:color w:val="000000"/>
          <w:sz w:val="24"/>
          <w:lang w:val="zh-CN"/>
        </w:rPr>
        <w:t>12</w:t>
      </w:r>
      <w:r>
        <w:rPr>
          <w:color w:val="000000"/>
          <w:sz w:val="24"/>
          <w:lang w:val="zh-CN"/>
        </w:rPr>
        <w:t>学分</w:t>
      </w:r>
      <w:r>
        <w:rPr>
          <w:rFonts w:hint="eastAsia"/>
          <w:color w:val="000000"/>
          <w:sz w:val="24"/>
          <w:lang w:val="zh-CN"/>
        </w:rPr>
        <w:t>、</w:t>
      </w:r>
      <w:r>
        <w:rPr>
          <w:color w:val="000000"/>
          <w:sz w:val="24"/>
          <w:lang w:val="zh-CN"/>
        </w:rPr>
        <w:t>非教师教育</w:t>
      </w:r>
      <w:r>
        <w:rPr>
          <w:rFonts w:hint="eastAsia"/>
          <w:color w:val="000000"/>
          <w:sz w:val="24"/>
          <w:lang w:val="zh-CN"/>
        </w:rPr>
        <w:t>专业为</w:t>
      </w:r>
      <w:r>
        <w:rPr>
          <w:rFonts w:hint="eastAsia"/>
          <w:color w:val="FF0000"/>
          <w:sz w:val="24"/>
          <w:lang w:val="zh-CN"/>
        </w:rPr>
        <w:t>15</w:t>
      </w:r>
      <w:r>
        <w:rPr>
          <w:rFonts w:hint="eastAsia"/>
          <w:color w:val="000000"/>
          <w:sz w:val="24"/>
          <w:lang w:val="zh-CN"/>
        </w:rPr>
        <w:t>学分）</w:t>
      </w:r>
    </w:p>
    <w:p>
      <w:pPr>
        <w:autoSpaceDE w:val="0"/>
        <w:autoSpaceDN w:val="0"/>
        <w:bidi w:val="0"/>
        <w:spacing w:line="360" w:lineRule="auto"/>
        <w:ind w:firstLine="480" w:firstLineChars="200"/>
        <w:jc w:val="both"/>
        <w:rPr>
          <w:color w:val="000000"/>
          <w:sz w:val="24"/>
          <w:lang w:val="zh-CN"/>
        </w:rPr>
      </w:pPr>
      <w:r>
        <w:rPr>
          <w:color w:val="000000"/>
          <w:sz w:val="24"/>
          <w:lang w:val="zh-CN"/>
        </w:rPr>
        <w:t> 专业</w:t>
      </w:r>
      <w:r>
        <w:rPr>
          <w:rFonts w:hint="eastAsia"/>
          <w:color w:val="000000"/>
          <w:sz w:val="24"/>
          <w:lang w:val="zh-CN"/>
        </w:rPr>
        <w:t>任</w:t>
      </w:r>
      <w:r>
        <w:rPr>
          <w:color w:val="000000"/>
          <w:sz w:val="24"/>
          <w:lang w:val="zh-CN"/>
        </w:rPr>
        <w:t>选课指各专业规定的可选择学习的课程，达到规定学分。</w:t>
      </w:r>
      <w:r>
        <w:rPr>
          <w:rFonts w:hint="eastAsia"/>
          <w:color w:val="000000"/>
          <w:sz w:val="24"/>
          <w:lang w:val="zh-CN"/>
        </w:rPr>
        <w:t>目的是</w:t>
      </w:r>
      <w:r>
        <w:rPr>
          <w:color w:val="000000"/>
          <w:sz w:val="24"/>
          <w:lang w:val="zh-CN"/>
        </w:rPr>
        <w:t>为进一步开拓学生专业内的知识面而开设的选修课程，旨在拓宽学生知识面，提高学生</w:t>
      </w:r>
      <w:r>
        <w:rPr>
          <w:rFonts w:hint="eastAsia"/>
          <w:color w:val="000000"/>
          <w:sz w:val="24"/>
          <w:lang w:val="zh-CN"/>
        </w:rPr>
        <w:t>综合实践</w:t>
      </w:r>
      <w:r>
        <w:rPr>
          <w:color w:val="000000"/>
          <w:sz w:val="24"/>
          <w:lang w:val="zh-CN"/>
        </w:rPr>
        <w:t>能力，促进学生个性发展。所开课程门数应满足本专业学生选课的需求。</w:t>
      </w:r>
      <w:r>
        <w:rPr>
          <w:rFonts w:hint="eastAsia"/>
          <w:color w:val="000000"/>
          <w:sz w:val="24"/>
          <w:lang w:val="zh-CN"/>
        </w:rPr>
        <w:t>并按200％及以上比例提供课源。</w:t>
      </w:r>
    </w:p>
    <w:p>
      <w:pPr>
        <w:bidi w:val="0"/>
        <w:spacing w:line="360" w:lineRule="auto"/>
        <w:ind w:firstLine="480" w:firstLineChars="200"/>
        <w:jc w:val="both"/>
        <w:rPr>
          <w:color w:val="000000"/>
          <w:sz w:val="24"/>
        </w:rPr>
      </w:pPr>
      <w:r>
        <w:rPr>
          <w:color w:val="000000"/>
          <w:sz w:val="24"/>
        </w:rPr>
        <w:t>（</w:t>
      </w:r>
      <w:r>
        <w:rPr>
          <w:rFonts w:hint="eastAsia"/>
          <w:color w:val="000000"/>
          <w:sz w:val="24"/>
        </w:rPr>
        <w:t>三</w:t>
      </w:r>
      <w:r>
        <w:rPr>
          <w:color w:val="000000"/>
          <w:sz w:val="24"/>
        </w:rPr>
        <w:t>）职业技能教育平台（原则上教师教育专业</w:t>
      </w:r>
      <w:r>
        <w:rPr>
          <w:rFonts w:hint="eastAsia"/>
          <w:color w:val="000000"/>
          <w:sz w:val="24"/>
        </w:rPr>
        <w:t>18</w:t>
      </w:r>
      <w:r>
        <w:rPr>
          <w:color w:val="000000"/>
          <w:sz w:val="24"/>
        </w:rPr>
        <w:t>学分</w:t>
      </w:r>
      <w:r>
        <w:rPr>
          <w:rFonts w:hint="eastAsia"/>
          <w:color w:val="000000"/>
          <w:sz w:val="24"/>
        </w:rPr>
        <w:t>、</w:t>
      </w:r>
      <w:r>
        <w:rPr>
          <w:color w:val="000000"/>
          <w:sz w:val="24"/>
        </w:rPr>
        <w:t>非教师教育专业15学分）</w:t>
      </w:r>
    </w:p>
    <w:p>
      <w:pPr>
        <w:autoSpaceDE w:val="0"/>
        <w:autoSpaceDN w:val="0"/>
        <w:bidi w:val="0"/>
        <w:spacing w:line="360" w:lineRule="auto"/>
        <w:ind w:firstLine="480" w:firstLineChars="200"/>
        <w:jc w:val="both"/>
        <w:rPr>
          <w:rFonts w:ascii="宋体" w:hAnsi="宋体" w:cs="仿宋_GB2312" w:hint="eastAsia"/>
          <w:color w:val="000000"/>
          <w:sz w:val="24"/>
          <w:lang w:val="zh-CN"/>
        </w:rPr>
      </w:pPr>
      <w:r>
        <w:rPr>
          <w:rFonts w:ascii="宋体" w:eastAsia="宋体" w:hAnsi="宋体" w:cs="仿宋_GB2312" w:hint="eastAsia"/>
          <w:color w:val="000000"/>
          <w:sz w:val="24"/>
          <w:lang w:val="zh-CN"/>
        </w:rPr>
        <w:t>该平台课程设置应以学生就业为导向，开设旨在加强学生专业信念，提高学生职业技能课程。</w:t>
      </w:r>
    </w:p>
    <w:p>
      <w:pPr>
        <w:autoSpaceDE w:val="0"/>
        <w:autoSpaceDN w:val="0"/>
        <w:bidi w:val="0"/>
        <w:spacing w:line="360" w:lineRule="auto"/>
        <w:ind w:firstLine="480" w:firstLineChars="200"/>
        <w:jc w:val="both"/>
        <w:rPr>
          <w:rFonts w:ascii="宋体" w:hAnsi="宋体" w:cs="仿宋_GB2312"/>
          <w:color w:val="000000"/>
          <w:sz w:val="24"/>
        </w:rPr>
      </w:pPr>
      <w:r>
        <w:rPr>
          <w:rFonts w:ascii="宋体" w:eastAsia="宋体" w:hAnsi="宋体" w:cs="仿宋_GB2312" w:hint="eastAsia"/>
          <w:color w:val="000000"/>
          <w:sz w:val="24"/>
        </w:rPr>
        <w:t>教师教育专业开设教师教育平台，非教师教育专业开设专业技能教育平台。</w:t>
      </w:r>
    </w:p>
    <w:p>
      <w:pPr>
        <w:bidi w:val="0"/>
        <w:spacing w:line="360" w:lineRule="auto"/>
        <w:ind w:firstLine="480" w:firstLineChars="200"/>
        <w:jc w:val="both"/>
        <w:rPr>
          <w:color w:val="000000"/>
          <w:sz w:val="24"/>
        </w:rPr>
      </w:pPr>
      <w:r>
        <w:rPr>
          <w:color w:val="000000"/>
          <w:sz w:val="24"/>
        </w:rPr>
        <w:t>1．教师教育平台（必修</w:t>
      </w:r>
      <w:r>
        <w:rPr>
          <w:rFonts w:hint="eastAsia"/>
          <w:color w:val="000000"/>
          <w:sz w:val="24"/>
        </w:rPr>
        <w:t>14</w:t>
      </w:r>
      <w:r>
        <w:rPr>
          <w:color w:val="000000"/>
          <w:sz w:val="24"/>
        </w:rPr>
        <w:t>学分，选修</w:t>
      </w:r>
      <w:r>
        <w:rPr>
          <w:rFonts w:hint="eastAsia"/>
          <w:color w:val="000000"/>
          <w:sz w:val="24"/>
        </w:rPr>
        <w:t>4</w:t>
      </w:r>
      <w:r>
        <w:rPr>
          <w:color w:val="000000"/>
          <w:sz w:val="24"/>
        </w:rPr>
        <w:t>学分）</w:t>
      </w:r>
    </w:p>
    <w:p>
      <w:pPr>
        <w:bidi w:val="0"/>
        <w:spacing w:line="360" w:lineRule="auto"/>
        <w:ind w:firstLine="480" w:firstLineChars="200"/>
        <w:jc w:val="both"/>
        <w:rPr>
          <w:rFonts w:hint="eastAsia"/>
          <w:color w:val="000000"/>
          <w:sz w:val="24"/>
        </w:rPr>
      </w:pPr>
      <w:r>
        <w:rPr>
          <w:rFonts w:hint="eastAsia"/>
          <w:color w:val="000000"/>
          <w:sz w:val="24"/>
        </w:rPr>
        <w:t>教师教</w:t>
      </w:r>
      <w:r>
        <w:rPr>
          <w:rFonts w:ascii="宋体" w:eastAsia="宋体" w:hAnsi="宋体" w:cs="仿宋_GB2312" w:hint="eastAsia"/>
          <w:color w:val="000000"/>
          <w:sz w:val="24"/>
          <w:lang w:val="zh-CN"/>
        </w:rPr>
        <w:t>育平台</w:t>
      </w:r>
      <w:r>
        <w:rPr>
          <w:rFonts w:ascii="宋体" w:eastAsia="宋体" w:hAnsi="宋体" w:cs="仿宋_GB2312"/>
          <w:color w:val="000000"/>
          <w:sz w:val="24"/>
          <w:lang w:val="zh-CN"/>
        </w:rPr>
        <w:t>以服务基础教育为导向，强化学生</w:t>
      </w:r>
      <w:r>
        <w:rPr>
          <w:rFonts w:ascii="宋体" w:eastAsia="宋体" w:hAnsi="宋体" w:cs="仿宋_GB2312" w:hint="eastAsia"/>
          <w:color w:val="000000"/>
          <w:sz w:val="24"/>
          <w:lang w:val="zh-CN"/>
        </w:rPr>
        <w:t>从事教师职业的教育信念、教师专业</w:t>
      </w:r>
      <w:r>
        <w:rPr>
          <w:rFonts w:ascii="宋体" w:eastAsia="宋体" w:hAnsi="宋体" w:cs="仿宋_GB2312"/>
          <w:color w:val="000000"/>
          <w:sz w:val="24"/>
          <w:lang w:val="zh-CN"/>
        </w:rPr>
        <w:t>技能</w:t>
      </w:r>
      <w:r>
        <w:rPr>
          <w:rFonts w:ascii="宋体" w:eastAsia="宋体" w:hAnsi="宋体" w:cs="仿宋_GB2312" w:hint="eastAsia"/>
          <w:color w:val="000000"/>
          <w:sz w:val="24"/>
          <w:lang w:val="zh-CN"/>
        </w:rPr>
        <w:t>、教育实践与体验，</w:t>
      </w:r>
      <w:r>
        <w:rPr>
          <w:rFonts w:ascii="宋体" w:eastAsia="宋体" w:hAnsi="宋体" w:cs="仿宋_GB2312"/>
          <w:color w:val="000000"/>
          <w:sz w:val="24"/>
          <w:lang w:val="zh-CN"/>
        </w:rPr>
        <w:t>优化</w:t>
      </w:r>
      <w:r>
        <w:rPr>
          <w:rFonts w:ascii="宋体" w:eastAsia="宋体" w:hAnsi="宋体" w:cs="仿宋_GB2312" w:hint="eastAsia"/>
          <w:color w:val="000000"/>
          <w:sz w:val="24"/>
          <w:lang w:val="zh-CN"/>
        </w:rPr>
        <w:t>教师教育</w:t>
      </w:r>
      <w:r>
        <w:rPr>
          <w:rFonts w:ascii="宋体" w:eastAsia="宋体" w:hAnsi="宋体" w:cs="仿宋_GB2312"/>
          <w:color w:val="000000"/>
          <w:sz w:val="24"/>
          <w:lang w:val="zh-CN"/>
        </w:rPr>
        <w:t>课程，为培养优秀教师和教育工作者奠定良好基础。</w:t>
      </w:r>
      <w:r>
        <w:rPr>
          <w:rFonts w:ascii="宋体" w:eastAsia="宋体" w:hAnsi="宋体" w:cs="仿宋_GB2312" w:hint="eastAsia"/>
          <w:color w:val="000000"/>
          <w:sz w:val="24"/>
          <w:lang w:val="zh-CN"/>
        </w:rPr>
        <w:t>由教师专业知识和教师专业技能等</w:t>
      </w:r>
      <w:r>
        <w:rPr>
          <w:rFonts w:hint="eastAsia"/>
          <w:color w:val="000000"/>
          <w:sz w:val="24"/>
        </w:rPr>
        <w:t>必修课和教育拓展选修课程群组成。教育拓展课程群由教育学类和心理学类组成</w:t>
      </w:r>
      <w:r>
        <w:rPr>
          <w:color w:val="000000"/>
          <w:sz w:val="24"/>
        </w:rPr>
        <w:t>。</w:t>
      </w:r>
      <w:r>
        <w:rPr>
          <w:rFonts w:hint="eastAsia"/>
          <w:color w:val="000000"/>
          <w:sz w:val="24"/>
        </w:rPr>
        <w:t>该平台</w:t>
      </w:r>
      <w:r>
        <w:rPr>
          <w:color w:val="000000"/>
          <w:sz w:val="24"/>
        </w:rPr>
        <w:t>由学校、教育科学系及</w:t>
      </w:r>
      <w:r>
        <w:rPr>
          <w:rFonts w:hint="eastAsia"/>
          <w:color w:val="000000"/>
          <w:sz w:val="24"/>
        </w:rPr>
        <w:t>各</w:t>
      </w:r>
      <w:r>
        <w:rPr>
          <w:color w:val="000000"/>
          <w:sz w:val="24"/>
        </w:rPr>
        <w:t>教学院</w:t>
      </w:r>
      <w:r>
        <w:rPr>
          <w:rFonts w:hint="eastAsia"/>
          <w:color w:val="000000"/>
          <w:sz w:val="24"/>
        </w:rPr>
        <w:t>、</w:t>
      </w:r>
      <w:r>
        <w:rPr>
          <w:color w:val="000000"/>
          <w:sz w:val="24"/>
        </w:rPr>
        <w:t>系组织实施（具体安排见表2）。</w:t>
      </w:r>
    </w:p>
    <w:p>
      <w:pPr>
        <w:bidi w:val="0"/>
        <w:spacing w:line="360" w:lineRule="auto"/>
        <w:ind w:firstLine="480" w:firstLineChars="200"/>
        <w:jc w:val="both"/>
        <w:rPr>
          <w:color w:val="000000"/>
          <w:sz w:val="24"/>
        </w:rPr>
      </w:pPr>
      <w:r>
        <w:rPr>
          <w:color w:val="000000"/>
          <w:sz w:val="24"/>
        </w:rPr>
        <w:t>2.</w:t>
      </w:r>
      <w:r>
        <w:rPr>
          <w:rFonts w:hint="eastAsia"/>
          <w:color w:val="000000"/>
          <w:sz w:val="24"/>
        </w:rPr>
        <w:t xml:space="preserve"> </w:t>
      </w:r>
      <w:r>
        <w:rPr>
          <w:color w:val="000000"/>
          <w:sz w:val="24"/>
        </w:rPr>
        <w:t>专业技能教育平台（必修9学分、选修6学分）</w:t>
      </w:r>
    </w:p>
    <w:p>
      <w:pPr>
        <w:autoSpaceDE w:val="0"/>
        <w:autoSpaceDN w:val="0"/>
        <w:bidi w:val="0"/>
        <w:spacing w:line="360" w:lineRule="auto"/>
        <w:ind w:firstLine="480" w:firstLineChars="200"/>
        <w:jc w:val="both"/>
        <w:rPr>
          <w:color w:val="000000"/>
          <w:sz w:val="24"/>
          <w:lang w:val="zh-CN"/>
        </w:rPr>
      </w:pPr>
      <w:r>
        <w:rPr>
          <w:color w:val="000000"/>
          <w:sz w:val="24"/>
          <w:lang w:val="zh-CN"/>
        </w:rPr>
        <w:t>应依据专业特点，面向社会和行业要求，开设旨在</w:t>
      </w:r>
      <w:r>
        <w:rPr>
          <w:rFonts w:hint="eastAsia"/>
          <w:color w:val="000000"/>
          <w:sz w:val="24"/>
          <w:lang w:val="zh-CN"/>
        </w:rPr>
        <w:t>加强专业信念、</w:t>
      </w:r>
      <w:r>
        <w:rPr>
          <w:color w:val="000000"/>
          <w:sz w:val="24"/>
          <w:lang w:val="zh-CN"/>
        </w:rPr>
        <w:t>提高学生岗位职业技能的课程。</w:t>
      </w:r>
      <w:r>
        <w:rPr>
          <w:rFonts w:hint="eastAsia"/>
          <w:color w:val="000000"/>
          <w:sz w:val="24"/>
          <w:lang w:val="zh-CN"/>
        </w:rPr>
        <w:t>必修课和选修课</w:t>
      </w:r>
      <w:r>
        <w:rPr>
          <w:color w:val="000000"/>
          <w:sz w:val="24"/>
          <w:lang w:val="zh-CN"/>
        </w:rPr>
        <w:t>学分的比例原则上确定为6：4，具体安排由各教学院</w:t>
      </w:r>
      <w:r>
        <w:rPr>
          <w:rFonts w:hint="eastAsia"/>
          <w:color w:val="000000"/>
          <w:sz w:val="24"/>
          <w:lang w:val="zh-CN"/>
        </w:rPr>
        <w:t>、</w:t>
      </w:r>
      <w:r>
        <w:rPr>
          <w:color w:val="000000"/>
          <w:sz w:val="24"/>
          <w:lang w:val="zh-CN"/>
        </w:rPr>
        <w:t>系根据专业特点灵活掌握。</w:t>
      </w:r>
    </w:p>
    <w:p>
      <w:pPr>
        <w:spacing w:line="360" w:lineRule="auto"/>
        <w:jc w:val="both"/>
        <w:rPr>
          <w:rFonts w:hint="eastAsia"/>
          <w:color w:val="000000"/>
          <w:sz w:val="24"/>
        </w:rPr>
      </w:pPr>
    </w:p>
    <w:p>
      <w:pPr>
        <w:spacing w:line="360" w:lineRule="auto"/>
        <w:jc w:val="both"/>
        <w:rPr>
          <w:rFonts w:hint="eastAsia"/>
          <w:color w:val="000000"/>
          <w:sz w:val="24"/>
        </w:rPr>
      </w:pPr>
    </w:p>
    <w:p>
      <w:pPr>
        <w:spacing w:line="360" w:lineRule="auto"/>
        <w:jc w:val="both"/>
        <w:rPr>
          <w:rFonts w:hint="eastAsia"/>
          <w:color w:val="000000"/>
          <w:sz w:val="24"/>
        </w:rPr>
      </w:pPr>
    </w:p>
    <w:p>
      <w:pPr>
        <w:spacing w:line="360" w:lineRule="auto"/>
        <w:jc w:val="both"/>
        <w:rPr>
          <w:rFonts w:hint="eastAsia"/>
          <w:color w:val="000000"/>
          <w:sz w:val="24"/>
        </w:rPr>
      </w:pPr>
    </w:p>
    <w:p>
      <w:pPr>
        <w:spacing w:line="360" w:lineRule="auto"/>
        <w:jc w:val="both"/>
        <w:rPr>
          <w:rFonts w:hint="eastAsia"/>
          <w:color w:val="000000"/>
          <w:sz w:val="24"/>
        </w:rPr>
      </w:pPr>
    </w:p>
    <w:p>
      <w:pPr>
        <w:spacing w:line="360" w:lineRule="auto"/>
        <w:jc w:val="both"/>
        <w:rPr>
          <w:rFonts w:hint="eastAsia"/>
          <w:color w:val="000000"/>
          <w:sz w:val="24"/>
        </w:rPr>
        <w:sectPr>
          <w:headerReference w:type="default" r:id="rId39"/>
          <w:footerReference w:type="even" r:id="rId40"/>
          <w:footerReference w:type="default" r:id="rId41"/>
          <w:type w:val="nextPage"/>
          <w:pgSz w:w="11906" w:h="16838"/>
          <w:pgMar w:top="1440" w:right="1800" w:bottom="1440" w:left="1800" w:header="851" w:footer="992" w:gutter="0"/>
          <w:pgNumType w:fmt="decimal" w:start="9"/>
          <w:cols w:space="708"/>
          <w:titlePg w:val="0"/>
          <w:docGrid w:type="lines" w:linePitch="312"/>
        </w:sectPr>
      </w:pPr>
    </w:p>
    <w:p>
      <w:pPr>
        <w:autoSpaceDE w:val="0"/>
        <w:autoSpaceDN w:val="0"/>
        <w:bidi w:val="0"/>
        <w:spacing w:after="100" w:afterAutospacing="1" w:line="360" w:lineRule="auto"/>
        <w:jc w:val="center"/>
        <w:rPr>
          <w:rFonts w:eastAsia="黑体" w:hint="eastAsia"/>
          <w:b/>
          <w:sz w:val="24"/>
        </w:rPr>
      </w:pPr>
      <w:r>
        <w:rPr>
          <w:rFonts w:eastAsia="黑体"/>
          <w:b/>
          <w:sz w:val="24"/>
        </w:rPr>
        <w:t>表</w:t>
      </w:r>
      <w:r>
        <w:rPr>
          <w:rFonts w:eastAsia="黑体" w:hint="eastAsia"/>
          <w:b/>
          <w:sz w:val="24"/>
        </w:rPr>
        <w:t xml:space="preserve"> </w:t>
      </w:r>
      <w:r>
        <w:rPr>
          <w:rFonts w:eastAsia="黑体"/>
          <w:b/>
          <w:sz w:val="24"/>
        </w:rPr>
        <w:t xml:space="preserve">2  </w:t>
      </w:r>
      <w:r>
        <w:rPr>
          <w:rFonts w:eastAsia="黑体" w:hint="eastAsia"/>
          <w:b/>
          <w:sz w:val="24"/>
        </w:rPr>
        <w:t>教师教育平台及课程设置一览表</w:t>
      </w:r>
    </w:p>
    <w:tbl>
      <w:tblPr>
        <w:tblStyle w:val="TableNormal"/>
        <w:jc w:val="center"/>
        <w:tblInd w:w="2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9"/>
        <w:gridCol w:w="408"/>
        <w:gridCol w:w="523"/>
        <w:gridCol w:w="2050"/>
        <w:gridCol w:w="1289"/>
        <w:gridCol w:w="653"/>
        <w:gridCol w:w="637"/>
        <w:gridCol w:w="653"/>
        <w:gridCol w:w="450"/>
        <w:gridCol w:w="489"/>
        <w:gridCol w:w="378"/>
        <w:gridCol w:w="378"/>
        <w:gridCol w:w="366"/>
      </w:tblGrid>
      <w:tr>
        <w:tblPrEx>
          <w:jc w:val="center"/>
          <w:tblInd w:w="2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20"/>
          <w:jc w:val="center"/>
        </w:trPr>
        <w:tc>
          <w:tcPr>
            <w:tcW w:w="1280" w:type="dxa"/>
            <w:gridSpan w:val="3"/>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课程类别</w:t>
            </w:r>
          </w:p>
        </w:tc>
        <w:tc>
          <w:tcPr>
            <w:tcW w:w="2050"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课程名称</w:t>
            </w:r>
          </w:p>
        </w:tc>
        <w:tc>
          <w:tcPr>
            <w:tcW w:w="1289"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课程编码</w:t>
            </w:r>
          </w:p>
        </w:tc>
        <w:tc>
          <w:tcPr>
            <w:tcW w:w="653"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总</w:t>
            </w:r>
          </w:p>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学</w:t>
            </w:r>
          </w:p>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时</w:t>
            </w:r>
          </w:p>
        </w:tc>
        <w:tc>
          <w:tcPr>
            <w:tcW w:w="1290" w:type="dxa"/>
            <w:gridSpan w:val="2"/>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学时分配</w:t>
            </w:r>
          </w:p>
        </w:tc>
        <w:tc>
          <w:tcPr>
            <w:tcW w:w="450"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周学时</w:t>
            </w:r>
          </w:p>
        </w:tc>
        <w:tc>
          <w:tcPr>
            <w:tcW w:w="489"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学</w:t>
            </w:r>
          </w:p>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分</w:t>
            </w:r>
          </w:p>
        </w:tc>
        <w:tc>
          <w:tcPr>
            <w:tcW w:w="378"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开课学期</w:t>
            </w:r>
          </w:p>
        </w:tc>
        <w:tc>
          <w:tcPr>
            <w:tcW w:w="378" w:type="dxa"/>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考核方式</w:t>
            </w:r>
          </w:p>
        </w:tc>
        <w:tc>
          <w:tcPr>
            <w:tcW w:w="366" w:type="dxa"/>
            <w:vMerge w:val="restart"/>
            <w:vAlign w:val="center"/>
          </w:tcPr>
          <w:p>
            <w:pPr>
              <w:autoSpaceDE w:val="0"/>
              <w:autoSpaceDN w:val="0"/>
              <w:adjustRightInd w:val="0"/>
              <w:jc w:val="center"/>
              <w:rPr>
                <w:rFonts w:ascii="楷体_GB2312" w:eastAsia="楷体_GB2312" w:hAnsi="宋体" w:hint="eastAsia"/>
                <w:szCs w:val="21"/>
              </w:rPr>
            </w:pPr>
            <w:r>
              <w:rPr>
                <w:rFonts w:ascii="楷体_GB2312" w:eastAsia="楷体_GB2312" w:hAnsi="宋体" w:hint="eastAsia"/>
                <w:szCs w:val="21"/>
              </w:rPr>
              <w:t>备注</w:t>
            </w:r>
          </w:p>
        </w:tc>
      </w:tr>
      <w:tr>
        <w:tblPrEx>
          <w:jc w:val="center"/>
          <w:tblInd w:w="2490" w:type="dxa"/>
          <w:tblLayout w:type="fixed"/>
          <w:tblCellMar>
            <w:top w:w="0" w:type="dxa"/>
            <w:left w:w="108" w:type="dxa"/>
            <w:bottom w:w="0" w:type="dxa"/>
            <w:right w:w="108" w:type="dxa"/>
          </w:tblCellMar>
          <w:tblLook w:val="0000"/>
        </w:tblPrEx>
        <w:trPr>
          <w:trHeight w:val="556"/>
          <w:jc w:val="center"/>
        </w:trPr>
        <w:tc>
          <w:tcPr>
            <w:tcW w:w="1280" w:type="dxa"/>
            <w:gridSpan w:val="3"/>
            <w:vMerge/>
            <w:vAlign w:val="center"/>
          </w:tcPr>
          <w:p>
            <w:pPr>
              <w:autoSpaceDE w:val="0"/>
              <w:autoSpaceDN w:val="0"/>
              <w:adjustRightInd w:val="0"/>
              <w:jc w:val="center"/>
              <w:rPr>
                <w:rFonts w:ascii="楷体_GB2312" w:eastAsia="楷体_GB2312" w:hAnsi="楷体_GB2312" w:hint="eastAsia"/>
                <w:szCs w:val="21"/>
              </w:rPr>
            </w:pPr>
          </w:p>
        </w:tc>
        <w:tc>
          <w:tcPr>
            <w:tcW w:w="2050" w:type="dxa"/>
            <w:vMerge/>
            <w:vAlign w:val="center"/>
          </w:tcPr>
          <w:p>
            <w:pPr>
              <w:autoSpaceDE w:val="0"/>
              <w:autoSpaceDN w:val="0"/>
              <w:adjustRightInd w:val="0"/>
              <w:jc w:val="center"/>
              <w:rPr>
                <w:rFonts w:ascii="楷体_GB2312" w:eastAsia="楷体_GB2312" w:hAnsi="楷体_GB2312" w:hint="eastAsia"/>
                <w:szCs w:val="21"/>
              </w:rPr>
            </w:pPr>
          </w:p>
        </w:tc>
        <w:tc>
          <w:tcPr>
            <w:tcW w:w="1289" w:type="dxa"/>
            <w:vMerge/>
            <w:vAlign w:val="center"/>
          </w:tcPr>
          <w:p>
            <w:pPr>
              <w:autoSpaceDE w:val="0"/>
              <w:autoSpaceDN w:val="0"/>
              <w:adjustRightInd w:val="0"/>
              <w:jc w:val="center"/>
              <w:rPr>
                <w:rFonts w:ascii="楷体_GB2312" w:eastAsia="楷体_GB2312" w:hAnsi="楷体_GB2312" w:hint="eastAsia"/>
                <w:szCs w:val="21"/>
              </w:rPr>
            </w:pPr>
          </w:p>
        </w:tc>
        <w:tc>
          <w:tcPr>
            <w:tcW w:w="653" w:type="dxa"/>
            <w:vMerge/>
            <w:vAlign w:val="center"/>
          </w:tcPr>
          <w:p>
            <w:pPr>
              <w:autoSpaceDE w:val="0"/>
              <w:autoSpaceDN w:val="0"/>
              <w:adjustRightInd w:val="0"/>
              <w:jc w:val="center"/>
              <w:rPr>
                <w:rFonts w:ascii="楷体_GB2312" w:eastAsia="楷体_GB2312" w:hAnsi="楷体_GB2312" w:hint="eastAsia"/>
                <w:szCs w:val="21"/>
              </w:rPr>
            </w:pPr>
          </w:p>
        </w:tc>
        <w:tc>
          <w:tcPr>
            <w:tcW w:w="637" w:type="dxa"/>
            <w:vAlign w:val="center"/>
          </w:tcPr>
          <w:p>
            <w:pPr>
              <w:autoSpaceDE w:val="0"/>
              <w:autoSpaceDN w:val="0"/>
              <w:bidi w:val="0"/>
              <w:adjustRightInd w:val="0"/>
              <w:snapToGrid w:val="0"/>
              <w:jc w:val="center"/>
              <w:rPr>
                <w:rFonts w:ascii="楷体_GB2312" w:eastAsia="楷体_GB2312" w:hAnsi="楷体_GB2312" w:hint="eastAsia"/>
                <w:color w:val="000000"/>
                <w:szCs w:val="21"/>
              </w:rPr>
            </w:pPr>
            <w:r>
              <w:rPr>
                <w:rFonts w:ascii="楷体_GB2312" w:eastAsia="楷体_GB2312" w:hAnsi="楷体_GB2312" w:hint="eastAsia"/>
                <w:color w:val="000000"/>
                <w:sz w:val="18"/>
                <w:szCs w:val="18"/>
              </w:rPr>
              <w:t>理论讲授</w:t>
            </w:r>
          </w:p>
        </w:tc>
        <w:tc>
          <w:tcPr>
            <w:tcW w:w="653" w:type="dxa"/>
            <w:vAlign w:val="center"/>
          </w:tcPr>
          <w:p>
            <w:pPr>
              <w:autoSpaceDE w:val="0"/>
              <w:autoSpaceDN w:val="0"/>
              <w:bidi w:val="0"/>
              <w:adjustRightInd w:val="0"/>
              <w:snapToGrid w:val="0"/>
              <w:jc w:val="center"/>
              <w:rPr>
                <w:rFonts w:ascii="楷体_GB2312" w:eastAsia="楷体_GB2312" w:hAnsi="楷体_GB2312" w:hint="eastAsia"/>
                <w:color w:val="000000"/>
                <w:sz w:val="18"/>
                <w:szCs w:val="18"/>
              </w:rPr>
            </w:pPr>
            <w:r>
              <w:rPr>
                <w:rFonts w:ascii="楷体_GB2312" w:eastAsia="楷体_GB2312" w:hAnsi="楷体_GB2312" w:hint="eastAsia"/>
                <w:color w:val="000000"/>
                <w:sz w:val="18"/>
                <w:szCs w:val="18"/>
              </w:rPr>
              <w:t>实践实验</w:t>
            </w:r>
          </w:p>
        </w:tc>
        <w:tc>
          <w:tcPr>
            <w:tcW w:w="450" w:type="dxa"/>
            <w:vMerge/>
            <w:vAlign w:val="center"/>
          </w:tcPr>
          <w:p>
            <w:pPr>
              <w:autoSpaceDE w:val="0"/>
              <w:autoSpaceDN w:val="0"/>
              <w:adjustRightInd w:val="0"/>
              <w:jc w:val="center"/>
              <w:rPr>
                <w:rFonts w:ascii="楷体_GB2312" w:eastAsia="楷体_GB2312" w:hAnsi="楷体_GB2312" w:hint="eastAsia"/>
                <w:szCs w:val="21"/>
              </w:rPr>
            </w:pPr>
          </w:p>
        </w:tc>
        <w:tc>
          <w:tcPr>
            <w:tcW w:w="489" w:type="dxa"/>
            <w:vMerge/>
            <w:vAlign w:val="center"/>
          </w:tcPr>
          <w:p>
            <w:pPr>
              <w:autoSpaceDE w:val="0"/>
              <w:autoSpaceDN w:val="0"/>
              <w:adjustRightInd w:val="0"/>
              <w:jc w:val="center"/>
              <w:rPr>
                <w:rFonts w:ascii="楷体_GB2312" w:eastAsia="楷体_GB2312" w:hAnsi="楷体_GB2312" w:hint="eastAsia"/>
                <w:szCs w:val="21"/>
              </w:rPr>
            </w:pPr>
          </w:p>
        </w:tc>
        <w:tc>
          <w:tcPr>
            <w:tcW w:w="378" w:type="dxa"/>
            <w:vMerge/>
            <w:vAlign w:val="center"/>
          </w:tcPr>
          <w:p>
            <w:pPr>
              <w:autoSpaceDE w:val="0"/>
              <w:autoSpaceDN w:val="0"/>
              <w:adjustRightInd w:val="0"/>
              <w:jc w:val="center"/>
              <w:rPr>
                <w:rFonts w:ascii="楷体_GB2312" w:eastAsia="楷体_GB2312" w:hAnsi="楷体_GB2312" w:hint="eastAsia"/>
                <w:szCs w:val="21"/>
              </w:rPr>
            </w:pPr>
          </w:p>
        </w:tc>
        <w:tc>
          <w:tcPr>
            <w:tcW w:w="378" w:type="dxa"/>
            <w:vMerge/>
            <w:vAlign w:val="center"/>
          </w:tcPr>
          <w:p>
            <w:pPr>
              <w:autoSpaceDE w:val="0"/>
              <w:autoSpaceDN w:val="0"/>
              <w:adjustRightInd w:val="0"/>
              <w:jc w:val="center"/>
              <w:rPr>
                <w:rFonts w:ascii="楷体_GB2312" w:eastAsia="楷体_GB2312" w:hAnsi="楷体_GB2312" w:hint="eastAsia"/>
                <w:szCs w:val="21"/>
              </w:rPr>
            </w:pP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12"/>
          <w:jc w:val="center"/>
        </w:trPr>
        <w:tc>
          <w:tcPr>
            <w:tcW w:w="757" w:type="dxa"/>
            <w:gridSpan w:val="2"/>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教师专业知识</w:t>
            </w:r>
          </w:p>
        </w:tc>
        <w:tc>
          <w:tcPr>
            <w:tcW w:w="523" w:type="dxa"/>
            <w:vMerge w:val="restart"/>
            <w:vAlign w:val="center"/>
          </w:tcPr>
          <w:p>
            <w:pPr>
              <w:autoSpaceDE w:val="0"/>
              <w:autoSpaceDN w:val="0"/>
              <w:bidi w:val="0"/>
              <w:adjustRightInd w:val="0"/>
              <w:snapToGrid w:val="0"/>
              <w:jc w:val="center"/>
              <w:rPr>
                <w:rFonts w:ascii="楷体_GB2312" w:eastAsia="楷体_GB2312" w:hAnsi="楷体_GB2312" w:hint="eastAsia"/>
                <w:color w:val="000000"/>
                <w:szCs w:val="21"/>
              </w:rPr>
            </w:pPr>
            <w:r>
              <w:rPr>
                <w:rFonts w:ascii="楷体_GB2312" w:eastAsia="楷体_GB2312" w:hAnsi="楷体_GB2312" w:hint="eastAsia"/>
                <w:szCs w:val="21"/>
              </w:rPr>
              <w:t>必修课</w:t>
            </w:r>
          </w:p>
        </w:tc>
        <w:tc>
          <w:tcPr>
            <w:tcW w:w="2050" w:type="dxa"/>
            <w:tcBorders>
              <w:bottom w:val="nil"/>
            </w:tcBorders>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发展心理学</w:t>
            </w:r>
          </w:p>
        </w:tc>
        <w:tc>
          <w:tcPr>
            <w:tcW w:w="1289" w:type="dxa"/>
            <w:tcBorders>
              <w:bottom w:val="nil"/>
            </w:tcBorders>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28</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28</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66" w:type="dxa"/>
            <w:vAlign w:val="center"/>
          </w:tcPr>
          <w:p>
            <w:pPr>
              <w:autoSpaceDE w:val="0"/>
              <w:autoSpaceDN w:val="0"/>
              <w:bidi w:val="0"/>
              <w:jc w:val="center"/>
              <w:rPr>
                <w:rFonts w:ascii="楷体_GB2312" w:eastAsia="楷体_GB2312" w:hAnsi="楷体_GB2312" w:hint="eastAsia"/>
                <w:color w:val="00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64"/>
          <w:jc w:val="center"/>
        </w:trPr>
        <w:tc>
          <w:tcPr>
            <w:tcW w:w="757" w:type="dxa"/>
            <w:gridSpan w:val="2"/>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523" w:type="dxa"/>
            <w:vMerge/>
          </w:tcPr>
          <w:p>
            <w:pPr>
              <w:autoSpaceDE w:val="0"/>
              <w:autoSpaceDN w:val="0"/>
              <w:bidi w:val="0"/>
              <w:adjustRightInd w:val="0"/>
              <w:snapToGrid w:val="0"/>
              <w:jc w:val="center"/>
              <w:rPr>
                <w:rFonts w:ascii="楷体_GB2312" w:eastAsia="楷体_GB2312" w:hAnsi="楷体_GB2312" w:hint="eastAsia"/>
                <w:color w:val="000000"/>
                <w:szCs w:val="21"/>
              </w:rPr>
            </w:pPr>
          </w:p>
        </w:tc>
        <w:tc>
          <w:tcPr>
            <w:tcW w:w="2050" w:type="dxa"/>
            <w:tcBorders>
              <w:bottom w:val="nil"/>
            </w:tcBorders>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教育心理学</w:t>
            </w:r>
          </w:p>
        </w:tc>
        <w:tc>
          <w:tcPr>
            <w:tcW w:w="1289" w:type="dxa"/>
            <w:tcBorders>
              <w:bottom w:val="nil"/>
            </w:tcBorders>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34</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34</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7030A0"/>
                <w:szCs w:val="21"/>
              </w:rPr>
            </w:pPr>
            <w:r>
              <w:rPr>
                <w:rFonts w:eastAsia="楷体_GB2312"/>
                <w:color w:val="7030A0"/>
                <w:szCs w:val="21"/>
              </w:rPr>
              <w:t>2</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3</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Align w:val="center"/>
          </w:tcPr>
          <w:p>
            <w:pPr>
              <w:autoSpaceDE w:val="0"/>
              <w:autoSpaceDN w:val="0"/>
              <w:bidi w:val="0"/>
              <w:jc w:val="center"/>
              <w:rPr>
                <w:rFonts w:ascii="楷体_GB2312" w:eastAsia="楷体_GB2312" w:hAnsi="楷体_GB2312" w:hint="eastAsia"/>
                <w:color w:val="00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284"/>
          <w:jc w:val="center"/>
        </w:trPr>
        <w:tc>
          <w:tcPr>
            <w:tcW w:w="757" w:type="dxa"/>
            <w:gridSpan w:val="2"/>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523" w:type="dxa"/>
            <w:vMerge/>
          </w:tcPr>
          <w:p>
            <w:pPr>
              <w:autoSpaceDE w:val="0"/>
              <w:autoSpaceDN w:val="0"/>
              <w:bidi w:val="0"/>
              <w:adjustRightInd w:val="0"/>
              <w:snapToGrid w:val="0"/>
              <w:jc w:val="center"/>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教育学</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34</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34</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3</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66" w:type="dxa"/>
            <w:vAlign w:val="center"/>
          </w:tcPr>
          <w:p>
            <w:pPr>
              <w:autoSpaceDE w:val="0"/>
              <w:autoSpaceDN w:val="0"/>
              <w:bidi w:val="0"/>
              <w:jc w:val="center"/>
              <w:rPr>
                <w:rFonts w:ascii="楷体_GB2312" w:eastAsia="楷体_GB2312" w:hAnsi="楷体_GB2312" w:hint="eastAsia"/>
                <w:color w:val="00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20"/>
          <w:jc w:val="center"/>
        </w:trPr>
        <w:tc>
          <w:tcPr>
            <w:tcW w:w="757" w:type="dxa"/>
            <w:gridSpan w:val="2"/>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523" w:type="dxa"/>
            <w:vMerge/>
          </w:tcPr>
          <w:p>
            <w:pPr>
              <w:autoSpaceDE w:val="0"/>
              <w:autoSpaceDN w:val="0"/>
              <w:bidi w:val="0"/>
              <w:adjustRightInd w:val="0"/>
              <w:snapToGrid w:val="0"/>
              <w:jc w:val="center"/>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教师专业发</w:t>
            </w:r>
            <w:r>
              <w:rPr>
                <w:rFonts w:ascii="楷体_GB2312" w:eastAsia="楷体_GB2312" w:hAnsi="楷体_GB2312" w:hint="eastAsia"/>
                <w:szCs w:val="21"/>
              </w:rPr>
              <w:t>展</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34</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34</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4</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Align w:val="center"/>
          </w:tcPr>
          <w:p>
            <w:pPr>
              <w:autoSpaceDE w:val="0"/>
              <w:autoSpaceDN w:val="0"/>
              <w:bidi w:val="0"/>
              <w:jc w:val="center"/>
              <w:rPr>
                <w:rFonts w:ascii="楷体_GB2312" w:eastAsia="楷体_GB2312" w:hAnsi="楷体_GB2312" w:hint="eastAsia"/>
                <w:color w:val="000000"/>
                <w:szCs w:val="21"/>
              </w:rPr>
            </w:pPr>
          </w:p>
        </w:tc>
      </w:tr>
      <w:tr>
        <w:tblPrEx>
          <w:jc w:val="center"/>
          <w:tblInd w:w="2490" w:type="dxa"/>
          <w:tblLayout w:type="fixed"/>
          <w:tblCellMar>
            <w:top w:w="0" w:type="dxa"/>
            <w:left w:w="108" w:type="dxa"/>
            <w:bottom w:w="0" w:type="dxa"/>
            <w:right w:w="108" w:type="dxa"/>
          </w:tblCellMar>
          <w:tblLook w:val="0000"/>
        </w:tblPrEx>
        <w:trPr>
          <w:cantSplit/>
          <w:trHeight w:val="695"/>
          <w:jc w:val="center"/>
        </w:trPr>
        <w:tc>
          <w:tcPr>
            <w:tcW w:w="757" w:type="dxa"/>
            <w:gridSpan w:val="2"/>
            <w:vMerge/>
            <w:vAlign w:val="center"/>
          </w:tcPr>
          <w:p>
            <w:pPr>
              <w:autoSpaceDE w:val="0"/>
              <w:autoSpaceDN w:val="0"/>
              <w:bidi w:val="0"/>
              <w:adjustRightInd w:val="0"/>
              <w:snapToGrid w:val="0"/>
              <w:jc w:val="center"/>
              <w:rPr>
                <w:rFonts w:ascii="楷体_GB2312" w:eastAsia="楷体_GB2312" w:hAnsi="楷体_GB2312" w:hint="eastAsia"/>
                <w:szCs w:val="21"/>
              </w:rPr>
            </w:pPr>
          </w:p>
        </w:tc>
        <w:tc>
          <w:tcPr>
            <w:tcW w:w="523" w:type="dxa"/>
            <w:vMerge/>
            <w:vAlign w:val="center"/>
          </w:tcPr>
          <w:p>
            <w:pPr>
              <w:autoSpaceDE w:val="0"/>
              <w:autoSpaceDN w:val="0"/>
              <w:bidi w:val="0"/>
              <w:adjustRightInd w:val="0"/>
              <w:snapToGrid w:val="0"/>
              <w:jc w:val="center"/>
              <w:rPr>
                <w:rFonts w:ascii="楷体_GB2312" w:eastAsia="楷体_GB2312" w:hAnsi="楷体_GB2312" w:hint="eastAsia"/>
                <w:color w:val="000000"/>
                <w:szCs w:val="21"/>
              </w:rPr>
            </w:pPr>
          </w:p>
        </w:tc>
        <w:tc>
          <w:tcPr>
            <w:tcW w:w="2050" w:type="dxa"/>
            <w:vAlign w:val="center"/>
          </w:tcPr>
          <w:p>
            <w:pPr>
              <w:autoSpaceDE w:val="0"/>
              <w:autoSpaceDN w:val="0"/>
              <w:bidi w:val="0"/>
              <w:adjustRightInd w:val="0"/>
              <w:snapToGrid w:val="0"/>
              <w:jc w:val="left"/>
              <w:rPr>
                <w:rFonts w:ascii="楷体_GB2312" w:eastAsia="楷体_GB2312" w:hAnsi="楷体_GB2312" w:hint="eastAsia"/>
                <w:sz w:val="18"/>
                <w:szCs w:val="18"/>
              </w:rPr>
            </w:pPr>
            <w:r>
              <w:rPr>
                <w:rFonts w:ascii="楷体_GB2312" w:eastAsia="楷体_GB2312" w:hAnsi="楷体_GB2312" w:hint="eastAsia"/>
                <w:sz w:val="18"/>
                <w:szCs w:val="18"/>
              </w:rPr>
              <w:t>学科教学论（包含中学学科课程标准与教材研究）</w:t>
            </w:r>
          </w:p>
        </w:tc>
        <w:tc>
          <w:tcPr>
            <w:tcW w:w="1289" w:type="dxa"/>
            <w:vAlign w:val="center"/>
          </w:tcPr>
          <w:p>
            <w:pPr>
              <w:autoSpaceDE w:val="0"/>
              <w:autoSpaceDN w:val="0"/>
              <w:adjustRightInd w:val="0"/>
              <w:jc w:val="center"/>
              <w:rPr>
                <w:rFonts w:eastAsia="楷体_GB2312"/>
                <w:color w:val="000000"/>
                <w:szCs w:val="21"/>
              </w:rPr>
            </w:pPr>
          </w:p>
        </w:tc>
        <w:tc>
          <w:tcPr>
            <w:tcW w:w="653" w:type="dxa"/>
            <w:vAlign w:val="center"/>
          </w:tcPr>
          <w:p>
            <w:pPr>
              <w:autoSpaceDE w:val="0"/>
              <w:autoSpaceDN w:val="0"/>
              <w:adjustRightInd w:val="0"/>
              <w:jc w:val="center"/>
              <w:rPr>
                <w:rFonts w:eastAsia="楷体_GB2312"/>
                <w:szCs w:val="21"/>
              </w:rPr>
            </w:pPr>
            <w:r>
              <w:rPr>
                <w:rFonts w:eastAsia="楷体_GB2312"/>
                <w:szCs w:val="21"/>
              </w:rPr>
              <w:t>34</w:t>
            </w:r>
          </w:p>
        </w:tc>
        <w:tc>
          <w:tcPr>
            <w:tcW w:w="637" w:type="dxa"/>
            <w:vAlign w:val="center"/>
          </w:tcPr>
          <w:p>
            <w:pPr>
              <w:autoSpaceDE w:val="0"/>
              <w:autoSpaceDN w:val="0"/>
              <w:adjustRightInd w:val="0"/>
              <w:jc w:val="center"/>
              <w:rPr>
                <w:rFonts w:eastAsia="楷体_GB2312"/>
                <w:szCs w:val="21"/>
              </w:rPr>
            </w:pPr>
            <w:r>
              <w:rPr>
                <w:rFonts w:eastAsia="楷体_GB2312"/>
                <w:szCs w:val="21"/>
              </w:rPr>
              <w:t>24</w:t>
            </w:r>
          </w:p>
        </w:tc>
        <w:tc>
          <w:tcPr>
            <w:tcW w:w="653" w:type="dxa"/>
            <w:vAlign w:val="center"/>
          </w:tcPr>
          <w:p>
            <w:pPr>
              <w:autoSpaceDE w:val="0"/>
              <w:autoSpaceDN w:val="0"/>
              <w:adjustRightInd w:val="0"/>
              <w:jc w:val="center"/>
              <w:rPr>
                <w:rFonts w:eastAsia="楷体_GB2312"/>
                <w:szCs w:val="21"/>
              </w:rPr>
            </w:pPr>
            <w:r>
              <w:rPr>
                <w:rFonts w:eastAsia="楷体_GB2312"/>
                <w:szCs w:val="21"/>
              </w:rPr>
              <w:t>10</w:t>
            </w:r>
          </w:p>
        </w:tc>
        <w:tc>
          <w:tcPr>
            <w:tcW w:w="450" w:type="dxa"/>
            <w:vAlign w:val="center"/>
          </w:tcPr>
          <w:p>
            <w:pPr>
              <w:autoSpaceDE w:val="0"/>
              <w:autoSpaceDN w:val="0"/>
              <w:adjustRightInd w:val="0"/>
              <w:jc w:val="center"/>
              <w:rPr>
                <w:rFonts w:eastAsia="楷体_GB2312"/>
                <w:szCs w:val="21"/>
              </w:rPr>
            </w:pPr>
            <w:r>
              <w:rPr>
                <w:rFonts w:eastAsia="楷体_GB2312"/>
                <w:szCs w:val="21"/>
              </w:rPr>
              <w:t>2</w:t>
            </w:r>
          </w:p>
        </w:tc>
        <w:tc>
          <w:tcPr>
            <w:tcW w:w="489" w:type="dxa"/>
            <w:vAlign w:val="center"/>
          </w:tcPr>
          <w:p>
            <w:pPr>
              <w:autoSpaceDE w:val="0"/>
              <w:autoSpaceDN w:val="0"/>
              <w:adjustRightInd w:val="0"/>
              <w:jc w:val="center"/>
              <w:rPr>
                <w:rFonts w:eastAsia="楷体_GB2312"/>
                <w:szCs w:val="21"/>
              </w:rPr>
            </w:pPr>
            <w:r>
              <w:rPr>
                <w:rFonts w:eastAsia="楷体_GB2312"/>
                <w:szCs w:val="21"/>
              </w:rPr>
              <w:t>2</w:t>
            </w:r>
          </w:p>
        </w:tc>
        <w:tc>
          <w:tcPr>
            <w:tcW w:w="378" w:type="dxa"/>
            <w:vAlign w:val="center"/>
          </w:tcPr>
          <w:p>
            <w:pPr>
              <w:autoSpaceDE w:val="0"/>
              <w:autoSpaceDN w:val="0"/>
              <w:adjustRightInd w:val="0"/>
              <w:jc w:val="center"/>
              <w:rPr>
                <w:rFonts w:eastAsia="楷体_GB2312"/>
                <w:szCs w:val="21"/>
              </w:rPr>
            </w:pPr>
          </w:p>
        </w:tc>
        <w:tc>
          <w:tcPr>
            <w:tcW w:w="378" w:type="dxa"/>
            <w:vAlign w:val="center"/>
          </w:tcPr>
          <w:p>
            <w:pPr>
              <w:autoSpaceDE w:val="0"/>
              <w:autoSpaceDN w:val="0"/>
              <w:adjustRightInd w:val="0"/>
              <w:jc w:val="center"/>
              <w:rPr>
                <w:rFonts w:eastAsia="楷体_GB2312"/>
                <w:szCs w:val="21"/>
              </w:rPr>
            </w:pPr>
            <w:r>
              <w:rPr>
                <w:rFonts w:eastAsia="楷体_GB2312"/>
                <w:szCs w:val="21"/>
              </w:rPr>
              <w:t>1</w:t>
            </w:r>
          </w:p>
        </w:tc>
        <w:tc>
          <w:tcPr>
            <w:tcW w:w="366" w:type="dxa"/>
            <w:vAlign w:val="center"/>
          </w:tcPr>
          <w:p>
            <w:pPr>
              <w:autoSpaceDE w:val="0"/>
              <w:autoSpaceDN w:val="0"/>
              <w:adjustRightInd w:val="0"/>
              <w:jc w:val="center"/>
              <w:rPr>
                <w:rFonts w:ascii="楷体_GB2312" w:eastAsia="楷体_GB2312" w:hAnsi="楷体_GB2312" w:hint="eastAsia"/>
                <w:color w:val="00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29"/>
          <w:jc w:val="center"/>
        </w:trPr>
        <w:tc>
          <w:tcPr>
            <w:tcW w:w="757" w:type="dxa"/>
            <w:gridSpan w:val="2"/>
            <w:vMerge w:val="restart"/>
            <w:vAlign w:val="center"/>
          </w:tcPr>
          <w:p>
            <w:pPr>
              <w:autoSpaceDE w:val="0"/>
              <w:autoSpaceDN w:val="0"/>
              <w:bidi w:val="0"/>
              <w:adjustRightInd w:val="0"/>
              <w:snapToGrid w:val="0"/>
              <w:jc w:val="center"/>
              <w:rPr>
                <w:rFonts w:ascii="楷体_GB2312" w:eastAsia="楷体_GB2312" w:hAnsi="楷体_GB2312" w:hint="eastAsia"/>
                <w:szCs w:val="21"/>
              </w:rPr>
            </w:pPr>
            <w:r>
              <w:rPr>
                <w:rFonts w:ascii="楷体_GB2312" w:eastAsia="楷体_GB2312" w:hAnsi="楷体_GB2312" w:hint="eastAsia"/>
                <w:szCs w:val="21"/>
              </w:rPr>
              <w:t>教师专业技能</w:t>
            </w:r>
          </w:p>
        </w:tc>
        <w:tc>
          <w:tcPr>
            <w:tcW w:w="523" w:type="dxa"/>
            <w:vMerge w:val="restart"/>
            <w:vAlign w:val="center"/>
          </w:tcPr>
          <w:p>
            <w:pPr>
              <w:autoSpaceDE w:val="0"/>
              <w:autoSpaceDN w:val="0"/>
              <w:bidi w:val="0"/>
              <w:adjustRightInd w:val="0"/>
              <w:snapToGrid w:val="0"/>
              <w:jc w:val="center"/>
              <w:rPr>
                <w:rFonts w:ascii="楷体_GB2312" w:eastAsia="楷体_GB2312" w:hAnsi="楷体_GB2312" w:hint="eastAsia"/>
                <w:color w:val="FF0000"/>
                <w:szCs w:val="21"/>
              </w:rPr>
            </w:pPr>
            <w:r>
              <w:rPr>
                <w:rFonts w:ascii="楷体_GB2312" w:eastAsia="楷体_GB2312" w:hAnsi="楷体_GB2312" w:hint="eastAsia"/>
                <w:szCs w:val="21"/>
              </w:rPr>
              <w:t>必修课</w:t>
            </w: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课堂教学技能</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34</w:t>
            </w:r>
          </w:p>
        </w:tc>
        <w:tc>
          <w:tcPr>
            <w:tcW w:w="637"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34</w:t>
            </w: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290"/>
          <w:jc w:val="center"/>
        </w:trPr>
        <w:tc>
          <w:tcPr>
            <w:tcW w:w="757" w:type="dxa"/>
            <w:gridSpan w:val="2"/>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教师口语</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14</w:t>
            </w:r>
          </w:p>
        </w:tc>
        <w:tc>
          <w:tcPr>
            <w:tcW w:w="637" w:type="dxa"/>
            <w:vAlign w:val="center"/>
          </w:tcPr>
          <w:p>
            <w:pPr>
              <w:autoSpaceDE w:val="0"/>
              <w:autoSpaceDN w:val="0"/>
              <w:bidi w:val="0"/>
              <w:jc w:val="center"/>
              <w:rPr>
                <w:rFonts w:eastAsia="楷体_GB2312"/>
                <w:szCs w:val="21"/>
              </w:rPr>
            </w:pPr>
            <w:r>
              <w:rPr>
                <w:rFonts w:eastAsia="楷体_GB2312"/>
                <w:szCs w:val="21"/>
              </w:rPr>
              <w:t>14</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1</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423"/>
          <w:jc w:val="center"/>
        </w:trPr>
        <w:tc>
          <w:tcPr>
            <w:tcW w:w="757" w:type="dxa"/>
            <w:gridSpan w:val="2"/>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color w:val="000000"/>
                <w:sz w:val="18"/>
                <w:szCs w:val="18"/>
              </w:rPr>
            </w:pPr>
          </w:p>
        </w:tc>
        <w:tc>
          <w:tcPr>
            <w:tcW w:w="2050" w:type="dxa"/>
            <w:vAlign w:val="center"/>
          </w:tcPr>
          <w:p>
            <w:pPr>
              <w:autoSpaceDE w:val="0"/>
              <w:autoSpaceDN w:val="0"/>
              <w:bidi w:val="0"/>
              <w:jc w:val="left"/>
              <w:rPr>
                <w:rFonts w:ascii="楷体_GB2312" w:eastAsia="楷体_GB2312" w:hAnsi="楷体_GB2312" w:hint="eastAsia"/>
                <w:sz w:val="18"/>
                <w:szCs w:val="18"/>
              </w:rPr>
            </w:pPr>
            <w:r>
              <w:rPr>
                <w:rFonts w:ascii="楷体_GB2312" w:eastAsia="楷体_GB2312" w:hAnsi="楷体_GB2312" w:hint="eastAsia"/>
                <w:sz w:val="18"/>
                <w:szCs w:val="18"/>
              </w:rPr>
              <w:t>现代教育技术及应用</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34</w:t>
            </w:r>
          </w:p>
        </w:tc>
        <w:tc>
          <w:tcPr>
            <w:tcW w:w="637" w:type="dxa"/>
            <w:vAlign w:val="center"/>
          </w:tcPr>
          <w:p>
            <w:pPr>
              <w:autoSpaceDE w:val="0"/>
              <w:autoSpaceDN w:val="0"/>
              <w:bidi w:val="0"/>
              <w:jc w:val="center"/>
              <w:rPr>
                <w:rFonts w:eastAsia="楷体_GB2312"/>
                <w:szCs w:val="21"/>
              </w:rPr>
            </w:pPr>
            <w:r>
              <w:rPr>
                <w:rFonts w:eastAsia="楷体_GB2312"/>
                <w:szCs w:val="21"/>
              </w:rPr>
              <w:t>24</w:t>
            </w:r>
          </w:p>
        </w:tc>
        <w:tc>
          <w:tcPr>
            <w:tcW w:w="653" w:type="dxa"/>
            <w:vAlign w:val="center"/>
          </w:tcPr>
          <w:p>
            <w:pPr>
              <w:autoSpaceDE w:val="0"/>
              <w:autoSpaceDN w:val="0"/>
              <w:bidi w:val="0"/>
              <w:jc w:val="center"/>
              <w:rPr>
                <w:rFonts w:eastAsia="楷体_GB2312"/>
                <w:szCs w:val="21"/>
              </w:rPr>
            </w:pPr>
            <w:r>
              <w:rPr>
                <w:rFonts w:eastAsia="楷体_GB2312"/>
                <w:szCs w:val="21"/>
              </w:rPr>
              <w:t>10</w:t>
            </w: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4</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Align w:val="center"/>
          </w:tcPr>
          <w:p>
            <w:pPr>
              <w:autoSpaceDE w:val="0"/>
              <w:autoSpaceDN w:val="0"/>
              <w:adjustRightInd w:val="0"/>
              <w:jc w:val="center"/>
              <w:rPr>
                <w:rFonts w:ascii="楷体_GB2312" w:eastAsia="楷体_GB2312" w:hAnsi="楷体_GB2312" w:hint="eastAsia"/>
                <w:color w:val="00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3"/>
          <w:jc w:val="center"/>
        </w:trPr>
        <w:tc>
          <w:tcPr>
            <w:tcW w:w="349"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教育</w:t>
            </w:r>
          </w:p>
          <w:p>
            <w:pPr>
              <w:autoSpaceDE w:val="0"/>
              <w:autoSpaceDN w:val="0"/>
              <w:adjustRightInd w:val="0"/>
              <w:jc w:val="center"/>
              <w:rPr>
                <w:rFonts w:ascii="楷体_GB2312" w:eastAsia="楷体_GB2312" w:hAnsi="楷体_GB2312" w:hint="eastAsia"/>
                <w:color w:val="7030A0"/>
                <w:szCs w:val="21"/>
              </w:rPr>
            </w:pPr>
            <w:r>
              <w:rPr>
                <w:rFonts w:ascii="楷体_GB2312" w:eastAsia="楷体_GB2312" w:hAnsi="楷体_GB2312" w:hint="eastAsia"/>
                <w:szCs w:val="21"/>
              </w:rPr>
              <w:t>拓展课程群</w:t>
            </w:r>
          </w:p>
        </w:tc>
        <w:tc>
          <w:tcPr>
            <w:tcW w:w="408"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心理学类</w:t>
            </w:r>
          </w:p>
        </w:tc>
        <w:tc>
          <w:tcPr>
            <w:tcW w:w="523" w:type="dxa"/>
            <w:vMerge w:val="restart"/>
            <w:vAlign w:val="center"/>
          </w:tcPr>
          <w:p>
            <w:pPr>
              <w:autoSpaceDE w:val="0"/>
              <w:autoSpaceDN w:val="0"/>
              <w:bidi w:val="0"/>
              <w:jc w:val="center"/>
              <w:rPr>
                <w:rFonts w:ascii="楷体_GB2312" w:eastAsia="楷体_GB2312" w:hAnsi="楷体_GB2312" w:hint="eastAsia"/>
                <w:sz w:val="18"/>
                <w:szCs w:val="18"/>
              </w:rPr>
            </w:pPr>
            <w:r>
              <w:rPr>
                <w:rFonts w:ascii="楷体_GB2312" w:eastAsia="楷体_GB2312" w:hAnsi="楷体_GB2312" w:hint="eastAsia"/>
                <w:sz w:val="18"/>
                <w:szCs w:val="18"/>
              </w:rPr>
              <w:t>选修课</w:t>
            </w: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管理心理学</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选修</w:t>
            </w:r>
            <w:r>
              <w:rPr>
                <w:rFonts w:eastAsia="楷体_GB2312"/>
                <w:szCs w:val="21"/>
              </w:rPr>
              <w:t>4</w:t>
            </w:r>
          </w:p>
          <w:p>
            <w:pPr>
              <w:autoSpaceDE w:val="0"/>
              <w:autoSpaceDN w:val="0"/>
              <w:adjustRightInd w:val="0"/>
              <w:jc w:val="center"/>
              <w:rPr>
                <w:rFonts w:ascii="楷体_GB2312" w:eastAsia="楷体_GB2312" w:hAnsi="楷体_GB2312" w:hint="eastAsia"/>
                <w:color w:val="FF0000"/>
                <w:szCs w:val="21"/>
              </w:rPr>
            </w:pPr>
            <w:r>
              <w:rPr>
                <w:rFonts w:ascii="楷体_GB2312" w:eastAsia="楷体_GB2312" w:hAnsi="楷体_GB2312" w:hint="eastAsia"/>
                <w:szCs w:val="21"/>
              </w:rPr>
              <w:t>学分</w:t>
            </w:r>
          </w:p>
        </w:tc>
      </w:tr>
      <w:tr>
        <w:tblPrEx>
          <w:jc w:val="center"/>
          <w:tblInd w:w="2490" w:type="dxa"/>
          <w:tblLayout w:type="fixed"/>
          <w:tblCellMar>
            <w:top w:w="0" w:type="dxa"/>
            <w:left w:w="108" w:type="dxa"/>
            <w:bottom w:w="0" w:type="dxa"/>
            <w:right w:w="108" w:type="dxa"/>
          </w:tblCellMar>
          <w:tblLook w:val="0000"/>
        </w:tblPrEx>
        <w:trPr>
          <w:cantSplit/>
          <w:trHeight w:hRule="exact" w:val="422"/>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创造心理学</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5"/>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青年心理学</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49"/>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人格心理学</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17</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5"/>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色彩心理学</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5"/>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学校心理辅导</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5"/>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szCs w:val="21"/>
              </w:rPr>
            </w:pPr>
          </w:p>
        </w:tc>
        <w:tc>
          <w:tcPr>
            <w:tcW w:w="2050" w:type="dxa"/>
            <w:vAlign w:val="center"/>
          </w:tcPr>
          <w:p>
            <w:pPr>
              <w:autoSpaceDE w:val="0"/>
              <w:autoSpaceDN w:val="0"/>
              <w:bidi w:val="0"/>
              <w:jc w:val="left"/>
              <w:rPr>
                <w:rFonts w:ascii="楷体_GB2312" w:eastAsia="楷体_GB2312" w:hAnsi="楷体_GB2312" w:hint="eastAsia"/>
                <w:szCs w:val="21"/>
              </w:rPr>
            </w:pPr>
            <w:r>
              <w:rPr>
                <w:rFonts w:ascii="楷体_GB2312" w:eastAsia="楷体_GB2312" w:hAnsi="楷体_GB2312" w:hint="eastAsia"/>
                <w:szCs w:val="21"/>
              </w:rPr>
              <w:t>人际关系社会心理学</w:t>
            </w:r>
          </w:p>
        </w:tc>
        <w:tc>
          <w:tcPr>
            <w:tcW w:w="1289" w:type="dxa"/>
            <w:vAlign w:val="center"/>
          </w:tcPr>
          <w:p>
            <w:pPr>
              <w:autoSpaceDE w:val="0"/>
              <w:autoSpaceDN w:val="0"/>
              <w:bidi w:val="0"/>
              <w:jc w:val="center"/>
              <w:rPr>
                <w:rFonts w:eastAsia="楷体_GB2312"/>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szCs w:val="21"/>
              </w:rPr>
            </w:pPr>
          </w:p>
        </w:tc>
        <w:tc>
          <w:tcPr>
            <w:tcW w:w="450" w:type="dxa"/>
            <w:vAlign w:val="center"/>
          </w:tcPr>
          <w:p>
            <w:pPr>
              <w:autoSpaceDE w:val="0"/>
              <w:autoSpaceDN w:val="0"/>
              <w:bidi w:val="0"/>
              <w:jc w:val="center"/>
              <w:rPr>
                <w:rFonts w:eastAsia="楷体_GB2312"/>
                <w:szCs w:val="21"/>
              </w:rPr>
            </w:pPr>
            <w:r>
              <w:rPr>
                <w:rFonts w:eastAsia="楷体_GB2312"/>
                <w:szCs w:val="21"/>
              </w:rPr>
              <w:t>2</w:t>
            </w:r>
          </w:p>
        </w:tc>
        <w:tc>
          <w:tcPr>
            <w:tcW w:w="489" w:type="dxa"/>
            <w:vAlign w:val="center"/>
          </w:tcPr>
          <w:p>
            <w:pPr>
              <w:autoSpaceDE w:val="0"/>
              <w:autoSpaceDN w:val="0"/>
              <w:bidi w:val="0"/>
              <w:jc w:val="center"/>
              <w:rPr>
                <w:rFonts w:eastAsia="楷体_GB2312"/>
                <w:szCs w:val="21"/>
              </w:rPr>
            </w:pPr>
            <w:r>
              <w:rPr>
                <w:rFonts w:eastAsia="楷体_GB2312"/>
                <w:szCs w:val="21"/>
              </w:rPr>
              <w:t>1</w:t>
            </w:r>
          </w:p>
        </w:tc>
        <w:tc>
          <w:tcPr>
            <w:tcW w:w="378" w:type="dxa"/>
            <w:vAlign w:val="center"/>
          </w:tcPr>
          <w:p>
            <w:pPr>
              <w:autoSpaceDE w:val="0"/>
              <w:autoSpaceDN w:val="0"/>
              <w:bidi w:val="0"/>
              <w:jc w:val="center"/>
              <w:rPr>
                <w:rFonts w:eastAsia="楷体_GB2312"/>
                <w:szCs w:val="21"/>
              </w:rPr>
            </w:pPr>
            <w:r>
              <w:rPr>
                <w:rFonts w:eastAsia="楷体_GB2312"/>
                <w:szCs w:val="21"/>
              </w:rPr>
              <w:t>5</w:t>
            </w:r>
          </w:p>
        </w:tc>
        <w:tc>
          <w:tcPr>
            <w:tcW w:w="378" w:type="dxa"/>
            <w:vAlign w:val="center"/>
          </w:tcPr>
          <w:p>
            <w:pPr>
              <w:autoSpaceDE w:val="0"/>
              <w:autoSpaceDN w:val="0"/>
              <w:bidi w:val="0"/>
              <w:jc w:val="center"/>
              <w:rPr>
                <w:rFonts w:eastAsia="楷体_GB2312"/>
                <w:szCs w:val="21"/>
              </w:rPr>
            </w:pPr>
            <w:r>
              <w:rPr>
                <w:rFonts w:eastAsia="楷体_GB2312"/>
                <w:szCs w:val="21"/>
              </w:rPr>
              <w:t>2</w:t>
            </w:r>
          </w:p>
        </w:tc>
        <w:tc>
          <w:tcPr>
            <w:tcW w:w="366" w:type="dxa"/>
            <w:vMerge/>
            <w:vAlign w:val="center"/>
          </w:tcPr>
          <w:p>
            <w:pPr>
              <w:autoSpaceDE w:val="0"/>
              <w:autoSpaceDN w:val="0"/>
              <w:adjustRightInd w:val="0"/>
              <w:jc w:val="center"/>
              <w:rPr>
                <w:rFonts w:ascii="楷体_GB2312" w:eastAsia="楷体_GB2312" w:hAnsi="楷体_GB2312" w:hint="eastAsia"/>
                <w:color w:val="FF0000"/>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88"/>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公共关系心理学</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5</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5"/>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心理学趣味小实验</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5</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5"/>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tcPr>
          <w:p>
            <w:pPr>
              <w:autoSpaceDE w:val="0"/>
              <w:autoSpaceDN w:val="0"/>
              <w:bidi w:val="0"/>
              <w:jc w:val="left"/>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心理咨询与治疗</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5</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6"/>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restart"/>
            <w:vAlign w:val="center"/>
          </w:tcPr>
          <w:p>
            <w:pPr>
              <w:autoSpaceDE w:val="0"/>
              <w:autoSpaceDN w:val="0"/>
              <w:adjustRightInd w:val="0"/>
              <w:jc w:val="center"/>
              <w:rPr>
                <w:rFonts w:ascii="楷体_GB2312" w:eastAsia="楷体_GB2312" w:hAnsi="楷体_GB2312" w:hint="eastAsia"/>
                <w:szCs w:val="21"/>
              </w:rPr>
            </w:pPr>
            <w:r>
              <w:rPr>
                <w:rFonts w:ascii="楷体_GB2312" w:eastAsia="楷体_GB2312" w:hAnsi="楷体_GB2312" w:hint="eastAsia"/>
                <w:szCs w:val="21"/>
              </w:rPr>
              <w:t>教育学类</w:t>
            </w:r>
          </w:p>
        </w:tc>
        <w:tc>
          <w:tcPr>
            <w:tcW w:w="523" w:type="dxa"/>
            <w:vMerge w:val="restart"/>
            <w:vAlign w:val="center"/>
          </w:tcPr>
          <w:p>
            <w:pPr>
              <w:autoSpaceDE w:val="0"/>
              <w:autoSpaceDN w:val="0"/>
              <w:bidi w:val="0"/>
              <w:jc w:val="center"/>
              <w:rPr>
                <w:rFonts w:ascii="楷体_GB2312" w:eastAsia="楷体_GB2312" w:hAnsi="楷体_GB2312" w:hint="eastAsia"/>
                <w:color w:val="000000"/>
                <w:sz w:val="18"/>
                <w:szCs w:val="18"/>
              </w:rPr>
            </w:pPr>
            <w:r>
              <w:rPr>
                <w:rFonts w:ascii="楷体_GB2312" w:eastAsia="楷体_GB2312" w:hAnsi="楷体_GB2312" w:hint="eastAsia"/>
                <w:szCs w:val="21"/>
              </w:rPr>
              <w:t>选修课</w:t>
            </w: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 w:val="18"/>
                <w:szCs w:val="18"/>
              </w:rPr>
              <w:t>家庭教育科学与艺术</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17</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76"/>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jc w:val="center"/>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学校领导工作艺术</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424"/>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jc w:val="center"/>
              <w:rPr>
                <w:rFonts w:ascii="楷体_GB2312" w:eastAsia="楷体_GB2312" w:hAnsi="楷体_GB2312" w:hint="eastAsia"/>
                <w:color w:val="000000"/>
                <w:sz w:val="18"/>
                <w:szCs w:val="18"/>
              </w:rPr>
            </w:pPr>
          </w:p>
        </w:tc>
        <w:tc>
          <w:tcPr>
            <w:tcW w:w="2050" w:type="dxa"/>
            <w:vAlign w:val="center"/>
          </w:tcPr>
          <w:p>
            <w:pPr>
              <w:autoSpaceDE w:val="0"/>
              <w:autoSpaceDN w:val="0"/>
              <w:bidi w:val="0"/>
              <w:jc w:val="left"/>
              <w:rPr>
                <w:rFonts w:ascii="楷体_GB2312" w:eastAsia="楷体_GB2312" w:hAnsi="楷体_GB2312" w:hint="eastAsia"/>
                <w:color w:val="000000"/>
                <w:sz w:val="18"/>
                <w:szCs w:val="18"/>
              </w:rPr>
            </w:pPr>
            <w:r>
              <w:rPr>
                <w:rFonts w:ascii="楷体_GB2312" w:eastAsia="楷体_GB2312" w:hAnsi="楷体_GB2312" w:hint="eastAsia"/>
                <w:color w:val="000000"/>
                <w:sz w:val="18"/>
                <w:szCs w:val="18"/>
              </w:rPr>
              <w:t>学与教的方法与艺术</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286"/>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jc w:val="center"/>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教师职业道德</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424"/>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jc w:val="center"/>
              <w:rPr>
                <w:rFonts w:ascii="楷体_GB2312" w:eastAsia="楷体_GB2312" w:hAnsi="楷体_GB2312" w:hint="eastAsia"/>
                <w:color w:val="000000"/>
                <w:szCs w:val="21"/>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Cs w:val="21"/>
              </w:rPr>
              <w:t>教育政策法规</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584"/>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adjustRightInd w:val="0"/>
              <w:snapToGrid w:val="0"/>
              <w:jc w:val="center"/>
              <w:rPr>
                <w:rFonts w:ascii="楷体_GB2312" w:eastAsia="楷体_GB2312" w:hAnsi="楷体_GB2312" w:hint="eastAsia"/>
                <w:color w:val="000000"/>
                <w:sz w:val="18"/>
                <w:szCs w:val="18"/>
              </w:rPr>
            </w:pPr>
          </w:p>
        </w:tc>
        <w:tc>
          <w:tcPr>
            <w:tcW w:w="2050" w:type="dxa"/>
            <w:vAlign w:val="center"/>
          </w:tcPr>
          <w:p>
            <w:pPr>
              <w:autoSpaceDE w:val="0"/>
              <w:autoSpaceDN w:val="0"/>
              <w:bidi w:val="0"/>
              <w:adjustRightInd w:val="0"/>
              <w:snapToGrid w:val="0"/>
              <w:jc w:val="both"/>
              <w:rPr>
                <w:rFonts w:ascii="楷体_GB2312" w:eastAsia="楷体_GB2312" w:hAnsi="楷体_GB2312" w:hint="eastAsia"/>
                <w:color w:val="000000"/>
                <w:sz w:val="18"/>
                <w:szCs w:val="18"/>
              </w:rPr>
            </w:pPr>
            <w:r>
              <w:rPr>
                <w:rFonts w:ascii="楷体_GB2312" w:eastAsia="楷体_GB2312" w:hAnsi="楷体_GB2312" w:hint="eastAsia"/>
                <w:color w:val="000000"/>
                <w:sz w:val="18"/>
                <w:szCs w:val="18"/>
              </w:rPr>
              <w:t>优秀中小学教育教学典型案例分析</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60"/>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adjustRightInd w:val="0"/>
              <w:snapToGrid w:val="0"/>
              <w:jc w:val="center"/>
              <w:rPr>
                <w:rFonts w:ascii="楷体_GB2312" w:eastAsia="楷体_GB2312" w:hAnsi="楷体_GB2312" w:hint="eastAsia"/>
                <w:color w:val="000000"/>
                <w:szCs w:val="21"/>
              </w:rPr>
            </w:pPr>
          </w:p>
        </w:tc>
        <w:tc>
          <w:tcPr>
            <w:tcW w:w="2050" w:type="dxa"/>
            <w:vAlign w:val="center"/>
          </w:tcPr>
          <w:p>
            <w:pPr>
              <w:autoSpaceDE w:val="0"/>
              <w:autoSpaceDN w:val="0"/>
              <w:bidi w:val="0"/>
              <w:adjustRightInd w:val="0"/>
              <w:snapToGrid w:val="0"/>
              <w:jc w:val="both"/>
              <w:rPr>
                <w:rFonts w:ascii="楷体_GB2312" w:eastAsia="楷体_GB2312" w:hAnsi="楷体_GB2312" w:hint="eastAsia"/>
                <w:color w:val="000000"/>
                <w:szCs w:val="21"/>
              </w:rPr>
            </w:pPr>
            <w:r>
              <w:rPr>
                <w:rFonts w:ascii="楷体_GB2312" w:eastAsia="楷体_GB2312" w:hAnsi="楷体_GB2312" w:hint="eastAsia"/>
                <w:color w:val="000000"/>
                <w:szCs w:val="21"/>
              </w:rPr>
              <w:t>教育科学研究方法</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color w:val="000000"/>
                <w:szCs w:val="21"/>
              </w:rPr>
            </w:pPr>
            <w:r>
              <w:rPr>
                <w:rFonts w:eastAsia="楷体_GB2312"/>
                <w:color w:val="000000"/>
                <w:szCs w:val="21"/>
              </w:rPr>
              <w:t>17</w:t>
            </w:r>
          </w:p>
        </w:tc>
        <w:tc>
          <w:tcPr>
            <w:tcW w:w="637" w:type="dxa"/>
            <w:vAlign w:val="center"/>
          </w:tcPr>
          <w:p>
            <w:pPr>
              <w:autoSpaceDE w:val="0"/>
              <w:autoSpaceDN w:val="0"/>
              <w:bidi w:val="0"/>
              <w:jc w:val="center"/>
              <w:rPr>
                <w:rFonts w:eastAsia="楷体_GB2312"/>
                <w:color w:val="000000"/>
                <w:szCs w:val="21"/>
              </w:rPr>
            </w:pPr>
            <w:r>
              <w:rPr>
                <w:rFonts w:eastAsia="楷体_GB2312"/>
                <w:color w:val="000000"/>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509"/>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adjustRightInd w:val="0"/>
              <w:snapToGrid w:val="0"/>
              <w:jc w:val="center"/>
              <w:rPr>
                <w:rFonts w:ascii="楷体_GB2312" w:eastAsia="楷体_GB2312" w:hAnsi="楷体_GB2312" w:hint="eastAsia"/>
                <w:color w:val="000000"/>
                <w:sz w:val="18"/>
                <w:szCs w:val="18"/>
              </w:rPr>
            </w:pPr>
          </w:p>
        </w:tc>
        <w:tc>
          <w:tcPr>
            <w:tcW w:w="2050" w:type="dxa"/>
            <w:vAlign w:val="center"/>
          </w:tcPr>
          <w:p>
            <w:pPr>
              <w:autoSpaceDE w:val="0"/>
              <w:autoSpaceDN w:val="0"/>
              <w:bidi w:val="0"/>
              <w:adjustRightInd w:val="0"/>
              <w:snapToGrid w:val="0"/>
              <w:jc w:val="both"/>
              <w:rPr>
                <w:rFonts w:ascii="楷体_GB2312" w:eastAsia="楷体_GB2312" w:hAnsi="楷体_GB2312" w:hint="eastAsia"/>
                <w:color w:val="000000"/>
                <w:sz w:val="18"/>
                <w:szCs w:val="18"/>
              </w:rPr>
            </w:pPr>
            <w:r>
              <w:rPr>
                <w:rFonts w:ascii="楷体_GB2312" w:eastAsia="楷体_GB2312" w:hAnsi="楷体_GB2312" w:hint="eastAsia"/>
                <w:color w:val="000000"/>
                <w:sz w:val="18"/>
                <w:szCs w:val="18"/>
              </w:rPr>
              <w:t>基础教育改革与问题研究</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364"/>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jc w:val="center"/>
              <w:rPr>
                <w:rFonts w:ascii="楷体_GB2312" w:eastAsia="楷体_GB2312" w:hAnsi="楷体_GB2312" w:hint="eastAsia"/>
                <w:color w:val="000000"/>
                <w:sz w:val="18"/>
                <w:szCs w:val="18"/>
              </w:rPr>
            </w:pPr>
          </w:p>
        </w:tc>
        <w:tc>
          <w:tcPr>
            <w:tcW w:w="2050" w:type="dxa"/>
            <w:vAlign w:val="center"/>
          </w:tcPr>
          <w:p>
            <w:pPr>
              <w:autoSpaceDE w:val="0"/>
              <w:autoSpaceDN w:val="0"/>
              <w:bidi w:val="0"/>
              <w:jc w:val="left"/>
              <w:rPr>
                <w:rFonts w:ascii="楷体_GB2312" w:eastAsia="楷体_GB2312" w:hAnsi="楷体_GB2312" w:hint="eastAsia"/>
                <w:color w:val="000000"/>
                <w:sz w:val="18"/>
                <w:szCs w:val="18"/>
              </w:rPr>
            </w:pPr>
            <w:r>
              <w:rPr>
                <w:rFonts w:ascii="楷体_GB2312" w:eastAsia="楷体_GB2312" w:hAnsi="楷体_GB2312" w:hint="eastAsia"/>
                <w:color w:val="000000"/>
                <w:sz w:val="18"/>
                <w:szCs w:val="18"/>
              </w:rPr>
              <w:t>中外著名教育家简介</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r>
        <w:tblPrEx>
          <w:jc w:val="center"/>
          <w:tblInd w:w="2490" w:type="dxa"/>
          <w:tblLayout w:type="fixed"/>
          <w:tblCellMar>
            <w:top w:w="0" w:type="dxa"/>
            <w:left w:w="108" w:type="dxa"/>
            <w:bottom w:w="0" w:type="dxa"/>
            <w:right w:w="108" w:type="dxa"/>
          </w:tblCellMar>
          <w:tblLook w:val="0000"/>
        </w:tblPrEx>
        <w:trPr>
          <w:cantSplit/>
          <w:trHeight w:hRule="exact" w:val="292"/>
          <w:jc w:val="center"/>
        </w:trPr>
        <w:tc>
          <w:tcPr>
            <w:tcW w:w="349" w:type="dxa"/>
            <w:vMerge/>
            <w:vAlign w:val="center"/>
          </w:tcPr>
          <w:p>
            <w:pPr>
              <w:autoSpaceDE w:val="0"/>
              <w:autoSpaceDN w:val="0"/>
              <w:adjustRightInd w:val="0"/>
              <w:jc w:val="center"/>
              <w:rPr>
                <w:rFonts w:ascii="楷体_GB2312" w:eastAsia="楷体_GB2312" w:hAnsi="楷体_GB2312" w:hint="eastAsia"/>
                <w:szCs w:val="21"/>
              </w:rPr>
            </w:pPr>
          </w:p>
        </w:tc>
        <w:tc>
          <w:tcPr>
            <w:tcW w:w="408" w:type="dxa"/>
            <w:vMerge/>
            <w:vAlign w:val="center"/>
          </w:tcPr>
          <w:p>
            <w:pPr>
              <w:autoSpaceDE w:val="0"/>
              <w:autoSpaceDN w:val="0"/>
              <w:adjustRightInd w:val="0"/>
              <w:jc w:val="center"/>
              <w:rPr>
                <w:rFonts w:ascii="楷体_GB2312" w:eastAsia="楷体_GB2312" w:hAnsi="楷体_GB2312" w:hint="eastAsia"/>
                <w:szCs w:val="21"/>
              </w:rPr>
            </w:pPr>
          </w:p>
        </w:tc>
        <w:tc>
          <w:tcPr>
            <w:tcW w:w="523" w:type="dxa"/>
            <w:vMerge/>
            <w:vAlign w:val="center"/>
          </w:tcPr>
          <w:p>
            <w:pPr>
              <w:autoSpaceDE w:val="0"/>
              <w:autoSpaceDN w:val="0"/>
              <w:bidi w:val="0"/>
              <w:jc w:val="center"/>
              <w:rPr>
                <w:rFonts w:ascii="楷体_GB2312" w:eastAsia="楷体_GB2312" w:hAnsi="楷体_GB2312" w:hint="eastAsia"/>
                <w:color w:val="000000"/>
                <w:sz w:val="18"/>
                <w:szCs w:val="18"/>
              </w:rPr>
            </w:pPr>
          </w:p>
        </w:tc>
        <w:tc>
          <w:tcPr>
            <w:tcW w:w="2050" w:type="dxa"/>
            <w:vAlign w:val="center"/>
          </w:tcPr>
          <w:p>
            <w:pPr>
              <w:autoSpaceDE w:val="0"/>
              <w:autoSpaceDN w:val="0"/>
              <w:bidi w:val="0"/>
              <w:jc w:val="left"/>
              <w:rPr>
                <w:rFonts w:ascii="楷体_GB2312" w:eastAsia="楷体_GB2312" w:hAnsi="楷体_GB2312" w:hint="eastAsia"/>
                <w:color w:val="000000"/>
                <w:szCs w:val="21"/>
              </w:rPr>
            </w:pPr>
            <w:r>
              <w:rPr>
                <w:rFonts w:ascii="楷体_GB2312" w:eastAsia="楷体_GB2312" w:hAnsi="楷体_GB2312" w:hint="eastAsia"/>
                <w:color w:val="000000"/>
                <w:sz w:val="18"/>
                <w:szCs w:val="18"/>
              </w:rPr>
              <w:t>教育评价的原理与方法</w:t>
            </w:r>
          </w:p>
        </w:tc>
        <w:tc>
          <w:tcPr>
            <w:tcW w:w="1289" w:type="dxa"/>
            <w:vAlign w:val="center"/>
          </w:tcPr>
          <w:p>
            <w:pPr>
              <w:autoSpaceDE w:val="0"/>
              <w:autoSpaceDN w:val="0"/>
              <w:bidi w:val="0"/>
              <w:jc w:val="center"/>
              <w:rPr>
                <w:rFonts w:eastAsia="楷体_GB2312"/>
                <w:color w:val="000000"/>
                <w:szCs w:val="21"/>
              </w:rPr>
            </w:pPr>
          </w:p>
        </w:tc>
        <w:tc>
          <w:tcPr>
            <w:tcW w:w="653" w:type="dxa"/>
            <w:vAlign w:val="center"/>
          </w:tcPr>
          <w:p>
            <w:pPr>
              <w:autoSpaceDE w:val="0"/>
              <w:autoSpaceDN w:val="0"/>
              <w:bidi w:val="0"/>
              <w:jc w:val="center"/>
              <w:rPr>
                <w:rFonts w:eastAsia="楷体_GB2312"/>
                <w:szCs w:val="21"/>
              </w:rPr>
            </w:pPr>
            <w:r>
              <w:rPr>
                <w:rFonts w:eastAsia="楷体_GB2312"/>
                <w:szCs w:val="21"/>
              </w:rPr>
              <w:t>17</w:t>
            </w:r>
          </w:p>
        </w:tc>
        <w:tc>
          <w:tcPr>
            <w:tcW w:w="637" w:type="dxa"/>
            <w:vAlign w:val="center"/>
          </w:tcPr>
          <w:p>
            <w:pPr>
              <w:autoSpaceDE w:val="0"/>
              <w:autoSpaceDN w:val="0"/>
              <w:bidi w:val="0"/>
              <w:jc w:val="center"/>
              <w:rPr>
                <w:rFonts w:eastAsia="楷体_GB2312"/>
                <w:szCs w:val="21"/>
              </w:rPr>
            </w:pPr>
            <w:r>
              <w:rPr>
                <w:rFonts w:eastAsia="楷体_GB2312"/>
                <w:szCs w:val="21"/>
              </w:rPr>
              <w:t>17</w:t>
            </w:r>
          </w:p>
        </w:tc>
        <w:tc>
          <w:tcPr>
            <w:tcW w:w="653" w:type="dxa"/>
            <w:vAlign w:val="center"/>
          </w:tcPr>
          <w:p>
            <w:pPr>
              <w:autoSpaceDE w:val="0"/>
              <w:autoSpaceDN w:val="0"/>
              <w:bidi w:val="0"/>
              <w:jc w:val="center"/>
              <w:rPr>
                <w:rFonts w:eastAsia="楷体_GB2312"/>
                <w:color w:val="000000"/>
                <w:szCs w:val="21"/>
              </w:rPr>
            </w:pPr>
          </w:p>
        </w:tc>
        <w:tc>
          <w:tcPr>
            <w:tcW w:w="450"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489" w:type="dxa"/>
            <w:vAlign w:val="center"/>
          </w:tcPr>
          <w:p>
            <w:pPr>
              <w:autoSpaceDE w:val="0"/>
              <w:autoSpaceDN w:val="0"/>
              <w:bidi w:val="0"/>
              <w:jc w:val="center"/>
              <w:rPr>
                <w:rFonts w:eastAsia="楷体_GB2312"/>
                <w:color w:val="000000"/>
                <w:szCs w:val="21"/>
              </w:rPr>
            </w:pPr>
            <w:r>
              <w:rPr>
                <w:rFonts w:eastAsia="楷体_GB2312"/>
                <w:color w:val="000000"/>
                <w:szCs w:val="21"/>
              </w:rPr>
              <w:t>1</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6</w:t>
            </w:r>
          </w:p>
        </w:tc>
        <w:tc>
          <w:tcPr>
            <w:tcW w:w="378" w:type="dxa"/>
            <w:vAlign w:val="center"/>
          </w:tcPr>
          <w:p>
            <w:pPr>
              <w:autoSpaceDE w:val="0"/>
              <w:autoSpaceDN w:val="0"/>
              <w:bidi w:val="0"/>
              <w:jc w:val="center"/>
              <w:rPr>
                <w:rFonts w:eastAsia="楷体_GB2312"/>
                <w:color w:val="000000"/>
                <w:szCs w:val="21"/>
              </w:rPr>
            </w:pPr>
            <w:r>
              <w:rPr>
                <w:rFonts w:eastAsia="楷体_GB2312"/>
                <w:color w:val="000000"/>
                <w:szCs w:val="21"/>
              </w:rPr>
              <w:t>2</w:t>
            </w:r>
          </w:p>
        </w:tc>
        <w:tc>
          <w:tcPr>
            <w:tcW w:w="366" w:type="dxa"/>
            <w:vMerge/>
            <w:vAlign w:val="center"/>
          </w:tcPr>
          <w:p>
            <w:pPr>
              <w:autoSpaceDE w:val="0"/>
              <w:autoSpaceDN w:val="0"/>
              <w:adjustRightInd w:val="0"/>
              <w:jc w:val="center"/>
              <w:rPr>
                <w:rFonts w:ascii="楷体_GB2312" w:eastAsia="楷体_GB2312" w:hAnsi="楷体_GB2312" w:hint="eastAsia"/>
                <w:szCs w:val="21"/>
              </w:rPr>
            </w:pPr>
          </w:p>
        </w:tc>
      </w:tr>
    </w:tbl>
    <w:p>
      <w:pPr>
        <w:autoSpaceDE w:val="0"/>
        <w:autoSpaceDN w:val="0"/>
        <w:bidi w:val="0"/>
        <w:spacing w:before="125" w:beforeLines="40"/>
        <w:ind w:firstLine="360" w:firstLineChars="200"/>
        <w:jc w:val="both"/>
        <w:rPr>
          <w:rFonts w:ascii="楷体_GB2312" w:eastAsia="楷体_GB2312" w:hAnsi="宋体" w:cs="楷体_GB2312" w:hint="eastAsia"/>
          <w:b/>
          <w:sz w:val="18"/>
          <w:szCs w:val="18"/>
          <w:lang w:val="zh-CN"/>
        </w:rPr>
      </w:pPr>
      <w:r>
        <w:rPr>
          <w:rFonts w:ascii="楷体_GB2312" w:eastAsia="楷体_GB2312" w:hAnsi="宋体" w:cs="楷体_GB2312" w:hint="eastAsia"/>
          <w:b/>
          <w:sz w:val="18"/>
          <w:szCs w:val="18"/>
          <w:lang w:val="zh-CN"/>
        </w:rPr>
        <w:t>注：</w:t>
      </w:r>
    </w:p>
    <w:p>
      <w:pPr>
        <w:autoSpaceDE w:val="0"/>
        <w:autoSpaceDN w:val="0"/>
        <w:bidi w:val="0"/>
        <w:ind w:firstLine="360" w:firstLineChars="200"/>
        <w:jc w:val="both"/>
        <w:rPr>
          <w:rFonts w:eastAsia="仿宋_GB2312"/>
          <w:sz w:val="18"/>
          <w:szCs w:val="18"/>
          <w:lang w:val="zh-CN"/>
        </w:rPr>
      </w:pPr>
      <w:r>
        <w:rPr>
          <w:rFonts w:eastAsia="仿宋_GB2312"/>
          <w:sz w:val="18"/>
          <w:szCs w:val="18"/>
          <w:lang w:val="zh-CN"/>
        </w:rPr>
        <w:t>1.</w:t>
      </w:r>
      <w:r>
        <w:rPr>
          <w:rFonts w:eastAsia="仿宋_GB2312" w:hint="eastAsia"/>
          <w:sz w:val="18"/>
          <w:szCs w:val="18"/>
          <w:lang w:val="zh-CN"/>
        </w:rPr>
        <w:t xml:space="preserve"> </w:t>
      </w:r>
      <w:r>
        <w:rPr>
          <w:rFonts w:eastAsia="仿宋_GB2312"/>
          <w:sz w:val="18"/>
          <w:szCs w:val="18"/>
          <w:lang w:val="zh-CN"/>
        </w:rPr>
        <w:t>学科</w:t>
      </w:r>
      <w:r>
        <w:rPr>
          <w:rFonts w:eastAsia="仿宋_GB2312" w:hint="eastAsia"/>
          <w:sz w:val="18"/>
          <w:szCs w:val="18"/>
          <w:lang w:val="zh-CN"/>
        </w:rPr>
        <w:t>教学论、课堂教学技能两门</w:t>
      </w:r>
      <w:r>
        <w:rPr>
          <w:rFonts w:eastAsia="仿宋_GB2312"/>
          <w:sz w:val="18"/>
          <w:szCs w:val="18"/>
          <w:lang w:val="zh-CN"/>
        </w:rPr>
        <w:t>课程由各教学院</w:t>
      </w:r>
      <w:r>
        <w:rPr>
          <w:rFonts w:eastAsia="仿宋_GB2312" w:hint="eastAsia"/>
          <w:sz w:val="18"/>
          <w:szCs w:val="18"/>
          <w:lang w:val="zh-CN"/>
        </w:rPr>
        <w:t>（</w:t>
      </w:r>
      <w:r>
        <w:rPr>
          <w:rFonts w:eastAsia="仿宋_GB2312"/>
          <w:sz w:val="18"/>
          <w:szCs w:val="18"/>
          <w:lang w:val="zh-CN"/>
        </w:rPr>
        <w:t>系</w:t>
      </w:r>
      <w:r>
        <w:rPr>
          <w:rFonts w:eastAsia="仿宋_GB2312" w:hint="eastAsia"/>
          <w:sz w:val="18"/>
          <w:szCs w:val="18"/>
          <w:lang w:val="zh-CN"/>
        </w:rPr>
        <w:t>）</w:t>
      </w:r>
      <w:r>
        <w:rPr>
          <w:rFonts w:eastAsia="仿宋_GB2312"/>
          <w:sz w:val="18"/>
          <w:szCs w:val="18"/>
          <w:lang w:val="zh-CN"/>
        </w:rPr>
        <w:t>根据专业特点自主确定。</w:t>
      </w:r>
    </w:p>
    <w:p>
      <w:pPr>
        <w:autoSpaceDE w:val="0"/>
        <w:autoSpaceDN w:val="0"/>
        <w:bidi w:val="0"/>
        <w:ind w:firstLine="360" w:firstLineChars="200"/>
        <w:jc w:val="both"/>
        <w:rPr>
          <w:rFonts w:eastAsia="仿宋_GB2312" w:hint="eastAsia"/>
          <w:sz w:val="18"/>
          <w:szCs w:val="18"/>
        </w:rPr>
        <w:sectPr>
          <w:headerReference w:type="default" r:id="rId42"/>
          <w:footerReference w:type="even" r:id="rId43"/>
          <w:footerReference w:type="default" r:id="rId44"/>
          <w:type w:val="nextPage"/>
          <w:pgSz w:w="11906" w:h="16838"/>
          <w:pgMar w:top="1440" w:right="1800" w:bottom="1440" w:left="1800" w:header="851" w:footer="992" w:gutter="0"/>
          <w:pgNumType w:fmt="decimal" w:start="10"/>
          <w:cols w:space="708"/>
          <w:titlePg w:val="0"/>
          <w:docGrid w:type="lines" w:linePitch="312"/>
        </w:sectPr>
      </w:pPr>
      <w:r>
        <w:rPr>
          <w:rFonts w:eastAsia="仿宋_GB2312"/>
          <w:sz w:val="18"/>
          <w:szCs w:val="18"/>
          <w:lang w:val="zh-CN"/>
        </w:rPr>
        <w:t xml:space="preserve">2. </w:t>
      </w:r>
      <w:r>
        <w:rPr>
          <w:rFonts w:eastAsia="仿宋_GB2312" w:hint="eastAsia"/>
          <w:sz w:val="18"/>
          <w:szCs w:val="18"/>
          <w:lang w:val="zh-CN"/>
        </w:rPr>
        <w:t>每一门</w:t>
      </w:r>
      <w:r>
        <w:rPr>
          <w:rFonts w:eastAsia="仿宋_GB2312"/>
          <w:sz w:val="18"/>
          <w:szCs w:val="18"/>
        </w:rPr>
        <w:t>选修课程</w:t>
      </w:r>
      <w:r>
        <w:rPr>
          <w:rFonts w:eastAsia="仿宋_GB2312" w:hint="eastAsia"/>
          <w:sz w:val="18"/>
          <w:szCs w:val="18"/>
        </w:rPr>
        <w:t>教学时间</w:t>
      </w:r>
      <w:r>
        <w:rPr>
          <w:rFonts w:eastAsia="仿宋_GB2312"/>
          <w:sz w:val="18"/>
          <w:szCs w:val="18"/>
        </w:rPr>
        <w:t>均安排</w:t>
      </w:r>
      <w:r>
        <w:rPr>
          <w:rFonts w:eastAsia="仿宋_GB2312" w:hint="eastAsia"/>
          <w:sz w:val="18"/>
          <w:szCs w:val="18"/>
        </w:rPr>
        <w:t>8</w:t>
      </w:r>
      <w:r>
        <w:rPr>
          <w:rFonts w:eastAsia="仿宋_GB2312"/>
          <w:sz w:val="18"/>
          <w:szCs w:val="18"/>
        </w:rPr>
        <w:t>周</w:t>
      </w:r>
      <w:r>
        <w:rPr>
          <w:rFonts w:eastAsia="仿宋_GB2312" w:hint="eastAsia"/>
          <w:sz w:val="18"/>
          <w:szCs w:val="18"/>
        </w:rPr>
        <w:t>，周学时为2</w:t>
      </w:r>
      <w:r>
        <w:rPr>
          <w:rFonts w:eastAsia="仿宋_GB2312"/>
          <w:sz w:val="18"/>
          <w:szCs w:val="18"/>
        </w:rPr>
        <w:t>，1学分</w:t>
      </w:r>
      <w:r>
        <w:rPr>
          <w:rFonts w:eastAsia="仿宋_GB2312" w:hint="eastAsia"/>
          <w:sz w:val="18"/>
          <w:szCs w:val="18"/>
        </w:rPr>
        <w:t>。</w:t>
      </w:r>
    </w:p>
    <w:p>
      <w:pPr>
        <w:autoSpaceDE w:val="0"/>
        <w:autoSpaceDN w:val="0"/>
        <w:bidi w:val="0"/>
        <w:spacing w:before="156" w:beforeLines="50" w:line="360" w:lineRule="auto"/>
        <w:ind w:firstLine="480" w:firstLineChars="200"/>
        <w:jc w:val="both"/>
        <w:rPr>
          <w:rFonts w:ascii="宋体" w:hAnsi="宋体"/>
          <w:sz w:val="24"/>
          <w:lang w:val="zh-CN"/>
        </w:rPr>
      </w:pPr>
      <w:r>
        <w:rPr>
          <w:rFonts w:ascii="宋体" w:eastAsia="宋体" w:hAnsi="宋体" w:cs="楷体_GB2312" w:hint="eastAsia"/>
          <w:sz w:val="24"/>
          <w:lang w:val="zh-CN"/>
        </w:rPr>
        <w:t>（四）公共实</w:t>
      </w:r>
      <w:r>
        <w:rPr>
          <w:sz w:val="24"/>
          <w:lang w:val="zh-CN"/>
        </w:rPr>
        <w:t>践教学平台（原则上不少于3</w:t>
      </w:r>
      <w:r>
        <w:rPr>
          <w:rFonts w:hint="eastAsia"/>
          <w:sz w:val="24"/>
          <w:lang w:val="zh-CN"/>
        </w:rPr>
        <w:t>4</w:t>
      </w:r>
      <w:r>
        <w:rPr>
          <w:sz w:val="24"/>
          <w:lang w:val="zh-CN"/>
        </w:rPr>
        <w:t>学分</w:t>
      </w:r>
      <w:r>
        <w:rPr>
          <w:rFonts w:ascii="宋体" w:eastAsia="宋体" w:hAnsi="宋体" w:cs="楷体_GB2312" w:hint="eastAsia"/>
          <w:sz w:val="24"/>
          <w:lang w:val="zh-CN"/>
        </w:rPr>
        <w:t>）</w:t>
      </w:r>
    </w:p>
    <w:p>
      <w:pPr>
        <w:widowControl/>
        <w:bidi w:val="0"/>
        <w:spacing w:line="360" w:lineRule="auto"/>
        <w:ind w:firstLine="480" w:firstLineChars="200"/>
        <w:jc w:val="both"/>
        <w:rPr>
          <w:rFonts w:ascii="宋体" w:hAnsi="宋体" w:cs="宋体"/>
          <w:color w:val="000000"/>
          <w:kern w:val="0"/>
          <w:sz w:val="24"/>
        </w:rPr>
      </w:pPr>
      <w:r>
        <w:rPr>
          <w:rFonts w:hint="eastAsia"/>
          <w:color w:val="000000"/>
          <w:sz w:val="24"/>
          <w:lang w:val="zh-CN"/>
        </w:rPr>
        <w:t>实践教学</w:t>
      </w:r>
      <w:r>
        <w:rPr>
          <w:color w:val="000000"/>
          <w:sz w:val="24"/>
          <w:lang w:val="zh-CN"/>
        </w:rPr>
        <w:t>是巩固理论知识和加深对理论认识的有效途径</w:t>
      </w:r>
      <w:r>
        <w:rPr>
          <w:rFonts w:hint="eastAsia"/>
          <w:color w:val="000000"/>
          <w:sz w:val="24"/>
          <w:lang w:val="zh-CN"/>
        </w:rPr>
        <w:t>。</w:t>
      </w:r>
      <w:r>
        <w:rPr>
          <w:color w:val="000000"/>
          <w:sz w:val="24"/>
          <w:lang w:val="zh-CN"/>
        </w:rPr>
        <w:t>根据各专业的特点安排，</w:t>
      </w:r>
      <w:r>
        <w:rPr>
          <w:rFonts w:hint="eastAsia"/>
          <w:color w:val="000000"/>
          <w:sz w:val="24"/>
          <w:lang w:val="zh-CN"/>
        </w:rPr>
        <w:t>实践教学</w:t>
      </w:r>
      <w:r>
        <w:rPr>
          <w:color w:val="000000"/>
          <w:sz w:val="24"/>
          <w:lang w:val="zh-CN"/>
        </w:rPr>
        <w:t>主要包括军训、义工、教学实习等各类实习、实验、实训、课程设计、大型作业、毕业实习、学年论文、毕业论文（设计）</w:t>
      </w:r>
      <w:r>
        <w:rPr>
          <w:rFonts w:hint="eastAsia"/>
          <w:color w:val="000000"/>
          <w:sz w:val="24"/>
          <w:lang w:val="zh-CN"/>
        </w:rPr>
        <w:t>、毕业综合技能</w:t>
      </w:r>
      <w:r>
        <w:rPr>
          <w:color w:val="000000"/>
          <w:sz w:val="24"/>
          <w:lang w:val="zh-CN"/>
        </w:rPr>
        <w:t>以及社会实践活动等。</w:t>
      </w:r>
    </w:p>
    <w:p>
      <w:pPr>
        <w:widowControl/>
        <w:bidi w:val="0"/>
        <w:spacing w:line="360" w:lineRule="auto"/>
        <w:ind w:firstLine="480" w:firstLineChars="200"/>
        <w:jc w:val="both"/>
        <w:rPr>
          <w:rFonts w:hint="eastAsia"/>
          <w:color w:val="000000"/>
          <w:sz w:val="24"/>
        </w:rPr>
      </w:pPr>
      <w:r>
        <w:rPr>
          <w:rFonts w:hAnsi="宋体"/>
          <w:color w:val="000000"/>
          <w:sz w:val="24"/>
        </w:rPr>
        <w:t>根据教高</w:t>
      </w:r>
      <w:r>
        <w:rPr>
          <w:color w:val="000000"/>
          <w:sz w:val="24"/>
        </w:rPr>
        <w:t>[2007]2</w:t>
      </w:r>
      <w:r>
        <w:rPr>
          <w:rFonts w:hAnsi="宋体"/>
          <w:color w:val="000000"/>
          <w:sz w:val="24"/>
        </w:rPr>
        <w:t>号</w:t>
      </w:r>
      <w:r>
        <w:rPr>
          <w:rFonts w:hAnsi="宋体" w:hint="eastAsia"/>
          <w:color w:val="000000"/>
          <w:sz w:val="24"/>
        </w:rPr>
        <w:t>文件和本科评估</w:t>
      </w:r>
      <w:r>
        <w:rPr>
          <w:rFonts w:hAnsi="宋体"/>
          <w:color w:val="000000"/>
          <w:sz w:val="24"/>
        </w:rPr>
        <w:t>要求，</w:t>
      </w:r>
      <w:r>
        <w:rPr>
          <w:color w:val="000000"/>
          <w:sz w:val="24"/>
          <w:lang w:val="zh-CN"/>
        </w:rPr>
        <w:t>列入人才培养方案的实践教学累计学分数</w:t>
      </w:r>
      <w:r>
        <w:rPr>
          <w:rFonts w:hint="eastAsia"/>
          <w:color w:val="000000"/>
          <w:sz w:val="24"/>
          <w:lang w:val="zh-CN"/>
        </w:rPr>
        <w:t>应</w:t>
      </w:r>
      <w:r>
        <w:rPr>
          <w:color w:val="000000"/>
          <w:sz w:val="24"/>
          <w:lang w:val="zh-CN"/>
        </w:rPr>
        <w:t>占总学分数的</w:t>
      </w:r>
      <w:r>
        <w:rPr>
          <w:rFonts w:hint="eastAsia"/>
          <w:color w:val="000000"/>
          <w:sz w:val="24"/>
          <w:lang w:val="zh-CN"/>
        </w:rPr>
        <w:t>一定</w:t>
      </w:r>
      <w:r>
        <w:rPr>
          <w:color w:val="000000"/>
          <w:sz w:val="24"/>
          <w:lang w:val="zh-CN"/>
        </w:rPr>
        <w:t>比例</w:t>
      </w:r>
      <w:r>
        <w:rPr>
          <w:rFonts w:hint="eastAsia"/>
          <w:color w:val="000000"/>
          <w:sz w:val="24"/>
          <w:lang w:val="zh-CN"/>
        </w:rPr>
        <w:t>。</w:t>
      </w:r>
      <w:r>
        <w:rPr>
          <w:color w:val="000000"/>
          <w:sz w:val="24"/>
          <w:lang w:val="zh-CN"/>
        </w:rPr>
        <w:t>人文社科类专业实践教学比例占总学分（学时）比例不低于20%，理工</w:t>
      </w:r>
      <w:r>
        <w:rPr>
          <w:rFonts w:hint="eastAsia"/>
          <w:color w:val="000000"/>
          <w:sz w:val="24"/>
          <w:lang w:val="zh-CN"/>
        </w:rPr>
        <w:t>、体育</w:t>
      </w:r>
      <w:r>
        <w:rPr>
          <w:color w:val="000000"/>
          <w:sz w:val="24"/>
          <w:lang w:val="zh-CN"/>
        </w:rPr>
        <w:t>类专业实践教学比例占总学分（学时）比例不低于25%。</w:t>
      </w:r>
      <w:r>
        <w:rPr>
          <w:rFonts w:hint="eastAsia"/>
          <w:color w:val="000000"/>
          <w:sz w:val="24"/>
          <w:lang w:val="zh-CN"/>
        </w:rPr>
        <w:t>结合我校实际情况，</w:t>
      </w:r>
      <w:r>
        <w:rPr>
          <w:rFonts w:hint="eastAsia"/>
          <w:color w:val="000000"/>
          <w:sz w:val="24"/>
        </w:rPr>
        <w:t>实践教学体系由课内</w:t>
      </w:r>
      <w:r>
        <w:rPr>
          <w:rFonts w:hint="eastAsia"/>
          <w:color w:val="000000"/>
          <w:sz w:val="24"/>
          <w:lang w:val="zh-CN"/>
        </w:rPr>
        <w:t>独立开设的实践实验</w:t>
      </w:r>
      <w:r>
        <w:rPr>
          <w:color w:val="000000"/>
          <w:sz w:val="24"/>
          <w:lang w:val="zh-CN"/>
        </w:rPr>
        <w:t>课</w:t>
      </w:r>
      <w:r>
        <w:rPr>
          <w:rFonts w:hint="eastAsia"/>
          <w:color w:val="000000"/>
          <w:sz w:val="24"/>
          <w:lang w:val="zh-CN"/>
        </w:rPr>
        <w:t>和公共</w:t>
      </w:r>
      <w:r>
        <w:rPr>
          <w:rFonts w:hint="eastAsia"/>
          <w:color w:val="000000"/>
          <w:sz w:val="24"/>
        </w:rPr>
        <w:t>实践</w:t>
      </w:r>
      <w:r>
        <w:rPr>
          <w:rFonts w:hint="eastAsia"/>
          <w:color w:val="000000"/>
          <w:sz w:val="24"/>
          <w:lang w:val="zh-CN"/>
        </w:rPr>
        <w:t>教学平台两部分组成。</w:t>
      </w:r>
      <w:r>
        <w:rPr>
          <w:rFonts w:hint="eastAsia"/>
          <w:color w:val="000000"/>
          <w:sz w:val="24"/>
        </w:rPr>
        <w:t>公共实践教学平台由集中实践教学和能力拓展两部分组成。集中</w:t>
      </w:r>
      <w:r>
        <w:rPr>
          <w:color w:val="000000"/>
          <w:sz w:val="24"/>
        </w:rPr>
        <w:t>实践教学包括</w:t>
      </w:r>
      <w:r>
        <w:rPr>
          <w:rFonts w:hint="eastAsia"/>
          <w:color w:val="000000"/>
          <w:sz w:val="24"/>
        </w:rPr>
        <w:t>入学教育与</w:t>
      </w:r>
      <w:r>
        <w:rPr>
          <w:color w:val="000000"/>
          <w:sz w:val="24"/>
        </w:rPr>
        <w:t>军训、社会调查、</w:t>
      </w:r>
      <w:r>
        <w:rPr>
          <w:rFonts w:hint="eastAsia"/>
          <w:color w:val="000000"/>
          <w:sz w:val="24"/>
        </w:rPr>
        <w:t>教育（专业）</w:t>
      </w:r>
      <w:r>
        <w:rPr>
          <w:color w:val="000000"/>
          <w:sz w:val="24"/>
        </w:rPr>
        <w:t>见习、各类</w:t>
      </w:r>
      <w:r>
        <w:rPr>
          <w:rFonts w:hint="eastAsia"/>
          <w:color w:val="000000"/>
          <w:sz w:val="24"/>
        </w:rPr>
        <w:t>教育（专业）</w:t>
      </w:r>
      <w:r>
        <w:rPr>
          <w:color w:val="000000"/>
          <w:sz w:val="24"/>
        </w:rPr>
        <w:t>实习、</w:t>
      </w:r>
      <w:r>
        <w:rPr>
          <w:rFonts w:hint="eastAsia"/>
          <w:color w:val="000000"/>
          <w:sz w:val="24"/>
        </w:rPr>
        <w:t>实训、</w:t>
      </w:r>
      <w:r>
        <w:rPr>
          <w:color w:val="000000"/>
          <w:sz w:val="24"/>
        </w:rPr>
        <w:t>学年论文</w:t>
      </w:r>
      <w:r>
        <w:rPr>
          <w:rFonts w:hint="eastAsia"/>
          <w:color w:val="000000"/>
          <w:sz w:val="24"/>
        </w:rPr>
        <w:t>（设计）</w:t>
      </w:r>
      <w:r>
        <w:rPr>
          <w:color w:val="000000"/>
          <w:sz w:val="24"/>
        </w:rPr>
        <w:t>、毕业论文（设计）</w:t>
      </w:r>
      <w:r>
        <w:rPr>
          <w:rFonts w:hint="eastAsia"/>
          <w:color w:val="000000"/>
          <w:sz w:val="24"/>
        </w:rPr>
        <w:t>、</w:t>
      </w:r>
      <w:r>
        <w:rPr>
          <w:color w:val="000000"/>
          <w:sz w:val="24"/>
        </w:rPr>
        <w:t>课程设计、大型作业，以及与专业相关的其它活动（不含能力拓展）</w:t>
      </w:r>
      <w:r>
        <w:rPr>
          <w:rFonts w:hint="eastAsia"/>
          <w:color w:val="000000"/>
          <w:sz w:val="24"/>
        </w:rPr>
        <w:t>。</w:t>
      </w:r>
      <w:r>
        <w:rPr>
          <w:color w:val="000000"/>
          <w:sz w:val="24"/>
        </w:rPr>
        <w:t>能力拓展</w:t>
      </w:r>
      <w:r>
        <w:rPr>
          <w:rFonts w:hint="eastAsia"/>
          <w:color w:val="000000"/>
          <w:sz w:val="24"/>
        </w:rPr>
        <w:t>是指在课外进行的与专业相关的创新实践。</w:t>
      </w: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rFonts w:hint="eastAsia"/>
          <w:color w:val="000000"/>
          <w:sz w:val="24"/>
        </w:rPr>
      </w:pPr>
    </w:p>
    <w:p>
      <w:pPr>
        <w:widowControl/>
        <w:bidi w:val="0"/>
        <w:spacing w:line="360" w:lineRule="auto"/>
        <w:ind w:firstLine="480" w:firstLineChars="200"/>
        <w:jc w:val="both"/>
        <w:rPr>
          <w:color w:val="000000"/>
          <w:sz w:val="24"/>
        </w:rPr>
      </w:pPr>
      <w:r>
        <w:rPr>
          <w:color w:val="000000"/>
          <w:sz w:val="24"/>
        </w:rPr>
        <w:br/>
      </w:r>
      <w:r>
        <w:rPr>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https://d.book118.com/027151153145006031</w:t>
        </w:r>
      </w:hyperlink>
    </w:p>
    <w:p>
      <w:pPr>
        <w:widowControl/>
        <w:bidi w:val="0"/>
        <w:spacing w:line="360" w:lineRule="auto"/>
        <w:ind w:firstLine="480" w:firstLineChars="200"/>
        <w:jc w:val="both"/>
        <w:rPr>
          <w:color w:val="000000"/>
          <w:sz w:val="24"/>
        </w:rPr>
      </w:pPr>
    </w:p>
    <w:sectPr>
      <w:headerReference w:type="default" r:id="rId46"/>
      <w:footerReference w:type="even" r:id="rId47"/>
      <w:footerReference w:type="default" r:id="rId48"/>
      <w:type w:val="nextPage"/>
      <w:pgSz w:w="11906" w:h="16838"/>
      <w:pgMar w:top="1440" w:right="1800" w:bottom="1440" w:left="1800" w:header="851" w:footer="992" w:gutter="0"/>
      <w:pgNumType w:fmt="decimal" w:start="1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40001" w:csb1="00000000"/>
  </w:font>
  <w:font w:name="Times New Roman">
    <w:altName w:val="Times New Roman"/>
    <w:panose1 w:val="00000000000000000000"/>
    <w:charset w:val="00"/>
    <w:family w:val="auto"/>
    <w:pitch w:val="default"/>
    <w:sig w:usb0="00000000" w:usb1="00000000" w:usb2="00000000" w:usb3="00000000" w:csb0="00040001" w:csb1="00000000"/>
  </w:font>
  <w:font w:name="楷体_GB2312">
    <w:altName w:val="楷体"/>
    <w:panose1 w:val="00000000000000000000"/>
    <w:charset w:val="00"/>
    <w:family w:val="auto"/>
    <w:pitch w:val="default"/>
    <w:sig w:usb0="00000000" w:usb1="00000000" w:usb2="00000000" w:usb3="00000000" w:csb0="00040001" w:csb1="00000000"/>
  </w:font>
  <w:font w:name="黑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lear" w:pos="4153"/>
        <w:tab w:val="clear" w:pos="8306"/>
      </w:tabs>
      <w:bidi w:val="0"/>
      <w:jc w:val="left"/>
      <w:rPr>
        <w:rStyle w:val="PageNumber"/>
      </w:rPr>
    </w:pPr>
    <w:r>
      <w:fldChar w:fldCharType="begin"/>
    </w:r>
    <w:r>
      <w:instrText xml:space="preserve">PAGE  </w:instrText>
    </w:r>
    <w:r>
      <w:fldChar w:fldCharType="separate"/>
    </w:r>
    <w:r>
      <w:fldChar w:fldCharType="end"/>
    </w:r>
  </w:p>
  <w:p>
    <w:pPr>
      <w:pStyle w:val="Footer"/>
      <w:tabs>
        <w:tab w:val="clear" w:pos="4153"/>
        <w:tab w:val="clear" w:pos="8306"/>
      </w:tabs>
      <w:bidi w:val="0"/>
      <w:jc w:val="left"/>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感谢你的欣赏</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rPr>
        <w:rFonts w:eastAsia="宋体" w:hint="eastAsia"/>
        <w:lang w:eastAsia="zh-CN"/>
      </w:rPr>
    </w:pPr>
    <w:r>
      <w:rPr>
        <w:rFonts w:hint="eastAsia"/>
        <w:lang w:eastAsia="zh-CN"/>
      </w:rPr>
      <w:t>感谢你的欣赏</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2BBD"/>
    <w:rsid w:val="276F613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lsdException w:name="Body Text" w:semiHidden="0" w:uiPriority="0" w:unhideWhenUsed="0"/>
    <w:lsdException w:name="Body Text Indent" w:semiHidden="0" w:uiPriority="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lsdException w:name="annotation subject" w:semiHidden="0" w:uiPriority="0" w:unhideWhenUsed="0"/>
    <w:lsdException w:name="No List" w:semiHidden="0" w:uiPriority="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basedOn w:val="Normal"/>
    <w:link w:val="2Char0"/>
    <w:qFormat/>
    <w:pPr>
      <w:widowControl/>
      <w:jc w:val="left"/>
      <w:outlineLvl w:val="1"/>
    </w:pPr>
    <w:rPr>
      <w:rFonts w:ascii="宋体" w:eastAsia="宋体" w:hAnsi="宋体"/>
      <w:kern w:val="0"/>
      <w:sz w:val="18"/>
      <w:szCs w:val="20"/>
    </w:rPr>
  </w:style>
  <w:style w:type="character" w:default="1" w:styleId="DefaultParagraphFont">
    <w:name w:val="Default Paragraph Font"/>
    <w:unhideWhenUsed/>
  </w:style>
  <w:style w:type="table" w:default="1" w:styleId="TableNormal">
    <w:name w:val="Normal Table"/>
    <w:unhideWhenUsed/>
    <w:tblPr>
      <w:tblCellMar>
        <w:top w:w="0" w:type="dxa"/>
        <w:left w:w="108" w:type="dxa"/>
        <w:bottom w:w="0" w:type="dxa"/>
        <w:right w:w="108" w:type="dxa"/>
      </w:tblCellMar>
    </w:tblPr>
  </w:style>
  <w:style w:type="paragraph" w:default="1" w:styleId="NoList">
    <w:name w:val="No List"/>
    <w:unhideWhenUsed/>
    <w:rPr>
      <w:rFonts w:ascii="Times New Roman" w:eastAsia="宋体" w:hAnsi="Times New Roman"/>
    </w:rPr>
  </w:style>
  <w:style w:type="character" w:styleId="Hyperlink">
    <w:name w:val="Hyperlink"/>
    <w:rPr>
      <w:rFonts w:cs="Times New Roman"/>
      <w:color w:val="0000FF"/>
      <w:u w:val="single"/>
    </w:rPr>
  </w:style>
  <w:style w:type="character" w:styleId="Strong">
    <w:name w:val="Strong"/>
    <w:qFormat/>
    <w:rPr>
      <w:b/>
      <w:bCs/>
    </w:rPr>
  </w:style>
  <w:style w:type="character" w:styleId="PageNumber">
    <w:name w:val="page number"/>
    <w:rPr>
      <w:rFonts w:cs="Times New Roman"/>
    </w:rPr>
  </w:style>
  <w:style w:type="character" w:customStyle="1" w:styleId="Char">
    <w:name w:val="批注框文本 Char"/>
    <w:link w:val="BalloonText"/>
    <w:semiHidden/>
    <w:rPr>
      <w:sz w:val="18"/>
    </w:rPr>
  </w:style>
  <w:style w:type="character" w:customStyle="1" w:styleId="2Char">
    <w:name w:val="正文文本 2 Char"/>
    <w:link w:val="BodyText2"/>
    <w:semiHidden/>
    <w:rPr>
      <w:sz w:val="24"/>
    </w:rPr>
  </w:style>
  <w:style w:type="character" w:customStyle="1" w:styleId="1Char">
    <w:name w:val="标题 1 Char"/>
    <w:link w:val="Heading1"/>
    <w:rPr>
      <w:b/>
      <w:bCs/>
      <w:kern w:val="44"/>
      <w:sz w:val="44"/>
      <w:szCs w:val="44"/>
    </w:rPr>
  </w:style>
  <w:style w:type="character" w:customStyle="1" w:styleId="Char0">
    <w:name w:val="称呼 Char"/>
    <w:link w:val="Salutation"/>
    <w:rPr>
      <w:kern w:val="2"/>
      <w:sz w:val="28"/>
    </w:rPr>
  </w:style>
  <w:style w:type="character" w:customStyle="1" w:styleId="Char1">
    <w:name w:val="页脚 Char"/>
    <w:link w:val="Footer"/>
    <w:semiHidden/>
    <w:rPr>
      <w:sz w:val="18"/>
    </w:rPr>
  </w:style>
  <w:style w:type="character" w:customStyle="1" w:styleId="HTMLChar">
    <w:name w:val="HTML 预设格式 Char"/>
    <w:link w:val="HTMLPreformatted"/>
    <w:semiHidden/>
    <w:rPr>
      <w:rFonts w:ascii="Arial" w:eastAsia="Arial" w:hAnsi="Arial" w:cs="Arial"/>
      <w:sz w:val="24"/>
      <w:szCs w:val="24"/>
    </w:rPr>
  </w:style>
  <w:style w:type="character" w:customStyle="1" w:styleId="Char2">
    <w:name w:val="日期 Char"/>
    <w:link w:val="Date"/>
    <w:semiHidden/>
    <w:rPr>
      <w:sz w:val="24"/>
    </w:rPr>
  </w:style>
  <w:style w:type="character" w:customStyle="1" w:styleId="apple-converted-space">
    <w:name w:val="apple-converted-space"/>
  </w:style>
  <w:style w:type="character" w:customStyle="1" w:styleId="2Char0">
    <w:name w:val="标题 2 Char"/>
    <w:link w:val="Heading2"/>
    <w:rPr>
      <w:rFonts w:ascii="宋体" w:eastAsia="宋体" w:hAnsi="宋体"/>
      <w:sz w:val="18"/>
    </w:rPr>
  </w:style>
  <w:style w:type="character" w:customStyle="1" w:styleId="Char3">
    <w:name w:val="页眉 Char"/>
    <w:link w:val="Header"/>
    <w:semiHidden/>
    <w:rPr>
      <w:sz w:val="18"/>
    </w:rPr>
  </w:style>
  <w:style w:type="character" w:customStyle="1" w:styleId="Char4">
    <w:name w:val="正文文本缩进 Char"/>
    <w:link w:val="BodyTextIndent"/>
    <w:rPr>
      <w:kern w:val="2"/>
      <w:sz w:val="21"/>
      <w:szCs w:val="24"/>
    </w:rPr>
  </w:style>
  <w:style w:type="paragraph" w:styleId="Header">
    <w:name w:val="header"/>
    <w:basedOn w:val="Normal"/>
    <w:link w:val="Char3"/>
    <w:pPr>
      <w:pBdr>
        <w:bottom w:val="single" w:sz="6" w:space="1" w:color="auto"/>
      </w:pBdr>
      <w:tabs>
        <w:tab w:val="center" w:pos="4153"/>
        <w:tab w:val="right" w:pos="8306"/>
      </w:tabs>
      <w:snapToGrid w:val="0"/>
      <w:jc w:val="center"/>
    </w:pPr>
    <w:rPr>
      <w:kern w:val="0"/>
      <w:sz w:val="18"/>
      <w:szCs w:val="20"/>
    </w:rPr>
  </w:style>
  <w:style w:type="paragraph" w:styleId="Footer">
    <w:name w:val="footer"/>
    <w:basedOn w:val="Normal"/>
    <w:link w:val="Char1"/>
    <w:pPr>
      <w:tabs>
        <w:tab w:val="center" w:pos="4153"/>
        <w:tab w:val="right" w:pos="8306"/>
      </w:tabs>
      <w:snapToGrid w:val="0"/>
      <w:jc w:val="left"/>
    </w:pPr>
    <w:rPr>
      <w:kern w:val="0"/>
      <w:sz w:val="18"/>
      <w:szCs w:val="20"/>
    </w:rPr>
  </w:style>
  <w:style w:type="paragraph" w:styleId="BalloonText">
    <w:name w:val="Balloon Text"/>
    <w:basedOn w:val="Normal"/>
    <w:link w:val="Char"/>
    <w:semiHidden/>
    <w:rPr>
      <w:kern w:val="0"/>
      <w:sz w:val="18"/>
      <w:szCs w:val="20"/>
    </w:rPr>
  </w:style>
  <w:style w:type="paragraph" w:styleId="Salutation">
    <w:name w:val="Salutation"/>
    <w:basedOn w:val="Normal"/>
    <w:next w:val="Normal"/>
    <w:link w:val="Char0"/>
    <w:rPr>
      <w:sz w:val="28"/>
      <w:szCs w:val="20"/>
    </w:rPr>
  </w:style>
  <w:style w:type="paragraph" w:styleId="Date">
    <w:name w:val="Date"/>
    <w:basedOn w:val="Normal"/>
    <w:next w:val="Normal"/>
    <w:link w:val="Char2"/>
    <w:pPr>
      <w:ind w:left="2500" w:leftChars="2500"/>
    </w:pPr>
    <w:rPr>
      <w:kern w:val="0"/>
      <w:sz w:val="24"/>
      <w:szCs w:val="20"/>
    </w:rPr>
  </w:style>
  <w:style w:type="paragraph" w:styleId="BodyTextIndent">
    <w:name w:val="Body Text Indent"/>
    <w:basedOn w:val="Normal"/>
    <w:link w:val="Char4"/>
    <w:unhideWhenUsed/>
    <w:pPr>
      <w:spacing w:after="120"/>
      <w:ind w:left="420" w:leftChars="200"/>
    </w:pPr>
  </w:style>
  <w:style w:type="paragraph" w:styleId="BodyText2">
    <w:name w:val="Body Text 2"/>
    <w:basedOn w:val="Normal"/>
    <w:link w:val="2Char"/>
    <w:pPr>
      <w:spacing w:after="120" w:line="480" w:lineRule="auto"/>
    </w:pPr>
    <w:rPr>
      <w:kern w:val="0"/>
      <w:sz w:val="24"/>
      <w:szCs w:val="20"/>
    </w:rPr>
  </w:style>
  <w:style w:type="paragraph" w:styleId="NormalWeb">
    <w:name w:val="Normal (Web)"/>
    <w:basedOn w:val="Normal"/>
    <w:pPr>
      <w:widowControl/>
      <w:spacing w:before="100" w:beforeAutospacing="1" w:after="100" w:afterAutospacing="1"/>
      <w:jc w:val="left"/>
    </w:pPr>
    <w:rPr>
      <w:rFonts w:ascii="宋体" w:eastAsia="宋体" w:hAnsi="宋体"/>
      <w:kern w:val="0"/>
      <w:sz w:val="24"/>
    </w:rPr>
  </w:style>
  <w:style w:type="paragraph" w:styleId="HTMLPreformatted">
    <w:name w:val="HTML Preformatted"/>
    <w:basedOn w:val="Normal"/>
    <w:link w:val="HTMLChar"/>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Arial" w:hAnsi="Arial" w:cs="Arial"/>
      <w:kern w:val="0"/>
      <w:sz w:val="24"/>
    </w:rPr>
  </w:style>
  <w:style w:type="paragraph" w:customStyle="1" w:styleId="a0">
    <w:name w:val="a0"/>
    <w:basedOn w:val="Normal"/>
    <w:pPr>
      <w:widowControl/>
      <w:spacing w:before="100" w:beforeAutospacing="1" w:after="100" w:afterAutospacing="1"/>
      <w:jc w:val="left"/>
    </w:pPr>
    <w:rPr>
      <w:rFonts w:ascii="Arial Unicode MS" w:eastAsia="Arial Unicode MS" w:hAnsi="Arial Unicode MS"/>
      <w:kern w:val="0"/>
      <w:sz w:val="24"/>
    </w:rPr>
  </w:style>
  <w:style w:type="paragraph" w:customStyle="1" w:styleId="duanluosongti14hao25hang">
    <w:name w:val="duanluosongti14hao25hang"/>
    <w:basedOn w:val="Normal"/>
    <w:pPr>
      <w:widowControl/>
      <w:spacing w:before="100" w:beforeAutospacing="1" w:after="100" w:afterAutospacing="1" w:line="375" w:lineRule="atLeast"/>
      <w:jc w:val="left"/>
    </w:pPr>
    <w:rPr>
      <w:rFonts w:ascii="" w:eastAsia="" w:hAnsi=""/>
      <w:color w:val="000000"/>
      <w:kern w:val="0"/>
      <w:szCs w:val="21"/>
    </w:rPr>
  </w:style>
  <w:style w:type="paragraph" w:customStyle="1" w:styleId="default">
    <w:name w:val="default"/>
    <w:basedOn w:val="Normal"/>
    <w:pPr>
      <w:widowControl/>
      <w:spacing w:before="100" w:beforeAutospacing="1" w:after="100" w:afterAutospacing="1" w:line="260" w:lineRule="atLeast"/>
      <w:jc w:val="left"/>
    </w:pPr>
    <w:rPr>
      <w:rFonts w:ascii="宋体" w:eastAsia="宋体" w:hAnsi="宋体" w:cs="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3.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oleObject" Target="embeddings/oleObject3.bin" /><Relationship Id="rId17" Type="http://schemas.openxmlformats.org/officeDocument/2006/relationships/oleObject" Target="embeddings/oleObject4.bin" /><Relationship Id="rId18" Type="http://schemas.openxmlformats.org/officeDocument/2006/relationships/header" Target="header4.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image" Target="media/image2.wmf" /><Relationship Id="rId22" Type="http://schemas.openxmlformats.org/officeDocument/2006/relationships/oleObject" Target="embeddings/oleObject5.bin" /><Relationship Id="rId23" Type="http://schemas.openxmlformats.org/officeDocument/2006/relationships/oleObject" Target="embeddings/oleObject6.bin" /><Relationship Id="rId24" Type="http://schemas.openxmlformats.org/officeDocument/2006/relationships/image" Target="media/image3.wmf" /><Relationship Id="rId25" Type="http://schemas.openxmlformats.org/officeDocument/2006/relationships/oleObject" Target="embeddings/oleObject7.bin" /><Relationship Id="rId26" Type="http://schemas.openxmlformats.org/officeDocument/2006/relationships/oleObject" Target="embeddings/oleObject8.bin" /><Relationship Id="rId27" Type="http://schemas.openxmlformats.org/officeDocument/2006/relationships/header" Target="header5.xml" /><Relationship Id="rId28" Type="http://schemas.openxmlformats.org/officeDocument/2006/relationships/footer" Target="footer9.xml" /><Relationship Id="rId29" Type="http://schemas.openxmlformats.org/officeDocument/2006/relationships/footer" Target="footer10.xml" /><Relationship Id="rId3" Type="http://schemas.openxmlformats.org/officeDocument/2006/relationships/fontTable" Target="fontTable.xml" /><Relationship Id="rId30" Type="http://schemas.openxmlformats.org/officeDocument/2006/relationships/header" Target="header6.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header" Target="header7.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header" Target="header8.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header" Target="header9.xml" /><Relationship Id="rId4" Type="http://schemas.openxmlformats.org/officeDocument/2006/relationships/image" Target="media/image1.wmf" /><Relationship Id="rId40" Type="http://schemas.openxmlformats.org/officeDocument/2006/relationships/footer" Target="footer17.xml" /><Relationship Id="rId41" Type="http://schemas.openxmlformats.org/officeDocument/2006/relationships/footer" Target="footer18.xml" /><Relationship Id="rId42" Type="http://schemas.openxmlformats.org/officeDocument/2006/relationships/header" Target="header1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yperlink" Target="https://d.book118.com/027151153145006031" TargetMode="External" /><Relationship Id="rId46" Type="http://schemas.openxmlformats.org/officeDocument/2006/relationships/header" Target="header11.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theme" Target="theme/theme1.xml" /><Relationship Id="rId5" Type="http://schemas.openxmlformats.org/officeDocument/2006/relationships/oleObject" Target="embeddings/oleObject1.bin" /><Relationship Id="rId50" Type="http://schemas.openxmlformats.org/officeDocument/2006/relationships/styles" Target="styles.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oleObject" Target="embeddings/oleObject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2595</Words>
  <Characters>14798</Characters>
  <Application>Microsoft Office Word</Application>
  <DocSecurity>0</DocSecurity>
  <Lines>123</Lines>
  <Paragraphs>34</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周口师范学院人才培养方案</dc:title>
  <dc:creator>周口师范学院教务处</dc:creator>
  <cp:lastModifiedBy>喜羊羊</cp:lastModifiedBy>
  <cp:revision>1</cp:revision>
  <cp:lastPrinted>2012-03-28T07:39:00Z</cp:lastPrinted>
  <dcterms:created xsi:type="dcterms:W3CDTF">2012-03-28T23:38:00Z</dcterms:created>
  <dcterms:modified xsi:type="dcterms:W3CDTF">2019-10-11T08:01:58Z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