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28"/>
        </w:rPr>
      </w:pPr>
    </w:p>
    <w:p>
      <w:pPr>
        <w:spacing w:before="0" w:line="487" w:lineRule="auto"/>
        <w:ind w:left="748" w:right="1506" w:firstLine="720"/>
        <w:jc w:val="left"/>
        <w:rPr>
          <w:rFonts w:ascii="黑体" w:eastAsia="黑体" w:hint="eastAsia"/>
          <w:sz w:val="72"/>
        </w:rPr>
      </w:pPr>
      <w:r>
        <w:rPr>
          <w:rFonts w:ascii="黑体" w:eastAsia="黑体" w:hint="eastAsia"/>
          <w:sz w:val="72"/>
        </w:rPr>
        <w:t>天津工程职业技术学院高等职业 教育人才培养质量年度报告</w:t>
      </w:r>
      <w:r>
        <w:rPr>
          <w:rFonts w:ascii="黑体" w:eastAsia="黑体" w:hint="eastAsia"/>
          <w:spacing w:val="-3"/>
          <w:sz w:val="72"/>
        </w:rPr>
        <w:t>（2014）</w:t>
      </w: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ind w:left="0"/>
        <w:rPr>
          <w:rFonts w:ascii="黑体"/>
          <w:sz w:val="72"/>
        </w:rPr>
      </w:pPr>
    </w:p>
    <w:p>
      <w:pPr>
        <w:pStyle w:val="BodyText"/>
        <w:spacing w:before="11"/>
        <w:ind w:left="0"/>
        <w:rPr>
          <w:rFonts w:ascii="黑体"/>
          <w:sz w:val="102"/>
        </w:rPr>
      </w:pPr>
    </w:p>
    <w:p>
      <w:pPr>
        <w:spacing w:before="0" w:line="324" w:lineRule="auto"/>
        <w:ind w:left="3539" w:right="4299" w:firstLine="270"/>
        <w:jc w:val="left"/>
        <w:rPr>
          <w:sz w:val="54"/>
        </w:rPr>
      </w:pPr>
      <w:r>
        <w:rPr>
          <w:sz w:val="54"/>
        </w:rPr>
        <w:t>天津工程职业技术学院二</w:t>
      </w:r>
      <w:r>
        <w:rPr>
          <w:rFonts w:ascii="黑体" w:eastAsia="黑体" w:hint="eastAsia"/>
          <w:sz w:val="54"/>
        </w:rPr>
        <w:t>〇</w:t>
      </w:r>
      <w:r>
        <w:rPr>
          <w:sz w:val="54"/>
        </w:rPr>
        <w:t>一三年十二月十九日</w:t>
      </w:r>
    </w:p>
    <w:p>
      <w:pPr>
        <w:spacing w:after="0" w:line="324" w:lineRule="auto"/>
        <w:jc w:val="left"/>
        <w:rPr>
          <w:sz w:val="54"/>
        </w:rPr>
        <w:sectPr>
          <w:type w:val="continuous"/>
          <w:pgSz w:w="17860" w:h="25260"/>
          <w:pgMar w:top="2420" w:right="1660" w:bottom="280" w:left="2420" w:header="708" w:footer="708"/>
          <w:cols w:space="708"/>
        </w:sectPr>
      </w:pPr>
    </w:p>
    <w:p>
      <w:pPr>
        <w:tabs>
          <w:tab w:val="left" w:pos="1083"/>
        </w:tabs>
        <w:spacing w:before="33"/>
        <w:ind w:left="0" w:right="760" w:firstLine="0"/>
        <w:jc w:val="center"/>
        <w:rPr>
          <w:b/>
          <w:sz w:val="36"/>
        </w:rPr>
      </w:pPr>
      <w:r>
        <w:rPr>
          <w:b/>
          <w:sz w:val="36"/>
        </w:rPr>
        <w:t>目</w:t>
        <w:tab/>
        <w:t>录</w:t>
      </w:r>
    </w:p>
    <w:sdt>
      <w:sdtPr>
        <w:id w:val="735594627"/>
        <w:docPartObj>
          <w:docPartGallery w:val="Table of Contents"/>
          <w:docPartUnique/>
        </w:docPartObj>
      </w:sdtPr>
      <w:sdtContent>
        <w:p>
          <w:pPr>
            <w:pStyle w:val="TOC1"/>
            <w:tabs>
              <w:tab w:val="right" w:leader="dot" w:pos="12728"/>
            </w:tabs>
            <w:spacing w:before="126"/>
            <w:rPr>
              <w:rFonts w:ascii="Times New Roman" w:eastAsia="Times New Roman"/>
            </w:rPr>
          </w:pPr>
          <w:hyperlink w:anchor="_TOC_250025" w:history="1">
            <w:r>
              <w:t>一、学院基本情况</w:t>
              <w:tab/>
            </w:r>
            <w:r>
              <w:rPr>
                <w:rFonts w:ascii="Times New Roman" w:eastAsia="Times New Roman"/>
              </w:rPr>
              <w:t>1</w:t>
            </w:r>
          </w:hyperlink>
        </w:p>
        <w:p>
          <w:pPr>
            <w:pStyle w:val="TOC1"/>
            <w:tabs>
              <w:tab w:val="right" w:leader="dot" w:pos="12728"/>
            </w:tabs>
            <w:rPr>
              <w:rFonts w:ascii="Times New Roman" w:eastAsia="Times New Roman"/>
            </w:rPr>
          </w:pPr>
          <w:hyperlink w:anchor="_TOC_250024" w:history="1">
            <w:r>
              <w:t>二、坚持以学生为中心，走内涵发展之路</w:t>
              <w:tab/>
            </w:r>
            <w:r>
              <w:rPr>
                <w:rFonts w:ascii="Times New Roman" w:eastAsia="Times New Roman"/>
              </w:rPr>
              <w:t>2</w:t>
            </w:r>
          </w:hyperlink>
        </w:p>
        <w:p>
          <w:pPr>
            <w:pStyle w:val="TOC2"/>
            <w:tabs>
              <w:tab w:val="right" w:leader="dot" w:pos="12728"/>
            </w:tabs>
            <w:rPr>
              <w:rFonts w:ascii="Times New Roman" w:eastAsia="Times New Roman"/>
            </w:rPr>
          </w:pPr>
          <w:hyperlink w:anchor="_TOC_250023" w:history="1">
            <w:r>
              <w:t>（一）深入贯彻以学生为中心的教学模式</w:t>
              <w:tab/>
            </w:r>
            <w:r>
              <w:rPr>
                <w:rFonts w:ascii="Times New Roman" w:eastAsia="Times New Roman"/>
              </w:rPr>
              <w:t>2</w:t>
            </w:r>
          </w:hyperlink>
        </w:p>
        <w:p>
          <w:pPr>
            <w:pStyle w:val="TOC2"/>
            <w:tabs>
              <w:tab w:val="right" w:leader="dot" w:pos="12728"/>
            </w:tabs>
            <w:spacing w:before="240"/>
            <w:rPr>
              <w:rFonts w:ascii="Times New Roman" w:eastAsia="Times New Roman"/>
            </w:rPr>
          </w:pPr>
          <w:hyperlink w:anchor="_TOC_250022" w:history="1">
            <w:r>
              <w:t>（二）加强德育教育，做好学生的思想引领和成长服务工作</w:t>
              <w:tab/>
            </w:r>
            <w:r>
              <w:rPr>
                <w:rFonts w:ascii="Times New Roman" w:eastAsia="Times New Roman"/>
              </w:rPr>
              <w:t>3</w:t>
            </w:r>
          </w:hyperlink>
        </w:p>
        <w:p>
          <w:pPr>
            <w:pStyle w:val="TOC2"/>
            <w:tabs>
              <w:tab w:val="right" w:leader="dot" w:pos="12728"/>
            </w:tabs>
            <w:rPr>
              <w:rFonts w:ascii="Times New Roman" w:eastAsia="Times New Roman"/>
            </w:rPr>
          </w:pPr>
          <w:hyperlink w:anchor="_TOC_250021" w:history="1">
            <w:r>
              <w:t>（三）以技能素质月活动为依托，提升学生技能水平</w:t>
              <w:tab/>
            </w:r>
            <w:r>
              <w:rPr>
                <w:rFonts w:ascii="Times New Roman" w:eastAsia="Times New Roman"/>
              </w:rPr>
              <w:t>3</w:t>
            </w:r>
          </w:hyperlink>
        </w:p>
        <w:p>
          <w:pPr>
            <w:pStyle w:val="TOC2"/>
            <w:tabs>
              <w:tab w:val="right" w:leader="dot" w:pos="12728"/>
            </w:tabs>
            <w:rPr>
              <w:rFonts w:ascii="Times New Roman" w:eastAsia="Times New Roman"/>
            </w:rPr>
          </w:pPr>
          <w:hyperlink w:anchor="_TOC_250020" w:history="1">
            <w:r>
              <w:t>（四）加强文化建设，丰富校园文化生活</w:t>
              <w:tab/>
            </w:r>
            <w:r>
              <w:rPr>
                <w:rFonts w:ascii="Times New Roman" w:eastAsia="Times New Roman"/>
              </w:rPr>
              <w:t>4</w:t>
            </w:r>
          </w:hyperlink>
        </w:p>
        <w:p>
          <w:pPr>
            <w:pStyle w:val="TOC2"/>
            <w:tabs>
              <w:tab w:val="right" w:leader="dot" w:pos="12728"/>
            </w:tabs>
            <w:rPr>
              <w:rFonts w:ascii="Times New Roman" w:eastAsia="Times New Roman"/>
            </w:rPr>
          </w:pPr>
          <w:hyperlink w:anchor="_TOC_250019" w:history="1">
            <w:r>
              <w:t>（五）搭建平台，为学生实现优质创就业提供良好条件</w:t>
              <w:tab/>
            </w:r>
            <w:r>
              <w:rPr>
                <w:rFonts w:ascii="Times New Roman" w:eastAsia="Times New Roman"/>
              </w:rPr>
              <w:t>5</w:t>
            </w:r>
          </w:hyperlink>
        </w:p>
        <w:p>
          <w:pPr>
            <w:pStyle w:val="TOC1"/>
            <w:tabs>
              <w:tab w:val="right" w:leader="dot" w:pos="12728"/>
            </w:tabs>
            <w:rPr>
              <w:rFonts w:ascii="Times New Roman" w:eastAsia="Times New Roman"/>
            </w:rPr>
          </w:pPr>
          <w:hyperlink w:anchor="_TOC_250018" w:history="1">
            <w:r>
              <w:t>三、强化教育教学改革，提高办学质量</w:t>
              <w:tab/>
            </w:r>
            <w:r>
              <w:rPr>
                <w:rFonts w:ascii="Times New Roman" w:eastAsia="Times New Roman"/>
              </w:rPr>
              <w:t>6</w:t>
            </w:r>
          </w:hyperlink>
        </w:p>
        <w:p>
          <w:pPr>
            <w:pStyle w:val="TOC2"/>
            <w:tabs>
              <w:tab w:val="right" w:leader="dot" w:pos="12728"/>
            </w:tabs>
            <w:rPr>
              <w:rFonts w:ascii="Times New Roman" w:eastAsia="Times New Roman"/>
            </w:rPr>
          </w:pPr>
          <w:hyperlink w:anchor="_TOC_250017" w:history="1">
            <w:r>
              <w:t>（一）落实高等职业教育考试招生制度改革</w:t>
              <w:tab/>
            </w:r>
            <w:r>
              <w:rPr>
                <w:rFonts w:ascii="Times New Roman" w:eastAsia="Times New Roman"/>
              </w:rPr>
              <w:t>6</w:t>
            </w:r>
          </w:hyperlink>
        </w:p>
        <w:p>
          <w:pPr>
            <w:pStyle w:val="TOC2"/>
            <w:tabs>
              <w:tab w:val="right" w:leader="dot" w:pos="12728"/>
            </w:tabs>
            <w:rPr>
              <w:rFonts w:ascii="Times New Roman" w:eastAsia="Times New Roman"/>
            </w:rPr>
          </w:pPr>
          <w:hyperlink w:anchor="_TOC_250016" w:history="1">
            <w:r>
              <w:t>（二）加强工学结合，创新人才培养模式</w:t>
              <w:tab/>
            </w:r>
            <w:r>
              <w:rPr>
                <w:rFonts w:ascii="Times New Roman" w:eastAsia="Times New Roman"/>
              </w:rPr>
              <w:t>8</w:t>
            </w:r>
          </w:hyperlink>
        </w:p>
        <w:p>
          <w:pPr>
            <w:pStyle w:val="TOC2"/>
            <w:tabs>
              <w:tab w:val="right" w:leader="dot" w:pos="12728"/>
            </w:tabs>
            <w:spacing w:before="240"/>
            <w:rPr>
              <w:rFonts w:ascii="Times New Roman" w:eastAsia="Times New Roman"/>
            </w:rPr>
          </w:pPr>
          <w:hyperlink w:anchor="_TOC_250015" w:history="1">
            <w:r>
              <w:t>（三）加强市场调研，优化专业结构</w:t>
              <w:tab/>
            </w:r>
            <w:r>
              <w:rPr>
                <w:rFonts w:ascii="Times New Roman" w:eastAsia="Times New Roman"/>
              </w:rPr>
              <w:t>9</w:t>
            </w:r>
          </w:hyperlink>
        </w:p>
        <w:p>
          <w:pPr>
            <w:pStyle w:val="TOC2"/>
            <w:tabs>
              <w:tab w:val="right" w:leader="dot" w:pos="12728"/>
            </w:tabs>
            <w:rPr>
              <w:rFonts w:ascii="Times New Roman" w:eastAsia="Times New Roman"/>
            </w:rPr>
          </w:pPr>
          <w:hyperlink w:anchor="_TOC_250014" w:history="1">
            <w:r>
              <w:t>（四）加强教学改革，建好课程体系</w:t>
              <w:tab/>
            </w:r>
            <w:r>
              <w:rPr>
                <w:rFonts w:ascii="Times New Roman" w:eastAsia="Times New Roman"/>
              </w:rPr>
              <w:t>10</w:t>
            </w:r>
          </w:hyperlink>
        </w:p>
        <w:p>
          <w:pPr>
            <w:pStyle w:val="TOC2"/>
            <w:tabs>
              <w:tab w:val="right" w:leader="dot" w:pos="12728"/>
            </w:tabs>
            <w:rPr>
              <w:rFonts w:ascii="Times New Roman" w:eastAsia="Times New Roman"/>
            </w:rPr>
          </w:pPr>
          <w:hyperlink w:anchor="_TOC_250013" w:history="1">
            <w:r>
              <w:t>（五）加强师资队伍建设，提高教学能力</w:t>
              <w:tab/>
            </w:r>
            <w:r>
              <w:rPr>
                <w:rFonts w:ascii="Times New Roman" w:eastAsia="Times New Roman"/>
              </w:rPr>
              <w:t>10</w:t>
            </w:r>
          </w:hyperlink>
        </w:p>
        <w:p>
          <w:pPr>
            <w:pStyle w:val="TOC2"/>
            <w:tabs>
              <w:tab w:val="right" w:leader="dot" w:pos="12743"/>
            </w:tabs>
            <w:rPr>
              <w:rFonts w:ascii="Times New Roman" w:eastAsia="Times New Roman"/>
            </w:rPr>
          </w:pPr>
          <w:hyperlink w:anchor="_TOC_250012" w:history="1">
            <w:r>
              <w:t>（六）加强基础建设，完善实训功能</w:t>
              <w:tab/>
            </w:r>
            <w:r>
              <w:rPr>
                <w:rFonts w:ascii="Times New Roman" w:eastAsia="Times New Roman"/>
              </w:rPr>
              <w:t>11</w:t>
            </w:r>
          </w:hyperlink>
        </w:p>
        <w:p>
          <w:pPr>
            <w:pStyle w:val="TOC2"/>
            <w:tabs>
              <w:tab w:val="right" w:leader="dot" w:pos="12728"/>
            </w:tabs>
            <w:spacing w:before="240"/>
            <w:rPr>
              <w:rFonts w:ascii="Times New Roman" w:eastAsia="Times New Roman"/>
            </w:rPr>
          </w:pPr>
          <w:hyperlink w:anchor="_TOC_250011" w:history="1">
            <w:r>
              <w:t>（七）加强素质培养，提升教学效果</w:t>
              <w:tab/>
            </w:r>
            <w:r>
              <w:rPr>
                <w:rFonts w:ascii="Times New Roman" w:eastAsia="Times New Roman"/>
              </w:rPr>
              <w:t>12</w:t>
            </w:r>
          </w:hyperlink>
        </w:p>
        <w:p>
          <w:pPr>
            <w:pStyle w:val="TOC2"/>
            <w:tabs>
              <w:tab w:val="right" w:leader="dot" w:pos="12728"/>
            </w:tabs>
            <w:spacing w:before="242"/>
            <w:rPr>
              <w:rFonts w:ascii="Times New Roman" w:eastAsia="Times New Roman"/>
            </w:rPr>
          </w:pPr>
          <w:hyperlink w:anchor="_TOC_250010" w:history="1">
            <w:r>
              <w:t>（八）教学质量保障体系建设的举措与成效</w:t>
              <w:tab/>
            </w:r>
            <w:r>
              <w:rPr>
                <w:rFonts w:ascii="Times New Roman" w:eastAsia="Times New Roman"/>
              </w:rPr>
              <w:t>13</w:t>
            </w:r>
          </w:hyperlink>
        </w:p>
        <w:p>
          <w:pPr>
            <w:pStyle w:val="TOC2"/>
            <w:tabs>
              <w:tab w:val="right" w:leader="dot" w:pos="12728"/>
            </w:tabs>
            <w:spacing w:before="240"/>
            <w:rPr>
              <w:rFonts w:ascii="Times New Roman" w:eastAsia="Times New Roman"/>
            </w:rPr>
          </w:pPr>
          <w:hyperlink w:anchor="_TOC_250009" w:history="1">
            <w:r>
              <w:t>（九）集中力量，完成好几个项目的建设</w:t>
              <w:tab/>
            </w:r>
            <w:r>
              <w:rPr>
                <w:rFonts w:ascii="Times New Roman" w:eastAsia="Times New Roman"/>
              </w:rPr>
              <w:t>15</w:t>
            </w:r>
          </w:hyperlink>
        </w:p>
        <w:p>
          <w:pPr>
            <w:pStyle w:val="TOC1"/>
            <w:tabs>
              <w:tab w:val="right" w:leader="dot" w:pos="12728"/>
            </w:tabs>
            <w:rPr>
              <w:rFonts w:ascii="Times New Roman" w:eastAsia="Times New Roman"/>
            </w:rPr>
          </w:pPr>
          <w:hyperlink w:anchor="_TOC_250008" w:history="1">
            <w:r>
              <w:t>四、油田公司支持学院建设发展有力</w:t>
              <w:tab/>
            </w:r>
            <w:r>
              <w:rPr>
                <w:rFonts w:ascii="Times New Roman" w:eastAsia="Times New Roman"/>
              </w:rPr>
              <w:t>16</w:t>
            </w:r>
          </w:hyperlink>
        </w:p>
        <w:p>
          <w:pPr>
            <w:pStyle w:val="TOC1"/>
            <w:tabs>
              <w:tab w:val="right" w:leader="dot" w:pos="12728"/>
            </w:tabs>
            <w:rPr>
              <w:rFonts w:ascii="Times New Roman" w:eastAsia="Times New Roman"/>
            </w:rPr>
          </w:pPr>
          <w:hyperlink w:anchor="_TOC_250007" w:history="1">
            <w:r>
              <w:t>五、服务地方，为区域经济发展提供支持</w:t>
              <w:tab/>
            </w:r>
            <w:r>
              <w:rPr>
                <w:rFonts w:ascii="Times New Roman" w:eastAsia="Times New Roman"/>
              </w:rPr>
              <w:t>16</w:t>
            </w:r>
          </w:hyperlink>
        </w:p>
        <w:p>
          <w:pPr>
            <w:pStyle w:val="TOC2"/>
            <w:tabs>
              <w:tab w:val="right" w:leader="dot" w:pos="12728"/>
            </w:tabs>
            <w:rPr>
              <w:rFonts w:ascii="Times New Roman" w:eastAsia="Times New Roman"/>
            </w:rPr>
          </w:pPr>
          <w:hyperlink w:anchor="_TOC_250006" w:history="1">
            <w:r>
              <w:t>（一）增强服务经济社会能力，为企业提供支持</w:t>
              <w:tab/>
            </w:r>
            <w:r>
              <w:rPr>
                <w:rFonts w:ascii="Times New Roman" w:eastAsia="Times New Roman"/>
              </w:rPr>
              <w:t>16</w:t>
            </w:r>
          </w:hyperlink>
        </w:p>
        <w:p>
          <w:pPr>
            <w:pStyle w:val="TOC2"/>
            <w:tabs>
              <w:tab w:val="right" w:leader="dot" w:pos="12728"/>
            </w:tabs>
            <w:spacing w:before="240"/>
            <w:rPr>
              <w:rFonts w:ascii="Times New Roman" w:eastAsia="Times New Roman"/>
            </w:rPr>
          </w:pPr>
          <w:hyperlink w:anchor="_TOC_250005" w:history="1">
            <w:r>
              <w:t>（二）校校联手，不断扩大学院影响</w:t>
              <w:tab/>
            </w:r>
            <w:r>
              <w:rPr>
                <w:rFonts w:ascii="Times New Roman" w:eastAsia="Times New Roman"/>
              </w:rPr>
              <w:t>17</w:t>
            </w:r>
          </w:hyperlink>
        </w:p>
        <w:p>
          <w:pPr>
            <w:pStyle w:val="TOC2"/>
            <w:tabs>
              <w:tab w:val="right" w:leader="dot" w:pos="12728"/>
            </w:tabs>
            <w:rPr>
              <w:rFonts w:ascii="Times New Roman" w:eastAsia="Times New Roman"/>
            </w:rPr>
          </w:pPr>
          <w:hyperlink w:anchor="_TOC_250004" w:history="1">
            <w:r>
              <w:t>（三）以就业为导向，为滨海新区的经济发展提供人力资源支撑</w:t>
              <w:tab/>
            </w:r>
            <w:r>
              <w:rPr>
                <w:rFonts w:ascii="Times New Roman" w:eastAsia="Times New Roman"/>
              </w:rPr>
              <w:t>18</w:t>
            </w:r>
          </w:hyperlink>
        </w:p>
        <w:p>
          <w:pPr>
            <w:pStyle w:val="TOC2"/>
            <w:tabs>
              <w:tab w:val="right" w:leader="dot" w:pos="12728"/>
            </w:tabs>
            <w:rPr>
              <w:rFonts w:ascii="Times New Roman" w:eastAsia="Times New Roman"/>
            </w:rPr>
          </w:pPr>
          <w:hyperlink w:anchor="_TOC_250003" w:history="1">
            <w:r>
              <w:t>（四）积极开展横向科研活动，带动教学改革</w:t>
              <w:tab/>
            </w:r>
            <w:r>
              <w:rPr>
                <w:rFonts w:ascii="Times New Roman" w:eastAsia="Times New Roman"/>
              </w:rPr>
              <w:t>18</w:t>
            </w:r>
          </w:hyperlink>
        </w:p>
        <w:p>
          <w:pPr>
            <w:pStyle w:val="TOC1"/>
            <w:tabs>
              <w:tab w:val="right" w:leader="dot" w:pos="12728"/>
            </w:tabs>
            <w:spacing w:before="242"/>
            <w:rPr>
              <w:rFonts w:ascii="Times New Roman" w:eastAsia="Times New Roman"/>
            </w:rPr>
          </w:pPr>
          <w:hyperlink w:anchor="_TOC_250002" w:history="1">
            <w:r>
              <w:t>六、学院在办学中存在的主要问题</w:t>
              <w:tab/>
            </w:r>
            <w:r>
              <w:rPr>
                <w:rFonts w:ascii="Times New Roman" w:eastAsia="Times New Roman"/>
              </w:rPr>
              <w:t>19</w:t>
            </w:r>
          </w:hyperlink>
        </w:p>
        <w:p>
          <w:pPr>
            <w:pStyle w:val="TOC1"/>
            <w:tabs>
              <w:tab w:val="right" w:leader="dot" w:pos="12728"/>
            </w:tabs>
            <w:spacing w:before="240"/>
            <w:rPr>
              <w:rFonts w:ascii="Times New Roman" w:eastAsia="Times New Roman"/>
            </w:rPr>
          </w:pPr>
          <w:hyperlink w:anchor="_TOC_250001" w:history="1">
            <w:r>
              <w:t>典型案例一：工程造价专业学生发展</w:t>
              <w:tab/>
            </w:r>
            <w:r>
              <w:rPr>
                <w:rFonts w:ascii="Times New Roman" w:eastAsia="Times New Roman"/>
              </w:rPr>
              <w:t>21</w:t>
            </w:r>
          </w:hyperlink>
        </w:p>
        <w:p>
          <w:pPr>
            <w:pStyle w:val="TOC1"/>
            <w:tabs>
              <w:tab w:val="right" w:leader="dot" w:pos="12728"/>
            </w:tabs>
            <w:rPr>
              <w:rFonts w:ascii="Times New Roman" w:eastAsia="Times New Roman"/>
            </w:rPr>
          </w:pPr>
          <w:hyperlink w:anchor="_TOC_250000" w:history="1">
            <w:r>
              <w:t>典型案例二：渤海钻探石油工程技术订单班</w:t>
              <w:tab/>
            </w:r>
            <w:r>
              <w:rPr>
                <w:rFonts w:ascii="Times New Roman" w:eastAsia="Times New Roman"/>
              </w:rPr>
              <w:t>26</w:t>
            </w:r>
          </w:hyperlink>
        </w:p>
      </w:sdtContent>
    </w:sdt>
    <w:p>
      <w:pPr>
        <w:spacing w:after="0"/>
        <w:rPr>
          <w:rFonts w:ascii="Times New Roman" w:eastAsia="Times New Roman"/>
        </w:rPr>
        <w:sectPr>
          <w:pgSz w:w="17860" w:h="25260"/>
          <w:pgMar w:top="1800" w:right="1660" w:bottom="280" w:left="2420" w:header="708" w:footer="708"/>
          <w:pgNumType w:start="2"/>
          <w:cols w:space="708"/>
        </w:sectPr>
      </w:pPr>
    </w:p>
    <w:p>
      <w:pPr>
        <w:spacing w:before="0" w:line="788" w:lineRule="exact"/>
        <w:ind w:left="0" w:right="787" w:firstLine="0"/>
        <w:jc w:val="center"/>
        <w:rPr>
          <w:rFonts w:ascii="Microsoft JhengHei" w:eastAsia="Microsoft JhengHei" w:hint="eastAsia"/>
          <w:b/>
          <w:sz w:val="54"/>
        </w:rPr>
      </w:pPr>
      <w:r>
        <w:rPr>
          <w:rFonts w:ascii="Microsoft JhengHei" w:eastAsia="Microsoft JhengHei" w:hint="eastAsia"/>
          <w:b/>
          <w:sz w:val="54"/>
        </w:rPr>
        <w:t>天津工程职业技术学院高等职业</w:t>
      </w:r>
    </w:p>
    <w:p>
      <w:pPr>
        <w:spacing w:before="0" w:line="964" w:lineRule="exact"/>
        <w:ind w:left="0" w:right="759" w:firstLine="0"/>
        <w:jc w:val="center"/>
        <w:rPr>
          <w:rFonts w:ascii="Microsoft JhengHei" w:eastAsia="Microsoft JhengHei" w:hint="eastAsia"/>
          <w:b/>
          <w:sz w:val="54"/>
        </w:rPr>
      </w:pPr>
      <w:r>
        <w:rPr>
          <w:rFonts w:ascii="Microsoft JhengHei" w:eastAsia="Microsoft JhengHei" w:hint="eastAsia"/>
          <w:b/>
          <w:sz w:val="54"/>
        </w:rPr>
        <w:t>教育人才培养质量年度报告（</w:t>
      </w:r>
      <w:r>
        <w:rPr>
          <w:rFonts w:ascii="等线" w:eastAsia="等线" w:hint="eastAsia"/>
          <w:b/>
          <w:sz w:val="54"/>
        </w:rPr>
        <w:t>2014</w:t>
      </w:r>
      <w:r>
        <w:rPr>
          <w:rFonts w:ascii="Microsoft JhengHei" w:eastAsia="Microsoft JhengHei" w:hint="eastAsia"/>
          <w:b/>
          <w:sz w:val="54"/>
        </w:rPr>
        <w:t>）</w:t>
      </w:r>
    </w:p>
    <w:p>
      <w:pPr>
        <w:pStyle w:val="BodyText"/>
        <w:spacing w:before="4"/>
        <w:ind w:left="0"/>
        <w:rPr>
          <w:rFonts w:ascii="Microsoft JhengHei"/>
          <w:b/>
          <w:sz w:val="44"/>
        </w:rPr>
      </w:pPr>
    </w:p>
    <w:p>
      <w:pPr>
        <w:pStyle w:val="Heading1"/>
      </w:pPr>
      <w:bookmarkStart w:id="0" w:name="_TOC_250025"/>
      <w:bookmarkEnd w:id="0"/>
      <w:r>
        <w:t>一、学院基本情况</w:t>
      </w:r>
    </w:p>
    <w:p>
      <w:pPr>
        <w:pStyle w:val="BodyText"/>
        <w:spacing w:before="4"/>
        <w:ind w:left="0"/>
        <w:rPr>
          <w:rFonts w:ascii="幼圆"/>
          <w:b/>
          <w:sz w:val="68"/>
        </w:rPr>
      </w:pPr>
    </w:p>
    <w:p>
      <w:pPr>
        <w:pStyle w:val="BodyText"/>
        <w:spacing w:line="292" w:lineRule="auto"/>
        <w:ind w:right="1042" w:firstLine="961"/>
      </w:pPr>
      <w:r>
        <w:t>天津工程职业技术学院隶属于中国石油集团大港油田公司，是一所以工科为主的全日制综合性高等职业院校， 2001</w:t>
      </w:r>
      <w:r>
        <w:rPr>
          <w:spacing w:val="-19"/>
        </w:rPr>
        <w:t xml:space="preserve"> 年经天津市政府批准、教育部备案正式成立，前身为大</w:t>
      </w:r>
      <w:r>
        <w:t>港油田职工大学（天津大学石油分校）和大港石油学校。</w:t>
      </w:r>
    </w:p>
    <w:p>
      <w:pPr>
        <w:pStyle w:val="BodyText"/>
        <w:spacing w:before="2"/>
        <w:ind w:left="1241"/>
      </w:pPr>
      <w:r>
        <w:t>学院占地 608 亩，建筑面积 26.58 万平方米。专任教师</w:t>
      </w:r>
    </w:p>
    <w:p>
      <w:pPr>
        <w:pStyle w:val="BodyText"/>
        <w:spacing w:before="134"/>
      </w:pPr>
      <w:r>
        <w:t>228</w:t>
      </w:r>
      <w:r>
        <w:rPr>
          <w:spacing w:val="-33"/>
        </w:rPr>
        <w:t xml:space="preserve"> 人，具有高级专业技术职务 </w:t>
      </w:r>
      <w:r>
        <w:t>101</w:t>
      </w:r>
      <w:r>
        <w:rPr>
          <w:spacing w:val="-45"/>
        </w:rPr>
        <w:t xml:space="preserve"> 人，取得硕士学位 </w:t>
      </w:r>
      <w:r>
        <w:t>77</w:t>
      </w:r>
      <w:r>
        <w:rPr>
          <w:spacing w:val="-40"/>
        </w:rPr>
        <w:t xml:space="preserve"> 人。</w:t>
      </w:r>
    </w:p>
    <w:p>
      <w:pPr>
        <w:pStyle w:val="BodyText"/>
        <w:spacing w:before="134"/>
      </w:pPr>
      <w:r>
        <w:t>全日制在校生 7648 人，成人教育在校生 2100 人，年均承担</w:t>
      </w:r>
    </w:p>
    <w:p>
      <w:pPr>
        <w:pStyle w:val="BodyText"/>
        <w:spacing w:before="137"/>
      </w:pPr>
      <w:r>
        <w:t>企业员工培训 1.8 万人次。</w:t>
      </w:r>
    </w:p>
    <w:p>
      <w:pPr>
        <w:pStyle w:val="BodyText"/>
        <w:spacing w:before="134" w:line="292" w:lineRule="auto"/>
        <w:ind w:right="804" w:firstLine="961"/>
        <w:jc w:val="both"/>
      </w:pPr>
      <w:r>
        <w:rPr>
          <w:spacing w:val="-16"/>
          <w:w w:val="95"/>
        </w:rPr>
        <w:t xml:space="preserve">学院设有石油与化学工程系、机电工程系、建筑工程系、 </w:t>
      </w:r>
      <w:r>
        <w:rPr>
          <w:spacing w:val="-8"/>
        </w:rPr>
        <w:t xml:space="preserve">信息工程系、管理工程系、艺术系 </w:t>
      </w:r>
      <w:r>
        <w:t>6</w:t>
      </w:r>
      <w:r>
        <w:rPr>
          <w:spacing w:val="-14"/>
        </w:rPr>
        <w:t xml:space="preserve"> 个系，开设石油工程技</w:t>
      </w:r>
    </w:p>
    <w:p>
      <w:pPr>
        <w:pStyle w:val="BodyText"/>
        <w:spacing w:before="1" w:line="292" w:lineRule="auto"/>
        <w:ind w:right="1039"/>
        <w:jc w:val="both"/>
      </w:pPr>
      <w:r>
        <w:rPr>
          <w:spacing w:val="-1"/>
        </w:rPr>
        <w:t xml:space="preserve">术、机械制造与自动化技术、工程监理等 </w:t>
      </w:r>
      <w:r>
        <w:t>29</w:t>
      </w:r>
      <w:r>
        <w:rPr>
          <w:spacing w:val="-7"/>
        </w:rPr>
        <w:t xml:space="preserve"> 个专业，其中</w:t>
      </w:r>
      <w:r>
        <w:rPr>
          <w:w w:val="95"/>
        </w:rPr>
        <w:t xml:space="preserve">石油与天然气地质勘探技术、应用电子技术、计算机网络技 </w:t>
      </w:r>
      <w:r>
        <w:rPr>
          <w:spacing w:val="-44"/>
        </w:rPr>
        <w:t xml:space="preserve">术等 </w:t>
      </w:r>
      <w:r>
        <w:t>6</w:t>
      </w:r>
      <w:r>
        <w:rPr>
          <w:spacing w:val="-13"/>
        </w:rPr>
        <w:t xml:space="preserve"> 个专业为天津市教学改革试点专业，石油工程技术、</w:t>
      </w:r>
      <w:r>
        <w:rPr>
          <w:spacing w:val="-6"/>
        </w:rPr>
        <w:t xml:space="preserve">石油化工生产技术、工程造价、电气自动化技术 </w:t>
      </w:r>
      <w:r>
        <w:t>4</w:t>
      </w:r>
      <w:r>
        <w:rPr>
          <w:spacing w:val="-31"/>
        </w:rPr>
        <w:t xml:space="preserve"> 个专业为</w:t>
      </w:r>
      <w:r>
        <w:rPr>
          <w:w w:val="95"/>
        </w:rPr>
        <w:t xml:space="preserve">天津市“十一五”示范校重点建设专业；石油与地质勘探技 </w:t>
      </w:r>
      <w:r>
        <w:rPr>
          <w:spacing w:val="-7"/>
        </w:rPr>
        <w:t xml:space="preserve">术、机械制造与自动化、建筑装饰工程技术 </w:t>
      </w:r>
      <w:r>
        <w:t>3</w:t>
      </w:r>
      <w:r>
        <w:rPr>
          <w:spacing w:val="-21"/>
        </w:rPr>
        <w:t xml:space="preserve"> 个专业为天津</w:t>
      </w:r>
      <w:r>
        <w:rPr>
          <w:spacing w:val="-21"/>
          <w:w w:val="95"/>
        </w:rPr>
        <w:t xml:space="preserve">市“十二五”优质特色专业。学院为天津市石油工程专业高 </w:t>
      </w:r>
      <w:r>
        <w:rPr>
          <w:spacing w:val="-20"/>
        </w:rPr>
        <w:t xml:space="preserve">等教育自学考试主考校。学院每年招生数量稳定在 </w:t>
      </w:r>
      <w:r>
        <w:t>2500</w:t>
      </w:r>
      <w:r>
        <w:rPr>
          <w:spacing w:val="-21"/>
        </w:rPr>
        <w:t xml:space="preserve"> 人</w:t>
      </w:r>
      <w:r>
        <w:rPr>
          <w:spacing w:val="-9"/>
        </w:rPr>
        <w:t xml:space="preserve">左右，学生就业率保持在 </w:t>
      </w:r>
      <w:r>
        <w:t>97％以上。</w:t>
      </w:r>
    </w:p>
    <w:p>
      <w:pPr>
        <w:pStyle w:val="BodyText"/>
        <w:spacing w:line="613" w:lineRule="exact"/>
        <w:ind w:left="1241"/>
        <w:jc w:val="both"/>
      </w:pPr>
      <w:r>
        <w:rPr>
          <w:spacing w:val="-4"/>
        </w:rPr>
        <w:t xml:space="preserve">学院建有 </w:t>
      </w:r>
      <w:r>
        <w:t>53</w:t>
      </w:r>
      <w:r>
        <w:rPr>
          <w:spacing w:val="-5"/>
        </w:rPr>
        <w:t xml:space="preserve"> 个校内实践基地，功能设臵基本能覆盖所</w:t>
      </w:r>
    </w:p>
    <w:p>
      <w:pPr>
        <w:pStyle w:val="BodyText"/>
        <w:spacing w:before="134" w:line="292" w:lineRule="auto"/>
        <w:ind w:right="1049"/>
        <w:jc w:val="both"/>
      </w:pPr>
      <w:r>
        <w:rPr>
          <w:spacing w:val="-3"/>
        </w:rPr>
        <w:t xml:space="preserve">有专业。建有 </w:t>
      </w:r>
      <w:r>
        <w:t>53</w:t>
      </w:r>
      <w:r>
        <w:rPr>
          <w:spacing w:val="-5"/>
        </w:rPr>
        <w:t xml:space="preserve"> 个校外实习实训基地，绝大部分分布在大</w:t>
      </w:r>
      <w:r>
        <w:rPr>
          <w:spacing w:val="-6"/>
          <w:w w:val="95"/>
        </w:rPr>
        <w:t>港油区各单位。中国石油大港职业技能鉴定中心综合技能鉴</w:t>
      </w:r>
    </w:p>
    <w:p>
      <w:pPr>
        <w:spacing w:after="0" w:line="292" w:lineRule="auto"/>
        <w:jc w:val="both"/>
        <w:sectPr>
          <w:footerReference w:type="default" r:id="rId4"/>
          <w:pgSz w:w="17860" w:h="25260"/>
          <w:pgMar w:top="1800" w:right="1660" w:bottom="1980" w:left="2420" w:header="0" w:footer="1787"/>
          <w:pgNumType w:start="1"/>
          <w:cols w:space="708"/>
        </w:sectPr>
      </w:pPr>
    </w:p>
    <w:p>
      <w:pPr>
        <w:pStyle w:val="BodyText"/>
        <w:spacing w:before="13"/>
      </w:pPr>
      <w:r>
        <w:t>定站设臵在学院，每年完成在校生和企业员工技能鉴定 2200</w:t>
      </w:r>
    </w:p>
    <w:p>
      <w:pPr>
        <w:pStyle w:val="BodyText"/>
        <w:spacing w:before="133"/>
      </w:pPr>
      <w:r>
        <w:t>余人次。</w:t>
      </w:r>
    </w:p>
    <w:p>
      <w:pPr>
        <w:pStyle w:val="BodyText"/>
        <w:spacing w:before="138" w:line="292" w:lineRule="auto"/>
        <w:ind w:right="802" w:firstLine="961"/>
      </w:pPr>
      <w:r>
        <w:t>学院建有功能齐备的实验实训中心、网络管理与电化教</w:t>
      </w:r>
      <w:r>
        <w:rPr>
          <w:spacing w:val="-17"/>
          <w:w w:val="95"/>
        </w:rPr>
        <w:t xml:space="preserve">学中心、多媒体教学中心、计算机信息中心、图文资料中心。 </w:t>
      </w:r>
      <w:r>
        <w:rPr>
          <w:spacing w:val="-6"/>
        </w:rPr>
        <w:t xml:space="preserve">建有标准草坪运动场、体育活动馆，图书馆藏书 </w:t>
      </w:r>
      <w:r>
        <w:t>50</w:t>
      </w:r>
      <w:r>
        <w:rPr>
          <w:spacing w:val="-31"/>
        </w:rPr>
        <w:t xml:space="preserve"> 余万册。</w:t>
      </w:r>
    </w:p>
    <w:p>
      <w:pPr>
        <w:pStyle w:val="BodyText"/>
        <w:spacing w:line="614" w:lineRule="exact"/>
      </w:pPr>
      <w:r>
        <w:rPr>
          <w:spacing w:val="-1"/>
        </w:rPr>
        <w:t xml:space="preserve">学生生活服务设施齐全配套，建有学生公寓 </w:t>
      </w:r>
      <w:r>
        <w:t>16</w:t>
      </w:r>
      <w:r>
        <w:rPr>
          <w:spacing w:val="-5"/>
        </w:rPr>
        <w:t xml:space="preserve"> 栋，学生食</w:t>
      </w:r>
    </w:p>
    <w:p>
      <w:pPr>
        <w:pStyle w:val="BodyText"/>
        <w:spacing w:before="134"/>
      </w:pPr>
      <w:r>
        <w:rPr>
          <w:spacing w:val="-60"/>
        </w:rPr>
        <w:t xml:space="preserve">堂 </w:t>
      </w:r>
      <w:r>
        <w:t>5</w:t>
      </w:r>
      <w:r>
        <w:rPr>
          <w:spacing w:val="-12"/>
        </w:rPr>
        <w:t xml:space="preserve"> 个，设有医疗保健机构和学生浴室等。</w:t>
      </w:r>
    </w:p>
    <w:p>
      <w:pPr>
        <w:pStyle w:val="BodyText"/>
        <w:spacing w:before="133" w:line="292" w:lineRule="auto"/>
        <w:ind w:right="1047" w:firstLine="806"/>
      </w:pPr>
      <w:r>
        <w:rPr>
          <w:spacing w:val="1"/>
        </w:rPr>
        <w:t>经过多年努力，学院</w:t>
      </w:r>
      <w:r>
        <w:t>2005年被国务院七部委授予“全国</w:t>
      </w:r>
      <w:r>
        <w:rPr>
          <w:w w:val="95"/>
        </w:rPr>
        <w:t>职业教育先进单位”称号；2005</w:t>
      </w:r>
      <w:r>
        <w:rPr>
          <w:spacing w:val="-2"/>
          <w:w w:val="95"/>
        </w:rPr>
        <w:t xml:space="preserve">年通过市教委组织的高职高 </w:t>
      </w:r>
      <w:r>
        <w:rPr>
          <w:w w:val="95"/>
        </w:rPr>
        <w:t>专人才培养工作水平评估；2007</w:t>
      </w:r>
      <w:r>
        <w:rPr>
          <w:spacing w:val="-2"/>
          <w:w w:val="95"/>
        </w:rPr>
        <w:t xml:space="preserve">年被确定为天津市首批示范 </w:t>
      </w:r>
      <w:r>
        <w:rPr>
          <w:spacing w:val="-1"/>
          <w:w w:val="95"/>
        </w:rPr>
        <w:t>校建设单位；</w:t>
      </w:r>
      <w:r>
        <w:rPr>
          <w:spacing w:val="-3"/>
          <w:w w:val="95"/>
        </w:rPr>
        <w:t>2007</w:t>
      </w:r>
      <w:r>
        <w:rPr>
          <w:w w:val="95"/>
        </w:rPr>
        <w:t>年被确定为天津市工业系统石油高技能人 才培训基地；2009</w:t>
      </w:r>
      <w:r>
        <w:rPr>
          <w:spacing w:val="-1"/>
          <w:w w:val="95"/>
        </w:rPr>
        <w:t xml:space="preserve">年被教育部、天津市政府联合命名为滨海 </w:t>
      </w:r>
      <w:r>
        <w:rPr>
          <w:w w:val="95"/>
        </w:rPr>
        <w:t>新区技能型紧缺人才培养基地；2011</w:t>
      </w:r>
      <w:r>
        <w:rPr>
          <w:spacing w:val="-2"/>
          <w:w w:val="95"/>
        </w:rPr>
        <w:t xml:space="preserve">年获得全国高校后勤十 </w:t>
      </w:r>
      <w:r>
        <w:t>年改革先进单位称号，</w:t>
      </w:r>
      <w:r>
        <w:rPr>
          <w:spacing w:val="3"/>
        </w:rPr>
        <w:t>2013年</w:t>
      </w:r>
      <w:r>
        <w:t>5月学院获中国石油大学现代远程教育优秀学习中心称号。</w:t>
      </w:r>
    </w:p>
    <w:p>
      <w:pPr>
        <w:pStyle w:val="BodyText"/>
        <w:spacing w:before="8"/>
        <w:ind w:left="0"/>
        <w:rPr>
          <w:sz w:val="39"/>
        </w:rPr>
      </w:pPr>
    </w:p>
    <w:p>
      <w:pPr>
        <w:pStyle w:val="Heading1"/>
        <w:spacing w:before="1"/>
      </w:pPr>
      <w:bookmarkStart w:id="1" w:name="_TOC_250024"/>
      <w:bookmarkEnd w:id="1"/>
      <w:r>
        <w:rPr>
          <w:w w:val="95"/>
        </w:rPr>
        <w:t>二、坚持以学生为中心，走内涵发展之路</w:t>
      </w:r>
    </w:p>
    <w:p>
      <w:pPr>
        <w:pStyle w:val="BodyText"/>
        <w:spacing w:before="6"/>
        <w:ind w:left="0"/>
        <w:rPr>
          <w:rFonts w:ascii="幼圆"/>
          <w:b/>
          <w:sz w:val="49"/>
        </w:rPr>
      </w:pPr>
    </w:p>
    <w:p>
      <w:pPr>
        <w:pStyle w:val="Heading1"/>
      </w:pPr>
      <w:bookmarkStart w:id="2" w:name="_TOC_250023"/>
      <w:bookmarkEnd w:id="2"/>
      <w:r>
        <w:rPr>
          <w:w w:val="95"/>
        </w:rPr>
        <w:t>（一）深入贯彻以学生为中心的教学模式</w:t>
      </w:r>
    </w:p>
    <w:p>
      <w:pPr>
        <w:pStyle w:val="BodyText"/>
        <w:spacing w:before="10"/>
        <w:ind w:left="0"/>
        <w:rPr>
          <w:rFonts w:ascii="幼圆"/>
          <w:b/>
          <w:sz w:val="40"/>
        </w:rPr>
      </w:pPr>
    </w:p>
    <w:p>
      <w:pPr>
        <w:pStyle w:val="BodyText"/>
        <w:spacing w:line="292" w:lineRule="auto"/>
        <w:ind w:right="1044" w:firstLine="961"/>
        <w:jc w:val="both"/>
      </w:pPr>
      <w:r>
        <w:rPr>
          <w:spacing w:val="-1"/>
          <w:w w:val="95"/>
        </w:rPr>
        <w:t xml:space="preserve">针对各专业的教学特点，学院不断完善、成熟适合自身 </w:t>
      </w:r>
      <w:r>
        <w:t>专业特色的教学模式，逐步形成了“</w:t>
      </w:r>
      <w:r>
        <w:rPr>
          <w:spacing w:val="3"/>
        </w:rPr>
        <w:t>3.2.1</w:t>
      </w:r>
      <w:r>
        <w:rPr>
          <w:spacing w:val="-9"/>
        </w:rPr>
        <w:t xml:space="preserve"> 校企结合、工学</w:t>
      </w:r>
      <w:r>
        <w:rPr>
          <w:spacing w:val="-42"/>
          <w:w w:val="95"/>
        </w:rPr>
        <w:t xml:space="preserve">交替”、“双元整合，学做一体”、“校企合作、技艺融合、情 </w:t>
      </w:r>
      <w:r>
        <w:rPr>
          <w:spacing w:val="-1"/>
          <w:w w:val="95"/>
        </w:rPr>
        <w:t xml:space="preserve">境育人”等各具专业特色的人才培养模式，在真实的职业岗 </w:t>
      </w:r>
      <w:r>
        <w:t>位环境中培养学生的职业能力，提高人才培养质量。</w:t>
      </w:r>
    </w:p>
    <w:p>
      <w:pPr>
        <w:pStyle w:val="BodyText"/>
        <w:spacing w:before="1" w:line="292" w:lineRule="auto"/>
        <w:ind w:right="815" w:firstLine="961"/>
        <w:jc w:val="both"/>
      </w:pPr>
      <w:r>
        <w:t>在日常教学过程中，学院要求任课教师在教学过程中要做到有的放矢、因材施教。从学生的实际情况出发，保护学生自尊心，让每个学生都能发挥自己的专长，最大程度地体</w:t>
      </w:r>
      <w:r>
        <w:rPr>
          <w:w w:val="95"/>
        </w:rPr>
        <w:t>验到学习的快乐与成功。一方面，充分发挥教师的个人魅力，</w:t>
      </w:r>
    </w:p>
    <w:p>
      <w:pPr>
        <w:spacing w:after="0" w:line="292" w:lineRule="auto"/>
        <w:jc w:val="both"/>
        <w:sectPr>
          <w:footerReference w:type="default" r:id="rId5"/>
          <w:pgSz w:w="17860" w:h="25260"/>
          <w:pgMar w:top="1840" w:right="1660" w:bottom="2060" w:left="2420" w:header="0" w:footer="1787"/>
          <w:pgNumType w:start="2"/>
          <w:cols w:space="708"/>
        </w:sectPr>
      </w:pPr>
    </w:p>
    <w:p>
      <w:pPr>
        <w:pStyle w:val="BodyText"/>
        <w:spacing w:before="13" w:line="292" w:lineRule="auto"/>
        <w:ind w:right="1049"/>
      </w:pPr>
      <w:r>
        <w:rPr>
          <w:spacing w:val="-1"/>
          <w:w w:val="95"/>
        </w:rPr>
        <w:t xml:space="preserve">选择合适的教学方法，善于发现学生的兴趣与闪光点，充分 调动学生的学习主动性，激发他们的求知欲和学习热情；另 </w:t>
      </w:r>
      <w:r>
        <w:t>一方面，在教学过程中教师要教会学生如何学而不是如何</w:t>
      </w:r>
      <w:r>
        <w:rPr>
          <w:spacing w:val="-1"/>
          <w:w w:val="95"/>
        </w:rPr>
        <w:t xml:space="preserve">听，让学生从被迫学习变为自愿学习，在知识、技能得到提 </w:t>
      </w:r>
      <w:r>
        <w:t>高的同时，学习能力也能得到更大的提升。</w:t>
      </w:r>
    </w:p>
    <w:p>
      <w:pPr>
        <w:pStyle w:val="Heading1"/>
        <w:spacing w:before="392"/>
        <w:rPr>
          <w:rFonts w:ascii="宋体" w:eastAsia="宋体" w:hint="eastAsia"/>
        </w:rPr>
      </w:pPr>
      <w:bookmarkStart w:id="3" w:name="_TOC_250022"/>
      <w:bookmarkEnd w:id="3"/>
      <w:r>
        <w:rPr>
          <w:rFonts w:ascii="宋体" w:eastAsia="宋体" w:hint="eastAsia"/>
        </w:rPr>
        <w:t>（二）加强德育教育，做好学生的思想引领和成长服务工作</w:t>
      </w:r>
    </w:p>
    <w:p>
      <w:pPr>
        <w:pStyle w:val="BodyText"/>
        <w:spacing w:before="11"/>
        <w:ind w:left="0"/>
        <w:rPr>
          <w:b/>
          <w:sz w:val="40"/>
        </w:rPr>
      </w:pPr>
    </w:p>
    <w:p>
      <w:pPr>
        <w:pStyle w:val="BodyText"/>
        <w:spacing w:line="292" w:lineRule="auto"/>
        <w:ind w:right="925" w:firstLine="961"/>
      </w:pPr>
      <w:r>
        <w:rPr>
          <w:spacing w:val="9"/>
        </w:rPr>
        <w:t>1</w:t>
      </w:r>
      <w:r>
        <w:t>、根据形势任务教育导向，开展各类主题团日活动。</w:t>
      </w:r>
      <w:r>
        <w:rPr>
          <w:spacing w:val="-22"/>
        </w:rPr>
        <w:t>一年来，学院组织开展了“校园安全，牵系你我”、“感恩父</w:t>
      </w:r>
      <w:r>
        <w:rPr>
          <w:spacing w:val="-48"/>
        </w:rPr>
        <w:t>母，感恩学校，感恩社会”、“节约型校园创建”、“观看《感</w:t>
      </w:r>
      <w:r>
        <w:rPr>
          <w:spacing w:val="-44"/>
        </w:rPr>
        <w:t>动中国》</w:t>
      </w:r>
      <w:r>
        <w:t>2012</w:t>
      </w:r>
      <w:r>
        <w:rPr>
          <w:spacing w:val="-57"/>
        </w:rPr>
        <w:t xml:space="preserve"> 年度人物”、“诚实做事，诚信做人”、“学习团</w:t>
      </w:r>
      <w:r>
        <w:rPr>
          <w:spacing w:val="-43"/>
        </w:rPr>
        <w:t>的十七大会议精神”、“学习党的十八大会议精神”、“观看2013</w:t>
      </w:r>
      <w:r>
        <w:rPr>
          <w:spacing w:val="-14"/>
        </w:rPr>
        <w:t xml:space="preserve"> 年道德模范颁奖典礼”等主题鲜明的团日活动十余次， </w:t>
      </w:r>
      <w:r>
        <w:t>正确引导团员青年思想，弘扬社会正能量。</w:t>
      </w:r>
    </w:p>
    <w:p>
      <w:pPr>
        <w:pStyle w:val="BodyText"/>
        <w:spacing w:line="292" w:lineRule="auto"/>
        <w:ind w:right="1034" w:firstLine="961"/>
      </w:pPr>
      <w:r>
        <w:t>2</w:t>
      </w:r>
      <w:r>
        <w:rPr>
          <w:spacing w:val="1"/>
        </w:rPr>
        <w:t>、发扬奉献精神，积极开展青年志愿者活动。</w:t>
      </w:r>
      <w:r>
        <w:t>2013</w:t>
      </w:r>
      <w:r>
        <w:rPr>
          <w:spacing w:val="-31"/>
        </w:rPr>
        <w:t xml:space="preserve"> 年</w:t>
      </w:r>
      <w:r>
        <w:rPr>
          <w:spacing w:val="-11"/>
        </w:rPr>
        <w:t xml:space="preserve">学院团委一年来共计组织 </w:t>
      </w:r>
      <w:r>
        <w:t>300</w:t>
      </w:r>
      <w:r>
        <w:rPr>
          <w:spacing w:val="-13"/>
        </w:rPr>
        <w:t xml:space="preserve"> 余人次赴天津市血液中心无偿</w:t>
      </w:r>
      <w:r>
        <w:rPr>
          <w:spacing w:val="-12"/>
        </w:rPr>
        <w:t>捐献成分血，拯救他人生命，增强社会责任意识。</w:t>
      </w:r>
      <w:r>
        <w:t>3</w:t>
      </w:r>
      <w:r>
        <w:rPr>
          <w:spacing w:val="-14"/>
        </w:rPr>
        <w:t xml:space="preserve"> 月份， </w:t>
      </w:r>
      <w:r>
        <w:rPr>
          <w:spacing w:val="-14"/>
          <w:w w:val="95"/>
        </w:rPr>
        <w:t xml:space="preserve">团中央发出了“到西部去，到基层去，到祖国最需要的地方 去”的号召，学院团委根据团市委具体要求，开展“大学生 志愿服务西部计划”宣传、人员选拔等工作，最终确定石油 </w:t>
      </w:r>
      <w:r>
        <w:rPr>
          <w:spacing w:val="-14"/>
        </w:rPr>
        <w:t xml:space="preserve">与化学工程系石油工程专业李秉鹏同学到甘肃省平凉市静 </w:t>
      </w:r>
      <w:r>
        <w:rPr>
          <w:spacing w:val="-14"/>
          <w:w w:val="95"/>
        </w:rPr>
        <w:t xml:space="preserve">宁县政府法制办工作。连续几年来，每年都有优秀志愿者被 </w:t>
      </w:r>
      <w:r>
        <w:rPr>
          <w:spacing w:val="-14"/>
        </w:rPr>
        <w:t>推荐参加西部计划，扎根西部，奉献青春。</w:t>
      </w:r>
    </w:p>
    <w:p>
      <w:pPr>
        <w:pStyle w:val="Heading1"/>
        <w:spacing w:before="388"/>
        <w:rPr>
          <w:rFonts w:ascii="宋体" w:eastAsia="宋体" w:hint="eastAsia"/>
        </w:rPr>
      </w:pPr>
      <w:bookmarkStart w:id="4" w:name="_TOC_250021"/>
      <w:bookmarkEnd w:id="4"/>
      <w:r>
        <w:rPr>
          <w:rFonts w:ascii="宋体" w:eastAsia="宋体" w:hint="eastAsia"/>
        </w:rPr>
        <w:t>（三）以技能素质月活动为依托，提升学生技能水平</w:t>
      </w:r>
    </w:p>
    <w:p>
      <w:pPr>
        <w:pStyle w:val="BodyText"/>
        <w:spacing w:before="10"/>
        <w:ind w:left="0"/>
        <w:rPr>
          <w:b/>
          <w:sz w:val="40"/>
        </w:rPr>
      </w:pPr>
    </w:p>
    <w:p>
      <w:pPr>
        <w:pStyle w:val="BodyText"/>
        <w:spacing w:line="292" w:lineRule="auto"/>
        <w:ind w:right="994" w:firstLine="961"/>
      </w:pPr>
      <w:r>
        <w:t>自 2010 年起，学院每年都举办学生和教师技能大赛。</w:t>
      </w:r>
      <w:r>
        <w:rPr>
          <w:w w:val="95"/>
        </w:rPr>
        <w:t>在此基础上，选拔优秀学生参加更高级别的职业技能大赛。</w:t>
      </w:r>
    </w:p>
    <w:p>
      <w:pPr>
        <w:spacing w:after="0" w:line="292" w:lineRule="auto"/>
        <w:sectPr>
          <w:footerReference w:type="default" r:id="rId6"/>
          <w:pgSz w:w="17860" w:h="25260"/>
          <w:pgMar w:top="1840" w:right="1660" w:bottom="2060" w:left="2420" w:header="0" w:footer="1787"/>
          <w:pgNumType w:start="3"/>
          <w:cols w:space="708"/>
        </w:sectPr>
      </w:pPr>
    </w:p>
    <w:p>
      <w:pPr>
        <w:pStyle w:val="BodyText"/>
        <w:spacing w:before="13" w:line="292" w:lineRule="auto"/>
        <w:ind w:right="898"/>
        <w:jc w:val="both"/>
      </w:pPr>
      <w:r>
        <w:t>2013</w:t>
      </w:r>
      <w:r>
        <w:rPr>
          <w:spacing w:val="-83"/>
        </w:rPr>
        <w:t xml:space="preserve"> 年 </w:t>
      </w:r>
      <w:r>
        <w:t>6</w:t>
      </w:r>
      <w:r>
        <w:rPr>
          <w:spacing w:val="-18"/>
        </w:rPr>
        <w:t xml:space="preserve"> 月，学院组队代表天津市参加全国职业院校《现代</w:t>
      </w:r>
      <w:r>
        <w:rPr>
          <w:spacing w:val="-17"/>
        </w:rPr>
        <w:t>物流储存与配送作业优化设计和实施技能大赛》和“</w:t>
      </w:r>
      <w:r>
        <w:rPr>
          <w:spacing w:val="9"/>
        </w:rPr>
        <w:t>TI</w:t>
      </w:r>
      <w:r>
        <w:rPr>
          <w:spacing w:val="-55"/>
        </w:rPr>
        <w:t xml:space="preserve"> 杯” </w:t>
      </w:r>
      <w:r>
        <w:t>全国大学生电子设计竞赛，结果两支队伍都取得全国大赛二等奖的好成绩。</w:t>
      </w:r>
    </w:p>
    <w:p>
      <w:pPr>
        <w:pStyle w:val="BodyText"/>
        <w:spacing w:line="292" w:lineRule="auto"/>
        <w:ind w:right="917" w:firstLine="961"/>
        <w:jc w:val="both"/>
      </w:pPr>
      <w:r>
        <w:t>此外，2013</w:t>
      </w:r>
      <w:r>
        <w:rPr>
          <w:spacing w:val="-14"/>
        </w:rPr>
        <w:t xml:space="preserve"> 年在参加天津市和行业的职业技能大赛中， </w:t>
      </w:r>
      <w:r>
        <w:rPr>
          <w:spacing w:val="-13"/>
        </w:rPr>
        <w:t xml:space="preserve">学院共获得一等奖 </w:t>
      </w:r>
      <w:r>
        <w:t>3</w:t>
      </w:r>
      <w:r>
        <w:rPr>
          <w:spacing w:val="-38"/>
        </w:rPr>
        <w:t xml:space="preserve"> 名、二等奖 </w:t>
      </w:r>
      <w:r>
        <w:t>14</w:t>
      </w:r>
      <w:r>
        <w:rPr>
          <w:spacing w:val="-37"/>
        </w:rPr>
        <w:t xml:space="preserve"> 名、三等奖 </w:t>
      </w:r>
      <w:r>
        <w:t>9</w:t>
      </w:r>
      <w:r>
        <w:rPr>
          <w:spacing w:val="-21"/>
        </w:rPr>
        <w:t xml:space="preserve"> 名佳绩,共</w:t>
      </w:r>
      <w:r>
        <w:rPr>
          <w:spacing w:val="-75"/>
        </w:rPr>
        <w:t xml:space="preserve">有 </w:t>
      </w:r>
      <w:r>
        <w:t>5</w:t>
      </w:r>
      <w:r>
        <w:rPr>
          <w:spacing w:val="-12"/>
        </w:rPr>
        <w:t xml:space="preserve"> 名同学获得免试升本的资格。学院还利用雄厚的教师和实训资源，积极协助大港油田公司，成功举办了石油行业工人技能大赛。</w:t>
      </w:r>
    </w:p>
    <w:p>
      <w:pPr>
        <w:pStyle w:val="Heading1"/>
        <w:spacing w:before="390"/>
      </w:pPr>
      <w:bookmarkStart w:id="5" w:name="_TOC_250020"/>
      <w:bookmarkEnd w:id="5"/>
      <w:r>
        <w:t>（四）加强文化建设，丰富校园文化生活</w:t>
      </w:r>
    </w:p>
    <w:p>
      <w:pPr>
        <w:pStyle w:val="BodyText"/>
        <w:spacing w:before="10"/>
        <w:ind w:left="0"/>
        <w:rPr>
          <w:rFonts w:ascii="幼圆"/>
          <w:b/>
          <w:sz w:val="40"/>
        </w:rPr>
      </w:pPr>
    </w:p>
    <w:p>
      <w:pPr>
        <w:pStyle w:val="BodyText"/>
        <w:spacing w:line="292" w:lineRule="auto"/>
        <w:ind w:right="803" w:firstLine="961"/>
      </w:pPr>
      <w:r>
        <w:rPr>
          <w:w w:val="95"/>
        </w:rPr>
        <w:t>1</w:t>
      </w:r>
      <w:r>
        <w:rPr>
          <w:spacing w:val="-1"/>
          <w:w w:val="95"/>
        </w:rPr>
        <w:t xml:space="preserve">、紧跟时代潮流，丰富校园文化。学院分析学生情况， </w:t>
      </w:r>
      <w:r>
        <w:rPr>
          <w:spacing w:val="1"/>
        </w:rPr>
        <w:t>把准学生思想脉搏，以活动促教育，寓教育于活动。</w:t>
      </w:r>
      <w:r>
        <w:t>6</w:t>
      </w:r>
      <w:r>
        <w:rPr>
          <w:spacing w:val="-12"/>
        </w:rPr>
        <w:t xml:space="preserve"> 月份</w:t>
      </w:r>
      <w:r>
        <w:rPr>
          <w:spacing w:val="-19"/>
          <w:w w:val="95"/>
        </w:rPr>
        <w:t xml:space="preserve">毕业季，举办“我们的大学，我们的故事”欢送毕业生晚会，  </w:t>
      </w:r>
      <w:r>
        <w:t>9</w:t>
      </w:r>
      <w:r>
        <w:rPr>
          <w:spacing w:val="-6"/>
        </w:rPr>
        <w:t xml:space="preserve"> 月份入学季，举办“邀明月，聚新颜，工程一家亲”中秋迎新晚会。为了丰富学生的业余文化生活，团委举办了“校园好声音”比赛，比赛得到了青年学生的热情回应，参加海选的学生达到二百余人，经过初赛、复赛、决赛等环节，产生了“校园好声音”十强，此项活动曾在校园中风靡一时。</w:t>
      </w:r>
    </w:p>
    <w:p>
      <w:pPr>
        <w:pStyle w:val="BodyText"/>
        <w:spacing w:line="292" w:lineRule="auto"/>
        <w:ind w:right="1028" w:firstLine="961"/>
      </w:pPr>
      <w:r>
        <w:rPr>
          <w:spacing w:val="9"/>
        </w:rPr>
        <w:t>2</w:t>
      </w:r>
      <w:r>
        <w:t>、组织好学院运动会，展示青年精神风貌。学院每年</w:t>
      </w:r>
      <w:r>
        <w:rPr>
          <w:w w:val="95"/>
        </w:rPr>
        <w:t xml:space="preserve">秋季举办田径运动会，团委配合大会筹备组负责开幕式的整 </w:t>
      </w:r>
      <w:r>
        <w:rPr>
          <w:spacing w:val="-15"/>
        </w:rPr>
        <w:t xml:space="preserve">体安排，组织了 </w:t>
      </w:r>
      <w:r>
        <w:t>30</w:t>
      </w:r>
      <w:r>
        <w:rPr>
          <w:spacing w:val="-50"/>
        </w:rPr>
        <w:t xml:space="preserve"> 个方阵 </w:t>
      </w:r>
      <w:r>
        <w:t>3000</w:t>
      </w:r>
      <w:r>
        <w:rPr>
          <w:spacing w:val="-14"/>
        </w:rPr>
        <w:t xml:space="preserve"> 余人的入场式以及国旗班、</w:t>
      </w:r>
      <w:r>
        <w:rPr>
          <w:w w:val="95"/>
        </w:rPr>
        <w:t xml:space="preserve">啦啦操、匕首操、擒击拳、应急棍大型表演项目，得到了领 </w:t>
      </w:r>
      <w:r>
        <w:t>导和观众的好评。</w:t>
      </w:r>
    </w:p>
    <w:p>
      <w:pPr>
        <w:pStyle w:val="BodyText"/>
        <w:spacing w:line="292" w:lineRule="auto"/>
        <w:ind w:right="1049" w:firstLine="961"/>
      </w:pPr>
      <w:r>
        <w:rPr>
          <w:spacing w:val="9"/>
        </w:rPr>
        <w:t>3</w:t>
      </w:r>
      <w:r>
        <w:t>、调动青年积极性，广泛开展社团活动。学院积极探</w:t>
      </w:r>
      <w:r>
        <w:rPr>
          <w:spacing w:val="-1"/>
          <w:w w:val="95"/>
        </w:rPr>
        <w:t>索社团发展新模式新方法，在现有条件下帮助学生成立社团 并开展活动。学生社团走出校门、走进社区，礼仪社团和同</w:t>
      </w:r>
    </w:p>
    <w:p>
      <w:pPr>
        <w:spacing w:after="0" w:line="292" w:lineRule="auto"/>
        <w:sectPr>
          <w:footerReference w:type="default" r:id="rId7"/>
          <w:pgSz w:w="17860" w:h="25260"/>
          <w:pgMar w:top="1840" w:right="1660" w:bottom="2060" w:left="2420" w:header="0" w:footer="1787"/>
          <w:pgNumType w:start="4"/>
          <w:cols w:space="708"/>
        </w:sectPr>
      </w:pPr>
    </w:p>
    <w:p>
      <w:pPr>
        <w:pStyle w:val="BodyText"/>
        <w:spacing w:before="13" w:line="292" w:lineRule="auto"/>
        <w:ind w:right="1042"/>
      </w:pPr>
      <w:r>
        <w:rPr>
          <w:spacing w:val="-2"/>
          <w:w w:val="95"/>
        </w:rPr>
        <w:t xml:space="preserve">盛小学的小学生们举行联谊活动“大手拉小手”，社团成员 </w:t>
      </w:r>
      <w:r>
        <w:rPr>
          <w:spacing w:val="-3"/>
          <w:w w:val="95"/>
        </w:rPr>
        <w:t xml:space="preserve">的表现得到了同盛小学师生的认可，展示了大学生的良好形 </w:t>
      </w:r>
      <w:r>
        <w:rPr>
          <w:spacing w:val="-5"/>
        </w:rPr>
        <w:t xml:space="preserve">象。目前，学院有兴趣社团 </w:t>
      </w:r>
      <w:r>
        <w:t>12</w:t>
      </w:r>
      <w:r>
        <w:rPr>
          <w:spacing w:val="-19"/>
        </w:rPr>
        <w:t xml:space="preserve"> 个，专业社团 </w:t>
      </w:r>
      <w:r>
        <w:t>6</w:t>
      </w:r>
      <w:r>
        <w:rPr>
          <w:spacing w:val="-16"/>
        </w:rPr>
        <w:t xml:space="preserve"> 个。女子打</w:t>
      </w:r>
      <w:r>
        <w:t xml:space="preserve">击乐社团和时代电子社团分别获得过天津市优秀社团标兵 </w:t>
      </w:r>
      <w:r>
        <w:rPr>
          <w:spacing w:val="-1"/>
          <w:w w:val="95"/>
        </w:rPr>
        <w:t>称号，今年推荐心理健康社团参加天津市级优秀社团评比。</w:t>
      </w:r>
    </w:p>
    <w:p>
      <w:pPr>
        <w:pStyle w:val="BodyText"/>
        <w:spacing w:line="292" w:lineRule="auto"/>
        <w:ind w:right="1049" w:firstLine="961"/>
      </w:pPr>
      <w:r>
        <w:rPr>
          <w:spacing w:val="9"/>
        </w:rPr>
        <w:t>4</w:t>
      </w:r>
      <w:r>
        <w:t>、凝聚青春力量，丰富青年教师生活。学院团委聘请了学院二级心理咨询师刘杰老师为青年教职工做团体心理</w:t>
      </w:r>
      <w:r>
        <w:rPr>
          <w:spacing w:val="-1"/>
          <w:w w:val="95"/>
        </w:rPr>
        <w:t xml:space="preserve">辅导，缓解工作压力，保持健康心态。为了丰富青年教职工 文化生活，学院团委联合图书馆，为青年教职工提供各类图 书，专门开设阅览室供青年教职工阅览交流。青工健身室也 在每周四下午定期开展活动，邀请健身教练为青年教师普及 瑜伽、有氧操等健身知识，锻炼身体的同时促进了青年员工 </w:t>
      </w:r>
      <w:r>
        <w:t>间的交流。</w:t>
      </w:r>
    </w:p>
    <w:p>
      <w:pPr>
        <w:pStyle w:val="Heading1"/>
        <w:spacing w:before="388"/>
      </w:pPr>
      <w:bookmarkStart w:id="6" w:name="_TOC_250019"/>
      <w:bookmarkEnd w:id="6"/>
      <w:r>
        <w:t>（五）搭建平台，为学生实现优质创就业提供良好条件</w:t>
      </w:r>
    </w:p>
    <w:p>
      <w:pPr>
        <w:pStyle w:val="BodyText"/>
        <w:spacing w:before="10"/>
        <w:ind w:left="0"/>
        <w:rPr>
          <w:rFonts w:ascii="幼圆"/>
          <w:b/>
          <w:sz w:val="40"/>
        </w:rPr>
      </w:pPr>
    </w:p>
    <w:p>
      <w:pPr>
        <w:pStyle w:val="BodyText"/>
        <w:ind w:left="1241"/>
      </w:pPr>
      <w:r>
        <w:t>1、就业指导工作成绩斐然</w:t>
      </w:r>
    </w:p>
    <w:p>
      <w:pPr>
        <w:pStyle w:val="BodyText"/>
        <w:spacing w:before="138" w:line="292" w:lineRule="auto"/>
        <w:ind w:right="1044" w:firstLine="961"/>
      </w:pPr>
      <w:r>
        <w:rPr>
          <w:spacing w:val="-1"/>
          <w:w w:val="95"/>
        </w:rPr>
        <w:t xml:space="preserve">面对严峻的就业形势，学院要求各教学系、各部门要把 </w:t>
      </w:r>
      <w:r>
        <w:t>毕业生的就业作为工作的重中之重，切实落实二级管理责</w:t>
      </w:r>
      <w:r>
        <w:rPr>
          <w:w w:val="95"/>
        </w:rPr>
        <w:t>任</w:t>
      </w:r>
      <w:r>
        <w:rPr>
          <w:spacing w:val="-2"/>
          <w:w w:val="95"/>
        </w:rPr>
        <w:t>，积极指导帮助毕业生择业和就业，及时准确地掌握毕业 生</w:t>
      </w:r>
      <w:r>
        <w:rPr>
          <w:spacing w:val="-4"/>
          <w:w w:val="95"/>
        </w:rPr>
        <w:t>的就业动态。学院不断加强联系沟通，了解调查学生的思 想</w:t>
      </w:r>
      <w:r>
        <w:rPr>
          <w:spacing w:val="-6"/>
          <w:w w:val="95"/>
        </w:rPr>
        <w:t>状况，及时传递就业市场信息；及时准确的为学院领导提 供</w:t>
      </w:r>
      <w:r>
        <w:rPr>
          <w:spacing w:val="-8"/>
          <w:w w:val="95"/>
        </w:rPr>
        <w:t xml:space="preserve">与就业工作相关的信息和报告，为就业工作做出科学决策 </w:t>
      </w:r>
      <w:r>
        <w:t>提供条件。</w:t>
      </w:r>
    </w:p>
    <w:p>
      <w:pPr>
        <w:pStyle w:val="BodyText"/>
        <w:spacing w:line="292" w:lineRule="auto"/>
        <w:ind w:right="1044" w:firstLine="961"/>
        <w:jc w:val="both"/>
      </w:pPr>
      <w:r>
        <w:rPr>
          <w:spacing w:val="-1"/>
          <w:w w:val="95"/>
        </w:rPr>
        <w:t xml:space="preserve">为了帮助青年学生树立良好的职业理想，加强职业生涯 规划和指导，充分利用校园宣传栏、手机短信平台、计算机 网络等宣传媒介，全方位地向学生宣讲国家和天津市对大学 </w:t>
      </w:r>
      <w:r>
        <w:rPr>
          <w:spacing w:val="-1"/>
        </w:rPr>
        <w:t xml:space="preserve">生就业和创业的相关政策。学院开展 </w:t>
      </w:r>
      <w:r>
        <w:t>30</w:t>
      </w:r>
      <w:r>
        <w:rPr>
          <w:spacing w:val="-7"/>
        </w:rPr>
        <w:t xml:space="preserve"> 余次就业大讲堂和</w:t>
      </w:r>
    </w:p>
    <w:p>
      <w:pPr>
        <w:spacing w:after="0" w:line="292" w:lineRule="auto"/>
        <w:jc w:val="both"/>
        <w:sectPr>
          <w:footerReference w:type="default" r:id="rId8"/>
          <w:pgSz w:w="17860" w:h="25260"/>
          <w:pgMar w:top="1840" w:right="1660" w:bottom="2060" w:left="2420" w:header="0" w:footer="1787"/>
          <w:pgNumType w:start="5"/>
          <w:cols w:space="708"/>
        </w:sectPr>
      </w:pPr>
    </w:p>
    <w:p>
      <w:pPr>
        <w:pStyle w:val="BodyText"/>
        <w:spacing w:before="13" w:line="292" w:lineRule="auto"/>
        <w:ind w:right="1038"/>
        <w:jc w:val="both"/>
      </w:pPr>
      <w:r>
        <w:t>300</w:t>
      </w:r>
      <w:r>
        <w:rPr>
          <w:spacing w:val="-7"/>
        </w:rPr>
        <w:t xml:space="preserve"> 多家企业专场招聘会，定期要求学院领导、就业指导老</w:t>
      </w:r>
      <w:r>
        <w:rPr>
          <w:spacing w:val="-7"/>
          <w:w w:val="95"/>
        </w:rPr>
        <w:t xml:space="preserve">师、企业人员为大家讲解就业知识，指导职业生涯规划。一 </w:t>
      </w:r>
      <w:r>
        <w:rPr>
          <w:spacing w:val="-17"/>
        </w:rPr>
        <w:t xml:space="preserve">年来，投入基本就业资金 </w:t>
      </w:r>
      <w:r>
        <w:t>20</w:t>
      </w:r>
      <w:r>
        <w:rPr>
          <w:spacing w:val="-26"/>
        </w:rPr>
        <w:t xml:space="preserve"> 余万元。企业提供约 </w:t>
      </w:r>
      <w:r>
        <w:t>5000</w:t>
      </w:r>
      <w:r>
        <w:rPr>
          <w:spacing w:val="-47"/>
        </w:rPr>
        <w:t xml:space="preserve"> 个岗</w:t>
      </w:r>
      <w:r>
        <w:t>位，2000</w:t>
      </w:r>
      <w:r>
        <w:rPr>
          <w:spacing w:val="-12"/>
        </w:rPr>
        <w:t xml:space="preserve"> 余名毕业生签订就业协议。</w:t>
      </w:r>
    </w:p>
    <w:p>
      <w:pPr>
        <w:pStyle w:val="BodyText"/>
        <w:spacing w:line="292" w:lineRule="auto"/>
        <w:ind w:right="807" w:firstLine="961"/>
      </w:pPr>
      <w:r>
        <w:t>学院积极响应团市委号召，成立学生创业就业联合会， 学生发挥自己的能力去寻找创业就业渠道，利用校园和社会资源，创建求职平台、跳蚤市场，锻炼走向社会的能力。例</w:t>
      </w:r>
      <w:r>
        <w:rPr>
          <w:spacing w:val="-2"/>
        </w:rPr>
        <w:t xml:space="preserve">如：韩剑为我院 </w:t>
      </w:r>
      <w:r>
        <w:t>2010</w:t>
      </w:r>
      <w:r>
        <w:rPr>
          <w:spacing w:val="-4"/>
        </w:rPr>
        <w:t xml:space="preserve"> 届电气自动化专业毕业生，在校期间任班长、学生会主席职务。韩剑在毕业后的一年多当中，先</w:t>
      </w:r>
      <w:r>
        <w:rPr>
          <w:spacing w:val="-19"/>
          <w:w w:val="95"/>
        </w:rPr>
        <w:t xml:space="preserve">后在两家公司任职，在工作中，他边学习观察，边积累经验， </w:t>
      </w:r>
      <w:r>
        <w:rPr>
          <w:spacing w:val="-9"/>
        </w:rPr>
        <w:t>边研究市场。经过一年多的学习积累，</w:t>
      </w:r>
      <w:r>
        <w:rPr>
          <w:spacing w:val="-12"/>
        </w:rPr>
        <w:t>2011</w:t>
      </w:r>
      <w:r>
        <w:rPr>
          <w:spacing w:val="-18"/>
        </w:rPr>
        <w:t xml:space="preserve"> 年底创立了众福装饰中心，自任经理，经过两年的艰苦创业，如今公司已具有了一定的规模，正在稳步成长当中。</w:t>
      </w:r>
    </w:p>
    <w:p>
      <w:pPr>
        <w:pStyle w:val="BodyText"/>
        <w:spacing w:line="292" w:lineRule="auto"/>
        <w:ind w:left="1241" w:right="1179"/>
      </w:pPr>
      <w:r>
        <w:t>2、严格按教育部“四不准”要求开展毕业生就业工作</w:t>
      </w:r>
      <w:r>
        <w:rPr>
          <w:spacing w:val="-7"/>
          <w:w w:val="95"/>
        </w:rPr>
        <w:t>根据教育部“四不准”</w:t>
      </w:r>
      <w:r>
        <w:rPr>
          <w:spacing w:val="-67"/>
          <w:w w:val="95"/>
        </w:rPr>
        <w:t>（</w:t>
      </w:r>
      <w:r>
        <w:rPr>
          <w:spacing w:val="-2"/>
          <w:w w:val="95"/>
        </w:rPr>
        <w:t>不准以各种方式强迫毕业生签</w:t>
      </w:r>
    </w:p>
    <w:p>
      <w:pPr>
        <w:pStyle w:val="BodyText"/>
        <w:spacing w:line="292" w:lineRule="auto"/>
        <w:ind w:right="917"/>
        <w:jc w:val="both"/>
      </w:pPr>
      <w:r>
        <w:t>订就业协议和劳动合同，不准将毕业证书、学位证书发放与毕业生签约挂钩，不准以户档托管为由劝说毕业生签订虚假就业协议，不准将毕业生顶岗实习、见习证明材料作为就业证明材料）</w:t>
      </w:r>
      <w:r>
        <w:rPr>
          <w:spacing w:val="-3"/>
        </w:rPr>
        <w:t xml:space="preserve">要求，在 </w:t>
      </w:r>
      <w:r>
        <w:t>2013</w:t>
      </w:r>
      <w:r>
        <w:rPr>
          <w:spacing w:val="-5"/>
        </w:rPr>
        <w:t xml:space="preserve"> 届毕业生进入择业期之初，学院就召开了各系主任和干事参加的就业工作会议，提出了严格要求，并制定了惩罚措施，在工作过程中认真检查，发现问</w:t>
      </w:r>
      <w:r>
        <w:rPr>
          <w:spacing w:val="-3"/>
        </w:rPr>
        <w:t>题及时纠正。</w:t>
      </w:r>
      <w:r>
        <w:t>2013</w:t>
      </w:r>
      <w:r>
        <w:rPr>
          <w:spacing w:val="-15"/>
        </w:rPr>
        <w:t xml:space="preserve"> 年学院没有发现违背“四不准”的现象。</w:t>
      </w:r>
    </w:p>
    <w:p>
      <w:pPr>
        <w:pStyle w:val="BodyText"/>
        <w:spacing w:before="2"/>
        <w:ind w:left="0"/>
        <w:rPr>
          <w:sz w:val="39"/>
        </w:rPr>
      </w:pPr>
    </w:p>
    <w:p>
      <w:pPr>
        <w:pStyle w:val="Heading1"/>
      </w:pPr>
      <w:bookmarkStart w:id="7" w:name="_TOC_250018"/>
      <w:bookmarkEnd w:id="7"/>
      <w:r>
        <w:t>三、强化教育教学改革，提高办学质量</w:t>
      </w:r>
    </w:p>
    <w:p>
      <w:pPr>
        <w:pStyle w:val="BodyText"/>
        <w:spacing w:before="6"/>
        <w:ind w:left="0"/>
        <w:rPr>
          <w:rFonts w:ascii="幼圆"/>
          <w:b/>
          <w:sz w:val="49"/>
        </w:rPr>
      </w:pPr>
    </w:p>
    <w:p>
      <w:pPr>
        <w:pStyle w:val="Heading1"/>
        <w:spacing w:before="1"/>
      </w:pPr>
      <w:bookmarkStart w:id="8" w:name="_TOC_250017"/>
      <w:bookmarkEnd w:id="8"/>
      <w:r>
        <w:rPr>
          <w:w w:val="95"/>
        </w:rPr>
        <w:t>（一）落实高等职业教育考试招生制度改革</w:t>
      </w:r>
    </w:p>
    <w:p>
      <w:pPr>
        <w:pStyle w:val="BodyText"/>
        <w:ind w:left="0"/>
        <w:rPr>
          <w:rFonts w:ascii="幼圆"/>
          <w:b/>
          <w:sz w:val="41"/>
        </w:rPr>
      </w:pPr>
    </w:p>
    <w:p>
      <w:pPr>
        <w:pStyle w:val="BodyText"/>
        <w:ind w:left="1241"/>
      </w:pPr>
      <w:r>
        <w:rPr>
          <w:w w:val="95"/>
        </w:rPr>
        <w:t>1、积极探索、实践招生考试改革制度</w:t>
      </w:r>
    </w:p>
    <w:p>
      <w:pPr>
        <w:pStyle w:val="BodyText"/>
        <w:spacing w:before="134"/>
        <w:ind w:left="1241"/>
      </w:pPr>
      <w:r>
        <w:t>随着国家加快推进高等职业教育院校招考制度改革，学</w:t>
      </w:r>
    </w:p>
    <w:p>
      <w:pPr>
        <w:spacing w:after="0"/>
        <w:sectPr>
          <w:footerReference w:type="default" r:id="rId9"/>
          <w:pgSz w:w="17860" w:h="25260"/>
          <w:pgMar w:top="1840" w:right="1660" w:bottom="2060" w:left="2420" w:header="0" w:footer="1787"/>
          <w:pgNumType w:start="6"/>
          <w:cols w:space="708"/>
        </w:sectPr>
      </w:pPr>
    </w:p>
    <w:p>
      <w:pPr>
        <w:pStyle w:val="BodyText"/>
        <w:spacing w:before="13" w:line="292" w:lineRule="auto"/>
        <w:ind w:right="811"/>
      </w:pPr>
      <w:r>
        <w:rPr>
          <w:spacing w:val="-18"/>
          <w:w w:val="95"/>
        </w:rPr>
        <w:t xml:space="preserve">生考试多次选择，选择适合自己的学校，学校依法自主招生， </w:t>
      </w:r>
      <w:r>
        <w:t>从根本上解决一考定终身的弊端。学院根据招生政策的变 化，高职人才培养的要求，积极探索高职院校的招生考试改</w:t>
      </w:r>
      <w:r>
        <w:rPr>
          <w:spacing w:val="-5"/>
        </w:rPr>
        <w:t xml:space="preserve">革，从 </w:t>
      </w:r>
      <w:r>
        <w:t>2009</w:t>
      </w:r>
      <w:r>
        <w:rPr>
          <w:spacing w:val="-4"/>
        </w:rPr>
        <w:t xml:space="preserve"> 年起进行自主招生，摸索高职招生考试的选拔方式。考试内容上改变了以前的文化考试科目，以综合能力和专业技能两方面进行考试，同时参看学生的学业水平考试</w:t>
      </w:r>
      <w:r>
        <w:rPr>
          <w:spacing w:val="-25"/>
        </w:rPr>
        <w:t>成绩。</w:t>
      </w:r>
      <w:r>
        <w:t>2013</w:t>
      </w:r>
      <w:r>
        <w:rPr>
          <w:spacing w:val="-15"/>
        </w:rPr>
        <w:t xml:space="preserve"> 年学院继续扩大自主招生，招生专业由去年的五个专业，增加至今年的七个专业，改变了只招理科生的单一形式，扩大了自主招生的影响力，考生报名较为踊跃。在自主招生组织过程中，加强领导，严密组织，平稳实施，加强</w:t>
      </w:r>
      <w:r>
        <w:rPr>
          <w:spacing w:val="-18"/>
          <w:w w:val="95"/>
        </w:rPr>
        <w:t xml:space="preserve">管理，制定自主招生工作运行方案，保证了工作的有效落实， </w:t>
      </w:r>
      <w:r>
        <w:rPr>
          <w:spacing w:val="-24"/>
        </w:rPr>
        <w:t xml:space="preserve">最终录取 </w:t>
      </w:r>
      <w:r>
        <w:t>248</w:t>
      </w:r>
      <w:r>
        <w:rPr>
          <w:spacing w:val="-30"/>
        </w:rPr>
        <w:t xml:space="preserve"> 人，完成计划 </w:t>
      </w:r>
      <w:r>
        <w:t>137%。</w:t>
      </w:r>
    </w:p>
    <w:p>
      <w:pPr>
        <w:pStyle w:val="BodyText"/>
        <w:spacing w:line="292" w:lineRule="auto"/>
        <w:ind w:right="1032" w:firstLine="961"/>
      </w:pPr>
      <w:r>
        <w:rPr>
          <w:w w:val="95"/>
        </w:rPr>
        <w:t xml:space="preserve">我院不断探索和总结“三二分段”考试形式和充实教育 内涵，不断完善教学方案，每学年至少组织召开两次教学研 讨会，研究和讨论教学方案，及时负责督导和检查中职学校 </w:t>
      </w:r>
      <w:r>
        <w:t xml:space="preserve">教学计划的实施，定期组织和参与中职学校教师教研和培 </w:t>
      </w:r>
      <w:r>
        <w:rPr>
          <w:w w:val="95"/>
        </w:rPr>
        <w:t>训，定期组织和召开管理协调机构会议，研究解决教学、学 生管理的相关问题，“三二分段”类型学生素质不断提高。</w:t>
      </w:r>
      <w:r>
        <w:t>2013</w:t>
      </w:r>
      <w:r>
        <w:rPr>
          <w:spacing w:val="-18"/>
        </w:rPr>
        <w:t xml:space="preserve"> 年我院与天津市信息工程学校、天津市滨海中等专业学</w:t>
      </w:r>
      <w:r>
        <w:rPr>
          <w:spacing w:val="-18"/>
          <w:w w:val="95"/>
        </w:rPr>
        <w:t xml:space="preserve">校、南洋工业学校等四所学校签订联合办学，在工程造价， </w:t>
      </w:r>
      <w:r>
        <w:rPr>
          <w:spacing w:val="-28"/>
        </w:rPr>
        <w:t xml:space="preserve">数控技术、音乐表演等 </w:t>
      </w:r>
      <w:r>
        <w:t>5</w:t>
      </w:r>
      <w:r>
        <w:rPr>
          <w:spacing w:val="-14"/>
        </w:rPr>
        <w:t xml:space="preserve"> 个专业进行联合培养职业类人才，</w:t>
      </w:r>
    </w:p>
    <w:p>
      <w:pPr>
        <w:pStyle w:val="BodyText"/>
        <w:spacing w:line="292" w:lineRule="auto"/>
        <w:ind w:right="806"/>
      </w:pPr>
      <w:r>
        <w:rPr>
          <w:spacing w:val="-26"/>
        </w:rPr>
        <w:t xml:space="preserve">共计招生 </w:t>
      </w:r>
      <w:r>
        <w:t>445</w:t>
      </w:r>
      <w:r>
        <w:rPr>
          <w:spacing w:val="-23"/>
        </w:rPr>
        <w:t xml:space="preserve"> 人。我院积极改革“三二分段”招生考试形式， </w:t>
      </w:r>
      <w:r>
        <w:t>在中职升高职时增加了专业知识考核，更加突出职业技能的培养目标，学生综合素质不断提高。</w:t>
      </w:r>
    </w:p>
    <w:p>
      <w:pPr>
        <w:pStyle w:val="BodyText"/>
        <w:ind w:left="1241"/>
      </w:pPr>
      <w:r>
        <w:t>2、本地生源报到率稳定</w:t>
      </w:r>
    </w:p>
    <w:p>
      <w:pPr>
        <w:pStyle w:val="BodyText"/>
        <w:spacing w:before="129" w:line="292" w:lineRule="auto"/>
        <w:ind w:right="1037" w:firstLine="968"/>
      </w:pPr>
      <w:r>
        <w:rPr>
          <w:spacing w:val="-1"/>
          <w:w w:val="95"/>
        </w:rPr>
        <w:t xml:space="preserve">天津市生源形势不容乐观，在生源逐年减少的情况下， </w:t>
      </w:r>
      <w:r>
        <w:rPr>
          <w:w w:val="95"/>
        </w:rPr>
        <w:t>我院招生报到人数持续增加，其主要原因是各级财政支持的</w:t>
      </w:r>
    </w:p>
    <w:p>
      <w:pPr>
        <w:spacing w:after="0" w:line="292" w:lineRule="auto"/>
        <w:sectPr>
          <w:footerReference w:type="default" r:id="rId10"/>
          <w:pgSz w:w="17860" w:h="25260"/>
          <w:pgMar w:top="1840" w:right="1660" w:bottom="2060" w:left="2420" w:header="0" w:footer="1787"/>
          <w:pgNumType w:start="7"/>
          <w:cols w:space="708"/>
        </w:sectPr>
      </w:pPr>
    </w:p>
    <w:p>
      <w:pPr>
        <w:pStyle w:val="BodyText"/>
        <w:spacing w:before="13" w:line="292" w:lineRule="auto"/>
        <w:ind w:right="1036"/>
        <w:jc w:val="both"/>
      </w:pPr>
      <w:r>
        <w:rPr>
          <w:w w:val="95"/>
        </w:rPr>
        <w:t xml:space="preserve">重点建设专业优势更加明显，以及学院专业设臵与社会需求 </w:t>
      </w:r>
      <w:r>
        <w:rPr>
          <w:spacing w:val="-11"/>
        </w:rPr>
        <w:t>更加吻合，这也反映出社会对我院办学质量的认可。</w:t>
      </w:r>
      <w:r>
        <w:t>2012</w:t>
      </w:r>
      <w:r>
        <w:rPr>
          <w:spacing w:val="-81"/>
        </w:rPr>
        <w:t xml:space="preserve"> 年</w:t>
      </w:r>
      <w:r>
        <w:rPr>
          <w:spacing w:val="-5"/>
        </w:rPr>
        <w:t xml:space="preserve">我院本地列招生计划 </w:t>
      </w:r>
      <w:r>
        <w:t>1048</w:t>
      </w:r>
      <w:r>
        <w:rPr>
          <w:spacing w:val="-19"/>
        </w:rPr>
        <w:t xml:space="preserve"> 人，录取 </w:t>
      </w:r>
      <w:r>
        <w:t>940</w:t>
      </w:r>
      <w:r>
        <w:rPr>
          <w:spacing w:val="-14"/>
        </w:rPr>
        <w:t xml:space="preserve"> 人，实际报到 </w:t>
      </w:r>
      <w:r>
        <w:rPr>
          <w:spacing w:val="-6"/>
        </w:rPr>
        <w:t xml:space="preserve">796 </w:t>
      </w:r>
      <w:r>
        <w:rPr>
          <w:spacing w:val="-11"/>
        </w:rPr>
        <w:t xml:space="preserve">人，报到率 </w:t>
      </w:r>
      <w:r>
        <w:t>85</w:t>
      </w:r>
      <w:r>
        <w:rPr>
          <w:spacing w:val="1"/>
        </w:rPr>
        <w:t>%。</w:t>
      </w:r>
      <w:r>
        <w:t>2013</w:t>
      </w:r>
      <w:r>
        <w:rPr>
          <w:spacing w:val="-14"/>
        </w:rPr>
        <w:t xml:space="preserve"> 年我院本地列招生计划 </w:t>
      </w:r>
      <w:r>
        <w:t>1038</w:t>
      </w:r>
      <w:r>
        <w:rPr>
          <w:spacing w:val="-21"/>
        </w:rPr>
        <w:t xml:space="preserve"> 人，录</w:t>
      </w:r>
      <w:r>
        <w:rPr>
          <w:spacing w:val="-60"/>
        </w:rPr>
        <w:t xml:space="preserve">取 </w:t>
      </w:r>
      <w:r>
        <w:t>1217</w:t>
      </w:r>
      <w:r>
        <w:rPr>
          <w:spacing w:val="-30"/>
        </w:rPr>
        <w:t xml:space="preserve"> 人，实际报到 </w:t>
      </w:r>
      <w:r>
        <w:t>1011</w:t>
      </w:r>
      <w:r>
        <w:rPr>
          <w:spacing w:val="-34"/>
        </w:rPr>
        <w:t xml:space="preserve"> 人，报到率 </w:t>
      </w:r>
      <w:r>
        <w:t>85%。</w:t>
      </w:r>
    </w:p>
    <w:p>
      <w:pPr>
        <w:pStyle w:val="BodyText"/>
        <w:spacing w:line="615" w:lineRule="exact"/>
        <w:ind w:left="1248"/>
      </w:pPr>
      <w:r>
        <w:drawing>
          <wp:anchor distT="0" distB="0" distL="0" distR="0" simplePos="0" relativeHeight="251658240" behindDoc="1" locked="0" layoutInCell="1" allowOverlap="1">
            <wp:simplePos x="0" y="0"/>
            <wp:positionH relativeFrom="page">
              <wp:posOffset>1600200</wp:posOffset>
            </wp:positionH>
            <wp:positionV relativeFrom="paragraph">
              <wp:posOffset>459041</wp:posOffset>
            </wp:positionV>
            <wp:extent cx="8133016" cy="293903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1" cstate="print"/>
                    <a:stretch>
                      <a:fillRect/>
                    </a:stretch>
                  </pic:blipFill>
                  <pic:spPr>
                    <a:xfrm>
                      <a:off x="0" y="0"/>
                      <a:ext cx="8133016" cy="2939033"/>
                    </a:xfrm>
                    <a:prstGeom prst="rect">
                      <a:avLst/>
                    </a:prstGeom>
                  </pic:spPr>
                </pic:pic>
              </a:graphicData>
            </a:graphic>
          </wp:anchor>
        </w:drawing>
      </w:r>
      <w:r>
        <w:t>具体招生类型如下：</w:t>
      </w:r>
    </w:p>
    <w:p>
      <w:pPr>
        <w:pStyle w:val="BodyText"/>
        <w:ind w:left="0"/>
        <w:rPr>
          <w:sz w:val="20"/>
        </w:rPr>
      </w:pPr>
    </w:p>
    <w:p>
      <w:pPr>
        <w:pStyle w:val="BodyText"/>
        <w:spacing w:before="10" w:after="1"/>
        <w:ind w:left="0"/>
        <w:rPr>
          <w:sz w:val="12"/>
        </w:rPr>
      </w:pPr>
    </w:p>
    <w:tbl>
      <w:tblPr>
        <w:tblStyle w:val="TableNormal0"/>
        <w:tblW w:w="0" w:type="auto"/>
        <w:jc w:val="left"/>
        <w:tblInd w:w="3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5"/>
        <w:gridCol w:w="2146"/>
        <w:gridCol w:w="1471"/>
        <w:gridCol w:w="1991"/>
        <w:gridCol w:w="1382"/>
        <w:gridCol w:w="1382"/>
        <w:gridCol w:w="1992"/>
        <w:gridCol w:w="1181"/>
      </w:tblGrid>
      <w:tr>
        <w:tblPrEx>
          <w:tblW w:w="0" w:type="auto"/>
          <w:jc w:val="left"/>
          <w:tblInd w:w="3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66"/>
          <w:jc w:val="left"/>
        </w:trPr>
        <w:tc>
          <w:tcPr>
            <w:tcW w:w="775" w:type="dxa"/>
          </w:tcPr>
          <w:p>
            <w:pPr>
              <w:pStyle w:val="TableParagraph"/>
              <w:spacing w:line="418" w:lineRule="exact"/>
              <w:ind w:left="50"/>
              <w:jc w:val="left"/>
              <w:rPr>
                <w:sz w:val="36"/>
              </w:rPr>
            </w:pPr>
            <w:r>
              <w:rPr>
                <w:sz w:val="36"/>
              </w:rPr>
              <w:t>序</w:t>
            </w:r>
          </w:p>
          <w:p>
            <w:pPr>
              <w:pStyle w:val="TableParagraph"/>
              <w:spacing w:before="292"/>
              <w:ind w:left="50"/>
              <w:jc w:val="left"/>
              <w:rPr>
                <w:sz w:val="36"/>
              </w:rPr>
            </w:pPr>
            <w:r>
              <w:rPr>
                <w:sz w:val="36"/>
              </w:rPr>
              <w:t>号</w:t>
            </w:r>
          </w:p>
        </w:tc>
        <w:tc>
          <w:tcPr>
            <w:tcW w:w="2146" w:type="dxa"/>
          </w:tcPr>
          <w:p>
            <w:pPr>
              <w:pStyle w:val="TableParagraph"/>
              <w:spacing w:before="10"/>
              <w:jc w:val="left"/>
              <w:rPr>
                <w:sz w:val="25"/>
              </w:rPr>
            </w:pPr>
          </w:p>
          <w:p>
            <w:pPr>
              <w:pStyle w:val="TableParagraph"/>
              <w:ind w:left="345" w:right="320"/>
              <w:rPr>
                <w:sz w:val="36"/>
              </w:rPr>
            </w:pPr>
            <w:r>
              <w:rPr>
                <w:sz w:val="36"/>
              </w:rPr>
              <w:t>招生类型</w:t>
            </w:r>
          </w:p>
        </w:tc>
        <w:tc>
          <w:tcPr>
            <w:tcW w:w="1471" w:type="dxa"/>
          </w:tcPr>
          <w:p>
            <w:pPr>
              <w:pStyle w:val="TableParagraph"/>
              <w:jc w:val="left"/>
              <w:rPr>
                <w:sz w:val="36"/>
              </w:rPr>
            </w:pPr>
          </w:p>
          <w:p>
            <w:pPr>
              <w:pStyle w:val="TableParagraph"/>
              <w:spacing w:before="255"/>
              <w:ind w:left="320" w:right="30"/>
              <w:rPr>
                <w:sz w:val="36"/>
              </w:rPr>
            </w:pPr>
            <w:r>
              <w:rPr>
                <w:sz w:val="36"/>
              </w:rPr>
              <w:t>录取数</w:t>
            </w:r>
          </w:p>
        </w:tc>
        <w:tc>
          <w:tcPr>
            <w:tcW w:w="1991" w:type="dxa"/>
          </w:tcPr>
          <w:p>
            <w:pPr>
              <w:pStyle w:val="TableParagraph"/>
              <w:spacing w:line="411" w:lineRule="exact"/>
              <w:ind w:left="1"/>
              <w:rPr>
                <w:sz w:val="36"/>
              </w:rPr>
            </w:pPr>
            <w:r>
              <w:rPr>
                <w:sz w:val="36"/>
              </w:rPr>
              <w:t>2012 年数据</w:t>
            </w:r>
          </w:p>
          <w:p>
            <w:pPr>
              <w:pStyle w:val="TableParagraph"/>
              <w:spacing w:before="306"/>
              <w:ind w:left="1" w:right="2"/>
              <w:rPr>
                <w:sz w:val="36"/>
              </w:rPr>
            </w:pPr>
            <w:r>
              <w:rPr>
                <w:sz w:val="36"/>
              </w:rPr>
              <w:t>报到数</w:t>
            </w:r>
          </w:p>
        </w:tc>
        <w:tc>
          <w:tcPr>
            <w:tcW w:w="1382" w:type="dxa"/>
          </w:tcPr>
          <w:p>
            <w:pPr>
              <w:pStyle w:val="TableParagraph"/>
              <w:jc w:val="left"/>
              <w:rPr>
                <w:sz w:val="36"/>
              </w:rPr>
            </w:pPr>
          </w:p>
          <w:p>
            <w:pPr>
              <w:pStyle w:val="TableParagraph"/>
              <w:spacing w:before="255"/>
              <w:ind w:left="32" w:right="229"/>
              <w:rPr>
                <w:sz w:val="36"/>
              </w:rPr>
            </w:pPr>
            <w:r>
              <w:rPr>
                <w:sz w:val="36"/>
              </w:rPr>
              <w:t>报到率</w:t>
            </w:r>
          </w:p>
        </w:tc>
        <w:tc>
          <w:tcPr>
            <w:tcW w:w="1382" w:type="dxa"/>
          </w:tcPr>
          <w:p>
            <w:pPr>
              <w:pStyle w:val="TableParagraph"/>
              <w:jc w:val="left"/>
              <w:rPr>
                <w:sz w:val="36"/>
              </w:rPr>
            </w:pPr>
          </w:p>
          <w:p>
            <w:pPr>
              <w:pStyle w:val="TableParagraph"/>
              <w:spacing w:before="255"/>
              <w:ind w:left="233" w:right="29"/>
              <w:rPr>
                <w:sz w:val="36"/>
              </w:rPr>
            </w:pPr>
            <w:r>
              <w:rPr>
                <w:sz w:val="36"/>
              </w:rPr>
              <w:t>录取数</w:t>
            </w:r>
          </w:p>
        </w:tc>
        <w:tc>
          <w:tcPr>
            <w:tcW w:w="1992" w:type="dxa"/>
          </w:tcPr>
          <w:p>
            <w:pPr>
              <w:pStyle w:val="TableParagraph"/>
              <w:spacing w:line="411" w:lineRule="exact"/>
              <w:ind w:left="3"/>
              <w:rPr>
                <w:sz w:val="36"/>
              </w:rPr>
            </w:pPr>
            <w:r>
              <w:rPr>
                <w:sz w:val="36"/>
              </w:rPr>
              <w:t>2013 年数据</w:t>
            </w:r>
          </w:p>
          <w:p>
            <w:pPr>
              <w:pStyle w:val="TableParagraph"/>
              <w:spacing w:before="306"/>
              <w:ind w:left="7"/>
              <w:rPr>
                <w:sz w:val="36"/>
              </w:rPr>
            </w:pPr>
            <w:r>
              <w:rPr>
                <w:sz w:val="36"/>
              </w:rPr>
              <w:t>报到数</w:t>
            </w:r>
          </w:p>
        </w:tc>
        <w:tc>
          <w:tcPr>
            <w:tcW w:w="1181" w:type="dxa"/>
          </w:tcPr>
          <w:p>
            <w:pPr>
              <w:pStyle w:val="TableParagraph"/>
              <w:jc w:val="left"/>
              <w:rPr>
                <w:sz w:val="36"/>
              </w:rPr>
            </w:pPr>
          </w:p>
          <w:p>
            <w:pPr>
              <w:pStyle w:val="TableParagraph"/>
              <w:spacing w:before="255"/>
              <w:ind w:left="35" w:right="26"/>
              <w:rPr>
                <w:sz w:val="36"/>
              </w:rPr>
            </w:pPr>
            <w:r>
              <w:rPr>
                <w:sz w:val="36"/>
              </w:rPr>
              <w:t>报到率</w:t>
            </w:r>
          </w:p>
        </w:tc>
      </w:tr>
      <w:tr>
        <w:tblPrEx>
          <w:tblW w:w="0" w:type="auto"/>
          <w:jc w:val="left"/>
          <w:tblInd w:w="382" w:type="dxa"/>
          <w:tblLayout w:type="fixed"/>
          <w:tblCellMar>
            <w:top w:w="0" w:type="dxa"/>
            <w:left w:w="0" w:type="dxa"/>
            <w:bottom w:w="0" w:type="dxa"/>
            <w:right w:w="0" w:type="dxa"/>
          </w:tblCellMar>
          <w:tblLook w:val="01E0"/>
        </w:tblPrEx>
        <w:trPr>
          <w:trHeight w:val="780"/>
          <w:jc w:val="left"/>
        </w:trPr>
        <w:tc>
          <w:tcPr>
            <w:tcW w:w="775" w:type="dxa"/>
          </w:tcPr>
          <w:p>
            <w:pPr>
              <w:pStyle w:val="TableParagraph"/>
              <w:spacing w:before="201"/>
              <w:ind w:left="150"/>
              <w:jc w:val="left"/>
              <w:rPr>
                <w:sz w:val="31"/>
              </w:rPr>
            </w:pPr>
            <w:r>
              <w:rPr>
                <w:w w:val="102"/>
                <w:sz w:val="31"/>
              </w:rPr>
              <w:t>1</w:t>
            </w:r>
          </w:p>
        </w:tc>
        <w:tc>
          <w:tcPr>
            <w:tcW w:w="2146" w:type="dxa"/>
          </w:tcPr>
          <w:p>
            <w:pPr>
              <w:pStyle w:val="TableParagraph"/>
              <w:spacing w:before="201"/>
              <w:ind w:left="345" w:right="313"/>
              <w:rPr>
                <w:sz w:val="31"/>
              </w:rPr>
            </w:pPr>
            <w:r>
              <w:rPr>
                <w:sz w:val="31"/>
              </w:rPr>
              <w:t>三二分段</w:t>
            </w:r>
          </w:p>
        </w:tc>
        <w:tc>
          <w:tcPr>
            <w:tcW w:w="1471" w:type="dxa"/>
          </w:tcPr>
          <w:p>
            <w:pPr>
              <w:pStyle w:val="TableParagraph"/>
              <w:spacing w:before="201"/>
              <w:ind w:left="320" w:right="30"/>
              <w:rPr>
                <w:sz w:val="31"/>
              </w:rPr>
            </w:pPr>
            <w:r>
              <w:rPr>
                <w:sz w:val="31"/>
              </w:rPr>
              <w:t>106</w:t>
            </w:r>
          </w:p>
        </w:tc>
        <w:tc>
          <w:tcPr>
            <w:tcW w:w="1991" w:type="dxa"/>
          </w:tcPr>
          <w:p>
            <w:pPr>
              <w:pStyle w:val="TableParagraph"/>
              <w:spacing w:before="201"/>
              <w:ind w:left="1" w:right="2"/>
              <w:rPr>
                <w:sz w:val="31"/>
              </w:rPr>
            </w:pPr>
            <w:r>
              <w:rPr>
                <w:sz w:val="31"/>
              </w:rPr>
              <w:t>88</w:t>
            </w:r>
          </w:p>
        </w:tc>
        <w:tc>
          <w:tcPr>
            <w:tcW w:w="1382" w:type="dxa"/>
          </w:tcPr>
          <w:p>
            <w:pPr>
              <w:pStyle w:val="TableParagraph"/>
              <w:spacing w:before="201"/>
              <w:ind w:left="32" w:right="222"/>
              <w:rPr>
                <w:sz w:val="31"/>
              </w:rPr>
            </w:pPr>
            <w:r>
              <w:rPr>
                <w:sz w:val="31"/>
              </w:rPr>
              <w:t>830%</w:t>
            </w:r>
          </w:p>
        </w:tc>
        <w:tc>
          <w:tcPr>
            <w:tcW w:w="1382" w:type="dxa"/>
          </w:tcPr>
          <w:p>
            <w:pPr>
              <w:pStyle w:val="TableParagraph"/>
              <w:spacing w:before="201"/>
              <w:ind w:left="233" w:right="22"/>
              <w:rPr>
                <w:sz w:val="31"/>
              </w:rPr>
            </w:pPr>
            <w:r>
              <w:rPr>
                <w:sz w:val="31"/>
              </w:rPr>
              <w:t>235</w:t>
            </w:r>
          </w:p>
        </w:tc>
        <w:tc>
          <w:tcPr>
            <w:tcW w:w="1992" w:type="dxa"/>
          </w:tcPr>
          <w:p>
            <w:pPr>
              <w:pStyle w:val="TableParagraph"/>
              <w:spacing w:before="201"/>
              <w:ind w:right="749"/>
              <w:jc w:val="right"/>
              <w:rPr>
                <w:sz w:val="31"/>
              </w:rPr>
            </w:pPr>
            <w:r>
              <w:rPr>
                <w:sz w:val="31"/>
              </w:rPr>
              <w:t>198</w:t>
            </w:r>
          </w:p>
        </w:tc>
        <w:tc>
          <w:tcPr>
            <w:tcW w:w="1181" w:type="dxa"/>
          </w:tcPr>
          <w:p>
            <w:pPr>
              <w:pStyle w:val="TableParagraph"/>
              <w:spacing w:before="201"/>
              <w:ind w:left="35" w:right="19"/>
              <w:rPr>
                <w:sz w:val="31"/>
              </w:rPr>
            </w:pPr>
            <w:r>
              <w:rPr>
                <w:sz w:val="31"/>
              </w:rPr>
              <w:t>84%</w:t>
            </w:r>
          </w:p>
        </w:tc>
      </w:tr>
      <w:tr>
        <w:tblPrEx>
          <w:tblW w:w="0" w:type="auto"/>
          <w:jc w:val="left"/>
          <w:tblInd w:w="382" w:type="dxa"/>
          <w:tblLayout w:type="fixed"/>
          <w:tblCellMar>
            <w:top w:w="0" w:type="dxa"/>
            <w:left w:w="0" w:type="dxa"/>
            <w:bottom w:w="0" w:type="dxa"/>
            <w:right w:w="0" w:type="dxa"/>
          </w:tblCellMar>
          <w:tblLook w:val="01E0"/>
        </w:tblPrEx>
        <w:trPr>
          <w:trHeight w:val="765"/>
          <w:jc w:val="left"/>
        </w:trPr>
        <w:tc>
          <w:tcPr>
            <w:tcW w:w="775" w:type="dxa"/>
          </w:tcPr>
          <w:p>
            <w:pPr>
              <w:pStyle w:val="TableParagraph"/>
              <w:spacing w:before="187"/>
              <w:ind w:left="150"/>
              <w:jc w:val="left"/>
              <w:rPr>
                <w:sz w:val="31"/>
              </w:rPr>
            </w:pPr>
            <w:r>
              <w:rPr>
                <w:w w:val="102"/>
                <w:sz w:val="31"/>
              </w:rPr>
              <w:t>2</w:t>
            </w:r>
          </w:p>
        </w:tc>
        <w:tc>
          <w:tcPr>
            <w:tcW w:w="2146" w:type="dxa"/>
          </w:tcPr>
          <w:p>
            <w:pPr>
              <w:pStyle w:val="TableParagraph"/>
              <w:spacing w:before="187"/>
              <w:ind w:left="345" w:right="313"/>
              <w:rPr>
                <w:sz w:val="31"/>
              </w:rPr>
            </w:pPr>
            <w:r>
              <w:rPr>
                <w:sz w:val="31"/>
              </w:rPr>
              <w:t>自主招生</w:t>
            </w:r>
          </w:p>
        </w:tc>
        <w:tc>
          <w:tcPr>
            <w:tcW w:w="1471" w:type="dxa"/>
          </w:tcPr>
          <w:p>
            <w:pPr>
              <w:pStyle w:val="TableParagraph"/>
              <w:spacing w:before="187"/>
              <w:ind w:left="320" w:right="30"/>
              <w:rPr>
                <w:sz w:val="31"/>
              </w:rPr>
            </w:pPr>
            <w:r>
              <w:rPr>
                <w:sz w:val="31"/>
              </w:rPr>
              <w:t>196</w:t>
            </w:r>
          </w:p>
        </w:tc>
        <w:tc>
          <w:tcPr>
            <w:tcW w:w="1991" w:type="dxa"/>
          </w:tcPr>
          <w:p>
            <w:pPr>
              <w:pStyle w:val="TableParagraph"/>
              <w:spacing w:before="187"/>
              <w:ind w:left="1" w:right="2"/>
              <w:rPr>
                <w:sz w:val="31"/>
              </w:rPr>
            </w:pPr>
            <w:r>
              <w:rPr>
                <w:sz w:val="31"/>
              </w:rPr>
              <w:t>138</w:t>
            </w:r>
          </w:p>
        </w:tc>
        <w:tc>
          <w:tcPr>
            <w:tcW w:w="1382" w:type="dxa"/>
          </w:tcPr>
          <w:p>
            <w:pPr>
              <w:pStyle w:val="TableParagraph"/>
              <w:spacing w:before="187"/>
              <w:ind w:left="32" w:right="222"/>
              <w:rPr>
                <w:sz w:val="31"/>
              </w:rPr>
            </w:pPr>
            <w:r>
              <w:rPr>
                <w:sz w:val="31"/>
              </w:rPr>
              <w:t>70%</w:t>
            </w:r>
          </w:p>
        </w:tc>
        <w:tc>
          <w:tcPr>
            <w:tcW w:w="1382" w:type="dxa"/>
          </w:tcPr>
          <w:p>
            <w:pPr>
              <w:pStyle w:val="TableParagraph"/>
              <w:spacing w:before="187"/>
              <w:ind w:left="233" w:right="22"/>
              <w:rPr>
                <w:sz w:val="31"/>
              </w:rPr>
            </w:pPr>
            <w:r>
              <w:rPr>
                <w:sz w:val="31"/>
              </w:rPr>
              <w:t>248</w:t>
            </w:r>
          </w:p>
        </w:tc>
        <w:tc>
          <w:tcPr>
            <w:tcW w:w="1992" w:type="dxa"/>
          </w:tcPr>
          <w:p>
            <w:pPr>
              <w:pStyle w:val="TableParagraph"/>
              <w:spacing w:before="187"/>
              <w:ind w:right="749"/>
              <w:jc w:val="right"/>
              <w:rPr>
                <w:sz w:val="31"/>
              </w:rPr>
            </w:pPr>
            <w:r>
              <w:rPr>
                <w:sz w:val="31"/>
              </w:rPr>
              <w:t>200</w:t>
            </w:r>
          </w:p>
        </w:tc>
        <w:tc>
          <w:tcPr>
            <w:tcW w:w="1181" w:type="dxa"/>
          </w:tcPr>
          <w:p>
            <w:pPr>
              <w:pStyle w:val="TableParagraph"/>
              <w:spacing w:before="187"/>
              <w:ind w:left="35" w:right="19"/>
              <w:rPr>
                <w:sz w:val="31"/>
              </w:rPr>
            </w:pPr>
            <w:r>
              <w:rPr>
                <w:sz w:val="31"/>
              </w:rPr>
              <w:t>80%</w:t>
            </w:r>
          </w:p>
        </w:tc>
      </w:tr>
      <w:tr>
        <w:tblPrEx>
          <w:tblW w:w="0" w:type="auto"/>
          <w:jc w:val="left"/>
          <w:tblInd w:w="382" w:type="dxa"/>
          <w:tblLayout w:type="fixed"/>
          <w:tblCellMar>
            <w:top w:w="0" w:type="dxa"/>
            <w:left w:w="0" w:type="dxa"/>
            <w:bottom w:w="0" w:type="dxa"/>
            <w:right w:w="0" w:type="dxa"/>
          </w:tblCellMar>
          <w:tblLook w:val="01E0"/>
        </w:tblPrEx>
        <w:trPr>
          <w:trHeight w:val="765"/>
          <w:jc w:val="left"/>
        </w:trPr>
        <w:tc>
          <w:tcPr>
            <w:tcW w:w="775" w:type="dxa"/>
          </w:tcPr>
          <w:p>
            <w:pPr>
              <w:pStyle w:val="TableParagraph"/>
              <w:spacing w:before="185"/>
              <w:ind w:left="150"/>
              <w:jc w:val="left"/>
              <w:rPr>
                <w:sz w:val="31"/>
              </w:rPr>
            </w:pPr>
            <w:r>
              <w:rPr>
                <w:w w:val="102"/>
                <w:sz w:val="31"/>
              </w:rPr>
              <w:t>3</w:t>
            </w:r>
          </w:p>
        </w:tc>
        <w:tc>
          <w:tcPr>
            <w:tcW w:w="2146" w:type="dxa"/>
          </w:tcPr>
          <w:p>
            <w:pPr>
              <w:pStyle w:val="TableParagraph"/>
              <w:spacing w:before="185"/>
              <w:ind w:left="345" w:right="313"/>
              <w:rPr>
                <w:sz w:val="31"/>
              </w:rPr>
            </w:pPr>
            <w:r>
              <w:rPr>
                <w:sz w:val="31"/>
              </w:rPr>
              <w:t>春季高考</w:t>
            </w:r>
          </w:p>
        </w:tc>
        <w:tc>
          <w:tcPr>
            <w:tcW w:w="1471" w:type="dxa"/>
          </w:tcPr>
          <w:p>
            <w:pPr>
              <w:pStyle w:val="TableParagraph"/>
              <w:spacing w:before="185"/>
              <w:ind w:left="320" w:right="30"/>
              <w:rPr>
                <w:sz w:val="31"/>
              </w:rPr>
            </w:pPr>
            <w:r>
              <w:rPr>
                <w:sz w:val="31"/>
              </w:rPr>
              <w:t>340</w:t>
            </w:r>
          </w:p>
        </w:tc>
        <w:tc>
          <w:tcPr>
            <w:tcW w:w="1991" w:type="dxa"/>
          </w:tcPr>
          <w:p>
            <w:pPr>
              <w:pStyle w:val="TableParagraph"/>
              <w:spacing w:before="185"/>
              <w:ind w:left="1" w:right="2"/>
              <w:rPr>
                <w:sz w:val="31"/>
              </w:rPr>
            </w:pPr>
            <w:r>
              <w:rPr>
                <w:sz w:val="31"/>
              </w:rPr>
              <w:t>287</w:t>
            </w:r>
          </w:p>
        </w:tc>
        <w:tc>
          <w:tcPr>
            <w:tcW w:w="1382" w:type="dxa"/>
          </w:tcPr>
          <w:p>
            <w:pPr>
              <w:pStyle w:val="TableParagraph"/>
              <w:spacing w:before="185"/>
              <w:ind w:left="32" w:right="222"/>
              <w:rPr>
                <w:sz w:val="31"/>
              </w:rPr>
            </w:pPr>
            <w:r>
              <w:rPr>
                <w:sz w:val="31"/>
              </w:rPr>
              <w:t>84%</w:t>
            </w:r>
          </w:p>
        </w:tc>
        <w:tc>
          <w:tcPr>
            <w:tcW w:w="1382" w:type="dxa"/>
          </w:tcPr>
          <w:p>
            <w:pPr>
              <w:pStyle w:val="TableParagraph"/>
              <w:spacing w:before="185"/>
              <w:ind w:left="233" w:right="22"/>
              <w:rPr>
                <w:sz w:val="31"/>
              </w:rPr>
            </w:pPr>
            <w:r>
              <w:rPr>
                <w:sz w:val="31"/>
              </w:rPr>
              <w:t>562</w:t>
            </w:r>
          </w:p>
        </w:tc>
        <w:tc>
          <w:tcPr>
            <w:tcW w:w="1992" w:type="dxa"/>
          </w:tcPr>
          <w:p>
            <w:pPr>
              <w:pStyle w:val="TableParagraph"/>
              <w:spacing w:before="185"/>
              <w:ind w:right="749"/>
              <w:jc w:val="right"/>
              <w:rPr>
                <w:sz w:val="31"/>
              </w:rPr>
            </w:pPr>
            <w:r>
              <w:rPr>
                <w:sz w:val="31"/>
              </w:rPr>
              <w:t>446</w:t>
            </w:r>
          </w:p>
        </w:tc>
        <w:tc>
          <w:tcPr>
            <w:tcW w:w="1181" w:type="dxa"/>
          </w:tcPr>
          <w:p>
            <w:pPr>
              <w:pStyle w:val="TableParagraph"/>
              <w:spacing w:before="185"/>
              <w:ind w:left="35" w:right="19"/>
              <w:rPr>
                <w:sz w:val="31"/>
              </w:rPr>
            </w:pPr>
            <w:r>
              <w:rPr>
                <w:sz w:val="31"/>
              </w:rPr>
              <w:t>79%</w:t>
            </w:r>
          </w:p>
        </w:tc>
      </w:tr>
      <w:tr>
        <w:tblPrEx>
          <w:tblW w:w="0" w:type="auto"/>
          <w:jc w:val="left"/>
          <w:tblInd w:w="382" w:type="dxa"/>
          <w:tblLayout w:type="fixed"/>
          <w:tblCellMar>
            <w:top w:w="0" w:type="dxa"/>
            <w:left w:w="0" w:type="dxa"/>
            <w:bottom w:w="0" w:type="dxa"/>
            <w:right w:w="0" w:type="dxa"/>
          </w:tblCellMar>
          <w:tblLook w:val="01E0"/>
        </w:tblPrEx>
        <w:trPr>
          <w:trHeight w:val="541"/>
          <w:jc w:val="left"/>
        </w:trPr>
        <w:tc>
          <w:tcPr>
            <w:tcW w:w="775" w:type="dxa"/>
          </w:tcPr>
          <w:p>
            <w:pPr>
              <w:pStyle w:val="TableParagraph"/>
              <w:spacing w:before="187" w:line="335" w:lineRule="exact"/>
              <w:ind w:left="150"/>
              <w:jc w:val="left"/>
              <w:rPr>
                <w:sz w:val="31"/>
              </w:rPr>
            </w:pPr>
            <w:r>
              <w:rPr>
                <w:w w:val="102"/>
                <w:sz w:val="31"/>
              </w:rPr>
              <w:t>4</w:t>
            </w:r>
          </w:p>
        </w:tc>
        <w:tc>
          <w:tcPr>
            <w:tcW w:w="2146" w:type="dxa"/>
          </w:tcPr>
          <w:p>
            <w:pPr>
              <w:pStyle w:val="TableParagraph"/>
              <w:spacing w:before="187" w:line="335" w:lineRule="exact"/>
              <w:ind w:left="345" w:right="313"/>
              <w:rPr>
                <w:sz w:val="31"/>
              </w:rPr>
            </w:pPr>
            <w:r>
              <w:rPr>
                <w:sz w:val="31"/>
              </w:rPr>
              <w:t>秋季高考</w:t>
            </w:r>
          </w:p>
        </w:tc>
        <w:tc>
          <w:tcPr>
            <w:tcW w:w="1471" w:type="dxa"/>
          </w:tcPr>
          <w:p>
            <w:pPr>
              <w:pStyle w:val="TableParagraph"/>
              <w:spacing w:before="187" w:line="335" w:lineRule="exact"/>
              <w:ind w:left="320" w:right="30"/>
              <w:rPr>
                <w:sz w:val="31"/>
              </w:rPr>
            </w:pPr>
            <w:r>
              <w:rPr>
                <w:sz w:val="31"/>
              </w:rPr>
              <w:t>298</w:t>
            </w:r>
          </w:p>
        </w:tc>
        <w:tc>
          <w:tcPr>
            <w:tcW w:w="1991" w:type="dxa"/>
          </w:tcPr>
          <w:p>
            <w:pPr>
              <w:pStyle w:val="TableParagraph"/>
              <w:spacing w:before="187" w:line="335" w:lineRule="exact"/>
              <w:ind w:left="1" w:right="2"/>
              <w:rPr>
                <w:sz w:val="31"/>
              </w:rPr>
            </w:pPr>
            <w:r>
              <w:rPr>
                <w:sz w:val="31"/>
              </w:rPr>
              <w:t>283</w:t>
            </w:r>
          </w:p>
        </w:tc>
        <w:tc>
          <w:tcPr>
            <w:tcW w:w="1382" w:type="dxa"/>
          </w:tcPr>
          <w:p>
            <w:pPr>
              <w:pStyle w:val="TableParagraph"/>
              <w:spacing w:before="187" w:line="335" w:lineRule="exact"/>
              <w:ind w:left="32" w:right="222"/>
              <w:rPr>
                <w:sz w:val="31"/>
              </w:rPr>
            </w:pPr>
            <w:r>
              <w:rPr>
                <w:sz w:val="31"/>
              </w:rPr>
              <w:t>95%</w:t>
            </w:r>
          </w:p>
        </w:tc>
        <w:tc>
          <w:tcPr>
            <w:tcW w:w="1382" w:type="dxa"/>
          </w:tcPr>
          <w:p>
            <w:pPr>
              <w:pStyle w:val="TableParagraph"/>
              <w:spacing w:before="187" w:line="335" w:lineRule="exact"/>
              <w:ind w:left="233" w:right="22"/>
              <w:rPr>
                <w:sz w:val="31"/>
              </w:rPr>
            </w:pPr>
            <w:r>
              <w:rPr>
                <w:sz w:val="31"/>
              </w:rPr>
              <w:t>172</w:t>
            </w:r>
          </w:p>
        </w:tc>
        <w:tc>
          <w:tcPr>
            <w:tcW w:w="1992" w:type="dxa"/>
          </w:tcPr>
          <w:p>
            <w:pPr>
              <w:pStyle w:val="TableParagraph"/>
              <w:spacing w:before="187" w:line="335" w:lineRule="exact"/>
              <w:ind w:right="749"/>
              <w:jc w:val="right"/>
              <w:rPr>
                <w:sz w:val="31"/>
              </w:rPr>
            </w:pPr>
            <w:r>
              <w:rPr>
                <w:sz w:val="31"/>
              </w:rPr>
              <w:t>167</w:t>
            </w:r>
          </w:p>
        </w:tc>
        <w:tc>
          <w:tcPr>
            <w:tcW w:w="1181" w:type="dxa"/>
          </w:tcPr>
          <w:p>
            <w:pPr>
              <w:pStyle w:val="TableParagraph"/>
              <w:spacing w:before="187" w:line="335" w:lineRule="exact"/>
              <w:ind w:left="35" w:right="19"/>
              <w:rPr>
                <w:sz w:val="31"/>
              </w:rPr>
            </w:pPr>
            <w:r>
              <w:rPr>
                <w:sz w:val="31"/>
              </w:rPr>
              <w:t>97%</w:t>
            </w:r>
          </w:p>
        </w:tc>
      </w:tr>
    </w:tbl>
    <w:p>
      <w:pPr>
        <w:pStyle w:val="BodyText"/>
        <w:spacing w:before="4"/>
        <w:ind w:left="0"/>
        <w:rPr>
          <w:sz w:val="38"/>
        </w:rPr>
      </w:pPr>
    </w:p>
    <w:p>
      <w:pPr>
        <w:pStyle w:val="Heading1"/>
        <w:spacing w:before="1"/>
        <w:rPr>
          <w:rFonts w:ascii="宋体" w:eastAsia="宋体" w:hint="eastAsia"/>
        </w:rPr>
      </w:pPr>
      <w:bookmarkStart w:id="9" w:name="_TOC_250016"/>
      <w:bookmarkEnd w:id="9"/>
      <w:r>
        <w:rPr>
          <w:rFonts w:ascii="宋体" w:eastAsia="宋体" w:hint="eastAsia"/>
        </w:rPr>
        <w:t>（二）加强工学结合，创新人才培养模式</w:t>
      </w:r>
    </w:p>
    <w:p>
      <w:pPr>
        <w:pStyle w:val="BodyText"/>
        <w:spacing w:before="10"/>
        <w:ind w:left="0"/>
        <w:rPr>
          <w:b/>
          <w:sz w:val="40"/>
        </w:rPr>
      </w:pPr>
    </w:p>
    <w:p>
      <w:pPr>
        <w:pStyle w:val="BodyText"/>
        <w:spacing w:line="283" w:lineRule="auto"/>
        <w:ind w:right="1039" w:firstLine="961"/>
      </w:pPr>
      <w:r>
        <w:rPr>
          <w:spacing w:val="-1"/>
          <w:w w:val="95"/>
        </w:rPr>
        <w:t xml:space="preserve">积极开展校企合作，探索工学结合人才培养模式。学院 </w:t>
      </w:r>
      <w:r>
        <w:t xml:space="preserve">设有校企合作工作机构，与企业共同建立了专业指导委员 </w:t>
      </w:r>
      <w:r>
        <w:rPr>
          <w:spacing w:val="-12"/>
          <w:w w:val="95"/>
        </w:rPr>
        <w:t>会。学院实行了多种人才培养模式，包括</w:t>
      </w:r>
      <w:r>
        <w:rPr>
          <w:rFonts w:ascii="Lucida Sans Unicode" w:eastAsia="Lucida Sans Unicode" w:hAnsi="Lucida Sans Unicode"/>
          <w:w w:val="95"/>
        </w:rPr>
        <w:t>“</w:t>
      </w:r>
      <w:r>
        <w:rPr>
          <w:spacing w:val="-11"/>
          <w:w w:val="95"/>
        </w:rPr>
        <w:t>顶岗轮换，零距离</w:t>
      </w:r>
    </w:p>
    <w:p>
      <w:pPr>
        <w:pStyle w:val="BodyText"/>
        <w:spacing w:line="619" w:lineRule="exact"/>
      </w:pPr>
      <w:r>
        <w:rPr>
          <w:spacing w:val="1"/>
          <w:w w:val="95"/>
        </w:rPr>
        <w:t>就业</w:t>
      </w:r>
      <w:r>
        <w:rPr>
          <w:rFonts w:ascii="Lucida Sans Unicode" w:eastAsia="Lucida Sans Unicode" w:hAnsi="Lucida Sans Unicode"/>
          <w:w w:val="95"/>
        </w:rPr>
        <w:t>”</w:t>
      </w:r>
      <w:r>
        <w:rPr>
          <w:spacing w:val="-57"/>
          <w:w w:val="95"/>
        </w:rPr>
        <w:t>、“职业情境，项目主导”、“双元整合，学做一体”</w:t>
      </w:r>
      <w:r>
        <w:rPr>
          <w:spacing w:val="-110"/>
          <w:w w:val="95"/>
        </w:rPr>
        <w:t>、“校</w:t>
      </w:r>
    </w:p>
    <w:p>
      <w:pPr>
        <w:pStyle w:val="BodyText"/>
        <w:spacing w:before="62" w:line="292" w:lineRule="auto"/>
        <w:ind w:right="1049"/>
        <w:jc w:val="both"/>
      </w:pPr>
      <w:r>
        <w:rPr>
          <w:spacing w:val="-1"/>
          <w:w w:val="95"/>
        </w:rPr>
        <w:t xml:space="preserve">企合作、技艺融合、情境育人”模式等，保证了专业人才培 养质量。积极探索订单培养、工学交替、任务驱动、项目导 向、顶岗实习等教学模式，不断加大实践教学比例，使之基 </w:t>
      </w:r>
      <w:r>
        <w:rPr>
          <w:spacing w:val="-6"/>
        </w:rPr>
        <w:t xml:space="preserve">本达到总学时 </w:t>
      </w:r>
      <w:r>
        <w:t>50%以上。注重教学过程与企业生产过程紧密</w:t>
      </w:r>
      <w:r>
        <w:rPr>
          <w:spacing w:val="-1"/>
          <w:w w:val="95"/>
        </w:rPr>
        <w:t xml:space="preserve">结合，突出人才培养的针对性、开放性和灵活性。积极创造 </w:t>
      </w:r>
      <w:r>
        <w:rPr>
          <w:spacing w:val="8"/>
        </w:rPr>
        <w:t xml:space="preserve">条件实现校内生产性实训，学生 </w:t>
      </w:r>
      <w:r>
        <w:rPr>
          <w:spacing w:val="2"/>
        </w:rPr>
        <w:t>100</w:t>
      </w:r>
      <w:r>
        <w:t>%完成半年顶岗实习任</w:t>
      </w:r>
      <w:r>
        <w:rPr>
          <w:spacing w:val="-9"/>
        </w:rPr>
        <w:t xml:space="preserve">务，其中 </w:t>
      </w:r>
      <w:r>
        <w:t>40%学生的顶岗实习是在行业内企业完成。学院积</w:t>
      </w:r>
      <w:r>
        <w:rPr>
          <w:w w:val="95"/>
        </w:rPr>
        <w:t>极开展多种形式的“订单”培养，与行业（企业）</w:t>
      </w:r>
      <w:r>
        <w:rPr>
          <w:spacing w:val="-5"/>
          <w:w w:val="95"/>
        </w:rPr>
        <w:t xml:space="preserve">共同制订 </w:t>
      </w:r>
      <w:r>
        <w:rPr>
          <w:w w:val="95"/>
        </w:rPr>
        <w:t>专业人才培养方案，实现专业与行业（企业）</w:t>
      </w:r>
      <w:r>
        <w:rPr>
          <w:spacing w:val="-4"/>
          <w:w w:val="95"/>
        </w:rPr>
        <w:t>岗位对接，先</w:t>
      </w:r>
    </w:p>
    <w:p>
      <w:pPr>
        <w:spacing w:after="0" w:line="292" w:lineRule="auto"/>
        <w:jc w:val="both"/>
        <w:sectPr>
          <w:footerReference w:type="default" r:id="rId12"/>
          <w:pgSz w:w="17860" w:h="25260"/>
          <w:pgMar w:top="1840" w:right="1660" w:bottom="2060" w:left="2420" w:header="0" w:footer="1787"/>
          <w:pgNumType w:start="8"/>
          <w:cols w:space="708"/>
        </w:sectPr>
      </w:pPr>
    </w:p>
    <w:p>
      <w:pPr>
        <w:pStyle w:val="BodyText"/>
        <w:spacing w:before="13" w:line="292" w:lineRule="auto"/>
        <w:ind w:right="804"/>
      </w:pPr>
      <w:r>
        <w:rPr>
          <w:spacing w:val="-25"/>
          <w:w w:val="95"/>
        </w:rPr>
        <w:t>后与多家企业实施了“委托订单”</w:t>
      </w:r>
      <w:r>
        <w:rPr>
          <w:spacing w:val="-67"/>
          <w:w w:val="95"/>
        </w:rPr>
        <w:t xml:space="preserve">、“定向订单”、“嫁接订单” </w:t>
      </w:r>
      <w:r>
        <w:t>的培养。经过工学结合方式学习，在校企合作长效机制保障下，使学生经历了从初学者到高素质技能型专门人才的职业成长过程，基本掌握了专业技术实践知识和必备的技术理论知识，在一定程度上实现了生产岗位“零距离”就业。</w:t>
      </w:r>
    </w:p>
    <w:p>
      <w:pPr>
        <w:pStyle w:val="Heading1"/>
        <w:spacing w:before="392"/>
      </w:pPr>
      <w:bookmarkStart w:id="10" w:name="_TOC_250015"/>
      <w:bookmarkEnd w:id="10"/>
      <w:r>
        <w:t>（三）加强市场调研，优化专业结构</w:t>
      </w:r>
    </w:p>
    <w:p>
      <w:pPr>
        <w:pStyle w:val="BodyText"/>
        <w:spacing w:before="11"/>
        <w:ind w:left="0"/>
        <w:rPr>
          <w:rFonts w:ascii="幼圆"/>
          <w:b/>
          <w:sz w:val="40"/>
        </w:rPr>
      </w:pPr>
    </w:p>
    <w:p>
      <w:pPr>
        <w:pStyle w:val="BodyText"/>
        <w:spacing w:line="292" w:lineRule="auto"/>
        <w:ind w:right="807" w:firstLine="961"/>
      </w:pPr>
      <w:r>
        <w:t>学院紧跟石油石化行业产业链变化和区域经济发展，加强专业布局调整与建设。重点建设了石油工程技术、石油化</w:t>
      </w:r>
      <w:r>
        <w:rPr>
          <w:spacing w:val="-7"/>
        </w:rPr>
        <w:t xml:space="preserve">工生产技术、电气自动化技术、工程造价 </w:t>
      </w:r>
      <w:r>
        <w:t>4</w:t>
      </w:r>
      <w:r>
        <w:rPr>
          <w:spacing w:val="-18"/>
        </w:rPr>
        <w:t xml:space="preserve"> 个专业，比较好地形成了石油特色，提高了培养质量，扩大了社会影响。同时，积极发挥它们的引领辐射作用，有力带动了整体专业群</w:t>
      </w:r>
      <w:r>
        <w:rPr>
          <w:spacing w:val="-19"/>
          <w:w w:val="95"/>
        </w:rPr>
        <w:t xml:space="preserve">的发展，形成了“一体两翼”专业格局，即以石油工程技术、 </w:t>
      </w:r>
      <w:r>
        <w:t>石油化工生产技术专业为龙头，带动石油石化类专业发展； 以电气自动化技术专业为龙头，带动机械电子自动化类专业发展；以工程造价专业为龙头，带动石油工程管理类专业发</w:t>
      </w:r>
      <w:r>
        <w:rPr>
          <w:spacing w:val="-18"/>
          <w:w w:val="95"/>
        </w:rPr>
        <w:t xml:space="preserve">展。长期以来，学院坚持以就业为导向，根据市场需求变化， </w:t>
      </w:r>
      <w:r>
        <w:t>不断进行专业改造与调整，新增了油气储运技术、应用化工</w:t>
      </w:r>
      <w:r>
        <w:rPr>
          <w:spacing w:val="-14"/>
        </w:rPr>
        <w:t xml:space="preserve">技术、数控技术等 </w:t>
      </w:r>
      <w:r>
        <w:t>8</w:t>
      </w:r>
      <w:r>
        <w:rPr>
          <w:spacing w:val="-29"/>
        </w:rPr>
        <w:t xml:space="preserve"> 个专业，撤销了 </w:t>
      </w:r>
      <w:r>
        <w:t>5</w:t>
      </w:r>
      <w:r>
        <w:rPr>
          <w:spacing w:val="-15"/>
        </w:rPr>
        <w:t xml:space="preserve"> 个专业，改造或专业</w:t>
      </w:r>
      <w:r>
        <w:rPr>
          <w:spacing w:val="-26"/>
        </w:rPr>
        <w:t xml:space="preserve">方向调整 </w:t>
      </w:r>
      <w:r>
        <w:t>3</w:t>
      </w:r>
      <w:r>
        <w:rPr>
          <w:spacing w:val="-13"/>
        </w:rPr>
        <w:t xml:space="preserve"> 个专业，办学专业总体为 </w:t>
      </w:r>
      <w:r>
        <w:t>29</w:t>
      </w:r>
      <w:r>
        <w:rPr>
          <w:spacing w:val="-10"/>
        </w:rPr>
        <w:t xml:space="preserve"> 个，初步形成了结构合理、重点突出、特色鲜明、协调发展的专业格局。</w:t>
      </w:r>
    </w:p>
    <w:p>
      <w:pPr>
        <w:pStyle w:val="BodyText"/>
        <w:spacing w:line="292" w:lineRule="auto"/>
        <w:ind w:right="922" w:firstLine="961"/>
      </w:pPr>
      <w:r>
        <w:t>2013</w:t>
      </w:r>
      <w:r>
        <w:rPr>
          <w:spacing w:val="-14"/>
        </w:rPr>
        <w:t xml:space="preserve"> 年，学院在专业建设上提出了“突出重点，带动群体”的思路。“突出重点”就是根据石油石化行业和区域产业发展需要，在石油工程技术、石油化工生产技术等重点专业建设的基础上，再建设石油与天然气地质勘探技术、机械</w:t>
      </w:r>
      <w:r>
        <w:rPr>
          <w:spacing w:val="-14"/>
          <w:w w:val="99"/>
        </w:rPr>
        <w:t>制造与自动化、建筑装饰工程技术等</w:t>
      </w:r>
      <w:r>
        <w:rPr>
          <w:spacing w:val="-14"/>
        </w:rPr>
        <w:t xml:space="preserve"> </w:t>
      </w:r>
      <w:r>
        <w:rPr>
          <w:w w:val="99"/>
        </w:rPr>
        <w:t>3</w:t>
      </w:r>
      <w:r>
        <w:t xml:space="preserve"> </w:t>
      </w:r>
      <w:r>
        <w:rPr>
          <w:spacing w:val="-28"/>
          <w:w w:val="99"/>
        </w:rPr>
        <w:t>个重点专业；“带动</w:t>
      </w:r>
      <w:r>
        <w:rPr>
          <w:spacing w:val="-40"/>
        </w:rPr>
        <w:t xml:space="preserve">群体”就是以上述 </w:t>
      </w:r>
      <w:r>
        <w:t>3</w:t>
      </w:r>
      <w:r>
        <w:rPr>
          <w:spacing w:val="-12"/>
        </w:rPr>
        <w:t xml:space="preserve"> 个重点专业建设为龙头，带动油气储运</w:t>
      </w:r>
    </w:p>
    <w:p>
      <w:pPr>
        <w:spacing w:after="0" w:line="292" w:lineRule="auto"/>
        <w:sectPr>
          <w:footerReference w:type="default" r:id="rId13"/>
          <w:pgSz w:w="17860" w:h="25260"/>
          <w:pgMar w:top="1840" w:right="1660" w:bottom="2060" w:left="2420" w:header="0" w:footer="1787"/>
          <w:pgNumType w:start="9"/>
          <w:cols w:space="708"/>
        </w:sectPr>
      </w:pPr>
    </w:p>
    <w:p>
      <w:pPr>
        <w:pStyle w:val="BodyText"/>
        <w:spacing w:before="13" w:line="292" w:lineRule="auto"/>
        <w:ind w:right="811"/>
      </w:pPr>
      <w:r>
        <w:rPr>
          <w:spacing w:val="-18"/>
          <w:w w:val="95"/>
        </w:rPr>
        <w:t xml:space="preserve">技术等石油石化类、数控技术等机电类、环境艺术等美术类、 </w:t>
      </w:r>
      <w:r>
        <w:t>工程造价等建筑类的专业群建设，继续强化“一体两翼”专业建设布局，为促进行业（企业）和区域经济发展发挥积极作用。</w:t>
      </w:r>
    </w:p>
    <w:p>
      <w:pPr>
        <w:pStyle w:val="BodyText"/>
        <w:spacing w:line="292" w:lineRule="auto"/>
        <w:ind w:right="1049" w:firstLine="961"/>
        <w:jc w:val="both"/>
      </w:pPr>
      <w:r>
        <w:t>2013</w:t>
      </w:r>
      <w:r>
        <w:rPr>
          <w:spacing w:val="-18"/>
        </w:rPr>
        <w:t xml:space="preserve"> 年，学院完成了石油工程技术、电气自动化专业国</w:t>
      </w:r>
      <w:r>
        <w:rPr>
          <w:spacing w:val="-1"/>
          <w:w w:val="95"/>
        </w:rPr>
        <w:t xml:space="preserve">际化教学标准的制订，并通过了天津市教委的评审；完成了 </w:t>
      </w:r>
      <w:r>
        <w:rPr>
          <w:w w:val="95"/>
        </w:rPr>
        <w:t>建筑工程技术、工程造价专业（建筑工程方向</w:t>
      </w:r>
      <w:r>
        <w:rPr>
          <w:spacing w:val="-36"/>
          <w:w w:val="95"/>
        </w:rPr>
        <w:t>）</w:t>
      </w:r>
      <w:r>
        <w:rPr>
          <w:w w:val="95"/>
        </w:rPr>
        <w:t>、工程造价</w:t>
      </w:r>
    </w:p>
    <w:p>
      <w:pPr>
        <w:pStyle w:val="BodyText"/>
        <w:tabs>
          <w:tab w:val="left" w:pos="12505"/>
        </w:tabs>
        <w:spacing w:line="614" w:lineRule="exact"/>
      </w:pPr>
      <w:r>
        <w:t>（安装工程方向</w:t>
      </w:r>
      <w:r>
        <w:rPr>
          <w:spacing w:val="-161"/>
        </w:rPr>
        <w:t>）</w:t>
      </w:r>
      <w:r>
        <w:t>、楼宇智能化工程技术、建筑工程管理</w:t>
        <w:tab/>
        <w:t>5</w:t>
      </w:r>
    </w:p>
    <w:p>
      <w:pPr>
        <w:pStyle w:val="BodyText"/>
        <w:spacing w:before="135"/>
      </w:pPr>
      <w:r>
        <w:rPr>
          <w:spacing w:val="-16"/>
        </w:rPr>
        <w:t xml:space="preserve">个专业的申报工作，其中前三个专业通过评审，计划于 </w:t>
      </w:r>
      <w:r>
        <w:t>2014</w:t>
      </w:r>
    </w:p>
    <w:p>
      <w:pPr>
        <w:pStyle w:val="BodyText"/>
        <w:spacing w:before="134"/>
      </w:pPr>
      <w:r>
        <w:t>年招生。</w:t>
      </w:r>
    </w:p>
    <w:p>
      <w:pPr>
        <w:pStyle w:val="BodyText"/>
        <w:spacing w:before="1"/>
        <w:ind w:left="0"/>
        <w:rPr>
          <w:sz w:val="41"/>
        </w:rPr>
      </w:pPr>
    </w:p>
    <w:p>
      <w:pPr>
        <w:pStyle w:val="Heading1"/>
        <w:rPr>
          <w:rFonts w:ascii="宋体" w:eastAsia="宋体" w:hint="eastAsia"/>
        </w:rPr>
      </w:pPr>
      <w:bookmarkStart w:id="11" w:name="_TOC_250014"/>
      <w:bookmarkEnd w:id="11"/>
      <w:r>
        <w:rPr>
          <w:rFonts w:ascii="宋体" w:eastAsia="宋体" w:hint="eastAsia"/>
        </w:rPr>
        <w:t>（四）加强教学改革，建好课程体系</w:t>
      </w:r>
    </w:p>
    <w:p>
      <w:pPr>
        <w:pStyle w:val="BodyText"/>
        <w:spacing w:before="10"/>
        <w:ind w:left="0"/>
        <w:rPr>
          <w:b/>
          <w:sz w:val="40"/>
        </w:rPr>
      </w:pPr>
    </w:p>
    <w:p>
      <w:pPr>
        <w:pStyle w:val="BodyText"/>
        <w:spacing w:line="292" w:lineRule="auto"/>
        <w:ind w:right="1042" w:firstLine="961"/>
        <w:jc w:val="both"/>
      </w:pPr>
      <w:r>
        <w:rPr>
          <w:w w:val="95"/>
        </w:rPr>
        <w:t>为了深化教学改革，学院吸纳行业（企业）</w:t>
      </w:r>
      <w:r>
        <w:rPr>
          <w:spacing w:val="-3"/>
          <w:w w:val="95"/>
        </w:rPr>
        <w:t xml:space="preserve">人员，针对 </w:t>
      </w:r>
      <w:r>
        <w:rPr>
          <w:spacing w:val="-1"/>
          <w:w w:val="95"/>
        </w:rPr>
        <w:t xml:space="preserve">生产岗位实际，共同进行岗位能力和素质要求分析，以就业 为导向，确定人才培养目标，修订人才培养方案。以素质为 基础，以技能为核心，参照职业资格标准，构建课程体系， 整合教学内容。先后组织制定了突出职业能力和综合素质培 </w:t>
      </w:r>
      <w:r>
        <w:rPr>
          <w:spacing w:val="-2"/>
        </w:rPr>
        <w:t xml:space="preserve">养的专业核心课程标准 </w:t>
      </w:r>
      <w:r>
        <w:t>45</w:t>
      </w:r>
      <w:r>
        <w:rPr>
          <w:spacing w:val="-5"/>
        </w:rPr>
        <w:t xml:space="preserve"> 门，并基本完成建设。学院注重</w:t>
      </w:r>
      <w:r>
        <w:rPr>
          <w:spacing w:val="-6"/>
          <w:w w:val="95"/>
        </w:rPr>
        <w:t xml:space="preserve">精品课程建设，积极出台政策，加大资金扶持，先后建成市 </w:t>
      </w:r>
      <w:r>
        <w:rPr>
          <w:spacing w:val="-61"/>
        </w:rPr>
        <w:t xml:space="preserve">级 </w:t>
      </w:r>
      <w:r>
        <w:t>5</w:t>
      </w:r>
      <w:r>
        <w:rPr>
          <w:spacing w:val="-43"/>
        </w:rPr>
        <w:t xml:space="preserve"> 门，校级 </w:t>
      </w:r>
      <w:r>
        <w:t>39</w:t>
      </w:r>
      <w:r>
        <w:rPr>
          <w:spacing w:val="-42"/>
        </w:rPr>
        <w:t xml:space="preserve"> 门，</w:t>
      </w:r>
      <w:r>
        <w:t>2013</w:t>
      </w:r>
      <w:r>
        <w:rPr>
          <w:spacing w:val="-50"/>
        </w:rPr>
        <w:t xml:space="preserve"> 年在建 </w:t>
      </w:r>
      <w:r>
        <w:t>9</w:t>
      </w:r>
      <w:r>
        <w:rPr>
          <w:spacing w:val="-43"/>
        </w:rPr>
        <w:t xml:space="preserve"> 门。</w:t>
      </w:r>
      <w:r>
        <w:t>2013</w:t>
      </w:r>
      <w:r>
        <w:rPr>
          <w:spacing w:val="-20"/>
        </w:rPr>
        <w:t xml:space="preserve"> 年出版高职高</w:t>
      </w:r>
      <w:r>
        <w:rPr>
          <w:spacing w:val="-1"/>
        </w:rPr>
        <w:t xml:space="preserve">专规划教材及校本工学结合教材 </w:t>
      </w:r>
      <w:r>
        <w:t>38</w:t>
      </w:r>
      <w:r>
        <w:rPr>
          <w:spacing w:val="-5"/>
        </w:rPr>
        <w:t xml:space="preserve"> 部。在课程建设中，重</w:t>
      </w:r>
    </w:p>
    <w:p>
      <w:pPr>
        <w:pStyle w:val="BodyText"/>
        <w:spacing w:line="295" w:lineRule="auto"/>
        <w:ind w:right="1042"/>
        <w:jc w:val="both"/>
      </w:pPr>
      <w:r>
        <w:rPr>
          <w:spacing w:val="-1"/>
        </w:rPr>
        <w:t xml:space="preserve">视优质教学资源和网络信息资源的利用，有 </w:t>
      </w:r>
      <w:r>
        <w:t>35</w:t>
      </w:r>
      <w:r>
        <w:rPr>
          <w:spacing w:val="-7"/>
        </w:rPr>
        <w:t xml:space="preserve"> 门优质核心</w:t>
      </w:r>
      <w:r>
        <w:t>课程和精品课程在线，实现了资源共享。</w:t>
      </w:r>
    </w:p>
    <w:p>
      <w:pPr>
        <w:pStyle w:val="Heading1"/>
        <w:spacing w:before="380"/>
        <w:rPr>
          <w:rFonts w:ascii="宋体" w:eastAsia="宋体" w:hint="eastAsia"/>
        </w:rPr>
      </w:pPr>
      <w:bookmarkStart w:id="12" w:name="_TOC_250013"/>
      <w:bookmarkEnd w:id="12"/>
      <w:r>
        <w:rPr>
          <w:rFonts w:ascii="宋体" w:eastAsia="宋体" w:hint="eastAsia"/>
          <w:w w:val="95"/>
        </w:rPr>
        <w:t>（五）加强师资队伍建设，提高教学能力</w:t>
      </w:r>
    </w:p>
    <w:p>
      <w:pPr>
        <w:pStyle w:val="BodyText"/>
        <w:spacing w:before="10"/>
        <w:ind w:left="0"/>
        <w:rPr>
          <w:b/>
          <w:sz w:val="40"/>
        </w:rPr>
      </w:pPr>
    </w:p>
    <w:p>
      <w:pPr>
        <w:pStyle w:val="BodyText"/>
        <w:spacing w:line="292" w:lineRule="auto"/>
        <w:ind w:right="1044" w:firstLine="961"/>
      </w:pPr>
      <w:r>
        <w:rPr>
          <w:spacing w:val="-1"/>
          <w:w w:val="95"/>
        </w:rPr>
        <w:t>学院注重以“双师素质”为主的教师队伍建设，制定了 “数量上逐年补充，质量上逐步提高，结构上不断改善”的</w:t>
      </w:r>
    </w:p>
    <w:p>
      <w:pPr>
        <w:spacing w:after="0" w:line="292" w:lineRule="auto"/>
        <w:sectPr>
          <w:footerReference w:type="default" r:id="rId14"/>
          <w:pgSz w:w="17860" w:h="25260"/>
          <w:pgMar w:top="1840" w:right="1660" w:bottom="2060" w:left="2420" w:header="0" w:footer="1787"/>
          <w:pgNumType w:start="10"/>
          <w:cols w:space="708"/>
        </w:sectPr>
      </w:pPr>
    </w:p>
    <w:p>
      <w:pPr>
        <w:pStyle w:val="BodyText"/>
        <w:spacing w:before="13" w:line="292" w:lineRule="auto"/>
        <w:ind w:right="1044"/>
      </w:pPr>
      <w:r>
        <w:rPr>
          <w:spacing w:val="-1"/>
          <w:w w:val="95"/>
        </w:rPr>
        <w:t xml:space="preserve">师资建设规划，实施了《关于“双师素质”教师认定与管理 </w:t>
      </w:r>
      <w:r>
        <w:rPr>
          <w:spacing w:val="-25"/>
          <w:w w:val="95"/>
        </w:rPr>
        <w:t xml:space="preserve">的暂行办法》、《关于提高教师专业实践能力的暂行办法》等 </w:t>
      </w:r>
      <w:r>
        <w:rPr>
          <w:rFonts w:ascii="Arial" w:eastAsia="Arial" w:hAnsi="Arial"/>
          <w:spacing w:val="-25"/>
        </w:rPr>
        <w:t>12</w:t>
      </w:r>
      <w:r>
        <w:rPr>
          <w:rFonts w:ascii="Arial" w:eastAsia="Arial" w:hAnsi="Arial"/>
          <w:spacing w:val="-47"/>
        </w:rPr>
        <w:t xml:space="preserve"> </w:t>
      </w:r>
      <w:r>
        <w:rPr>
          <w:spacing w:val="-15"/>
        </w:rPr>
        <w:t xml:space="preserve">项管理制度，年投入 </w:t>
      </w:r>
      <w:r>
        <w:rPr>
          <w:rFonts w:ascii="Arial" w:eastAsia="Arial" w:hAnsi="Arial"/>
        </w:rPr>
        <w:t>60</w:t>
      </w:r>
      <w:r>
        <w:rPr>
          <w:rFonts w:ascii="Arial" w:eastAsia="Arial" w:hAnsi="Arial"/>
          <w:spacing w:val="-48"/>
        </w:rPr>
        <w:t xml:space="preserve"> </w:t>
      </w:r>
      <w:r>
        <w:t>余万元。有计划、有步骤地安排</w:t>
      </w:r>
      <w:r>
        <w:rPr>
          <w:spacing w:val="-1"/>
          <w:w w:val="95"/>
        </w:rPr>
        <w:t xml:space="preserve">教师下厂锻炼、专业进修、业务培训，对教师提升学历层次 给予政策支持。每年开展教学名师和优秀教学质量奖评选。 通过兼职、引进、送培等途径，强化专业带头人和骨干教师 培养，致力于师资队伍结构优化、质量提高。学院还建有一 </w:t>
      </w:r>
      <w:r>
        <w:rPr>
          <w:spacing w:val="-67"/>
        </w:rPr>
        <w:t xml:space="preserve">支 </w:t>
      </w:r>
      <w:r>
        <w:t>152</w:t>
      </w:r>
      <w:r>
        <w:rPr>
          <w:spacing w:val="-14"/>
        </w:rPr>
        <w:t xml:space="preserve"> 人的兼职教师队伍，他们大都来自于行业企业、生产</w:t>
      </w:r>
      <w:r>
        <w:rPr>
          <w:spacing w:val="-7"/>
        </w:rPr>
        <w:t xml:space="preserve">一线的技术专家、能工巧匠，承担着 </w:t>
      </w:r>
      <w:r>
        <w:t>40%左右的专业课程， 初步形成实践技能课程主要由具有相应高技能水平的兼职教师承担的机制。</w:t>
      </w:r>
    </w:p>
    <w:p>
      <w:pPr>
        <w:pStyle w:val="BodyText"/>
        <w:spacing w:line="614" w:lineRule="exact"/>
        <w:ind w:left="1241"/>
        <w:jc w:val="both"/>
      </w:pPr>
      <w:r>
        <w:t>228 名专任教师中，副高级以上职称 101 人、硕士研究</w:t>
      </w:r>
    </w:p>
    <w:p>
      <w:pPr>
        <w:pStyle w:val="BodyText"/>
        <w:spacing w:before="134" w:line="292" w:lineRule="auto"/>
        <w:ind w:right="911"/>
        <w:jc w:val="both"/>
      </w:pPr>
      <w:r>
        <w:rPr>
          <w:spacing w:val="-17"/>
        </w:rPr>
        <w:t xml:space="preserve">生及以上学历 </w:t>
      </w:r>
      <w:r>
        <w:t>77</w:t>
      </w:r>
      <w:r>
        <w:rPr>
          <w:spacing w:val="-28"/>
        </w:rPr>
        <w:t xml:space="preserve"> 人；专业带头人 </w:t>
      </w:r>
      <w:r>
        <w:t>41</w:t>
      </w:r>
      <w:r>
        <w:rPr>
          <w:spacing w:val="-32"/>
        </w:rPr>
        <w:t xml:space="preserve"> 人，骨干教师 </w:t>
      </w:r>
      <w:r>
        <w:t>127</w:t>
      </w:r>
      <w:r>
        <w:rPr>
          <w:spacing w:val="-40"/>
        </w:rPr>
        <w:t xml:space="preserve"> 人； </w:t>
      </w:r>
      <w:r>
        <w:rPr>
          <w:spacing w:val="-52"/>
        </w:rPr>
        <w:t xml:space="preserve">学院教学名师 </w:t>
      </w:r>
      <w:r>
        <w:t>19</w:t>
      </w:r>
      <w:r>
        <w:rPr>
          <w:spacing w:val="-22"/>
        </w:rPr>
        <w:t xml:space="preserve"> 人，获得优秀教学质量奖 </w:t>
      </w:r>
      <w:r>
        <w:t>23</w:t>
      </w:r>
      <w:r>
        <w:rPr>
          <w:spacing w:val="-19"/>
        </w:rPr>
        <w:t xml:space="preserve"> 人。双师素质</w:t>
      </w:r>
      <w:r>
        <w:rPr>
          <w:spacing w:val="-54"/>
        </w:rPr>
        <w:t xml:space="preserve">教师 </w:t>
      </w:r>
      <w:r>
        <w:t>118</w:t>
      </w:r>
      <w:r>
        <w:rPr>
          <w:spacing w:val="-27"/>
        </w:rPr>
        <w:t xml:space="preserve"> 人，双师素质教师比例为 </w:t>
      </w:r>
      <w:r>
        <w:t>51.75</w:t>
      </w:r>
      <w:r>
        <w:rPr>
          <w:spacing w:val="-10"/>
        </w:rPr>
        <w:t>%。具有企业工作经</w:t>
      </w:r>
      <w:r>
        <w:rPr>
          <w:spacing w:val="-20"/>
        </w:rPr>
        <w:t xml:space="preserve">历的教师占专业教师的 </w:t>
      </w:r>
      <w:r>
        <w:t>42</w:t>
      </w:r>
      <w:r>
        <w:rPr>
          <w:spacing w:val="-32"/>
        </w:rPr>
        <w:t xml:space="preserve">%，有 </w:t>
      </w:r>
      <w:r>
        <w:t>38</w:t>
      </w:r>
      <w:r>
        <w:rPr>
          <w:spacing w:val="-15"/>
        </w:rPr>
        <w:t xml:space="preserve"> 名教师在天津市劳动局、</w:t>
      </w:r>
      <w:r>
        <w:rPr>
          <w:spacing w:val="-8"/>
        </w:rPr>
        <w:t>大港油田技能鉴定机构担任考评员。</w:t>
      </w:r>
      <w:r>
        <w:t>2013</w:t>
      </w:r>
      <w:r>
        <w:rPr>
          <w:spacing w:val="-16"/>
        </w:rPr>
        <w:t xml:space="preserve"> 年发表教育科研论</w:t>
      </w:r>
      <w:r>
        <w:rPr>
          <w:spacing w:val="-70"/>
        </w:rPr>
        <w:t xml:space="preserve">文 </w:t>
      </w:r>
      <w:r>
        <w:t>90</w:t>
      </w:r>
      <w:r>
        <w:rPr>
          <w:spacing w:val="-24"/>
        </w:rPr>
        <w:t xml:space="preserve"> 余篇，完成教科研项目 </w:t>
      </w:r>
      <w:r>
        <w:t>22</w:t>
      </w:r>
      <w:r>
        <w:rPr>
          <w:spacing w:val="-12"/>
        </w:rPr>
        <w:t xml:space="preserve"> 项，与企业合作完成横向技</w:t>
      </w:r>
      <w:r>
        <w:rPr>
          <w:spacing w:val="-31"/>
        </w:rPr>
        <w:t xml:space="preserve">术服务项目 </w:t>
      </w:r>
      <w:r>
        <w:t>3</w:t>
      </w:r>
      <w:r>
        <w:rPr>
          <w:spacing w:val="-12"/>
        </w:rPr>
        <w:t xml:space="preserve"> 项。由石油与化工应用研究所等科研机构承担的油气田开发项目广泛投入生产应用，取得显著的经济效益和社会效益。</w:t>
      </w:r>
    </w:p>
    <w:p>
      <w:pPr>
        <w:pStyle w:val="Heading1"/>
        <w:spacing w:before="391"/>
      </w:pPr>
      <w:bookmarkStart w:id="13" w:name="_TOC_250012"/>
      <w:bookmarkEnd w:id="13"/>
      <w:r>
        <w:t>（六）加强基础建设，完善实训功能</w:t>
      </w:r>
    </w:p>
    <w:p>
      <w:pPr>
        <w:pStyle w:val="BodyText"/>
        <w:spacing w:before="10"/>
        <w:ind w:left="0"/>
        <w:rPr>
          <w:rFonts w:ascii="幼圆"/>
          <w:b/>
          <w:sz w:val="40"/>
        </w:rPr>
      </w:pPr>
    </w:p>
    <w:p>
      <w:pPr>
        <w:pStyle w:val="BodyText"/>
        <w:spacing w:line="292" w:lineRule="auto"/>
        <w:ind w:right="1040" w:firstLine="961"/>
      </w:pPr>
      <w:r>
        <w:rPr>
          <w:spacing w:val="-1"/>
          <w:w w:val="95"/>
        </w:rPr>
        <w:t xml:space="preserve">学院建设有专业覆盖面较为齐全、设备设施比较先进、 </w:t>
      </w:r>
      <w:r>
        <w:rPr>
          <w:spacing w:val="-8"/>
        </w:rPr>
        <w:t xml:space="preserve">软件硬件配套的实习实训基地 </w:t>
      </w:r>
      <w:r>
        <w:t>53</w:t>
      </w:r>
      <w:r>
        <w:rPr>
          <w:spacing w:val="-13"/>
        </w:rPr>
        <w:t xml:space="preserve"> 个，有力支撑了高素质技</w:t>
      </w:r>
      <w:r>
        <w:rPr>
          <w:spacing w:val="-13"/>
          <w:w w:val="95"/>
        </w:rPr>
        <w:t xml:space="preserve">能型人才培养。创造条件开展生产性实训，机械加工实训基 </w:t>
      </w:r>
      <w:r>
        <w:rPr>
          <w:spacing w:val="-24"/>
        </w:rPr>
        <w:t xml:space="preserve">地每年接收实训学生 </w:t>
      </w:r>
      <w:r>
        <w:t>300</w:t>
      </w:r>
      <w:r>
        <w:rPr>
          <w:spacing w:val="-53"/>
        </w:rPr>
        <w:t xml:space="preserve"> 余人，年产值 </w:t>
      </w:r>
      <w:r>
        <w:t>110</w:t>
      </w:r>
      <w:r>
        <w:rPr>
          <w:spacing w:val="-55"/>
        </w:rPr>
        <w:t xml:space="preserve"> 余万元。学院“中</w:t>
      </w:r>
    </w:p>
    <w:p>
      <w:pPr>
        <w:spacing w:after="0" w:line="292" w:lineRule="auto"/>
        <w:sectPr>
          <w:footerReference w:type="default" r:id="rId15"/>
          <w:pgSz w:w="17860" w:h="25260"/>
          <w:pgMar w:top="1840" w:right="1660" w:bottom="2060" w:left="2420" w:header="0" w:footer="1787"/>
          <w:pgNumType w:start="11"/>
          <w:cols w:space="708"/>
        </w:sectPr>
      </w:pPr>
    </w:p>
    <w:p>
      <w:pPr>
        <w:pStyle w:val="BodyText"/>
        <w:spacing w:before="13" w:line="292" w:lineRule="auto"/>
        <w:ind w:right="1049"/>
      </w:pPr>
      <w:r>
        <w:rPr>
          <w:spacing w:val="-11"/>
          <w:w w:val="99"/>
        </w:rPr>
        <w:t>国石油大港职业技能鉴定中心综合技能鉴定站”，面向在校</w:t>
      </w:r>
      <w:r>
        <w:rPr>
          <w:spacing w:val="-12"/>
          <w:w w:val="95"/>
        </w:rPr>
        <w:t xml:space="preserve">学生和企业员工，开展钻井、采油、井下作业等工种的初、 </w:t>
      </w:r>
      <w:r>
        <w:rPr>
          <w:spacing w:val="-6"/>
        </w:rPr>
        <w:t xml:space="preserve">中、高级鉴定，每年仅石油类技能鉴定约 </w:t>
      </w:r>
      <w:r>
        <w:t>1200</w:t>
      </w:r>
      <w:r>
        <w:rPr>
          <w:spacing w:val="-22"/>
        </w:rPr>
        <w:t xml:space="preserve"> 人。拥有千</w:t>
      </w:r>
      <w:r>
        <w:rPr>
          <w:spacing w:val="-22"/>
          <w:w w:val="95"/>
        </w:rPr>
        <w:t xml:space="preserve">兆的校园网，信息点遍布教学、办公和生活区，为实现教学 </w:t>
      </w:r>
      <w:r>
        <w:rPr>
          <w:spacing w:val="-1"/>
          <w:w w:val="95"/>
        </w:rPr>
        <w:t xml:space="preserve">手段现代化、管理科学化、办公自动化和图书情报网络化奠 定了基础。充分利用现代信息技术，探索开发虚拟工厂、虚 拟车间、虚拟工艺、虚拟实验，为实践操作前的理论教学提 供多种有效途径。学院充分利用地缘优势，紧紧依托大港油 田公司及油区其它企业，积极探索“厂中校”的办学模式， </w:t>
      </w:r>
      <w:r>
        <w:rPr>
          <w:spacing w:val="-14"/>
        </w:rPr>
        <w:t xml:space="preserve">建有校外实训基地 </w:t>
      </w:r>
      <w:r>
        <w:t>53</w:t>
      </w:r>
      <w:r>
        <w:rPr>
          <w:spacing w:val="-12"/>
        </w:rPr>
        <w:t xml:space="preserve"> 个。强化教学过程的实践性、开放性</w:t>
      </w:r>
      <w:r>
        <w:rPr>
          <w:spacing w:val="-13"/>
          <w:w w:val="95"/>
        </w:rPr>
        <w:t xml:space="preserve">和职业性，在实践教学方案设计与实施、指导教师配备、协 </w:t>
      </w:r>
      <w:r>
        <w:t>同管理等方面与企业密切合作，有力提升了教学效果。</w:t>
      </w:r>
    </w:p>
    <w:p>
      <w:pPr>
        <w:pStyle w:val="Heading1"/>
        <w:spacing w:before="389"/>
      </w:pPr>
      <w:bookmarkStart w:id="14" w:name="_TOC_250011"/>
      <w:bookmarkEnd w:id="14"/>
      <w:r>
        <w:t>（七）加强素质培养，提升教学效果</w:t>
      </w:r>
    </w:p>
    <w:p>
      <w:pPr>
        <w:pStyle w:val="BodyText"/>
        <w:spacing w:before="10"/>
        <w:ind w:left="0"/>
        <w:rPr>
          <w:rFonts w:ascii="幼圆"/>
          <w:b/>
          <w:sz w:val="40"/>
        </w:rPr>
      </w:pPr>
    </w:p>
    <w:p>
      <w:pPr>
        <w:pStyle w:val="BodyText"/>
        <w:spacing w:line="292" w:lineRule="auto"/>
        <w:ind w:right="1031" w:firstLine="961"/>
        <w:jc w:val="both"/>
      </w:pPr>
      <w:r>
        <w:rPr>
          <w:w w:val="95"/>
        </w:rPr>
        <w:t xml:space="preserve">学院始终把立德树人作为教育教学的根本任务，注重对 学生职业道德、技术知识、操作技能和基本职业素质的全面 养成。加强社会主义人生观、价值观和职业道德的培育，加 强大庆传统、铁人精神的教育，加强就业创业、心理健康、 卫生健康、国防教育等课程建设，发挥思想政治理论课主渠 道作用，促进学生综合素质的提高。学院注重学生创新能力 培养，大力推进学生顶岗实习制度，注重校内生产性实训与 校外顶岗实习的有机衔接与融通，保证了所有毕业生完成半 年以上的顶岗实习。不断完善适应高技能人才培养要求的评 价体系，积极探索实践考试模式改革，以学习能力、职业能 力、和综合素质为评价核心。积极推行“双证书”制度，专 </w:t>
      </w:r>
      <w:r>
        <w:rPr>
          <w:spacing w:val="-3"/>
        </w:rPr>
        <w:t xml:space="preserve">业职业资格证书取证率为 </w:t>
      </w:r>
      <w:r>
        <w:t>92%。学院利用现有实训基地，成</w:t>
      </w:r>
      <w:r>
        <w:rPr>
          <w:spacing w:val="-6"/>
        </w:rPr>
        <w:t xml:space="preserve">功举办了第四届技能素质月活动，共开展教师大赛 </w:t>
      </w:r>
      <w:r>
        <w:t>2</w:t>
      </w:r>
      <w:r>
        <w:rPr>
          <w:spacing w:val="-38"/>
        </w:rPr>
        <w:t xml:space="preserve"> 项、学</w:t>
      </w:r>
    </w:p>
    <w:p>
      <w:pPr>
        <w:spacing w:after="0" w:line="292" w:lineRule="auto"/>
        <w:jc w:val="both"/>
        <w:sectPr>
          <w:footerReference w:type="default" r:id="rId16"/>
          <w:pgSz w:w="17860" w:h="25260"/>
          <w:pgMar w:top="1840" w:right="1660" w:bottom="2060" w:left="2420" w:header="0" w:footer="1787"/>
          <w:pgNumType w:start="12"/>
          <w:cols w:space="708"/>
        </w:sectPr>
      </w:pPr>
    </w:p>
    <w:p>
      <w:pPr>
        <w:pStyle w:val="BodyText"/>
        <w:spacing w:before="13" w:line="292" w:lineRule="auto"/>
        <w:ind w:right="995"/>
        <w:jc w:val="both"/>
      </w:pPr>
      <w:r>
        <w:rPr>
          <w:spacing w:val="-14"/>
        </w:rPr>
        <w:t xml:space="preserve">生技能比赛 </w:t>
      </w:r>
      <w:r>
        <w:t>17</w:t>
      </w:r>
      <w:r>
        <w:rPr>
          <w:spacing w:val="-18"/>
        </w:rPr>
        <w:t xml:space="preserve"> 项，学生优秀作品展 </w:t>
      </w:r>
      <w:r>
        <w:t>1</w:t>
      </w:r>
      <w:r>
        <w:rPr>
          <w:spacing w:val="-22"/>
        </w:rPr>
        <w:t xml:space="preserve"> 项，参赛教师 </w:t>
      </w:r>
      <w:r>
        <w:t>158</w:t>
      </w:r>
      <w:r>
        <w:rPr>
          <w:spacing w:val="-43"/>
        </w:rPr>
        <w:t xml:space="preserve"> 人</w:t>
      </w:r>
      <w:r>
        <w:rPr>
          <w:spacing w:val="-22"/>
        </w:rPr>
        <w:t>次、参赛学生</w:t>
      </w:r>
      <w:r>
        <w:t>3500</w:t>
      </w:r>
      <w:r>
        <w:rPr>
          <w:spacing w:val="-26"/>
        </w:rPr>
        <w:t xml:space="preserve"> 余人次，教师参赛比率达 </w:t>
      </w:r>
      <w:r>
        <w:t>80</w:t>
      </w:r>
      <w:r>
        <w:rPr>
          <w:spacing w:val="-3"/>
        </w:rPr>
        <w:t>%，青年教师</w:t>
      </w:r>
      <w:r>
        <w:rPr>
          <w:spacing w:val="-29"/>
        </w:rPr>
        <w:t xml:space="preserve">参赛率 </w:t>
      </w:r>
      <w:r>
        <w:t>95%以上。</w:t>
      </w:r>
    </w:p>
    <w:p>
      <w:pPr>
        <w:pStyle w:val="BodyText"/>
        <w:spacing w:line="292" w:lineRule="auto"/>
        <w:ind w:right="1044" w:firstLine="961"/>
        <w:jc w:val="both"/>
      </w:pPr>
      <w:r>
        <w:rPr>
          <w:spacing w:val="-1"/>
          <w:w w:val="95"/>
        </w:rPr>
        <w:t xml:space="preserve">总之，学院不断坚强和改进教育教学管理，努力提高办 </w:t>
      </w:r>
      <w:r>
        <w:rPr>
          <w:spacing w:val="-2"/>
        </w:rPr>
        <w:t xml:space="preserve">学质量和水平，使毕业生就业率保持在 </w:t>
      </w:r>
      <w:r>
        <w:t>97</w:t>
      </w:r>
      <w:r>
        <w:rPr>
          <w:spacing w:val="-2"/>
        </w:rPr>
        <w:t>%以上，毕业生的</w:t>
      </w:r>
      <w:r>
        <w:t>企业满意率高，体现出较高的办学水平。</w:t>
      </w:r>
    </w:p>
    <w:p>
      <w:pPr>
        <w:pStyle w:val="Heading1"/>
        <w:spacing w:before="390"/>
      </w:pPr>
      <w:bookmarkStart w:id="15" w:name="_TOC_250010"/>
      <w:bookmarkEnd w:id="15"/>
      <w:r>
        <w:t>（八）教学质量保障体系建设的举措与成效</w:t>
      </w:r>
    </w:p>
    <w:p>
      <w:pPr>
        <w:pStyle w:val="BodyText"/>
        <w:spacing w:before="11"/>
        <w:ind w:left="0"/>
        <w:rPr>
          <w:rFonts w:ascii="幼圆"/>
          <w:b/>
          <w:sz w:val="40"/>
        </w:rPr>
      </w:pPr>
    </w:p>
    <w:p>
      <w:pPr>
        <w:pStyle w:val="BodyText"/>
        <w:ind w:left="1360"/>
      </w:pPr>
      <w:r>
        <w:t>1、加强教学常规检查，稳定日常教学秩序</w:t>
      </w:r>
    </w:p>
    <w:p>
      <w:pPr>
        <w:pStyle w:val="BodyText"/>
        <w:spacing w:before="134" w:line="292" w:lineRule="auto"/>
        <w:ind w:right="810" w:firstLine="1079"/>
      </w:pPr>
      <w:r>
        <w:t>2013</w:t>
      </w:r>
      <w:r>
        <w:rPr>
          <w:spacing w:val="-2"/>
        </w:rPr>
        <w:t xml:space="preserve"> 年度学院教育教学建设的重点在于加强教学建设</w:t>
      </w:r>
      <w:r>
        <w:rPr>
          <w:spacing w:val="-18"/>
          <w:w w:val="95"/>
        </w:rPr>
        <w:t xml:space="preserve">与改革，进一步夯实教学基础建设，加大日常教学检查力度。 </w:t>
      </w:r>
      <w:r>
        <w:t>教务处和教学督导办公室保证每学期开学“第一节课”的正常运行，逐步深入到教学各个环节的检查。对此，学院开展了日常教学检查工作和学期中的教学检查工作，主要从以下几方面进行教学检查及其监控：教师的课堂教学、学生的出勤率、教学计划、教学大纲的实施、教材质量、课程建设、实践教学、毕业论文（设计</w:t>
      </w:r>
      <w:r>
        <w:rPr>
          <w:spacing w:val="-113"/>
        </w:rPr>
        <w:t>）</w:t>
      </w:r>
      <w:r>
        <w:t>、专业建设、教学效果、教学改革等。</w:t>
      </w:r>
    </w:p>
    <w:p>
      <w:pPr>
        <w:pStyle w:val="BodyText"/>
        <w:spacing w:line="292" w:lineRule="auto"/>
        <w:ind w:right="1039" w:firstLine="1079"/>
        <w:jc w:val="both"/>
      </w:pPr>
      <w:r>
        <w:rPr>
          <w:spacing w:val="-12"/>
          <w:w w:val="95"/>
        </w:rPr>
        <w:t xml:space="preserve">除了日常教学检查外，学院还非常重视教师评教和学生 评教工作，在评教情况方面，教师作为评教的客体，领导参 </w:t>
      </w:r>
      <w:r>
        <w:rPr>
          <w:spacing w:val="-13"/>
        </w:rPr>
        <w:t xml:space="preserve">与比例、学生参与比例、同行参与比例较高，均达到 </w:t>
      </w:r>
      <w:r>
        <w:t>90</w:t>
      </w:r>
      <w:r>
        <w:rPr>
          <w:spacing w:val="-9"/>
        </w:rPr>
        <w:t>%以</w:t>
      </w:r>
      <w:r>
        <w:rPr>
          <w:w w:val="95"/>
        </w:rPr>
        <w:t xml:space="preserve">上。因此，学院逐渐以教师、学生、社会为主体，以教学、 学习、管理为主线，从影响教学质量各项环节入手，全方位 </w:t>
      </w:r>
      <w:r>
        <w:t>开展教学质量监控，保障教学秩序稳定、教学运行正常。</w:t>
      </w:r>
    </w:p>
    <w:p>
      <w:pPr>
        <w:pStyle w:val="BodyText"/>
        <w:spacing w:line="292" w:lineRule="auto"/>
        <w:ind w:left="1360" w:right="1047"/>
        <w:jc w:val="right"/>
      </w:pPr>
      <w:r>
        <w:t>2</w:t>
      </w:r>
      <w:r>
        <w:rPr>
          <w:spacing w:val="-3"/>
        </w:rPr>
        <w:t>、组织系部互查听课活动, 促进系部间的交流与发展</w:t>
      </w:r>
      <w:r>
        <w:rPr>
          <w:spacing w:val="-13"/>
          <w:w w:val="95"/>
        </w:rPr>
        <w:t>为进一步加强教学管理，稳定教学秩序，健全教学质量</w:t>
      </w:r>
    </w:p>
    <w:p>
      <w:pPr>
        <w:pStyle w:val="BodyText"/>
        <w:ind w:left="0" w:right="1049"/>
        <w:jc w:val="right"/>
      </w:pPr>
      <w:r>
        <w:rPr>
          <w:w w:val="95"/>
        </w:rPr>
        <w:t>监控体系，学院还开展了系部互查听课专项活动，主要采取</w:t>
      </w:r>
    </w:p>
    <w:p>
      <w:pPr>
        <w:spacing w:after="0"/>
        <w:jc w:val="right"/>
        <w:sectPr>
          <w:footerReference w:type="default" r:id="rId17"/>
          <w:pgSz w:w="17860" w:h="25260"/>
          <w:pgMar w:top="1840" w:right="1660" w:bottom="2060" w:left="2420" w:header="0" w:footer="1787"/>
          <w:pgNumType w:start="13"/>
          <w:cols w:space="708"/>
        </w:sectPr>
      </w:pPr>
    </w:p>
    <w:p>
      <w:pPr>
        <w:pStyle w:val="BodyText"/>
        <w:spacing w:before="13" w:line="292" w:lineRule="auto"/>
        <w:ind w:right="1049"/>
      </w:pPr>
      <w:r>
        <w:rPr>
          <w:spacing w:val="-1"/>
          <w:w w:val="95"/>
        </w:rPr>
        <w:t xml:space="preserve">系部循环式互查，主要由系部主任带队，教研室主任和专任 </w:t>
      </w:r>
      <w:r>
        <w:t>教师组成检查组进行听课和检查工作。从活动开展结果来</w:t>
      </w:r>
      <w:r>
        <w:rPr>
          <w:spacing w:val="-1"/>
          <w:w w:val="95"/>
        </w:rPr>
        <w:t xml:space="preserve">看，教师教学热情较高，学生到课率高，更掀起了系部间教 学工作借鉴、教师间课堂教学观摩的高潮，也为我院改进教 风、形成良好学风和教学质量提高等方面，都起到了积极的 </w:t>
      </w:r>
      <w:r>
        <w:t>推动作用。</w:t>
      </w:r>
    </w:p>
    <w:p>
      <w:pPr>
        <w:pStyle w:val="BodyText"/>
        <w:spacing w:line="613" w:lineRule="exact"/>
        <w:ind w:left="1360"/>
      </w:pPr>
      <w:r>
        <w:t>3、坚持开展学生评教、教师评教活动</w:t>
      </w:r>
    </w:p>
    <w:p>
      <w:pPr>
        <w:pStyle w:val="BodyText"/>
        <w:spacing w:before="134" w:line="292" w:lineRule="auto"/>
        <w:ind w:right="1047" w:firstLine="1079"/>
        <w:jc w:val="both"/>
      </w:pPr>
      <w:r>
        <w:rPr>
          <w:spacing w:val="-7"/>
          <w:w w:val="95"/>
        </w:rPr>
        <w:t xml:space="preserve">学院每学期都会开展学生评教和教师评教活动，基本上 </w:t>
      </w:r>
      <w:r>
        <w:rPr>
          <w:spacing w:val="-1"/>
          <w:w w:val="95"/>
        </w:rPr>
        <w:t xml:space="preserve">检查在校学生对所授课教师进行评价，教师也开展互评，此 外，学院还在每学期的期中和期末组织学生座谈会，了解教 学过程中教师授课态度、授课方法及知识点的讲解等方面情 况，教学督导人员对座谈会进行总结，结合听课过程了解的 情况相结合，做出初步评价，待座谈会后与教学系部进行反 </w:t>
      </w:r>
      <w:r>
        <w:t>馈。</w:t>
      </w:r>
    </w:p>
    <w:p>
      <w:pPr>
        <w:pStyle w:val="BodyText"/>
        <w:spacing w:before="1" w:line="292" w:lineRule="auto"/>
        <w:ind w:right="1049" w:firstLine="1079"/>
        <w:jc w:val="both"/>
      </w:pPr>
      <w:r>
        <w:rPr>
          <w:spacing w:val="-9"/>
          <w:w w:val="95"/>
        </w:rPr>
        <w:t xml:space="preserve">经过评教活动的问题数据进行分析后，学院也注重考试 </w:t>
      </w:r>
      <w:r>
        <w:rPr>
          <w:spacing w:val="-1"/>
          <w:w w:val="95"/>
        </w:rPr>
        <w:t xml:space="preserve">方法的改革，逐步改变传统只注重书本知识理解和记忆层面 的考核，进而以学生解决问题的实际能力进行考核，极大地 </w:t>
      </w:r>
      <w:r>
        <w:t>提高学生的学习兴趣，也保证了我院 97%以上的毕业率。</w:t>
      </w:r>
    </w:p>
    <w:p>
      <w:pPr>
        <w:pStyle w:val="BodyText"/>
        <w:spacing w:line="292" w:lineRule="auto"/>
        <w:ind w:left="1360" w:right="1043"/>
      </w:pPr>
      <w:r>
        <w:t xml:space="preserve">4、健全教学质量保障制度，全面加强教风学风监控 </w:t>
      </w:r>
      <w:r>
        <w:rPr>
          <w:spacing w:val="-8"/>
          <w:w w:val="95"/>
        </w:rPr>
        <w:t>学院制定了各主要教学环节质量标准，院领导、中层领</w:t>
      </w:r>
    </w:p>
    <w:p>
      <w:pPr>
        <w:pStyle w:val="BodyText"/>
        <w:spacing w:line="292" w:lineRule="auto"/>
        <w:ind w:right="1038"/>
        <w:jc w:val="both"/>
      </w:pPr>
      <w:r>
        <w:rPr>
          <w:w w:val="95"/>
        </w:rPr>
        <w:t xml:space="preserve">导、教师“三级听课”制度，教学督导制度，学生教学信息 员制度，教师教学工作考核制度，教学事故责任追究制度， 学生选课制度等为先导，严格执行为保障，全面监控教学质 </w:t>
      </w:r>
      <w:r>
        <w:rPr>
          <w:spacing w:val="-30"/>
        </w:rPr>
        <w:t>量。此外，也先后出台或修订了 《教师教学工作规范 》</w:t>
      </w:r>
      <w:r>
        <w:rPr>
          <w:spacing w:val="-126"/>
        </w:rPr>
        <w:t>、《教</w:t>
      </w:r>
      <w:r>
        <w:rPr>
          <w:spacing w:val="-42"/>
          <w:w w:val="95"/>
        </w:rPr>
        <w:t xml:space="preserve">学事故处理规定》、《学籍管理实施细则》、《学生考勤管理实 </w:t>
      </w:r>
      <w:r>
        <w:rPr>
          <w:spacing w:val="-28"/>
          <w:w w:val="95"/>
        </w:rPr>
        <w:t>施细则》、《学生课程考核实施细则》和《主要教学环节质量 标准》等制度保障教风、学风、考风的正常运行，在实际教</w:t>
      </w:r>
    </w:p>
    <w:p>
      <w:pPr>
        <w:spacing w:after="0" w:line="292" w:lineRule="auto"/>
        <w:jc w:val="both"/>
        <w:sectPr>
          <w:footerReference w:type="default" r:id="rId18"/>
          <w:pgSz w:w="17860" w:h="25260"/>
          <w:pgMar w:top="1840" w:right="1660" w:bottom="2060" w:left="2420" w:header="0" w:footer="1787"/>
          <w:pgNumType w:start="14"/>
          <w:cols w:space="708"/>
        </w:sectPr>
      </w:pPr>
    </w:p>
    <w:p>
      <w:pPr>
        <w:pStyle w:val="BodyText"/>
        <w:spacing w:before="13" w:line="292" w:lineRule="auto"/>
        <w:ind w:right="1049"/>
      </w:pPr>
      <w:r>
        <w:rPr>
          <w:spacing w:val="-1"/>
          <w:w w:val="95"/>
        </w:rPr>
        <w:t xml:space="preserve">学中也起到了很大的效果，教学秩序、学生的学习氛围和考 </w:t>
      </w:r>
      <w:r>
        <w:t>试纪律都有极大地改善。</w:t>
      </w:r>
    </w:p>
    <w:p>
      <w:pPr>
        <w:pStyle w:val="Heading1"/>
        <w:spacing w:before="393"/>
      </w:pPr>
      <w:bookmarkStart w:id="16" w:name="_TOC_250009"/>
      <w:bookmarkEnd w:id="16"/>
      <w:r>
        <w:t>（九）集中力量，完成好几个项目的建设</w:t>
      </w:r>
    </w:p>
    <w:p>
      <w:pPr>
        <w:pStyle w:val="BodyText"/>
        <w:ind w:left="0"/>
        <w:rPr>
          <w:rFonts w:ascii="幼圆"/>
          <w:b/>
          <w:sz w:val="20"/>
        </w:rPr>
      </w:pPr>
    </w:p>
    <w:p>
      <w:pPr>
        <w:pStyle w:val="BodyText"/>
        <w:spacing w:before="4"/>
        <w:ind w:left="0"/>
        <w:rPr>
          <w:rFonts w:ascii="幼圆"/>
          <w:b/>
          <w:sz w:val="18"/>
        </w:rPr>
      </w:pPr>
    </w:p>
    <w:p>
      <w:pPr>
        <w:pStyle w:val="BodyText"/>
        <w:spacing w:before="31"/>
        <w:ind w:left="1241"/>
      </w:pPr>
      <w:r>
        <w:t>1、中央财政支持的提升专业服务产业发展能力建设项</w:t>
      </w:r>
    </w:p>
    <w:p>
      <w:pPr>
        <w:pStyle w:val="BodyText"/>
        <w:spacing w:before="134"/>
      </w:pPr>
      <w:r>
        <w:rPr>
          <w:w w:val="99"/>
        </w:rPr>
        <w:t>目</w:t>
      </w:r>
    </w:p>
    <w:p>
      <w:pPr>
        <w:pStyle w:val="BodyText"/>
        <w:spacing w:before="134"/>
        <w:ind w:left="1241"/>
      </w:pPr>
      <w:r>
        <w:t>2012</w:t>
      </w:r>
      <w:r>
        <w:rPr>
          <w:spacing w:val="-21"/>
        </w:rPr>
        <w:t xml:space="preserve"> 年项目启动</w:t>
      </w:r>
      <w:r>
        <w:t>，2013</w:t>
      </w:r>
      <w:r>
        <w:rPr>
          <w:spacing w:val="-24"/>
        </w:rPr>
        <w:t xml:space="preserve"> 年完成，共投入资金 </w:t>
      </w:r>
      <w:r>
        <w:t>468.58</w:t>
      </w:r>
      <w:r>
        <w:rPr>
          <w:spacing w:val="-60"/>
        </w:rPr>
        <w:t xml:space="preserve"> 万</w:t>
      </w:r>
    </w:p>
    <w:p>
      <w:pPr>
        <w:pStyle w:val="BodyText"/>
        <w:spacing w:before="4"/>
        <w:ind w:left="0"/>
        <w:rPr>
          <w:sz w:val="8"/>
        </w:rPr>
      </w:pPr>
    </w:p>
    <w:p>
      <w:pPr>
        <w:pStyle w:val="BodyText"/>
        <w:spacing w:before="32"/>
      </w:pPr>
      <w:r>
        <w:rPr>
          <w:w w:val="95"/>
        </w:rPr>
        <w:t>元，用于石油化工生产技术和工程造价两个专业建设。</w:t>
      </w:r>
    </w:p>
    <w:p>
      <w:pPr>
        <w:pStyle w:val="BodyText"/>
        <w:spacing w:before="134" w:line="292" w:lineRule="auto"/>
        <w:ind w:right="1031" w:firstLine="961"/>
        <w:jc w:val="both"/>
      </w:pPr>
      <w:r>
        <w:rPr>
          <w:spacing w:val="-10"/>
        </w:rPr>
        <w:t xml:space="preserve">项目完成后共新建实训室 </w:t>
      </w:r>
      <w:r>
        <w:t>7</w:t>
      </w:r>
      <w:r>
        <w:rPr>
          <w:spacing w:val="-28"/>
        </w:rPr>
        <w:t xml:space="preserve"> 个，改扩建实训室 </w:t>
      </w:r>
      <w:r>
        <w:t>3</w:t>
      </w:r>
      <w:r>
        <w:rPr>
          <w:spacing w:val="-37"/>
        </w:rPr>
        <w:t xml:space="preserve"> 个，购</w:t>
      </w:r>
      <w:r>
        <w:rPr>
          <w:spacing w:val="-31"/>
        </w:rPr>
        <w:t xml:space="preserve">臵设备 </w:t>
      </w:r>
      <w:r>
        <w:t>466</w:t>
      </w:r>
      <w:r>
        <w:rPr>
          <w:spacing w:val="-27"/>
        </w:rPr>
        <w:t xml:space="preserve"> 台套，完成设备购臵资金 </w:t>
      </w:r>
      <w:r>
        <w:t>193</w:t>
      </w:r>
      <w:r>
        <w:rPr>
          <w:spacing w:val="-34"/>
        </w:rPr>
        <w:t xml:space="preserve"> 万元，</w:t>
      </w:r>
      <w:r>
        <w:rPr>
          <w:spacing w:val="-10"/>
        </w:rPr>
        <w:t>275.58</w:t>
      </w:r>
      <w:r>
        <w:rPr>
          <w:spacing w:val="-42"/>
        </w:rPr>
        <w:t xml:space="preserve"> 万元用于师资队伍建设、课程建设及创新人才培养模式等。</w:t>
      </w:r>
    </w:p>
    <w:p>
      <w:pPr>
        <w:pStyle w:val="BodyText"/>
        <w:spacing w:line="614" w:lineRule="exact"/>
        <w:ind w:left="1241"/>
      </w:pPr>
      <w:r>
        <w:t>2、中央财政支持的实训基地建设项目</w:t>
      </w:r>
    </w:p>
    <w:p>
      <w:pPr>
        <w:pStyle w:val="BodyText"/>
        <w:spacing w:before="133"/>
        <w:ind w:left="1241"/>
      </w:pPr>
      <w:r>
        <w:t>2012 年 9 月启动，2013 年 4 月完成，共投入资金 320</w:t>
      </w:r>
    </w:p>
    <w:p>
      <w:pPr>
        <w:pStyle w:val="BodyText"/>
        <w:spacing w:before="138"/>
      </w:pPr>
      <w:r>
        <w:t>万元，用于油气储运技术专业的实训基地建设。</w:t>
      </w:r>
    </w:p>
    <w:p>
      <w:pPr>
        <w:pStyle w:val="BodyText"/>
        <w:spacing w:before="134" w:line="292" w:lineRule="auto"/>
        <w:ind w:right="569" w:firstLine="961"/>
      </w:pPr>
      <w:r>
        <w:rPr>
          <w:spacing w:val="-17"/>
        </w:rPr>
        <w:t xml:space="preserve">新建实训基地 </w:t>
      </w:r>
      <w:r>
        <w:t>5</w:t>
      </w:r>
      <w:r>
        <w:rPr>
          <w:spacing w:val="-33"/>
        </w:rPr>
        <w:t xml:space="preserve"> 个，购臵设备 </w:t>
      </w:r>
      <w:r>
        <w:t>38</w:t>
      </w:r>
      <w:r>
        <w:rPr>
          <w:spacing w:val="-13"/>
        </w:rPr>
        <w:t xml:space="preserve"> 台套,实现了“一个基</w:t>
      </w:r>
      <w:r>
        <w:rPr>
          <w:w w:val="95"/>
        </w:rPr>
        <w:t>础</w:t>
      </w:r>
      <w:r>
        <w:rPr>
          <w:spacing w:val="-2"/>
          <w:w w:val="95"/>
        </w:rPr>
        <w:t xml:space="preserve">，三个面向”格局，建成了集教学、技能鉴定、社会培训、 </w:t>
      </w:r>
      <w:r>
        <w:t>生产四位一体的综合性实训基地，为其他院校同类专业的实训室建设提供范例，有力地促进了石油类专业群的建设。</w:t>
      </w:r>
    </w:p>
    <w:p>
      <w:pPr>
        <w:pStyle w:val="BodyText"/>
        <w:spacing w:line="613" w:lineRule="exact"/>
        <w:ind w:left="1241"/>
      </w:pPr>
      <w:r>
        <w:t>3、天津市十二五提升办学水平建设项目</w:t>
      </w:r>
    </w:p>
    <w:p>
      <w:pPr>
        <w:pStyle w:val="BodyText"/>
        <w:spacing w:before="137" w:line="292" w:lineRule="auto"/>
        <w:ind w:right="1038" w:firstLine="961"/>
        <w:jc w:val="both"/>
      </w:pPr>
      <w:r>
        <w:t>2012</w:t>
      </w:r>
      <w:r>
        <w:rPr>
          <w:spacing w:val="-82"/>
        </w:rPr>
        <w:t xml:space="preserve"> 年 </w:t>
      </w:r>
      <w:r>
        <w:t>11</w:t>
      </w:r>
      <w:r>
        <w:rPr>
          <w:spacing w:val="-28"/>
        </w:rPr>
        <w:t xml:space="preserve"> 月批复，</w:t>
      </w:r>
      <w:r>
        <w:rPr>
          <w:spacing w:val="-13"/>
        </w:rPr>
        <w:t>2013</w:t>
      </w:r>
      <w:r>
        <w:rPr>
          <w:spacing w:val="-81"/>
        </w:rPr>
        <w:t xml:space="preserve"> 年 </w:t>
      </w:r>
      <w:r>
        <w:t>7</w:t>
      </w:r>
      <w:r>
        <w:rPr>
          <w:spacing w:val="-29"/>
        </w:rPr>
        <w:t xml:space="preserve"> 月开始实施。</w:t>
      </w:r>
      <w:r>
        <w:t>2013</w:t>
      </w:r>
      <w:r>
        <w:rPr>
          <w:spacing w:val="-35"/>
        </w:rPr>
        <w:t xml:space="preserve"> 年完成</w:t>
      </w:r>
      <w:r>
        <w:rPr>
          <w:spacing w:val="-26"/>
        </w:rPr>
        <w:t xml:space="preserve">项目资金 </w:t>
      </w:r>
      <w:r>
        <w:t>644</w:t>
      </w:r>
      <w:r>
        <w:rPr>
          <w:spacing w:val="-14"/>
        </w:rPr>
        <w:t xml:space="preserve"> 万元。分别建设石油与天然气地质勘探技术、</w:t>
      </w:r>
      <w:r>
        <w:rPr>
          <w:w w:val="95"/>
        </w:rPr>
        <w:t>机械制造与自动化、建筑装饰工程技术三个优质特色专业。</w:t>
      </w:r>
    </w:p>
    <w:p>
      <w:pPr>
        <w:pStyle w:val="BodyText"/>
        <w:spacing w:line="292" w:lineRule="auto"/>
        <w:ind w:right="797" w:firstLine="961"/>
        <w:jc w:val="right"/>
      </w:pPr>
      <w:r>
        <w:rPr>
          <w:spacing w:val="-21"/>
        </w:rPr>
        <w:t xml:space="preserve">截止目前，共新建实训基地 </w:t>
      </w:r>
      <w:r>
        <w:t>6</w:t>
      </w:r>
      <w:r>
        <w:rPr>
          <w:spacing w:val="-37"/>
        </w:rPr>
        <w:t xml:space="preserve"> 个，改扩建实训基地 </w:t>
      </w:r>
      <w:r>
        <w:t>2</w:t>
      </w:r>
      <w:r>
        <w:rPr>
          <w:spacing w:val="-48"/>
        </w:rPr>
        <w:t xml:space="preserve"> 个，</w:t>
      </w:r>
      <w:r>
        <w:rPr>
          <w:spacing w:val="-25"/>
        </w:rPr>
        <w:t xml:space="preserve">购臵设备 </w:t>
      </w:r>
      <w:r>
        <w:t>420</w:t>
      </w:r>
      <w:r>
        <w:rPr>
          <w:spacing w:val="-30"/>
        </w:rPr>
        <w:t xml:space="preserve"> 余台套，可辐射 </w:t>
      </w:r>
      <w:r>
        <w:t>6</w:t>
      </w:r>
      <w:r>
        <w:rPr>
          <w:spacing w:val="-27"/>
        </w:rPr>
        <w:t xml:space="preserve"> 个专业，服务学生 </w:t>
      </w:r>
      <w:r>
        <w:t>3118</w:t>
      </w:r>
      <w:r>
        <w:rPr>
          <w:spacing w:val="-45"/>
        </w:rPr>
        <w:t xml:space="preserve"> 人。</w:t>
      </w:r>
      <w:r>
        <w:rPr>
          <w:spacing w:val="-2"/>
        </w:rPr>
        <w:t>通过建设，三个专业逐步形成、完善“</w:t>
      </w:r>
      <w:r>
        <w:rPr>
          <w:spacing w:val="-20"/>
        </w:rPr>
        <w:t>3.2.1</w:t>
      </w:r>
      <w:r>
        <w:rPr>
          <w:spacing w:val="-26"/>
        </w:rPr>
        <w:t xml:space="preserve"> 校企结合、</w:t>
      </w:r>
    </w:p>
    <w:p>
      <w:pPr>
        <w:pStyle w:val="BodyText"/>
        <w:spacing w:line="292" w:lineRule="auto"/>
        <w:ind w:right="804"/>
      </w:pPr>
      <w:r>
        <w:rPr>
          <w:spacing w:val="-49"/>
          <w:w w:val="95"/>
        </w:rPr>
        <w:t xml:space="preserve">工学交替”、“双元整合，学做一体”、“校企合作、技艺融合、 </w:t>
      </w:r>
      <w:r>
        <w:t>情境育人”等各具专业特色的人才培养模式，在真实的职业</w:t>
      </w:r>
    </w:p>
    <w:p>
      <w:pPr>
        <w:spacing w:after="0" w:line="292" w:lineRule="auto"/>
        <w:sectPr>
          <w:footerReference w:type="default" r:id="rId19"/>
          <w:pgSz w:w="17860" w:h="25260"/>
          <w:pgMar w:top="1840" w:right="1660" w:bottom="2060" w:left="2420" w:header="0" w:footer="1787"/>
          <w:pgNumType w:start="15"/>
          <w:cols w:space="708"/>
        </w:sectPr>
      </w:pPr>
    </w:p>
    <w:p>
      <w:pPr>
        <w:pStyle w:val="BodyText"/>
        <w:spacing w:before="13"/>
      </w:pPr>
      <w:r>
        <w:t>岗位环境中培养学生的职业能力，提高人才培养质量。</w:t>
      </w:r>
    </w:p>
    <w:p>
      <w:pPr>
        <w:pStyle w:val="BodyText"/>
        <w:spacing w:before="133" w:line="292" w:lineRule="auto"/>
        <w:ind w:right="1036" w:firstLine="961"/>
        <w:jc w:val="both"/>
      </w:pPr>
      <w:r>
        <w:rPr>
          <w:w w:val="95"/>
        </w:rPr>
        <w:t xml:space="preserve">与企业合作开发石油地球物理测井、构造地质、沉积岩 </w:t>
      </w:r>
      <w:r>
        <w:rPr>
          <w:spacing w:val="-6"/>
        </w:rPr>
        <w:t xml:space="preserve">与沉积相、油气田地下地质、石油地质、开发地质等 </w:t>
      </w:r>
      <w:r>
        <w:t>6</w:t>
      </w:r>
      <w:r>
        <w:rPr>
          <w:spacing w:val="-50"/>
        </w:rPr>
        <w:t xml:space="preserve"> 门核</w:t>
      </w:r>
      <w:r>
        <w:rPr>
          <w:spacing w:val="-7"/>
        </w:rPr>
        <w:t xml:space="preserve">心课程的特色教材，其他相关专业教材建设 </w:t>
      </w:r>
      <w:r>
        <w:t>5</w:t>
      </w:r>
      <w:r>
        <w:rPr>
          <w:spacing w:val="-24"/>
        </w:rPr>
        <w:t xml:space="preserve"> 门，并完成与</w:t>
      </w:r>
      <w:r>
        <w:t>之配套的课件、素材库，以适应新课程体系的教学要求。</w:t>
      </w:r>
    </w:p>
    <w:p>
      <w:pPr>
        <w:pStyle w:val="BodyText"/>
        <w:spacing w:before="2"/>
        <w:ind w:left="0"/>
        <w:rPr>
          <w:sz w:val="50"/>
        </w:rPr>
      </w:pPr>
    </w:p>
    <w:p>
      <w:pPr>
        <w:pStyle w:val="Heading1"/>
        <w:rPr>
          <w:rFonts w:ascii="黑体" w:eastAsia="黑体" w:hint="eastAsia"/>
        </w:rPr>
      </w:pPr>
      <w:bookmarkStart w:id="17" w:name="_TOC_250008"/>
      <w:bookmarkEnd w:id="17"/>
      <w:r>
        <w:rPr>
          <w:rFonts w:ascii="黑体" w:eastAsia="黑体" w:hint="eastAsia"/>
        </w:rPr>
        <w:t>四、油田公司支持学院建设发展有力</w:t>
      </w:r>
    </w:p>
    <w:p>
      <w:pPr>
        <w:pStyle w:val="BodyText"/>
        <w:spacing w:before="1"/>
        <w:ind w:left="0"/>
        <w:rPr>
          <w:rFonts w:ascii="黑体"/>
          <w:b/>
          <w:sz w:val="59"/>
        </w:rPr>
      </w:pPr>
    </w:p>
    <w:p>
      <w:pPr>
        <w:pStyle w:val="BodyText"/>
        <w:spacing w:line="304" w:lineRule="auto"/>
        <w:ind w:right="808" w:firstLine="961"/>
      </w:pPr>
      <w:r>
        <w:t>建院伊始，大港油田公司就为学院办学提供了良好的政策支持和制度保证。油田公司副总经理担任学院董事会的董</w:t>
      </w:r>
      <w:r>
        <w:rPr>
          <w:spacing w:val="-17"/>
          <w:w w:val="95"/>
        </w:rPr>
        <w:t xml:space="preserve">事长，董事会定期研究确定学院中长期发展规划，决定教育、 </w:t>
      </w:r>
      <w:r>
        <w:t>管理、改革、发展等重大事项。油田根据学院发展情况，每年投资教育教学基本建设项目，平均年投资 1500</w:t>
      </w:r>
      <w:r>
        <w:rPr>
          <w:spacing w:val="-5"/>
        </w:rPr>
        <w:t xml:space="preserve"> 多万元。多年来，按照油田领导“油田有多大，学校就有多大”的办学理念，充分利用学院坐落在大港油田公司的地缘优势，紧紧依托油区企业，积极探索“厂中校”的办学模式。</w:t>
      </w:r>
    </w:p>
    <w:p>
      <w:pPr>
        <w:pStyle w:val="BodyText"/>
        <w:spacing w:line="592" w:lineRule="exact"/>
        <w:ind w:left="1241"/>
      </w:pPr>
      <w:r>
        <w:t>油田在专业发展、课程建设、师资聘任、实习实训、技</w:t>
      </w:r>
    </w:p>
    <w:p>
      <w:pPr>
        <w:pStyle w:val="BodyText"/>
        <w:spacing w:before="163" w:line="304" w:lineRule="auto"/>
        <w:ind w:right="805"/>
      </w:pPr>
      <w:r>
        <w:t>术服务、学生就业等方面给以政策、制度支持，实行资源共</w:t>
      </w:r>
      <w:r>
        <w:rPr>
          <w:spacing w:val="-10"/>
        </w:rPr>
        <w:t xml:space="preserve">享，使学院不但始终保持高职 </w:t>
      </w:r>
      <w:r>
        <w:t>7500</w:t>
      </w:r>
      <w:r>
        <w:rPr>
          <w:spacing w:val="-16"/>
        </w:rPr>
        <w:t xml:space="preserve"> 人左右学生的办学规模， </w:t>
      </w:r>
      <w:r>
        <w:t>而且还比较好地发挥了油田职工培训中心和党校的功能。</w:t>
      </w:r>
    </w:p>
    <w:p>
      <w:pPr>
        <w:pStyle w:val="BodyText"/>
        <w:spacing w:before="9"/>
        <w:ind w:left="0"/>
        <w:rPr>
          <w:sz w:val="58"/>
        </w:rPr>
      </w:pPr>
    </w:p>
    <w:p>
      <w:pPr>
        <w:pStyle w:val="Heading1"/>
        <w:spacing w:before="1"/>
        <w:rPr>
          <w:rFonts w:ascii="黑体" w:eastAsia="黑体" w:hint="eastAsia"/>
        </w:rPr>
      </w:pPr>
      <w:bookmarkStart w:id="18" w:name="_TOC_250007"/>
      <w:bookmarkEnd w:id="18"/>
      <w:r>
        <w:rPr>
          <w:rFonts w:ascii="黑体" w:eastAsia="黑体" w:hint="eastAsia"/>
        </w:rPr>
        <w:t>五、服务地方，为区域经济发展提供支持</w:t>
      </w:r>
    </w:p>
    <w:p>
      <w:pPr>
        <w:pStyle w:val="BodyText"/>
        <w:spacing w:before="6"/>
        <w:ind w:left="0"/>
        <w:rPr>
          <w:rFonts w:ascii="黑体"/>
          <w:b/>
          <w:sz w:val="71"/>
        </w:rPr>
      </w:pPr>
    </w:p>
    <w:p>
      <w:pPr>
        <w:pStyle w:val="Heading1"/>
      </w:pPr>
      <w:bookmarkStart w:id="19" w:name="_TOC_250006"/>
      <w:bookmarkEnd w:id="19"/>
      <w:r>
        <w:t>（一）增强服务经济社会能力，为企业提供支持</w:t>
      </w:r>
    </w:p>
    <w:p>
      <w:pPr>
        <w:pStyle w:val="BodyText"/>
        <w:ind w:left="0"/>
        <w:rPr>
          <w:rFonts w:ascii="幼圆"/>
          <w:b/>
          <w:sz w:val="43"/>
        </w:rPr>
      </w:pPr>
    </w:p>
    <w:p>
      <w:pPr>
        <w:spacing w:before="0" w:line="304" w:lineRule="auto"/>
        <w:ind w:left="280" w:right="696" w:firstLine="961"/>
        <w:jc w:val="left"/>
        <w:rPr>
          <w:sz w:val="45"/>
        </w:rPr>
      </w:pPr>
      <w:r>
        <w:rPr>
          <w:sz w:val="48"/>
        </w:rPr>
        <w:t>学院努力发挥大港油田职工培训中心职能，大力开展企</w:t>
      </w:r>
      <w:r>
        <w:rPr>
          <w:position w:val="2"/>
          <w:sz w:val="48"/>
        </w:rPr>
        <w:t>业员工培训，</w:t>
      </w:r>
      <w:r>
        <w:rPr>
          <w:sz w:val="45"/>
        </w:rPr>
        <w:t>坚持“适应市场需求，实施规范管理，服务企业， 服务社会，服务学员，确保质量效益”的最大化，最大限度地占</w:t>
      </w:r>
    </w:p>
    <w:p>
      <w:pPr>
        <w:spacing w:after="0" w:line="304" w:lineRule="auto"/>
        <w:jc w:val="left"/>
        <w:rPr>
          <w:sz w:val="45"/>
        </w:rPr>
      </w:pPr>
      <w:r>
        <w:rPr>
          <w:sz w:val="45"/>
        </w:rPr>
        <w:br/>
      </w:r>
      <w:r>
        <w:rPr>
          <w:sz w:val="4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https://d.book118.com/027164111201006034</w:t>
        </w:r>
      </w:hyperlink>
    </w:p>
    <w:p>
      <w:pPr>
        <w:spacing w:after="0" w:line="304" w:lineRule="auto"/>
        <w:jc w:val="left"/>
        <w:rPr>
          <w:sz w:val="45"/>
        </w:rPr>
      </w:pPr>
    </w:p>
    <w:sectPr>
      <w:footerReference w:type="default" r:id="rId21"/>
      <w:pgSz w:w="17860" w:h="25260"/>
      <w:pgMar w:top="1840" w:right="1660" w:bottom="2060" w:left="2420" w:header="0" w:footer="1787"/>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Lucida Sans Unicode">
    <w:altName w:val="Lucida Sans Unicode"/>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0.7pt;height:16.9pt;margin-top:1158.17pt;margin-left:436.84pt;mso-position-horizontal-relative:page;mso-position-vertical-relative:page;position:absolute;z-index:-251658240"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0.7pt;height:16.9pt;margin-top:1158.17pt;margin-left:436.84pt;mso-position-horizontal-relative:page;mso-position-vertical-relative:page;position:absolute;z-index:-251657216"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0.7pt;height:16.9pt;margin-top:1158.17pt;margin-left:436.84pt;mso-position-horizontal-relative:page;mso-position-vertical-relative:page;position:absolute;z-index:-251656192"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0.7pt;height:16.9pt;margin-top:1158.17pt;margin-left:436.84pt;mso-position-horizontal-relative:page;mso-position-vertical-relative:page;position:absolute;z-index:-251655168"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0.7pt;height:16.9pt;margin-top:1158.17pt;margin-left:436.84pt;mso-position-horizontal-relative:page;mso-position-vertical-relative:page;position:absolute;z-index:-251654144"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0.7pt;height:16.9pt;margin-top:1158.17pt;margin-left:436.84pt;mso-position-horizontal-relative:page;mso-position-vertical-relative:page;position:absolute;z-index:-251653120"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0.7pt;height:16.9pt;margin-top:1158.17pt;margin-left:436.84pt;mso-position-horizontal-relative:page;mso-position-vertical-relative:page;position:absolute;z-index:-251652096"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0.7pt;height:16.9pt;margin-top:1158.17pt;margin-left:436.84pt;mso-position-horizontal-relative:page;mso-position-vertical-relative:page;position:absolute;z-index:-251651072"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0.7pt;height:16.9pt;margin-top:1158.17pt;margin-left:436.84pt;mso-position-horizontal-relative:page;mso-position-vertical-relative:page;position:absolute;z-index:-251650048"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0.7pt;height:16.9pt;margin-top:1158.17pt;margin-left:436.84pt;mso-position-horizontal-relative:page;mso-position-vertical-relative:page;position:absolute;z-index:-251649024"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0.7pt;height:16.9pt;margin-top:1158.17pt;margin-left:436.84pt;mso-position-horizontal-relative:page;mso-position-vertical-relative:page;position:absolute;z-index:-251648000"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0.7pt;height:16.9pt;margin-top:1158.17pt;margin-left:436.84pt;mso-position-horizontal-relative:page;mso-position-vertical-relative:page;position:absolute;z-index:-251646976"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0.7pt;height:16.9pt;margin-top:1158.17pt;margin-left:436.84pt;mso-position-horizontal-relative:page;mso-position-vertical-relative:page;position:absolute;z-index:-251645952"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0.7pt;height:16.9pt;margin-top:1158.17pt;margin-left:436.84pt;mso-position-horizontal-relative:page;mso-position-vertical-relative:page;position:absolute;z-index:-251644928"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20.7pt;height:16.9pt;margin-top:1158.17pt;margin-left:436.84pt;mso-position-horizontal-relative:page;mso-position-vertical-relative:page;position:absolute;z-index:-251643904"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20.7pt;height:16.9pt;margin-top:1158.17pt;margin-left:436.84pt;mso-position-horizontal-relative:page;mso-position-vertical-relative:page;position:absolute;z-index:-251642880" filled="f" stroked="f">
          <v:textbox inset="0,0,0,0">
            <w:txbxContent>
              <w:p>
                <w:pPr>
                  <w:spacing w:before="38" w:line="299" w:lineRule="exact"/>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17</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3A4D8C"/>
    <w:multiLevelType w:val="hybridMultilevel"/>
    <w:tmpl w:val="00000000"/>
    <w:lvl w:ilvl="0">
      <w:start w:val="3"/>
      <w:numFmt w:val="decimal"/>
      <w:lvlText w:val="%1."/>
      <w:lvlJc w:val="left"/>
      <w:pPr>
        <w:ind w:left="280" w:hanging="490"/>
        <w:jc w:val="left"/>
      </w:pPr>
      <w:rPr>
        <w:rFonts w:ascii="宋体" w:eastAsia="宋体" w:hAnsi="宋体" w:cs="宋体" w:hint="default"/>
        <w:w w:val="99"/>
        <w:sz w:val="46"/>
        <w:szCs w:val="46"/>
      </w:rPr>
    </w:lvl>
    <w:lvl w:ilvl="1">
      <w:start w:val="0"/>
      <w:numFmt w:val="bullet"/>
      <w:lvlText w:val="•"/>
      <w:lvlJc w:val="left"/>
      <w:pPr>
        <w:ind w:left="1629" w:hanging="490"/>
      </w:pPr>
      <w:rPr>
        <w:rFonts w:hint="default"/>
      </w:rPr>
    </w:lvl>
    <w:lvl w:ilvl="2">
      <w:start w:val="0"/>
      <w:numFmt w:val="bullet"/>
      <w:lvlText w:val="•"/>
      <w:lvlJc w:val="left"/>
      <w:pPr>
        <w:ind w:left="2979" w:hanging="490"/>
      </w:pPr>
      <w:rPr>
        <w:rFonts w:hint="default"/>
      </w:rPr>
    </w:lvl>
    <w:lvl w:ilvl="3">
      <w:start w:val="0"/>
      <w:numFmt w:val="bullet"/>
      <w:lvlText w:val="•"/>
      <w:lvlJc w:val="left"/>
      <w:pPr>
        <w:ind w:left="4329" w:hanging="490"/>
      </w:pPr>
      <w:rPr>
        <w:rFonts w:hint="default"/>
      </w:rPr>
    </w:lvl>
    <w:lvl w:ilvl="4">
      <w:start w:val="0"/>
      <w:numFmt w:val="bullet"/>
      <w:lvlText w:val="•"/>
      <w:lvlJc w:val="left"/>
      <w:pPr>
        <w:ind w:left="5679" w:hanging="490"/>
      </w:pPr>
      <w:rPr>
        <w:rFonts w:hint="default"/>
      </w:rPr>
    </w:lvl>
    <w:lvl w:ilvl="5">
      <w:start w:val="0"/>
      <w:numFmt w:val="bullet"/>
      <w:lvlText w:val="•"/>
      <w:lvlJc w:val="left"/>
      <w:pPr>
        <w:ind w:left="7029" w:hanging="490"/>
      </w:pPr>
      <w:rPr>
        <w:rFonts w:hint="default"/>
      </w:rPr>
    </w:lvl>
    <w:lvl w:ilvl="6">
      <w:start w:val="0"/>
      <w:numFmt w:val="bullet"/>
      <w:lvlText w:val="•"/>
      <w:lvlJc w:val="left"/>
      <w:pPr>
        <w:ind w:left="8379" w:hanging="490"/>
      </w:pPr>
      <w:rPr>
        <w:rFonts w:hint="default"/>
      </w:rPr>
    </w:lvl>
    <w:lvl w:ilvl="7">
      <w:start w:val="0"/>
      <w:numFmt w:val="bullet"/>
      <w:lvlText w:val="•"/>
      <w:lvlJc w:val="left"/>
      <w:pPr>
        <w:ind w:left="9729" w:hanging="490"/>
      </w:pPr>
      <w:rPr>
        <w:rFonts w:hint="default"/>
      </w:rPr>
    </w:lvl>
    <w:lvl w:ilvl="8">
      <w:start w:val="0"/>
      <w:numFmt w:val="bullet"/>
      <w:lvlText w:val="•"/>
      <w:lvlJc w:val="left"/>
      <w:pPr>
        <w:ind w:left="11079" w:hanging="49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0"/>
      <w:outlineLvl w:val="0"/>
    </w:pPr>
    <w:rPr>
      <w:rFonts w:ascii="幼圆" w:eastAsia="幼圆" w:hAnsi="幼圆" w:cs="幼圆"/>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41"/>
      <w:ind w:left="280"/>
    </w:pPr>
    <w:rPr>
      <w:rFonts w:ascii="黑体" w:eastAsia="黑体" w:hAnsi="黑体" w:cs="黑体"/>
      <w:sz w:val="36"/>
      <w:szCs w:val="36"/>
    </w:rPr>
  </w:style>
  <w:style w:type="paragraph" w:styleId="TOC2">
    <w:name w:val="toc 2"/>
    <w:basedOn w:val="Normal"/>
    <w:uiPriority w:val="1"/>
    <w:qFormat/>
    <w:pPr>
      <w:spacing w:before="241"/>
      <w:ind w:left="910"/>
    </w:pPr>
    <w:rPr>
      <w:rFonts w:ascii="宋体" w:eastAsia="宋体" w:hAnsi="宋体" w:cs="宋体"/>
      <w:sz w:val="36"/>
      <w:szCs w:val="36"/>
    </w:rPr>
  </w:style>
  <w:style w:type="paragraph" w:styleId="BodyText">
    <w:name w:val="Body Text"/>
    <w:basedOn w:val="Normal"/>
    <w:uiPriority w:val="1"/>
    <w:qFormat/>
    <w:pPr>
      <w:ind w:left="280"/>
    </w:pPr>
    <w:rPr>
      <w:rFonts w:ascii="宋体" w:eastAsia="宋体" w:hAnsi="宋体" w:cs="宋体"/>
      <w:sz w:val="48"/>
      <w:szCs w:val="48"/>
    </w:rPr>
  </w:style>
  <w:style w:type="paragraph" w:styleId="ListParagraph">
    <w:name w:val="List Paragraph"/>
    <w:basedOn w:val="Normal"/>
    <w:uiPriority w:val="1"/>
    <w:qFormat/>
    <w:pPr>
      <w:spacing w:before="2"/>
      <w:ind w:left="280" w:firstLine="723"/>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image" Target="media/image1.png"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hyperlink" Target="https://d.book118.com/027164111201006034" TargetMode="External" /><Relationship Id="rId21" Type="http://schemas.openxmlformats.org/officeDocument/2006/relationships/footer" Target="footer16.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2024-01-08T06:05:10Z</dcterms:created>
  <dcterms:modified xsi:type="dcterms:W3CDTF">2024-01-08T06:05:10Z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2024-01-08T00:00:00Z</vt:filetime>
  </property>
</Properties>
</file>