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186" w:line="219" w:lineRule="auto"/>
        <w:ind w:left="1097"/>
        <w:outlineLvl w:val="0"/>
      </w:pPr>
      <w:r>
        <w:rPr>
          <w:b/>
          <w:bCs/>
          <w:spacing w:val="47"/>
        </w:rPr>
        <w:t>最新修订版液氨存储与装卸作业安全技术规范</w:t>
      </w:r>
    </w:p>
    <w:p>
      <w:pPr>
        <w:spacing w:line="270" w:lineRule="auto"/>
      </w:pPr>
    </w:p>
    <w:p>
      <w:pPr>
        <w:spacing w:line="270" w:lineRule="auto"/>
      </w:pPr>
    </w:p>
    <w:p>
      <w:pPr>
        <w:spacing w:line="270" w:lineRule="auto"/>
      </w:pPr>
    </w:p>
    <w:p>
      <w:pPr>
        <w:pStyle w:val="BodyText"/>
        <w:spacing w:before="88" w:line="219" w:lineRule="auto"/>
        <w:jc w:val="right"/>
        <w:rPr>
          <w:rFonts w:ascii="Times New Roman" w:eastAsia="Times New Roman" w:hAnsi="Times New Roman" w:cs="Times New Roman"/>
        </w:rPr>
      </w:pPr>
      <w:r>
        <w:rPr>
          <w:spacing w:val="-3"/>
        </w:rPr>
        <w:t>山东省地方标准</w:t>
      </w:r>
      <w:r>
        <w:rPr>
          <w:rFonts w:ascii="Times New Roman" w:eastAsia="Times New Roman" w:hAnsi="Times New Roman" w:cs="Times New Roman"/>
          <w:spacing w:val="-3"/>
        </w:rPr>
        <w:t xml:space="preserve">DB37/ T    1914-2024               </w:t>
      </w:r>
      <w:r>
        <w:rPr>
          <w:spacing w:val="-3"/>
        </w:rPr>
        <w:t xml:space="preserve">代替 </w:t>
      </w:r>
      <w:r>
        <w:rPr>
          <w:rFonts w:ascii="Times New Roman" w:eastAsia="Times New Roman" w:hAnsi="Times New Roman" w:cs="Times New Roman"/>
          <w:spacing w:val="-3"/>
        </w:rPr>
        <w:t>DB</w:t>
      </w:r>
      <w:r>
        <w:rPr>
          <w:rFonts w:ascii="Times New Roman" w:eastAsia="Times New Roman" w:hAnsi="Times New Roman" w:cs="Times New Roman"/>
          <w:spacing w:val="-4"/>
        </w:rPr>
        <w:t>37/</w:t>
      </w:r>
      <w:r>
        <w:rPr>
          <w:rFonts w:ascii="Times New Roman" w:eastAsia="Times New Roman" w:hAnsi="Times New Roman" w:cs="Times New Roman"/>
          <w:spacing w:val="18"/>
        </w:rPr>
        <w:t xml:space="preserve"> </w:t>
      </w:r>
      <w:r>
        <w:rPr>
          <w:rFonts w:ascii="Times New Roman" w:eastAsia="Times New Roman" w:hAnsi="Times New Roman" w:cs="Times New Roman"/>
          <w:spacing w:val="-4"/>
        </w:rPr>
        <w:t>T    1914-2011</w:t>
      </w:r>
    </w:p>
    <w:p>
      <w:pPr>
        <w:pStyle w:val="BodyText"/>
        <w:spacing w:before="298" w:line="227" w:lineRule="auto"/>
        <w:ind w:left="673"/>
      </w:pPr>
      <w:r>
        <w:rPr>
          <w:spacing w:val="5"/>
        </w:rPr>
        <w:t>山东省市场监督管理局2024-01-2</w:t>
      </w:r>
      <w:r>
        <w:rPr>
          <w:spacing w:val="4"/>
        </w:rPr>
        <w:t xml:space="preserve">9 发布       </w:t>
      </w:r>
      <w:r>
        <w:rPr>
          <w:rFonts w:ascii="Times New Roman" w:eastAsia="Times New Roman" w:hAnsi="Times New Roman" w:cs="Times New Roman"/>
          <w:spacing w:val="4"/>
        </w:rPr>
        <w:t xml:space="preserve">2024-02-29   </w:t>
      </w:r>
      <w:r>
        <w:rPr>
          <w:spacing w:val="4"/>
        </w:rPr>
        <w:t>实施</w:t>
      </w:r>
    </w:p>
    <w:p>
      <w:pPr>
        <w:spacing w:line="274" w:lineRule="auto"/>
      </w:pPr>
    </w:p>
    <w:p>
      <w:pPr>
        <w:spacing w:line="274" w:lineRule="auto"/>
      </w:pPr>
    </w:p>
    <w:p>
      <w:pPr>
        <w:spacing w:line="274" w:lineRule="auto"/>
      </w:pPr>
    </w:p>
    <w:p>
      <w:pPr>
        <w:pStyle w:val="BodyText"/>
        <w:spacing w:before="88" w:line="219" w:lineRule="auto"/>
        <w:ind w:left="4227"/>
      </w:pPr>
      <w:r>
        <w:rPr>
          <w:b/>
          <w:bCs/>
          <w:spacing w:val="-34"/>
        </w:rPr>
        <w:t>目</w:t>
      </w:r>
      <w:r>
        <w:rPr>
          <w:spacing w:val="5"/>
        </w:rPr>
        <w:t xml:space="preserve">   </w:t>
      </w:r>
      <w:r>
        <w:rPr>
          <w:b/>
          <w:bCs/>
          <w:spacing w:val="-34"/>
        </w:rPr>
        <w:t>次</w:t>
      </w:r>
    </w:p>
    <w:p>
      <w:pPr>
        <w:spacing w:line="245" w:lineRule="auto"/>
      </w:pPr>
    </w:p>
    <w:p>
      <w:pPr>
        <w:pStyle w:val="BodyText"/>
        <w:spacing w:before="88" w:line="221" w:lineRule="auto"/>
        <w:ind w:left="333"/>
      </w:pPr>
      <w:r>
        <w:rPr>
          <w:spacing w:val="-1"/>
        </w:rPr>
        <w:t>前言</w:t>
      </w:r>
      <w:r>
        <w:rPr>
          <w:spacing w:val="2"/>
        </w:rPr>
        <w:t xml:space="preserve">                                     </w:t>
      </w:r>
      <w:r>
        <w:rPr>
          <w:spacing w:val="1"/>
        </w:rPr>
        <w:t xml:space="preserve">          </w:t>
      </w:r>
      <w:r>
        <w:rPr>
          <w:spacing w:val="-1"/>
        </w:rPr>
        <w:t>……</w:t>
      </w:r>
    </w:p>
    <w:p>
      <w:pPr>
        <w:pStyle w:val="BodyText"/>
        <w:spacing w:before="272" w:line="220" w:lineRule="auto"/>
        <w:ind w:left="337"/>
      </w:pPr>
      <w:r>
        <w:rPr>
          <w:b/>
          <w:bCs/>
          <w:spacing w:val="-4"/>
        </w:rPr>
        <w:t>1</w:t>
      </w:r>
      <w:r>
        <w:rPr>
          <w:spacing w:val="-4"/>
        </w:rPr>
        <w:t xml:space="preserve"> </w:t>
      </w:r>
      <w:r>
        <w:rPr>
          <w:b/>
          <w:bCs/>
          <w:spacing w:val="-4"/>
        </w:rPr>
        <w:t>范</w:t>
      </w:r>
      <w:r>
        <w:rPr>
          <w:spacing w:val="38"/>
        </w:rPr>
        <w:t xml:space="preserve"> </w:t>
      </w:r>
      <w:r>
        <w:rPr>
          <w:b/>
          <w:bCs/>
          <w:spacing w:val="-4"/>
        </w:rPr>
        <w:t>围</w:t>
      </w:r>
      <w:r>
        <w:rPr>
          <w:spacing w:val="-4"/>
        </w:rPr>
        <w:t xml:space="preserve">               ………………………………………………</w:t>
      </w:r>
    </w:p>
    <w:p>
      <w:pPr>
        <w:pStyle w:val="BodyText"/>
        <w:spacing w:before="327" w:line="219" w:lineRule="auto"/>
        <w:ind w:left="337"/>
      </w:pPr>
      <w:r>
        <w:rPr>
          <w:b/>
          <w:bCs/>
          <w:spacing w:val="5"/>
        </w:rPr>
        <w:t>2</w:t>
      </w:r>
      <w:r>
        <w:rPr>
          <w:spacing w:val="-56"/>
        </w:rPr>
        <w:t xml:space="preserve"> </w:t>
      </w:r>
      <w:r>
        <w:rPr>
          <w:b/>
          <w:bCs/>
          <w:spacing w:val="5"/>
        </w:rPr>
        <w:t>规范性引用文件</w:t>
      </w:r>
      <w:r>
        <w:rPr>
          <w:spacing w:val="5"/>
        </w:rPr>
        <w:t xml:space="preserve">          </w:t>
      </w:r>
      <w:r>
        <w:rPr>
          <w:b/>
          <w:bCs/>
          <w:spacing w:val="5"/>
        </w:rPr>
        <w:t>…</w:t>
      </w:r>
      <w:r>
        <w:rPr>
          <w:b/>
          <w:bCs/>
          <w:spacing w:val="4"/>
        </w:rPr>
        <w:t>…………………………………</w:t>
      </w:r>
    </w:p>
    <w:p>
      <w:pPr>
        <w:pStyle w:val="BodyText"/>
        <w:spacing w:before="300" w:line="219" w:lineRule="auto"/>
        <w:ind w:left="337"/>
      </w:pPr>
      <w:r>
        <w:rPr>
          <w:b/>
          <w:bCs/>
          <w:spacing w:val="3"/>
        </w:rPr>
        <w:t>3</w:t>
      </w:r>
      <w:r>
        <w:rPr>
          <w:spacing w:val="-38"/>
        </w:rPr>
        <w:t xml:space="preserve"> </w:t>
      </w:r>
      <w:r>
        <w:rPr>
          <w:b/>
          <w:bCs/>
          <w:spacing w:val="3"/>
        </w:rPr>
        <w:t>术语和定义</w:t>
      </w:r>
      <w:r>
        <w:rPr>
          <w:spacing w:val="3"/>
        </w:rPr>
        <w:t xml:space="preserve"> ………………………………………………………</w:t>
      </w:r>
    </w:p>
    <w:p>
      <w:pPr>
        <w:pStyle w:val="BodyText"/>
        <w:spacing w:before="288" w:line="219" w:lineRule="auto"/>
        <w:ind w:left="337"/>
      </w:pPr>
      <w:r>
        <w:rPr>
          <w:b/>
          <w:bCs/>
          <w:spacing w:val="-3"/>
        </w:rPr>
        <w:t>4</w:t>
      </w:r>
      <w:r>
        <w:rPr>
          <w:spacing w:val="-70"/>
        </w:rPr>
        <w:t xml:space="preserve"> </w:t>
      </w:r>
      <w:r>
        <w:rPr>
          <w:b/>
          <w:bCs/>
          <w:spacing w:val="-3"/>
        </w:rPr>
        <w:t>缩</w:t>
      </w:r>
      <w:r>
        <w:rPr>
          <w:spacing w:val="-46"/>
        </w:rPr>
        <w:t xml:space="preserve"> </w:t>
      </w:r>
      <w:r>
        <w:rPr>
          <w:b/>
          <w:bCs/>
          <w:spacing w:val="-3"/>
        </w:rPr>
        <w:t>略</w:t>
      </w:r>
      <w:r>
        <w:rPr>
          <w:spacing w:val="-57"/>
        </w:rPr>
        <w:t xml:space="preserve"> </w:t>
      </w:r>
      <w:r>
        <w:rPr>
          <w:b/>
          <w:bCs/>
          <w:spacing w:val="-3"/>
        </w:rPr>
        <w:t>语</w:t>
      </w:r>
      <w:r>
        <w:rPr>
          <w:spacing w:val="87"/>
        </w:rPr>
        <w:t xml:space="preserve"> </w:t>
      </w:r>
      <w:r>
        <w:rPr>
          <w:spacing w:val="-3"/>
        </w:rPr>
        <w:t>…………………………………………</w:t>
      </w:r>
      <w:r>
        <w:rPr>
          <w:spacing w:val="-4"/>
        </w:rPr>
        <w:t>……………………</w:t>
      </w:r>
    </w:p>
    <w:p/>
    <w:p>
      <w:pPr>
        <w:pStyle w:val="BodyText"/>
        <w:spacing w:before="88" w:line="219" w:lineRule="auto"/>
        <w:ind w:left="337"/>
      </w:pPr>
      <w:r>
        <w:rPr>
          <w:b/>
          <w:bCs/>
          <w:spacing w:val="4"/>
        </w:rPr>
        <w:t>5</w:t>
      </w:r>
      <w:r>
        <w:rPr>
          <w:spacing w:val="-64"/>
        </w:rPr>
        <w:t xml:space="preserve"> </w:t>
      </w:r>
      <w:r>
        <w:rPr>
          <w:b/>
          <w:bCs/>
          <w:spacing w:val="4"/>
        </w:rPr>
        <w:t>基本要求</w:t>
      </w:r>
      <w:r>
        <w:rPr>
          <w:spacing w:val="4"/>
        </w:rPr>
        <w:t xml:space="preserve"> …………………………………</w:t>
      </w:r>
      <w:r>
        <w:rPr>
          <w:spacing w:val="3"/>
        </w:rPr>
        <w:t>………………………</w:t>
      </w:r>
    </w:p>
    <w:p>
      <w:pPr>
        <w:pStyle w:val="BodyText"/>
        <w:spacing w:before="294" w:line="219" w:lineRule="auto"/>
        <w:ind w:left="333"/>
      </w:pPr>
      <w:r>
        <w:rPr>
          <w:spacing w:val="3"/>
        </w:rPr>
        <w:t>5.1</w:t>
      </w:r>
      <w:r>
        <w:rPr>
          <w:spacing w:val="-64"/>
        </w:rPr>
        <w:t xml:space="preserve"> </w:t>
      </w:r>
      <w:r>
        <w:rPr>
          <w:spacing w:val="3"/>
        </w:rPr>
        <w:t>选址与平面布置……………………………………………</w:t>
      </w:r>
      <w:r>
        <w:rPr>
          <w:spacing w:val="2"/>
        </w:rPr>
        <w:t>……</w:t>
      </w:r>
    </w:p>
    <w:p>
      <w:pPr>
        <w:pStyle w:val="BodyText"/>
        <w:spacing w:before="292" w:line="221" w:lineRule="auto"/>
        <w:ind w:left="333"/>
        <w:rPr>
          <w:rFonts w:ascii="Times New Roman" w:eastAsia="Times New Roman" w:hAnsi="Times New Roman" w:cs="Times New Roman"/>
        </w:rPr>
      </w:pPr>
      <w:r>
        <w:rPr>
          <w:rFonts w:ascii="Times New Roman" w:eastAsia="Times New Roman" w:hAnsi="Times New Roman" w:cs="Times New Roman"/>
          <w:spacing w:val="1"/>
        </w:rPr>
        <w:t xml:space="preserve">5.2   </w:t>
      </w:r>
      <w:r>
        <w:rPr>
          <w:spacing w:val="1"/>
        </w:rPr>
        <w:t>设备设施</w:t>
      </w:r>
      <w:r>
        <w:rPr>
          <w:rFonts w:ascii="Times New Roman" w:eastAsia="Times New Roman" w:hAnsi="Times New Roman" w:cs="Times New Roman"/>
          <w:spacing w:val="1"/>
        </w:rPr>
        <w:t>…………………………………………………</w:t>
      </w:r>
      <w:r>
        <w:rPr>
          <w:rFonts w:ascii="Times New Roman" w:eastAsia="Times New Roman" w:hAnsi="Times New Roman" w:cs="Times New Roman"/>
        </w:rPr>
        <w:t>……</w:t>
      </w:r>
      <w:r>
        <w:rPr>
          <w:rFonts w:ascii="Times New Roman" w:eastAsia="Times New Roman" w:hAnsi="Times New Roman" w:cs="Times New Roman"/>
          <w:spacing w:val="-28"/>
        </w:rPr>
        <w:t xml:space="preserve"> </w:t>
      </w:r>
      <w:r>
        <w:rPr>
          <w:rFonts w:ascii="Times New Roman" w:eastAsia="Times New Roman" w:hAnsi="Times New Roman" w:cs="Times New Roman"/>
        </w:rPr>
        <w:t>..</w:t>
      </w:r>
    </w:p>
    <w:p>
      <w:pPr>
        <w:pStyle w:val="BodyText"/>
        <w:spacing w:before="306" w:line="220" w:lineRule="auto"/>
        <w:ind w:left="333"/>
      </w:pPr>
      <w:r>
        <w:rPr>
          <w:spacing w:val="2"/>
        </w:rPr>
        <w:t>5.3</w:t>
      </w:r>
      <w:r>
        <w:rPr>
          <w:spacing w:val="-37"/>
        </w:rPr>
        <w:t xml:space="preserve"> </w:t>
      </w:r>
      <w:r>
        <w:rPr>
          <w:spacing w:val="2"/>
        </w:rPr>
        <w:t>消防设施…………………………………………………………</w:t>
      </w:r>
    </w:p>
    <w:p>
      <w:pPr>
        <w:pStyle w:val="BodyText"/>
        <w:spacing w:before="309" w:line="220" w:lineRule="auto"/>
        <w:ind w:left="333"/>
      </w:pPr>
      <w:r>
        <w:rPr>
          <w:spacing w:val="2"/>
        </w:rPr>
        <w:t>5.4</w:t>
      </w:r>
      <w:r>
        <w:rPr>
          <w:spacing w:val="-47"/>
        </w:rPr>
        <w:t xml:space="preserve"> </w:t>
      </w:r>
      <w:r>
        <w:rPr>
          <w:spacing w:val="2"/>
        </w:rPr>
        <w:t>安全警示标识……………………………………………………</w:t>
      </w:r>
    </w:p>
    <w:p>
      <w:pPr>
        <w:pStyle w:val="BodyText"/>
        <w:spacing w:before="287" w:line="219" w:lineRule="auto"/>
        <w:ind w:left="333"/>
        <w:rPr>
          <w:rFonts w:ascii="Times New Roman" w:eastAsia="Times New Roman" w:hAnsi="Times New Roman" w:cs="Times New Roman"/>
        </w:rPr>
      </w:pPr>
      <w:r>
        <w:rPr>
          <w:rFonts w:ascii="Times New Roman" w:eastAsia="Times New Roman" w:hAnsi="Times New Roman" w:cs="Times New Roman"/>
        </w:rPr>
        <w:t xml:space="preserve">5.5  </w:t>
      </w:r>
      <w:r>
        <w:t>管理制度及操作规程</w:t>
      </w:r>
      <w:r>
        <w:rPr>
          <w:rFonts w:ascii="Times New Roman" w:eastAsia="Times New Roman" w:hAnsi="Times New Roman" w:cs="Times New Roman"/>
        </w:rPr>
        <w:t>………………………………</w:t>
      </w:r>
      <w:r>
        <w:rPr>
          <w:rFonts w:ascii="Times New Roman" w:eastAsia="Times New Roman" w:hAnsi="Times New Roman" w:cs="Times New Roman"/>
          <w:spacing w:val="-1"/>
        </w:rPr>
        <w:t>…………...</w:t>
      </w:r>
    </w:p>
    <w:p>
      <w:pPr>
        <w:pStyle w:val="BodyText"/>
        <w:spacing w:before="311" w:line="220" w:lineRule="auto"/>
        <w:ind w:left="333"/>
        <w:rPr>
          <w:rFonts w:ascii="Times New Roman" w:eastAsia="Times New Roman" w:hAnsi="Times New Roman" w:cs="Times New Roman"/>
        </w:rPr>
      </w:pPr>
      <w:r>
        <w:rPr>
          <w:rFonts w:ascii="Times New Roman" w:eastAsia="Times New Roman" w:hAnsi="Times New Roman" w:cs="Times New Roman"/>
        </w:rPr>
        <w:t xml:space="preserve">5.6  </w:t>
      </w:r>
      <w:r>
        <w:t>安全培训</w:t>
      </w:r>
      <w:r>
        <w:rPr>
          <w:rFonts w:ascii="Times New Roman" w:eastAsia="Times New Roman" w:hAnsi="Times New Roman" w:cs="Times New Roman"/>
        </w:rPr>
        <w:t>……………………………………………………</w:t>
      </w:r>
      <w:r>
        <w:rPr>
          <w:rFonts w:ascii="Times New Roman" w:eastAsia="Times New Roman" w:hAnsi="Times New Roman" w:cs="Times New Roman"/>
          <w:spacing w:val="34"/>
        </w:rPr>
        <w:t xml:space="preserve"> </w:t>
      </w:r>
      <w:r>
        <w:rPr>
          <w:rFonts w:ascii="Times New Roman" w:eastAsia="Times New Roman" w:hAnsi="Times New Roman" w:cs="Times New Roman"/>
        </w:rPr>
        <w:t>....</w:t>
      </w:r>
    </w:p>
    <w:p>
      <w:pPr>
        <w:pStyle w:val="BodyText"/>
        <w:spacing w:before="303" w:line="219" w:lineRule="auto"/>
        <w:ind w:left="337"/>
      </w:pPr>
      <w:r>
        <w:rPr>
          <w:b/>
          <w:bCs/>
          <w:spacing w:val="2"/>
        </w:rPr>
        <w:t>6</w:t>
      </w:r>
      <w:r>
        <w:rPr>
          <w:spacing w:val="-61"/>
        </w:rPr>
        <w:t xml:space="preserve"> </w:t>
      </w:r>
      <w:r>
        <w:rPr>
          <w:b/>
          <w:bCs/>
          <w:spacing w:val="2"/>
        </w:rPr>
        <w:t>安全技术要求</w:t>
      </w:r>
      <w:r>
        <w:rPr>
          <w:spacing w:val="2"/>
        </w:rPr>
        <w:t xml:space="preserve">  ……………………………………………………</w:t>
      </w:r>
    </w:p>
    <w:p>
      <w:pPr>
        <w:pStyle w:val="BodyText"/>
        <w:spacing w:before="324" w:line="219" w:lineRule="auto"/>
        <w:ind w:left="333"/>
      </w:pPr>
      <w:r>
        <w:rPr>
          <w:spacing w:val="2"/>
        </w:rPr>
        <w:t>6.1</w:t>
      </w:r>
      <w:r>
        <w:rPr>
          <w:spacing w:val="-27"/>
        </w:rPr>
        <w:t xml:space="preserve"> </w:t>
      </w:r>
      <w:r>
        <w:rPr>
          <w:spacing w:val="2"/>
        </w:rPr>
        <w:t>个体防护…………………………………………………………</w:t>
      </w:r>
    </w:p>
    <w:p>
      <w:pPr>
        <w:pStyle w:val="BodyText"/>
        <w:spacing w:before="280" w:line="219" w:lineRule="auto"/>
        <w:ind w:left="333"/>
      </w:pPr>
      <w:r>
        <w:rPr>
          <w:spacing w:val="3"/>
        </w:rPr>
        <w:t>6.2</w:t>
      </w:r>
      <w:r>
        <w:rPr>
          <w:spacing w:val="-44"/>
        </w:rPr>
        <w:t xml:space="preserve"> </w:t>
      </w:r>
      <w:r>
        <w:rPr>
          <w:spacing w:val="3"/>
        </w:rPr>
        <w:t>安全操作</w:t>
      </w:r>
      <w:r>
        <w:rPr>
          <w:spacing w:val="-33"/>
        </w:rPr>
        <w:t xml:space="preserve"> </w:t>
      </w:r>
      <w:r>
        <w:rPr>
          <w:spacing w:val="3"/>
        </w:rPr>
        <w:t>………………………………………………………</w:t>
      </w:r>
    </w:p>
    <w:p>
      <w:pPr>
        <w:spacing w:line="251" w:lineRule="auto"/>
      </w:pPr>
    </w:p>
    <w:p>
      <w:pPr>
        <w:pStyle w:val="BodyText"/>
        <w:spacing w:before="88" w:line="220" w:lineRule="auto"/>
        <w:ind w:left="333"/>
      </w:pPr>
      <w:r>
        <w:rPr>
          <w:spacing w:val="4"/>
        </w:rPr>
        <w:t>6.3</w:t>
      </w:r>
      <w:r>
        <w:rPr>
          <w:spacing w:val="-47"/>
        </w:rPr>
        <w:t xml:space="preserve"> </w:t>
      </w:r>
      <w:r>
        <w:rPr>
          <w:spacing w:val="4"/>
        </w:rPr>
        <w:t>安全确认</w:t>
      </w:r>
      <w:r>
        <w:rPr>
          <w:spacing w:val="71"/>
        </w:rPr>
        <w:t xml:space="preserve"> </w:t>
      </w:r>
      <w:r>
        <w:rPr>
          <w:spacing w:val="4"/>
        </w:rPr>
        <w:t>………………………………</w:t>
      </w:r>
      <w:r>
        <w:rPr>
          <w:spacing w:val="3"/>
        </w:rPr>
        <w:t>………………………</w:t>
      </w:r>
    </w:p>
    <w:p>
      <w:pPr>
        <w:spacing w:line="220" w:lineRule="auto"/>
        <w:sectPr>
          <w:pgSz w:w="11910" w:h="16840"/>
          <w:pgMar w:top="1431" w:right="1427" w:bottom="0" w:left="1786" w:header="0" w:footer="0" w:gutter="0"/>
          <w:cols w:space="708"/>
        </w:sectPr>
      </w:pPr>
    </w:p>
    <w:p>
      <w:pPr>
        <w:pStyle w:val="BodyText"/>
        <w:spacing w:before="186" w:line="219" w:lineRule="auto"/>
        <w:ind w:left="337"/>
      </w:pPr>
      <w:r>
        <w:rPr>
          <w:b/>
          <w:bCs/>
          <w:spacing w:val="4"/>
        </w:rPr>
        <w:t>7</w:t>
      </w:r>
      <w:r>
        <w:rPr>
          <w:spacing w:val="4"/>
        </w:rPr>
        <w:t xml:space="preserve"> </w:t>
      </w:r>
      <w:r>
        <w:rPr>
          <w:b/>
          <w:bCs/>
          <w:spacing w:val="4"/>
        </w:rPr>
        <w:t>存储作业</w:t>
      </w:r>
      <w:r>
        <w:rPr>
          <w:spacing w:val="2"/>
        </w:rPr>
        <w:t xml:space="preserve">            </w:t>
      </w:r>
      <w:r>
        <w:rPr>
          <w:spacing w:val="4"/>
        </w:rPr>
        <w:t>…………………………………………</w:t>
      </w:r>
    </w:p>
    <w:p>
      <w:pPr>
        <w:pStyle w:val="BodyText"/>
        <w:spacing w:before="273" w:line="219" w:lineRule="auto"/>
        <w:ind w:left="333"/>
      </w:pPr>
      <w:r>
        <w:rPr>
          <w:spacing w:val="3"/>
        </w:rPr>
        <w:t>7.1</w:t>
      </w:r>
      <w:r>
        <w:rPr>
          <w:spacing w:val="-63"/>
        </w:rPr>
        <w:t xml:space="preserve"> </w:t>
      </w:r>
      <w:r>
        <w:rPr>
          <w:spacing w:val="3"/>
        </w:rPr>
        <w:t>首次接液氨前的准备…………………</w:t>
      </w:r>
      <w:r>
        <w:rPr>
          <w:spacing w:val="2"/>
        </w:rPr>
        <w:t>………………………</w:t>
      </w:r>
    </w:p>
    <w:p>
      <w:pPr>
        <w:pStyle w:val="BodyText"/>
        <w:spacing w:before="309" w:line="219" w:lineRule="auto"/>
        <w:ind w:left="333"/>
      </w:pPr>
      <w:r>
        <w:rPr>
          <w:spacing w:val="1"/>
        </w:rPr>
        <w:t>7.2</w:t>
      </w:r>
      <w:r>
        <w:rPr>
          <w:spacing w:val="-53"/>
        </w:rPr>
        <w:t xml:space="preserve"> </w:t>
      </w:r>
      <w:r>
        <w:rPr>
          <w:spacing w:val="1"/>
        </w:rPr>
        <w:t>开车接液氨……………………………………………</w:t>
      </w:r>
      <w:r>
        <w:t>………</w:t>
      </w:r>
    </w:p>
    <w:p>
      <w:pPr>
        <w:pStyle w:val="BodyText"/>
        <w:spacing w:before="309" w:line="219" w:lineRule="auto"/>
        <w:ind w:left="333"/>
      </w:pPr>
      <w:r>
        <w:rPr>
          <w:spacing w:val="2"/>
        </w:rPr>
        <w:t>7.3</w:t>
      </w:r>
      <w:r>
        <w:rPr>
          <w:spacing w:val="-54"/>
        </w:rPr>
        <w:t xml:space="preserve"> </w:t>
      </w:r>
      <w:r>
        <w:rPr>
          <w:spacing w:val="2"/>
        </w:rPr>
        <w:t>存储场所正常停车……………………………………………</w:t>
      </w:r>
    </w:p>
    <w:p>
      <w:pPr>
        <w:pStyle w:val="BodyText"/>
        <w:spacing w:before="309" w:line="219" w:lineRule="auto"/>
        <w:ind w:left="333"/>
      </w:pPr>
      <w:r>
        <w:rPr>
          <w:spacing w:val="1"/>
        </w:rPr>
        <w:t>7.4</w:t>
      </w:r>
      <w:r>
        <w:rPr>
          <w:spacing w:val="-63"/>
        </w:rPr>
        <w:t xml:space="preserve"> </w:t>
      </w:r>
      <w:r>
        <w:rPr>
          <w:spacing w:val="1"/>
        </w:rPr>
        <w:t>液氨倒灌………………………………………………</w:t>
      </w:r>
      <w:r>
        <w:t>………</w:t>
      </w:r>
    </w:p>
    <w:p>
      <w:pPr>
        <w:pStyle w:val="BodyText"/>
        <w:spacing w:before="300" w:line="219" w:lineRule="auto"/>
        <w:ind w:left="333"/>
      </w:pPr>
      <w:r>
        <w:rPr>
          <w:spacing w:val="1"/>
        </w:rPr>
        <w:t>7.5</w:t>
      </w:r>
      <w:r>
        <w:rPr>
          <w:spacing w:val="-17"/>
        </w:rPr>
        <w:t xml:space="preserve"> </w:t>
      </w:r>
      <w:r>
        <w:rPr>
          <w:spacing w:val="1"/>
        </w:rPr>
        <w:t>存储管理………………………………………………………</w:t>
      </w:r>
    </w:p>
    <w:p>
      <w:pPr>
        <w:pStyle w:val="BodyText"/>
        <w:spacing w:before="296" w:line="220" w:lineRule="auto"/>
        <w:ind w:left="337"/>
      </w:pPr>
      <w:r>
        <w:rPr>
          <w:b/>
          <w:bCs/>
          <w:spacing w:val="3"/>
        </w:rPr>
        <w:t>8</w:t>
      </w:r>
      <w:r>
        <w:rPr>
          <w:spacing w:val="-55"/>
        </w:rPr>
        <w:t xml:space="preserve"> </w:t>
      </w:r>
      <w:r>
        <w:rPr>
          <w:b/>
          <w:bCs/>
          <w:spacing w:val="3"/>
        </w:rPr>
        <w:t>装卸作业</w:t>
      </w:r>
      <w:r>
        <w:rPr>
          <w:spacing w:val="3"/>
        </w:rPr>
        <w:t xml:space="preserve">   ……………………………………………………</w:t>
      </w:r>
    </w:p>
    <w:p>
      <w:pPr>
        <w:pStyle w:val="BodyText"/>
        <w:spacing w:before="303" w:line="221" w:lineRule="auto"/>
        <w:ind w:left="333"/>
      </w:pPr>
      <w:r>
        <w:t>8.1</w:t>
      </w:r>
      <w:r>
        <w:rPr>
          <w:spacing w:val="-38"/>
        </w:rPr>
        <w:t xml:space="preserve"> </w:t>
      </w:r>
      <w:r>
        <w:t>一般要求………………………………………………………</w:t>
      </w:r>
    </w:p>
    <w:p>
      <w:pPr>
        <w:pStyle w:val="BodyText"/>
        <w:spacing w:before="306" w:line="219" w:lineRule="auto"/>
        <w:ind w:left="333"/>
        <w:rPr>
          <w:rFonts w:ascii="Times New Roman" w:eastAsia="Times New Roman" w:hAnsi="Times New Roman" w:cs="Times New Roman"/>
        </w:rPr>
      </w:pPr>
      <w:r>
        <w:rPr>
          <w:rFonts w:ascii="Times New Roman" w:eastAsia="Times New Roman" w:hAnsi="Times New Roman" w:cs="Times New Roman"/>
          <w:spacing w:val="2"/>
        </w:rPr>
        <w:t xml:space="preserve">8.2  </w:t>
      </w:r>
      <w:r>
        <w:rPr>
          <w:spacing w:val="2"/>
        </w:rPr>
        <w:t>移动式槽罐车装卸作业</w:t>
      </w:r>
      <w:r>
        <w:rPr>
          <w:rFonts w:ascii="Times New Roman" w:eastAsia="Times New Roman" w:hAnsi="Times New Roman" w:cs="Times New Roman"/>
          <w:spacing w:val="2"/>
        </w:rPr>
        <w:t>…………………………………  ...</w:t>
      </w:r>
    </w:p>
    <w:p>
      <w:pPr>
        <w:pStyle w:val="BodyText"/>
        <w:spacing w:before="310" w:line="220" w:lineRule="auto"/>
        <w:ind w:left="333"/>
      </w:pPr>
      <w:r>
        <w:rPr>
          <w:spacing w:val="2"/>
        </w:rPr>
        <w:t>8.3</w:t>
      </w:r>
      <w:r>
        <w:rPr>
          <w:spacing w:val="-44"/>
        </w:rPr>
        <w:t xml:space="preserve"> </w:t>
      </w:r>
      <w:r>
        <w:rPr>
          <w:spacing w:val="2"/>
        </w:rPr>
        <w:t>液氨钢瓶充装作业……………………………………………</w:t>
      </w:r>
    </w:p>
    <w:p>
      <w:pPr>
        <w:pStyle w:val="BodyText"/>
        <w:spacing w:before="318" w:line="219" w:lineRule="auto"/>
        <w:ind w:left="333"/>
        <w:rPr>
          <w:rFonts w:ascii="Times New Roman" w:eastAsia="Times New Roman" w:hAnsi="Times New Roman" w:cs="Times New Roman"/>
        </w:rPr>
      </w:pPr>
      <w:r>
        <w:rPr>
          <w:rFonts w:ascii="Times New Roman" w:eastAsia="Times New Roman" w:hAnsi="Times New Roman" w:cs="Times New Roman"/>
          <w:spacing w:val="1"/>
        </w:rPr>
        <w:t xml:space="preserve">8.4  </w:t>
      </w:r>
      <w:r>
        <w:rPr>
          <w:spacing w:val="1"/>
        </w:rPr>
        <w:t>液氨钢瓶装卸车</w:t>
      </w:r>
      <w:r>
        <w:rPr>
          <w:rFonts w:ascii="Times New Roman" w:eastAsia="Times New Roman" w:hAnsi="Times New Roman" w:cs="Times New Roman"/>
          <w:spacing w:val="1"/>
        </w:rPr>
        <w:t>………………...</w:t>
      </w:r>
    </w:p>
    <w:p>
      <w:pPr>
        <w:pStyle w:val="BodyText"/>
        <w:spacing w:before="289" w:line="221" w:lineRule="auto"/>
        <w:ind w:left="337"/>
      </w:pPr>
      <w:r>
        <w:rPr>
          <w:b/>
          <w:bCs/>
          <w:spacing w:val="4"/>
        </w:rPr>
        <w:t>9</w:t>
      </w:r>
      <w:r>
        <w:rPr>
          <w:spacing w:val="-68"/>
        </w:rPr>
        <w:t xml:space="preserve"> </w:t>
      </w:r>
      <w:r>
        <w:rPr>
          <w:b/>
          <w:bCs/>
          <w:spacing w:val="4"/>
        </w:rPr>
        <w:t>应急处置</w:t>
      </w:r>
      <w:r>
        <w:rPr>
          <w:spacing w:val="57"/>
        </w:rPr>
        <w:t xml:space="preserve">  </w:t>
      </w:r>
      <w:r>
        <w:rPr>
          <w:spacing w:val="4"/>
        </w:rPr>
        <w:t>………………………………………………</w:t>
      </w:r>
      <w:r>
        <w:rPr>
          <w:spacing w:val="3"/>
        </w:rPr>
        <w:t>……</w:t>
      </w:r>
    </w:p>
    <w:p>
      <w:pPr>
        <w:pStyle w:val="BodyText"/>
        <w:spacing w:before="298" w:line="220" w:lineRule="auto"/>
        <w:ind w:left="333"/>
      </w:pPr>
      <w:r>
        <w:t>9.1 应急预案………………………………………………………</w:t>
      </w:r>
    </w:p>
    <w:p>
      <w:pPr>
        <w:pStyle w:val="BodyText"/>
        <w:spacing w:before="297" w:line="219" w:lineRule="auto"/>
        <w:ind w:left="333"/>
        <w:rPr>
          <w:rFonts w:ascii="Times New Roman" w:eastAsia="Times New Roman" w:hAnsi="Times New Roman" w:cs="Times New Roman"/>
        </w:rPr>
      </w:pPr>
      <w:r>
        <w:rPr>
          <w:rFonts w:ascii="Times New Roman" w:eastAsia="Times New Roman" w:hAnsi="Times New Roman" w:cs="Times New Roman"/>
          <w:spacing w:val="-2"/>
        </w:rPr>
        <w:t xml:space="preserve">9.2  </w:t>
      </w:r>
      <w:r>
        <w:rPr>
          <w:spacing w:val="-2"/>
        </w:rPr>
        <w:t>现场急救</w:t>
      </w:r>
      <w:r>
        <w:rPr>
          <w:rFonts w:ascii="Times New Roman" w:eastAsia="Times New Roman" w:hAnsi="Times New Roman" w:cs="Times New Roman"/>
          <w:spacing w:val="-2"/>
        </w:rPr>
        <w:t>……………………………………………………...</w:t>
      </w:r>
    </w:p>
    <w:p>
      <w:pPr>
        <w:pStyle w:val="BodyText"/>
        <w:spacing w:before="311" w:line="220" w:lineRule="auto"/>
        <w:ind w:left="333"/>
      </w:pPr>
      <w:r>
        <w:t>9.3</w:t>
      </w:r>
      <w:r>
        <w:rPr>
          <w:spacing w:val="-48"/>
        </w:rPr>
        <w:t xml:space="preserve"> </w:t>
      </w:r>
      <w:r>
        <w:t>消防措施………………………………………………………</w:t>
      </w:r>
    </w:p>
    <w:p>
      <w:pPr>
        <w:pStyle w:val="BodyText"/>
        <w:spacing w:before="299" w:line="221" w:lineRule="auto"/>
        <w:ind w:left="333"/>
      </w:pPr>
      <w:r>
        <w:rPr>
          <w:spacing w:val="1"/>
        </w:rPr>
        <w:t>9.4</w:t>
      </w:r>
      <w:r>
        <w:rPr>
          <w:spacing w:val="51"/>
        </w:rPr>
        <w:t xml:space="preserve"> </w:t>
      </w:r>
      <w:r>
        <w:rPr>
          <w:spacing w:val="1"/>
        </w:rPr>
        <w:t>泄漏处理…………………………………</w:t>
      </w:r>
      <w:r>
        <w:t>…………………</w:t>
      </w:r>
    </w:p>
    <w:p>
      <w:pPr>
        <w:spacing w:line="275" w:lineRule="auto"/>
      </w:pPr>
    </w:p>
    <w:p>
      <w:pPr>
        <w:spacing w:line="275" w:lineRule="auto"/>
      </w:pPr>
    </w:p>
    <w:p>
      <w:pPr>
        <w:spacing w:line="276" w:lineRule="auto"/>
      </w:pPr>
    </w:p>
    <w:p>
      <w:pPr>
        <w:pStyle w:val="BodyText"/>
        <w:spacing w:before="88" w:line="219" w:lineRule="auto"/>
        <w:ind w:left="337"/>
      </w:pPr>
      <w:r>
        <w:rPr>
          <w:b/>
          <w:bCs/>
          <w:spacing w:val="10"/>
        </w:rPr>
        <w:t>附录</w:t>
      </w:r>
      <w:r>
        <w:rPr>
          <w:rFonts w:ascii="Times New Roman" w:eastAsia="Times New Roman" w:hAnsi="Times New Roman" w:cs="Times New Roman"/>
          <w:b/>
          <w:bCs/>
          <w:spacing w:val="10"/>
        </w:rPr>
        <w:t>A</w:t>
      </w:r>
      <w:r>
        <w:rPr>
          <w:rFonts w:ascii="Times New Roman" w:eastAsia="Times New Roman" w:hAnsi="Times New Roman" w:cs="Times New Roman"/>
          <w:b/>
          <w:bCs/>
          <w:spacing w:val="57"/>
        </w:rPr>
        <w:t xml:space="preserve"> </w:t>
      </w:r>
      <w:r>
        <w:rPr>
          <w:b/>
          <w:bCs/>
          <w:spacing w:val="10"/>
        </w:rPr>
        <w:t>(资料性)液氨装车作业安全检查确认单</w:t>
      </w:r>
      <w:r>
        <w:rPr>
          <w:spacing w:val="-49"/>
        </w:rPr>
        <w:t xml:space="preserve"> </w:t>
      </w:r>
      <w:r>
        <w:rPr>
          <w:b/>
          <w:bCs/>
          <w:spacing w:val="10"/>
        </w:rPr>
        <w:t>……………</w:t>
      </w:r>
    </w:p>
    <w:p>
      <w:pPr>
        <w:pStyle w:val="BodyText"/>
        <w:spacing w:before="310" w:line="219" w:lineRule="auto"/>
        <w:ind w:left="337"/>
      </w:pPr>
      <w:r>
        <w:rPr>
          <w:b/>
          <w:bCs/>
          <w:spacing w:val="6"/>
        </w:rPr>
        <w:t>附录</w:t>
      </w:r>
      <w:r>
        <w:rPr>
          <w:rFonts w:ascii="Times New Roman" w:eastAsia="Times New Roman" w:hAnsi="Times New Roman" w:cs="Times New Roman"/>
          <w:b/>
          <w:bCs/>
          <w:spacing w:val="6"/>
        </w:rPr>
        <w:t>B</w:t>
      </w:r>
      <w:r>
        <w:rPr>
          <w:rFonts w:ascii="Times New Roman" w:eastAsia="Times New Roman" w:hAnsi="Times New Roman" w:cs="Times New Roman"/>
          <w:b/>
          <w:bCs/>
          <w:spacing w:val="52"/>
          <w:w w:val="101"/>
        </w:rPr>
        <w:t xml:space="preserve"> </w:t>
      </w:r>
      <w:r>
        <w:rPr>
          <w:b/>
          <w:bCs/>
          <w:spacing w:val="6"/>
        </w:rPr>
        <w:t>(资料性)液氨卸车记录表…………………………</w:t>
      </w:r>
      <w:r>
        <w:rPr>
          <w:b/>
          <w:bCs/>
          <w:spacing w:val="5"/>
        </w:rPr>
        <w:t>……</w:t>
      </w:r>
    </w:p>
    <w:p>
      <w:pPr>
        <w:spacing w:line="219" w:lineRule="auto"/>
        <w:sectPr>
          <w:pgSz w:w="11910" w:h="16840"/>
          <w:pgMar w:top="1431" w:right="1786" w:bottom="0" w:left="1786" w:header="0" w:footer="0" w:gutter="0"/>
          <w:pgNumType w:start="2"/>
          <w:cols w:space="708"/>
        </w:sectPr>
      </w:pPr>
    </w:p>
    <w:p>
      <w:pPr>
        <w:spacing w:before="156" w:line="227" w:lineRule="auto"/>
        <w:ind w:left="4094"/>
        <w:rPr>
          <w:rFonts w:ascii="楷体" w:eastAsia="楷体" w:hAnsi="楷体" w:cs="楷体"/>
          <w:sz w:val="28"/>
          <w:szCs w:val="28"/>
        </w:rPr>
      </w:pPr>
      <w:r>
        <w:rPr>
          <w:rFonts w:ascii="楷体" w:eastAsia="楷体" w:hAnsi="楷体" w:cs="楷体"/>
          <w:b/>
          <w:bCs/>
          <w:spacing w:val="-11"/>
          <w:sz w:val="28"/>
          <w:szCs w:val="28"/>
        </w:rPr>
        <w:t>前</w:t>
      </w:r>
      <w:r>
        <w:rPr>
          <w:rFonts w:ascii="楷体" w:eastAsia="楷体" w:hAnsi="楷体" w:cs="楷体"/>
          <w:spacing w:val="114"/>
          <w:sz w:val="28"/>
          <w:szCs w:val="28"/>
        </w:rPr>
        <w:t xml:space="preserve"> </w:t>
      </w:r>
      <w:r>
        <w:rPr>
          <w:rFonts w:ascii="楷体" w:eastAsia="楷体" w:hAnsi="楷体" w:cs="楷体"/>
          <w:b/>
          <w:bCs/>
          <w:spacing w:val="-11"/>
          <w:sz w:val="28"/>
          <w:szCs w:val="28"/>
        </w:rPr>
        <w:t>言</w:t>
      </w:r>
    </w:p>
    <w:p>
      <w:pPr>
        <w:spacing w:line="264" w:lineRule="auto"/>
      </w:pPr>
    </w:p>
    <w:p>
      <w:pPr>
        <w:spacing w:line="264" w:lineRule="auto"/>
      </w:pPr>
    </w:p>
    <w:p>
      <w:pPr>
        <w:spacing w:line="264" w:lineRule="auto"/>
      </w:pPr>
    </w:p>
    <w:p>
      <w:pPr>
        <w:pStyle w:val="BodyText"/>
        <w:spacing w:before="91" w:line="641" w:lineRule="exact"/>
        <w:ind w:right="52"/>
        <w:jc w:val="right"/>
        <w:rPr>
          <w:sz w:val="28"/>
          <w:szCs w:val="28"/>
        </w:rPr>
      </w:pPr>
      <w:r>
        <w:rPr>
          <w:spacing w:val="2"/>
          <w:position w:val="27"/>
          <w:sz w:val="28"/>
          <w:szCs w:val="28"/>
        </w:rPr>
        <w:t>本文件按照</w:t>
      </w:r>
      <w:r>
        <w:rPr>
          <w:spacing w:val="-68"/>
          <w:position w:val="27"/>
          <w:sz w:val="28"/>
          <w:szCs w:val="28"/>
        </w:rPr>
        <w:t xml:space="preserve"> </w:t>
      </w:r>
      <w:r>
        <w:rPr>
          <w:position w:val="27"/>
          <w:sz w:val="28"/>
          <w:szCs w:val="28"/>
        </w:rPr>
        <w:t>GB</w:t>
      </w:r>
      <w:r>
        <w:rPr>
          <w:spacing w:val="2"/>
          <w:position w:val="27"/>
          <w:sz w:val="28"/>
          <w:szCs w:val="28"/>
        </w:rPr>
        <w:t>/T1.1-2020《标准化工作导则第1部分：标准化文件的</w:t>
      </w:r>
    </w:p>
    <w:p>
      <w:pPr>
        <w:pStyle w:val="BodyText"/>
        <w:spacing w:line="219" w:lineRule="auto"/>
        <w:rPr>
          <w:sz w:val="28"/>
          <w:szCs w:val="28"/>
        </w:rPr>
      </w:pPr>
      <w:r>
        <w:rPr>
          <w:spacing w:val="-4"/>
          <w:sz w:val="28"/>
          <w:szCs w:val="28"/>
        </w:rPr>
        <w:t>结构和起草规则》的规定起草。</w:t>
      </w:r>
    </w:p>
    <w:p>
      <w:pPr>
        <w:pStyle w:val="BodyText"/>
        <w:spacing w:before="272" w:line="411" w:lineRule="auto"/>
        <w:ind w:right="5" w:firstLine="539"/>
        <w:rPr>
          <w:sz w:val="28"/>
          <w:szCs w:val="28"/>
        </w:rPr>
      </w:pPr>
      <w:r>
        <w:rPr>
          <w:spacing w:val="-5"/>
          <w:sz w:val="28"/>
          <w:szCs w:val="28"/>
        </w:rPr>
        <w:t>本文件代替</w:t>
      </w:r>
      <w:r>
        <w:rPr>
          <w:spacing w:val="-58"/>
          <w:sz w:val="28"/>
          <w:szCs w:val="28"/>
        </w:rPr>
        <w:t xml:space="preserve"> </w:t>
      </w:r>
      <w:r>
        <w:rPr>
          <w:spacing w:val="-5"/>
          <w:sz w:val="28"/>
          <w:szCs w:val="28"/>
        </w:rPr>
        <w:t>DB37/T1914一2011《液氨存储与装卸作业安全技术规范》,</w:t>
      </w:r>
      <w:r>
        <w:rPr>
          <w:sz w:val="28"/>
          <w:szCs w:val="28"/>
        </w:rPr>
        <w:t xml:space="preserve"> </w:t>
      </w:r>
      <w:r>
        <w:rPr>
          <w:spacing w:val="-1"/>
          <w:sz w:val="28"/>
          <w:szCs w:val="28"/>
        </w:rPr>
        <w:t>与</w:t>
      </w:r>
      <w:r>
        <w:rPr>
          <w:spacing w:val="-49"/>
          <w:sz w:val="28"/>
          <w:szCs w:val="28"/>
        </w:rPr>
        <w:t xml:space="preserve"> </w:t>
      </w:r>
      <w:r>
        <w:rPr>
          <w:spacing w:val="-1"/>
          <w:sz w:val="28"/>
          <w:szCs w:val="28"/>
        </w:rPr>
        <w:t>DB37/T1914-2011</w:t>
      </w:r>
      <w:r>
        <w:rPr>
          <w:spacing w:val="-24"/>
          <w:sz w:val="28"/>
          <w:szCs w:val="28"/>
        </w:rPr>
        <w:t xml:space="preserve"> </w:t>
      </w:r>
      <w:r>
        <w:rPr>
          <w:spacing w:val="-1"/>
          <w:sz w:val="28"/>
          <w:szCs w:val="28"/>
        </w:rPr>
        <w:t>相比，除结构调整和编辑性改动外，主要技术变化如</w:t>
      </w:r>
    </w:p>
    <w:p>
      <w:pPr>
        <w:pStyle w:val="BodyText"/>
        <w:spacing w:before="1" w:line="220" w:lineRule="auto"/>
        <w:rPr>
          <w:sz w:val="28"/>
          <w:szCs w:val="28"/>
        </w:rPr>
      </w:pPr>
      <w:r>
        <w:rPr>
          <w:spacing w:val="-15"/>
          <w:sz w:val="28"/>
          <w:szCs w:val="28"/>
        </w:rPr>
        <w:t>下：</w:t>
      </w:r>
    </w:p>
    <w:p>
      <w:pPr>
        <w:pStyle w:val="BodyText"/>
        <w:spacing w:before="312" w:line="630" w:lineRule="exact"/>
        <w:ind w:right="26"/>
        <w:jc w:val="right"/>
        <w:rPr>
          <w:sz w:val="28"/>
          <w:szCs w:val="28"/>
        </w:rPr>
      </w:pPr>
      <w:r>
        <w:rPr>
          <w:spacing w:val="14"/>
          <w:position w:val="26"/>
          <w:sz w:val="28"/>
          <w:szCs w:val="28"/>
        </w:rPr>
        <w:t>——更改了规范性引用文件及术语和定义(见第2章、第3章，2011</w:t>
      </w:r>
    </w:p>
    <w:p>
      <w:pPr>
        <w:pStyle w:val="BodyText"/>
        <w:spacing w:before="1" w:line="218" w:lineRule="auto"/>
        <w:rPr>
          <w:sz w:val="28"/>
          <w:szCs w:val="28"/>
        </w:rPr>
      </w:pPr>
      <w:r>
        <w:rPr>
          <w:spacing w:val="19"/>
          <w:sz w:val="28"/>
          <w:szCs w:val="28"/>
        </w:rPr>
        <w:t>年版的第2章、第3章);</w:t>
      </w:r>
    </w:p>
    <w:p>
      <w:pPr>
        <w:pStyle w:val="BodyText"/>
        <w:spacing w:before="288" w:line="219" w:lineRule="auto"/>
        <w:ind w:left="539"/>
        <w:rPr>
          <w:sz w:val="28"/>
          <w:szCs w:val="28"/>
        </w:rPr>
      </w:pPr>
      <w:r>
        <w:rPr>
          <w:spacing w:val="17"/>
          <w:sz w:val="28"/>
          <w:szCs w:val="28"/>
        </w:rPr>
        <w:t>——增加了缩略语(见第4章);</w:t>
      </w:r>
    </w:p>
    <w:p>
      <w:pPr>
        <w:pStyle w:val="BodyText"/>
        <w:spacing w:before="269" w:line="219" w:lineRule="auto"/>
        <w:ind w:left="539"/>
        <w:rPr>
          <w:sz w:val="28"/>
          <w:szCs w:val="28"/>
        </w:rPr>
      </w:pPr>
      <w:r>
        <w:rPr>
          <w:spacing w:val="5"/>
          <w:sz w:val="28"/>
          <w:szCs w:val="28"/>
        </w:rPr>
        <w:t>——删除了八大场所、区域安全间距的要求(见2011年版的3.1.2);</w:t>
      </w:r>
    </w:p>
    <w:p>
      <w:pPr>
        <w:pStyle w:val="BodyText"/>
        <w:spacing w:before="296" w:line="219" w:lineRule="auto"/>
        <w:ind w:left="539"/>
        <w:rPr>
          <w:sz w:val="28"/>
          <w:szCs w:val="28"/>
        </w:rPr>
      </w:pPr>
      <w:r>
        <w:rPr>
          <w:spacing w:val="6"/>
          <w:sz w:val="28"/>
          <w:szCs w:val="28"/>
        </w:rPr>
        <w:t>——增加了个人风险和社会风险的可接受风险基准要求(见5</w:t>
      </w:r>
      <w:r>
        <w:rPr>
          <w:spacing w:val="5"/>
          <w:sz w:val="28"/>
          <w:szCs w:val="28"/>
        </w:rPr>
        <w:t>.1a);</w:t>
      </w:r>
    </w:p>
    <w:p>
      <w:pPr>
        <w:pStyle w:val="BodyText"/>
        <w:spacing w:before="300" w:line="219" w:lineRule="auto"/>
        <w:ind w:left="539"/>
        <w:rPr>
          <w:sz w:val="28"/>
          <w:szCs w:val="28"/>
        </w:rPr>
      </w:pPr>
      <w:r>
        <w:rPr>
          <w:spacing w:val="10"/>
          <w:sz w:val="28"/>
          <w:szCs w:val="28"/>
        </w:rPr>
        <w:t>——删除了液氨存储与装卸场所编制根据(见2011年版3.2.1);</w:t>
      </w:r>
    </w:p>
    <w:p>
      <w:pPr>
        <w:pStyle w:val="BodyText"/>
        <w:spacing w:before="298" w:line="219" w:lineRule="auto"/>
        <w:ind w:left="539"/>
        <w:rPr>
          <w:sz w:val="28"/>
          <w:szCs w:val="28"/>
        </w:rPr>
      </w:pPr>
      <w:r>
        <w:rPr>
          <w:spacing w:val="12"/>
          <w:sz w:val="28"/>
          <w:szCs w:val="28"/>
        </w:rPr>
        <w:t>——删除了防火堤设计要求(见2011年</w:t>
      </w:r>
      <w:r>
        <w:rPr>
          <w:spacing w:val="11"/>
          <w:sz w:val="28"/>
          <w:szCs w:val="28"/>
        </w:rPr>
        <w:t>版的3.3.3);</w:t>
      </w:r>
    </w:p>
    <w:p>
      <w:pPr>
        <w:pStyle w:val="BodyText"/>
        <w:spacing w:before="298" w:line="219" w:lineRule="auto"/>
        <w:ind w:left="539"/>
        <w:rPr>
          <w:sz w:val="28"/>
          <w:szCs w:val="28"/>
        </w:rPr>
      </w:pPr>
      <w:r>
        <w:rPr>
          <w:spacing w:val="6"/>
          <w:sz w:val="28"/>
          <w:szCs w:val="28"/>
        </w:rPr>
        <w:t>——增加了液氨的装卸车现场紧急切断的安全要求(见5.2.3f);</w:t>
      </w:r>
    </w:p>
    <w:p>
      <w:pPr>
        <w:pStyle w:val="BodyText"/>
        <w:spacing w:before="287" w:line="616" w:lineRule="exact"/>
        <w:jc w:val="right"/>
        <w:rPr>
          <w:sz w:val="28"/>
          <w:szCs w:val="28"/>
        </w:rPr>
      </w:pPr>
      <w:r>
        <w:rPr>
          <w:spacing w:val="16"/>
          <w:position w:val="25"/>
          <w:sz w:val="28"/>
          <w:szCs w:val="28"/>
        </w:rPr>
        <w:t>——更改了液氨存储与装卸装置的压力容器、压力管道的要求(见</w:t>
      </w:r>
    </w:p>
    <w:p>
      <w:pPr>
        <w:pStyle w:val="BodyText"/>
        <w:spacing w:before="1" w:line="216" w:lineRule="auto"/>
        <w:rPr>
          <w:sz w:val="28"/>
          <w:szCs w:val="28"/>
        </w:rPr>
      </w:pPr>
      <w:r>
        <w:rPr>
          <w:spacing w:val="3"/>
          <w:sz w:val="28"/>
          <w:szCs w:val="28"/>
        </w:rPr>
        <w:t>5.2.1b,2011</w:t>
      </w:r>
      <w:r>
        <w:rPr>
          <w:spacing w:val="57"/>
          <w:sz w:val="28"/>
          <w:szCs w:val="28"/>
        </w:rPr>
        <w:t xml:space="preserve"> </w:t>
      </w:r>
      <w:r>
        <w:rPr>
          <w:spacing w:val="3"/>
          <w:sz w:val="28"/>
          <w:szCs w:val="28"/>
        </w:rPr>
        <w:t>年版的3.6.1</w:t>
      </w:r>
      <w:r>
        <w:rPr>
          <w:spacing w:val="2"/>
          <w:sz w:val="28"/>
          <w:szCs w:val="28"/>
        </w:rPr>
        <w:t>);</w:t>
      </w:r>
    </w:p>
    <w:p>
      <w:pPr>
        <w:pStyle w:val="BodyText"/>
        <w:spacing w:before="312" w:line="216" w:lineRule="auto"/>
        <w:ind w:left="539"/>
        <w:rPr>
          <w:sz w:val="28"/>
          <w:szCs w:val="28"/>
        </w:rPr>
      </w:pPr>
      <w:r>
        <w:rPr>
          <w:spacing w:val="15"/>
          <w:sz w:val="28"/>
          <w:szCs w:val="28"/>
        </w:rPr>
        <w:t>——更改了液氨储罐要求(见5.2.2,2011年版的</w:t>
      </w:r>
      <w:r>
        <w:rPr>
          <w:spacing w:val="14"/>
          <w:sz w:val="28"/>
          <w:szCs w:val="28"/>
        </w:rPr>
        <w:t>3.6.2);</w:t>
      </w:r>
    </w:p>
    <w:p>
      <w:pPr>
        <w:pStyle w:val="BodyText"/>
        <w:spacing w:before="292" w:line="627" w:lineRule="exact"/>
        <w:ind w:right="23"/>
        <w:jc w:val="right"/>
        <w:rPr>
          <w:sz w:val="28"/>
          <w:szCs w:val="28"/>
        </w:rPr>
      </w:pPr>
      <w:r>
        <w:rPr>
          <w:spacing w:val="13"/>
          <w:position w:val="26"/>
          <w:sz w:val="28"/>
          <w:szCs w:val="28"/>
        </w:rPr>
        <w:t>——更改了液氨存储装卸区安全用电管理要求(见5.2.4,2011年版</w:t>
      </w:r>
    </w:p>
    <w:p>
      <w:pPr>
        <w:pStyle w:val="BodyText"/>
        <w:spacing w:before="1" w:line="221" w:lineRule="auto"/>
        <w:rPr>
          <w:sz w:val="28"/>
          <w:szCs w:val="28"/>
        </w:rPr>
      </w:pPr>
      <w:r>
        <w:rPr>
          <w:spacing w:val="6"/>
          <w:sz w:val="28"/>
          <w:szCs w:val="28"/>
        </w:rPr>
        <w:t>的3.6.4);</w:t>
      </w:r>
    </w:p>
    <w:p>
      <w:pPr>
        <w:pStyle w:val="BodyText"/>
        <w:spacing w:before="291" w:line="626" w:lineRule="exact"/>
        <w:jc w:val="right"/>
        <w:rPr>
          <w:sz w:val="28"/>
          <w:szCs w:val="28"/>
        </w:rPr>
      </w:pPr>
      <w:r>
        <w:rPr>
          <w:spacing w:val="6"/>
          <w:position w:val="26"/>
          <w:sz w:val="28"/>
          <w:szCs w:val="28"/>
        </w:rPr>
        <w:t>——更改了液氨存储与装卸场固定式有毒气体检测报警仪的要求(见</w:t>
      </w:r>
    </w:p>
    <w:p>
      <w:pPr>
        <w:pStyle w:val="BodyText"/>
        <w:spacing w:line="216" w:lineRule="auto"/>
        <w:rPr>
          <w:sz w:val="28"/>
          <w:szCs w:val="28"/>
        </w:rPr>
      </w:pPr>
      <w:r>
        <w:rPr>
          <w:spacing w:val="5"/>
          <w:sz w:val="28"/>
          <w:szCs w:val="28"/>
        </w:rPr>
        <w:t>5.2.7,2011年版的3.6.7);</w:t>
      </w:r>
    </w:p>
    <w:p>
      <w:pPr>
        <w:spacing w:line="216" w:lineRule="auto"/>
        <w:rPr>
          <w:sz w:val="28"/>
          <w:szCs w:val="28"/>
        </w:rPr>
        <w:sectPr>
          <w:pgSz w:w="11910" w:h="16840"/>
          <w:pgMar w:top="1431" w:right="1315" w:bottom="0" w:left="1599" w:header="0" w:footer="0" w:gutter="0"/>
          <w:pgNumType w:start="3"/>
          <w:cols w:space="708"/>
        </w:sectPr>
      </w:pPr>
    </w:p>
    <w:p>
      <w:pPr>
        <w:pStyle w:val="BodyText"/>
        <w:spacing w:before="136" w:line="216" w:lineRule="auto"/>
        <w:jc w:val="right"/>
        <w:rPr>
          <w:sz w:val="28"/>
          <w:szCs w:val="28"/>
        </w:rPr>
      </w:pPr>
      <w:r>
        <w:rPr>
          <w:spacing w:val="4"/>
          <w:sz w:val="28"/>
          <w:szCs w:val="28"/>
        </w:rPr>
        <w:t>——更改了液氨罐区防泄漏逸散装置要求(见9.4,2011年版的3.5.6);</w:t>
      </w:r>
    </w:p>
    <w:p>
      <w:pPr>
        <w:pStyle w:val="BodyText"/>
        <w:spacing w:before="301" w:line="638" w:lineRule="exact"/>
        <w:ind w:left="539"/>
        <w:rPr>
          <w:sz w:val="28"/>
          <w:szCs w:val="28"/>
        </w:rPr>
      </w:pPr>
      <w:r>
        <w:rPr>
          <w:spacing w:val="14"/>
          <w:position w:val="27"/>
          <w:sz w:val="28"/>
          <w:szCs w:val="28"/>
        </w:rPr>
        <w:t>——更改了部分安全警示标志、标识的表述方</w:t>
      </w:r>
      <w:r>
        <w:rPr>
          <w:spacing w:val="13"/>
          <w:position w:val="27"/>
          <w:sz w:val="28"/>
          <w:szCs w:val="28"/>
        </w:rPr>
        <w:t>法(见5.4,2011年版</w:t>
      </w:r>
    </w:p>
    <w:p>
      <w:pPr>
        <w:pStyle w:val="BodyText"/>
        <w:spacing w:line="221" w:lineRule="auto"/>
        <w:rPr>
          <w:sz w:val="28"/>
          <w:szCs w:val="28"/>
        </w:rPr>
      </w:pPr>
      <w:r>
        <w:rPr>
          <w:spacing w:val="4"/>
          <w:sz w:val="28"/>
          <w:szCs w:val="28"/>
        </w:rPr>
        <w:t>的3.7.2);</w:t>
      </w:r>
    </w:p>
    <w:p>
      <w:pPr>
        <w:pStyle w:val="BodyText"/>
        <w:spacing w:before="267" w:line="216" w:lineRule="auto"/>
        <w:ind w:left="539"/>
        <w:rPr>
          <w:sz w:val="28"/>
          <w:szCs w:val="28"/>
        </w:rPr>
      </w:pPr>
      <w:r>
        <w:rPr>
          <w:spacing w:val="5"/>
          <w:sz w:val="28"/>
          <w:szCs w:val="28"/>
        </w:rPr>
        <w:t>——更改了“制度、规程”的包括内容(见5.5,2011年版的</w:t>
      </w:r>
      <w:r>
        <w:rPr>
          <w:spacing w:val="4"/>
          <w:sz w:val="28"/>
          <w:szCs w:val="28"/>
        </w:rPr>
        <w:t>4.1.1);</w:t>
      </w:r>
    </w:p>
    <w:p>
      <w:pPr>
        <w:pStyle w:val="BodyText"/>
        <w:spacing w:before="296" w:line="219" w:lineRule="auto"/>
        <w:ind w:left="539"/>
        <w:rPr>
          <w:sz w:val="28"/>
          <w:szCs w:val="28"/>
        </w:rPr>
      </w:pPr>
      <w:r>
        <w:rPr>
          <w:spacing w:val="6"/>
          <w:sz w:val="28"/>
          <w:szCs w:val="28"/>
        </w:rPr>
        <w:t>——增加了安全培训时间、培训内容等方面的要求(</w:t>
      </w:r>
      <w:r>
        <w:rPr>
          <w:spacing w:val="5"/>
          <w:sz w:val="28"/>
          <w:szCs w:val="28"/>
        </w:rPr>
        <w:t>见5.6.2);</w:t>
      </w:r>
    </w:p>
    <w:p>
      <w:pPr>
        <w:pStyle w:val="BodyText"/>
        <w:spacing w:before="283" w:line="216" w:lineRule="auto"/>
        <w:ind w:left="539"/>
        <w:rPr>
          <w:sz w:val="28"/>
          <w:szCs w:val="28"/>
        </w:rPr>
      </w:pPr>
      <w:r>
        <w:rPr>
          <w:spacing w:val="8"/>
          <w:sz w:val="28"/>
          <w:szCs w:val="28"/>
        </w:rPr>
        <w:t>——更改了安全防护手套的要求(见6.</w:t>
      </w:r>
      <w:r>
        <w:rPr>
          <w:sz w:val="28"/>
          <w:szCs w:val="28"/>
        </w:rPr>
        <w:t>la</w:t>
      </w:r>
      <w:r>
        <w:rPr>
          <w:spacing w:val="8"/>
          <w:sz w:val="28"/>
          <w:szCs w:val="28"/>
        </w:rPr>
        <w:t>,2011</w:t>
      </w:r>
      <w:r>
        <w:rPr>
          <w:spacing w:val="78"/>
          <w:sz w:val="28"/>
          <w:szCs w:val="28"/>
        </w:rPr>
        <w:t xml:space="preserve"> </w:t>
      </w:r>
      <w:r>
        <w:rPr>
          <w:spacing w:val="8"/>
          <w:sz w:val="28"/>
          <w:szCs w:val="28"/>
        </w:rPr>
        <w:t>年版的4.3</w:t>
      </w:r>
      <w:r>
        <w:rPr>
          <w:spacing w:val="7"/>
          <w:sz w:val="28"/>
          <w:szCs w:val="28"/>
        </w:rPr>
        <w:t>.1);</w:t>
      </w:r>
    </w:p>
    <w:p>
      <w:pPr>
        <w:pStyle w:val="BodyText"/>
        <w:spacing w:before="297" w:line="219" w:lineRule="auto"/>
        <w:ind w:left="539"/>
        <w:rPr>
          <w:sz w:val="28"/>
          <w:szCs w:val="28"/>
        </w:rPr>
      </w:pPr>
      <w:r>
        <w:rPr>
          <w:spacing w:val="8"/>
          <w:sz w:val="28"/>
          <w:szCs w:val="28"/>
        </w:rPr>
        <w:t>——增加了安全防护用品配备要求(见6.1</w:t>
      </w:r>
      <w:r>
        <w:rPr>
          <w:rFonts w:ascii="Times New Roman" w:eastAsia="Times New Roman" w:hAnsi="Times New Roman" w:cs="Times New Roman"/>
          <w:spacing w:val="8"/>
          <w:sz w:val="28"/>
          <w:szCs w:val="28"/>
        </w:rPr>
        <w:t xml:space="preserve">b </w:t>
      </w:r>
      <w:r>
        <w:rPr>
          <w:spacing w:val="8"/>
          <w:sz w:val="28"/>
          <w:szCs w:val="28"/>
        </w:rPr>
        <w:t>和</w:t>
      </w:r>
      <w:hyperlink r:id="rId4" w:history="1">
        <w:r>
          <w:rPr>
            <w:spacing w:val="8"/>
            <w:sz w:val="28"/>
            <w:szCs w:val="28"/>
          </w:rPr>
          <w:t>6.</w:t>
        </w:r>
        <w:r>
          <w:rPr>
            <w:spacing w:val="7"/>
            <w:sz w:val="28"/>
            <w:szCs w:val="28"/>
          </w:rPr>
          <w:t>1.1.5</w:t>
        </w:r>
      </w:hyperlink>
      <w:r>
        <w:rPr>
          <w:spacing w:val="7"/>
          <w:sz w:val="28"/>
          <w:szCs w:val="28"/>
        </w:rPr>
        <w:t>);</w:t>
      </w:r>
    </w:p>
    <w:p>
      <w:pPr>
        <w:pStyle w:val="BodyText"/>
        <w:spacing w:before="288" w:line="219" w:lineRule="auto"/>
        <w:ind w:left="539"/>
        <w:rPr>
          <w:sz w:val="28"/>
          <w:szCs w:val="28"/>
        </w:rPr>
      </w:pPr>
      <w:r>
        <w:rPr>
          <w:spacing w:val="12"/>
          <w:sz w:val="28"/>
          <w:szCs w:val="28"/>
        </w:rPr>
        <w:t>——删除了“安全监护”的内容(见2011年版的4.4);</w:t>
      </w:r>
    </w:p>
    <w:p>
      <w:pPr>
        <w:pStyle w:val="BodyText"/>
        <w:spacing w:before="283" w:line="216" w:lineRule="auto"/>
        <w:ind w:left="539"/>
        <w:rPr>
          <w:sz w:val="28"/>
          <w:szCs w:val="28"/>
        </w:rPr>
      </w:pPr>
      <w:r>
        <w:rPr>
          <w:spacing w:val="15"/>
          <w:sz w:val="28"/>
          <w:szCs w:val="28"/>
        </w:rPr>
        <w:t>——更改了安全操作的要求(见6.2,20</w:t>
      </w:r>
      <w:r>
        <w:rPr>
          <w:spacing w:val="14"/>
          <w:sz w:val="28"/>
          <w:szCs w:val="28"/>
        </w:rPr>
        <w:t>11年版的4.4.4);</w:t>
      </w:r>
    </w:p>
    <w:p>
      <w:pPr>
        <w:pStyle w:val="BodyText"/>
        <w:spacing w:before="293" w:line="216" w:lineRule="auto"/>
        <w:ind w:left="539"/>
        <w:rPr>
          <w:sz w:val="28"/>
          <w:szCs w:val="28"/>
        </w:rPr>
      </w:pPr>
      <w:r>
        <w:rPr>
          <w:spacing w:val="13"/>
          <w:sz w:val="28"/>
          <w:szCs w:val="28"/>
        </w:rPr>
        <w:t>——更改了“安全确认”的表述方法(见6.3,2011年版的4.5);</w:t>
      </w:r>
    </w:p>
    <w:p>
      <w:pPr>
        <w:pStyle w:val="BodyText"/>
        <w:spacing w:before="296" w:line="670" w:lineRule="exact"/>
        <w:ind w:left="539"/>
        <w:rPr>
          <w:sz w:val="28"/>
          <w:szCs w:val="28"/>
        </w:rPr>
      </w:pPr>
      <w:r>
        <w:rPr>
          <w:spacing w:val="1"/>
          <w:position w:val="29"/>
          <w:sz w:val="28"/>
          <w:szCs w:val="28"/>
        </w:rPr>
        <w:t>——增加了存储场所首次接液氨前的准备和正常开车接液氨的安全要</w:t>
      </w:r>
    </w:p>
    <w:p>
      <w:pPr>
        <w:pStyle w:val="BodyText"/>
        <w:spacing w:line="219" w:lineRule="auto"/>
        <w:rPr>
          <w:sz w:val="28"/>
          <w:szCs w:val="28"/>
        </w:rPr>
      </w:pPr>
      <w:r>
        <w:rPr>
          <w:spacing w:val="16"/>
          <w:sz w:val="28"/>
          <w:szCs w:val="28"/>
        </w:rPr>
        <w:t>求(见7.1、7.2);</w:t>
      </w:r>
    </w:p>
    <w:p>
      <w:pPr>
        <w:pStyle w:val="BodyText"/>
        <w:spacing w:before="278" w:line="219" w:lineRule="auto"/>
        <w:ind w:left="539"/>
        <w:rPr>
          <w:sz w:val="28"/>
          <w:szCs w:val="28"/>
        </w:rPr>
      </w:pPr>
      <w:r>
        <w:rPr>
          <w:spacing w:val="10"/>
          <w:sz w:val="28"/>
          <w:szCs w:val="28"/>
        </w:rPr>
        <w:t>——删除了装卸作业人员部分要求(见2011年版的6.1.3);</w:t>
      </w:r>
    </w:p>
    <w:p>
      <w:pPr>
        <w:pStyle w:val="BodyText"/>
        <w:spacing w:before="298" w:line="219" w:lineRule="auto"/>
        <w:ind w:left="539"/>
        <w:rPr>
          <w:sz w:val="28"/>
          <w:szCs w:val="28"/>
        </w:rPr>
      </w:pPr>
      <w:r>
        <w:rPr>
          <w:spacing w:val="10"/>
          <w:sz w:val="28"/>
          <w:szCs w:val="28"/>
        </w:rPr>
        <w:t>——删除了部分充装前安全检查内容(见2011年版的6.2.4</w:t>
      </w:r>
      <w:r>
        <w:rPr>
          <w:spacing w:val="9"/>
          <w:sz w:val="28"/>
          <w:szCs w:val="28"/>
        </w:rPr>
        <w:t>);</w:t>
      </w:r>
    </w:p>
    <w:p>
      <w:pPr>
        <w:pStyle w:val="BodyText"/>
        <w:spacing w:before="298" w:line="219" w:lineRule="auto"/>
        <w:ind w:left="539"/>
        <w:rPr>
          <w:sz w:val="28"/>
          <w:szCs w:val="28"/>
        </w:rPr>
      </w:pPr>
      <w:r>
        <w:rPr>
          <w:spacing w:val="7"/>
          <w:sz w:val="28"/>
          <w:szCs w:val="28"/>
        </w:rPr>
        <w:t>——增加了装卸现场押运员的站立位置要求</w:t>
      </w:r>
      <w:r>
        <w:rPr>
          <w:spacing w:val="6"/>
          <w:sz w:val="28"/>
          <w:szCs w:val="28"/>
        </w:rPr>
        <w:t>(见8.1.2);</w:t>
      </w:r>
    </w:p>
    <w:p>
      <w:pPr>
        <w:pStyle w:val="BodyText"/>
        <w:spacing w:before="298" w:line="219" w:lineRule="auto"/>
        <w:ind w:left="539"/>
        <w:rPr>
          <w:sz w:val="28"/>
          <w:szCs w:val="28"/>
        </w:rPr>
      </w:pPr>
      <w:r>
        <w:rPr>
          <w:spacing w:val="7"/>
          <w:sz w:val="28"/>
          <w:szCs w:val="28"/>
        </w:rPr>
        <w:t>——增加了运输液氨移动槽罐车的要求(见8.2</w:t>
      </w:r>
      <w:r>
        <w:rPr>
          <w:spacing w:val="6"/>
          <w:sz w:val="28"/>
          <w:szCs w:val="28"/>
        </w:rPr>
        <w:t>.4);</w:t>
      </w:r>
    </w:p>
    <w:p>
      <w:pPr>
        <w:pStyle w:val="BodyText"/>
        <w:spacing w:before="297" w:line="219" w:lineRule="auto"/>
        <w:ind w:left="539"/>
        <w:rPr>
          <w:sz w:val="28"/>
          <w:szCs w:val="28"/>
        </w:rPr>
      </w:pPr>
      <w:r>
        <w:rPr>
          <w:spacing w:val="9"/>
          <w:sz w:val="28"/>
          <w:szCs w:val="28"/>
        </w:rPr>
        <w:t>——增加了液氨钢瓶装卸车要求(见8.4);</w:t>
      </w:r>
    </w:p>
    <w:p>
      <w:pPr>
        <w:pStyle w:val="BodyText"/>
        <w:spacing w:before="288" w:line="219" w:lineRule="auto"/>
        <w:ind w:left="539"/>
        <w:rPr>
          <w:sz w:val="28"/>
          <w:szCs w:val="28"/>
        </w:rPr>
      </w:pPr>
      <w:r>
        <w:rPr>
          <w:spacing w:val="6"/>
          <w:sz w:val="28"/>
          <w:szCs w:val="28"/>
        </w:rPr>
        <w:t>——增加了不同阶段程度泄漏的隔离有效距离(见9.4.1);</w:t>
      </w:r>
    </w:p>
    <w:p>
      <w:pPr>
        <w:pStyle w:val="BodyText"/>
        <w:spacing w:before="293" w:line="593" w:lineRule="exact"/>
        <w:ind w:left="539"/>
        <w:rPr>
          <w:sz w:val="28"/>
          <w:szCs w:val="28"/>
        </w:rPr>
      </w:pPr>
      <w:r>
        <w:rPr>
          <w:spacing w:val="5"/>
          <w:position w:val="24"/>
          <w:sz w:val="28"/>
          <w:szCs w:val="28"/>
        </w:rPr>
        <w:t>——更改了附录</w:t>
      </w:r>
      <w:r>
        <w:rPr>
          <w:rFonts w:ascii="Times New Roman" w:eastAsia="Times New Roman" w:hAnsi="Times New Roman" w:cs="Times New Roman"/>
          <w:spacing w:val="5"/>
          <w:position w:val="24"/>
          <w:sz w:val="28"/>
          <w:szCs w:val="28"/>
        </w:rPr>
        <w:t>A</w:t>
      </w:r>
      <w:r>
        <w:rPr>
          <w:spacing w:val="5"/>
          <w:position w:val="24"/>
          <w:sz w:val="28"/>
          <w:szCs w:val="28"/>
        </w:rPr>
        <w:t>、附录</w:t>
      </w:r>
      <w:r>
        <w:rPr>
          <w:rFonts w:ascii="Times New Roman" w:eastAsia="Times New Roman" w:hAnsi="Times New Roman" w:cs="Times New Roman"/>
          <w:spacing w:val="5"/>
          <w:position w:val="24"/>
          <w:sz w:val="28"/>
          <w:szCs w:val="28"/>
        </w:rPr>
        <w:t>B</w:t>
      </w:r>
      <w:r>
        <w:rPr>
          <w:spacing w:val="5"/>
          <w:position w:val="24"/>
          <w:sz w:val="28"/>
          <w:szCs w:val="28"/>
        </w:rPr>
        <w:t>的附录作用(见附录</w:t>
      </w:r>
      <w:r>
        <w:rPr>
          <w:rFonts w:ascii="Times New Roman" w:eastAsia="Times New Roman" w:hAnsi="Times New Roman" w:cs="Times New Roman"/>
          <w:spacing w:val="5"/>
          <w:position w:val="24"/>
          <w:sz w:val="28"/>
          <w:szCs w:val="28"/>
        </w:rPr>
        <w:t>A</w:t>
      </w:r>
      <w:r>
        <w:rPr>
          <w:spacing w:val="5"/>
          <w:position w:val="24"/>
          <w:sz w:val="28"/>
          <w:szCs w:val="28"/>
        </w:rPr>
        <w:t>、附录</w:t>
      </w:r>
      <w:r>
        <w:rPr>
          <w:spacing w:val="-73"/>
          <w:position w:val="24"/>
          <w:sz w:val="28"/>
          <w:szCs w:val="28"/>
        </w:rPr>
        <w:t xml:space="preserve"> </w:t>
      </w:r>
      <w:r>
        <w:rPr>
          <w:spacing w:val="5"/>
          <w:position w:val="24"/>
          <w:sz w:val="28"/>
          <w:szCs w:val="28"/>
        </w:rPr>
        <w:t>B,2</w:t>
      </w:r>
      <w:r>
        <w:rPr>
          <w:spacing w:val="4"/>
          <w:position w:val="24"/>
          <w:sz w:val="28"/>
          <w:szCs w:val="28"/>
        </w:rPr>
        <w:t>011</w:t>
      </w:r>
      <w:r>
        <w:rPr>
          <w:spacing w:val="54"/>
          <w:position w:val="24"/>
          <w:sz w:val="28"/>
          <w:szCs w:val="28"/>
        </w:rPr>
        <w:t xml:space="preserve"> </w:t>
      </w:r>
      <w:r>
        <w:rPr>
          <w:spacing w:val="4"/>
          <w:position w:val="24"/>
          <w:sz w:val="28"/>
          <w:szCs w:val="28"/>
        </w:rPr>
        <w:t>年版</w:t>
      </w:r>
    </w:p>
    <w:p>
      <w:pPr>
        <w:pStyle w:val="BodyText"/>
        <w:spacing w:line="212" w:lineRule="auto"/>
        <w:rPr>
          <w:sz w:val="28"/>
          <w:szCs w:val="28"/>
        </w:rPr>
      </w:pPr>
      <w:r>
        <w:rPr>
          <w:sz w:val="28"/>
          <w:szCs w:val="28"/>
        </w:rPr>
        <w:t>的附录</w:t>
      </w:r>
      <w:r>
        <w:rPr>
          <w:rFonts w:ascii="Times New Roman" w:eastAsia="Times New Roman" w:hAnsi="Times New Roman" w:cs="Times New Roman"/>
          <w:sz w:val="28"/>
          <w:szCs w:val="28"/>
        </w:rPr>
        <w:t>A</w:t>
      </w:r>
      <w:r>
        <w:rPr>
          <w:sz w:val="28"/>
          <w:szCs w:val="28"/>
        </w:rPr>
        <w:t>、附录</w:t>
      </w:r>
      <w:r>
        <w:rPr>
          <w:rFonts w:ascii="Times New Roman" w:eastAsia="Times New Roman" w:hAnsi="Times New Roman" w:cs="Times New Roman"/>
          <w:sz w:val="28"/>
          <w:szCs w:val="28"/>
        </w:rPr>
        <w:t>B)</w:t>
      </w:r>
      <w:r>
        <w:rPr>
          <w:sz w:val="28"/>
          <w:szCs w:val="28"/>
        </w:rPr>
        <w:t>。</w:t>
      </w:r>
    </w:p>
    <w:p>
      <w:pPr>
        <w:pStyle w:val="BodyText"/>
        <w:spacing w:before="319" w:line="631" w:lineRule="exact"/>
        <w:ind w:left="539"/>
        <w:rPr>
          <w:sz w:val="28"/>
          <w:szCs w:val="28"/>
        </w:rPr>
      </w:pPr>
      <w:r>
        <w:rPr>
          <w:position w:val="26"/>
          <w:sz w:val="28"/>
          <w:szCs w:val="28"/>
        </w:rPr>
        <w:t>请注意本文件的某些内容可能涉及专利。本文</w:t>
      </w:r>
      <w:r>
        <w:rPr>
          <w:spacing w:val="-1"/>
          <w:position w:val="26"/>
          <w:sz w:val="28"/>
          <w:szCs w:val="28"/>
        </w:rPr>
        <w:t>件的发布机构不承担识</w:t>
      </w:r>
    </w:p>
    <w:p>
      <w:pPr>
        <w:pStyle w:val="BodyText"/>
        <w:spacing w:before="1" w:line="219" w:lineRule="auto"/>
        <w:rPr>
          <w:sz w:val="28"/>
          <w:szCs w:val="28"/>
        </w:rPr>
      </w:pPr>
      <w:r>
        <w:rPr>
          <w:spacing w:val="-7"/>
          <w:sz w:val="28"/>
          <w:szCs w:val="28"/>
        </w:rPr>
        <w:t>别专利的责任。</w:t>
      </w:r>
    </w:p>
    <w:p>
      <w:pPr>
        <w:spacing w:line="219" w:lineRule="auto"/>
        <w:rPr>
          <w:sz w:val="28"/>
          <w:szCs w:val="28"/>
        </w:rPr>
        <w:sectPr>
          <w:pgSz w:w="11910" w:h="16840"/>
          <w:pgMar w:top="1431" w:right="1191" w:bottom="0" w:left="1609" w:header="0" w:footer="0" w:gutter="0"/>
          <w:pgNumType w:start="4"/>
          <w:cols w:space="708"/>
        </w:sectPr>
      </w:pPr>
    </w:p>
    <w:p>
      <w:pPr>
        <w:pStyle w:val="BodyText"/>
        <w:spacing w:before="148" w:line="219" w:lineRule="auto"/>
        <w:ind w:left="363"/>
        <w:rPr>
          <w:sz w:val="28"/>
          <w:szCs w:val="28"/>
        </w:rPr>
      </w:pPr>
      <w:r>
        <w:rPr>
          <w:spacing w:val="-5"/>
          <w:sz w:val="28"/>
          <w:szCs w:val="28"/>
        </w:rPr>
        <w:t>本文件由山东省应急管理厅提出并组织实施。</w:t>
      </w:r>
    </w:p>
    <w:p>
      <w:pPr>
        <w:pStyle w:val="BodyText"/>
        <w:spacing w:before="288" w:line="620" w:lineRule="exact"/>
        <w:ind w:left="363"/>
        <w:rPr>
          <w:sz w:val="28"/>
          <w:szCs w:val="28"/>
        </w:rPr>
      </w:pPr>
      <w:r>
        <w:rPr>
          <w:spacing w:val="-4"/>
          <w:position w:val="26"/>
          <w:sz w:val="28"/>
          <w:szCs w:val="28"/>
        </w:rPr>
        <w:t>本文件由山东省安全生产标准技术委员会归口。</w:t>
      </w:r>
    </w:p>
    <w:p>
      <w:pPr>
        <w:pStyle w:val="BodyText"/>
        <w:spacing w:line="218" w:lineRule="auto"/>
        <w:ind w:left="363"/>
        <w:rPr>
          <w:sz w:val="28"/>
          <w:szCs w:val="28"/>
        </w:rPr>
      </w:pPr>
      <w:r>
        <w:rPr>
          <w:spacing w:val="-6"/>
          <w:sz w:val="28"/>
          <w:szCs w:val="28"/>
        </w:rPr>
        <w:t>本文件的历次版本发布情况为：</w:t>
      </w:r>
    </w:p>
    <w:p>
      <w:pPr>
        <w:pStyle w:val="BodyText"/>
        <w:spacing w:before="298" w:line="630" w:lineRule="exact"/>
        <w:ind w:left="363"/>
        <w:rPr>
          <w:sz w:val="28"/>
          <w:szCs w:val="28"/>
        </w:rPr>
      </w:pPr>
      <w:r>
        <w:rPr>
          <w:spacing w:val="3"/>
          <w:position w:val="26"/>
          <w:sz w:val="28"/>
          <w:szCs w:val="28"/>
        </w:rPr>
        <w:t>——2011年首次发布为</w:t>
      </w:r>
      <w:r>
        <w:rPr>
          <w:position w:val="26"/>
          <w:sz w:val="28"/>
          <w:szCs w:val="28"/>
        </w:rPr>
        <w:t>DB</w:t>
      </w:r>
      <w:r>
        <w:rPr>
          <w:spacing w:val="3"/>
          <w:position w:val="26"/>
          <w:sz w:val="28"/>
          <w:szCs w:val="28"/>
        </w:rPr>
        <w:t>37/T</w:t>
      </w:r>
      <w:r>
        <w:rPr>
          <w:spacing w:val="57"/>
          <w:position w:val="26"/>
          <w:sz w:val="28"/>
          <w:szCs w:val="28"/>
        </w:rPr>
        <w:t xml:space="preserve"> </w:t>
      </w:r>
      <w:r>
        <w:rPr>
          <w:spacing w:val="3"/>
          <w:position w:val="26"/>
          <w:sz w:val="28"/>
          <w:szCs w:val="28"/>
        </w:rPr>
        <w:t>191</w:t>
      </w:r>
      <w:r>
        <w:rPr>
          <w:spacing w:val="2"/>
          <w:position w:val="26"/>
          <w:sz w:val="28"/>
          <w:szCs w:val="28"/>
        </w:rPr>
        <w:t>4-2011;</w:t>
      </w:r>
    </w:p>
    <w:p>
      <w:pPr>
        <w:pStyle w:val="BodyText"/>
        <w:spacing w:before="1" w:line="218" w:lineRule="auto"/>
        <w:ind w:left="363"/>
        <w:rPr>
          <w:sz w:val="28"/>
          <w:szCs w:val="28"/>
        </w:rPr>
      </w:pPr>
      <w:r>
        <w:rPr>
          <w:spacing w:val="-4"/>
          <w:sz w:val="28"/>
          <w:szCs w:val="28"/>
        </w:rPr>
        <w:t>——本次为第一次修订。</w:t>
      </w:r>
    </w:p>
    <w:p>
      <w:pPr>
        <w:spacing w:line="218" w:lineRule="auto"/>
        <w:rPr>
          <w:sz w:val="28"/>
          <w:szCs w:val="28"/>
        </w:rPr>
        <w:sectPr>
          <w:pgSz w:w="11910" w:h="16840"/>
          <w:pgMar w:top="1431" w:right="1786" w:bottom="0" w:left="1786" w:header="0" w:footer="0" w:gutter="0"/>
          <w:pgNumType w:start="5"/>
          <w:cols w:space="708"/>
        </w:sectPr>
      </w:pPr>
    </w:p>
    <w:p>
      <w:pPr>
        <w:spacing w:before="119" w:line="223" w:lineRule="auto"/>
        <w:ind w:left="2464"/>
        <w:rPr>
          <w:rFonts w:ascii="楷体" w:eastAsia="楷体" w:hAnsi="楷体" w:cs="楷体"/>
          <w:sz w:val="32"/>
          <w:szCs w:val="32"/>
        </w:rPr>
      </w:pPr>
      <w:r>
        <w:rPr>
          <w:rFonts w:ascii="楷体" w:eastAsia="楷体" w:hAnsi="楷体" w:cs="楷体"/>
          <w:b/>
          <w:bCs/>
          <w:spacing w:val="-6"/>
          <w:sz w:val="32"/>
          <w:szCs w:val="32"/>
        </w:rPr>
        <w:t>液氨存储与装卸作业安全技术规范</w:t>
      </w:r>
    </w:p>
    <w:p>
      <w:pPr>
        <w:spacing w:line="268" w:lineRule="auto"/>
      </w:pPr>
    </w:p>
    <w:p>
      <w:pPr>
        <w:spacing w:line="268" w:lineRule="auto"/>
      </w:pPr>
    </w:p>
    <w:p>
      <w:pPr>
        <w:spacing w:line="269" w:lineRule="auto"/>
      </w:pPr>
    </w:p>
    <w:p>
      <w:pPr>
        <w:pStyle w:val="BodyText"/>
        <w:spacing w:before="91" w:line="220" w:lineRule="auto"/>
        <w:ind w:left="584"/>
        <w:rPr>
          <w:sz w:val="28"/>
          <w:szCs w:val="28"/>
        </w:rPr>
      </w:pPr>
      <w:r>
        <w:rPr>
          <w:b/>
          <w:bCs/>
          <w:spacing w:val="-17"/>
          <w:sz w:val="28"/>
          <w:szCs w:val="28"/>
        </w:rPr>
        <w:t>1</w:t>
      </w:r>
      <w:r>
        <w:rPr>
          <w:spacing w:val="42"/>
          <w:sz w:val="28"/>
          <w:szCs w:val="28"/>
        </w:rPr>
        <w:t xml:space="preserve"> </w:t>
      </w:r>
      <w:r>
        <w:rPr>
          <w:b/>
          <w:bCs/>
          <w:spacing w:val="-17"/>
          <w:sz w:val="28"/>
          <w:szCs w:val="28"/>
        </w:rPr>
        <w:t>范围</w:t>
      </w:r>
    </w:p>
    <w:p>
      <w:pPr>
        <w:pStyle w:val="BodyText"/>
        <w:spacing w:before="298" w:line="611" w:lineRule="exact"/>
        <w:ind w:left="580"/>
        <w:rPr>
          <w:sz w:val="28"/>
          <w:szCs w:val="28"/>
        </w:rPr>
      </w:pPr>
      <w:r>
        <w:rPr>
          <w:spacing w:val="-10"/>
          <w:position w:val="25"/>
          <w:sz w:val="28"/>
          <w:szCs w:val="28"/>
        </w:rPr>
        <w:t>本文件规定了液氨存储与装卸作业的基本要求、安全技术、存储作业、</w:t>
      </w:r>
    </w:p>
    <w:p>
      <w:pPr>
        <w:pStyle w:val="BodyText"/>
        <w:spacing w:line="219" w:lineRule="auto"/>
        <w:rPr>
          <w:sz w:val="28"/>
          <w:szCs w:val="28"/>
        </w:rPr>
      </w:pPr>
      <w:r>
        <w:rPr>
          <w:spacing w:val="-4"/>
          <w:sz w:val="28"/>
          <w:szCs w:val="28"/>
        </w:rPr>
        <w:t>装卸作业、应急处置等要求。</w:t>
      </w:r>
    </w:p>
    <w:p>
      <w:pPr>
        <w:pStyle w:val="BodyText"/>
        <w:spacing w:before="285" w:line="219" w:lineRule="auto"/>
        <w:jc w:val="right"/>
        <w:rPr>
          <w:sz w:val="28"/>
          <w:szCs w:val="28"/>
        </w:rPr>
      </w:pPr>
      <w:r>
        <w:rPr>
          <w:spacing w:val="-5"/>
          <w:sz w:val="28"/>
          <w:szCs w:val="28"/>
        </w:rPr>
        <w:t>本文件适用于液氨生产、存储和使用企业的液氨存储和装卸作业活动。</w:t>
      </w:r>
    </w:p>
    <w:p>
      <w:pPr>
        <w:pStyle w:val="BodyText"/>
        <w:spacing w:before="288" w:line="622" w:lineRule="exact"/>
        <w:ind w:left="580"/>
        <w:rPr>
          <w:sz w:val="28"/>
          <w:szCs w:val="28"/>
        </w:rPr>
      </w:pPr>
      <w:r>
        <w:rPr>
          <w:spacing w:val="-1"/>
          <w:position w:val="26"/>
          <w:sz w:val="28"/>
          <w:szCs w:val="28"/>
        </w:rPr>
        <w:t>本文件不适用于涉氨制冷领域的冷库、食品加工等工贸企业的液氮存</w:t>
      </w:r>
    </w:p>
    <w:p>
      <w:pPr>
        <w:pStyle w:val="BodyText"/>
        <w:spacing w:line="220" w:lineRule="auto"/>
        <w:rPr>
          <w:sz w:val="28"/>
          <w:szCs w:val="28"/>
        </w:rPr>
      </w:pPr>
      <w:r>
        <w:rPr>
          <w:spacing w:val="-7"/>
          <w:sz w:val="28"/>
          <w:szCs w:val="28"/>
        </w:rPr>
        <w:t>储和装卸活动。</w:t>
      </w:r>
    </w:p>
    <w:p>
      <w:pPr>
        <w:pStyle w:val="BodyText"/>
        <w:spacing w:before="312" w:line="219" w:lineRule="auto"/>
        <w:ind w:left="584"/>
        <w:rPr>
          <w:sz w:val="28"/>
          <w:szCs w:val="28"/>
        </w:rPr>
      </w:pPr>
      <w:r>
        <w:rPr>
          <w:b/>
          <w:bCs/>
          <w:spacing w:val="-6"/>
          <w:sz w:val="28"/>
          <w:szCs w:val="28"/>
        </w:rPr>
        <w:t>2</w:t>
      </w:r>
      <w:r>
        <w:rPr>
          <w:spacing w:val="-6"/>
          <w:sz w:val="28"/>
          <w:szCs w:val="28"/>
        </w:rPr>
        <w:t xml:space="preserve"> </w:t>
      </w:r>
      <w:r>
        <w:rPr>
          <w:b/>
          <w:bCs/>
          <w:spacing w:val="-6"/>
          <w:sz w:val="28"/>
          <w:szCs w:val="28"/>
        </w:rPr>
        <w:t>规范性引用文件</w:t>
      </w:r>
    </w:p>
    <w:p>
      <w:pPr>
        <w:pStyle w:val="BodyText"/>
        <w:spacing w:before="280" w:line="409" w:lineRule="auto"/>
        <w:ind w:right="120" w:firstLine="580"/>
        <w:jc w:val="both"/>
        <w:rPr>
          <w:sz w:val="28"/>
          <w:szCs w:val="28"/>
        </w:rPr>
      </w:pPr>
      <w:r>
        <w:rPr>
          <w:sz w:val="28"/>
          <w:szCs w:val="28"/>
        </w:rPr>
        <w:t xml:space="preserve">下列文件中的内容通过文中的规范性引用而构成本文件必不可少的条 </w:t>
      </w:r>
      <w:r>
        <w:rPr>
          <w:spacing w:val="-8"/>
          <w:sz w:val="28"/>
          <w:szCs w:val="28"/>
        </w:rPr>
        <w:t>款。其中，注日期的引用文件，仅该日期对应的版本适用于本文件；不注日</w:t>
      </w:r>
    </w:p>
    <w:p>
      <w:pPr>
        <w:pStyle w:val="BodyText"/>
        <w:spacing w:line="218" w:lineRule="auto"/>
        <w:rPr>
          <w:sz w:val="28"/>
          <w:szCs w:val="28"/>
        </w:rPr>
      </w:pPr>
      <w:r>
        <w:rPr>
          <w:spacing w:val="7"/>
          <w:sz w:val="28"/>
          <w:szCs w:val="28"/>
        </w:rPr>
        <w:t>期的引用文件，其最新版本(包括所有的修改单)适用于本文件。</w:t>
      </w:r>
    </w:p>
    <w:p>
      <w:pPr>
        <w:pStyle w:val="BodyText"/>
        <w:spacing w:before="300" w:line="219" w:lineRule="auto"/>
        <w:ind w:left="580"/>
        <w:rPr>
          <w:sz w:val="28"/>
          <w:szCs w:val="28"/>
        </w:rPr>
      </w:pPr>
      <w:r>
        <w:rPr>
          <w:spacing w:val="-3"/>
          <w:sz w:val="28"/>
          <w:szCs w:val="28"/>
        </w:rPr>
        <w:t>GB</w:t>
      </w:r>
      <w:r>
        <w:rPr>
          <w:spacing w:val="47"/>
          <w:sz w:val="28"/>
          <w:szCs w:val="28"/>
        </w:rPr>
        <w:t xml:space="preserve"> </w:t>
      </w:r>
      <w:r>
        <w:rPr>
          <w:spacing w:val="-3"/>
          <w:sz w:val="28"/>
          <w:szCs w:val="28"/>
        </w:rPr>
        <w:t>5749</w:t>
      </w:r>
      <w:r>
        <w:rPr>
          <w:spacing w:val="52"/>
          <w:sz w:val="28"/>
          <w:szCs w:val="28"/>
        </w:rPr>
        <w:t xml:space="preserve">  </w:t>
      </w:r>
      <w:r>
        <w:rPr>
          <w:spacing w:val="-3"/>
          <w:sz w:val="28"/>
          <w:szCs w:val="28"/>
        </w:rPr>
        <w:t>生活饮用水卫生标准</w:t>
      </w:r>
    </w:p>
    <w:p>
      <w:pPr>
        <w:pStyle w:val="BodyText"/>
        <w:spacing w:before="297" w:line="620" w:lineRule="exact"/>
        <w:ind w:left="580"/>
        <w:rPr>
          <w:sz w:val="28"/>
          <w:szCs w:val="28"/>
        </w:rPr>
      </w:pPr>
      <w:r>
        <w:rPr>
          <w:position w:val="26"/>
          <w:sz w:val="28"/>
          <w:szCs w:val="28"/>
        </w:rPr>
        <w:t>GB7231</w:t>
      </w:r>
      <w:r>
        <w:rPr>
          <w:spacing w:val="117"/>
          <w:position w:val="26"/>
          <w:sz w:val="28"/>
          <w:szCs w:val="28"/>
        </w:rPr>
        <w:t xml:space="preserve"> </w:t>
      </w:r>
      <w:r>
        <w:rPr>
          <w:position w:val="26"/>
          <w:sz w:val="28"/>
          <w:szCs w:val="28"/>
        </w:rPr>
        <w:t>工业管道的基本识别色、识别符合和安全</w:t>
      </w:r>
      <w:r>
        <w:rPr>
          <w:spacing w:val="-1"/>
          <w:position w:val="26"/>
          <w:sz w:val="28"/>
          <w:szCs w:val="28"/>
        </w:rPr>
        <w:t>标识</w:t>
      </w:r>
    </w:p>
    <w:p>
      <w:pPr>
        <w:pStyle w:val="BodyText"/>
        <w:spacing w:before="1" w:line="218" w:lineRule="auto"/>
        <w:ind w:left="580"/>
        <w:rPr>
          <w:sz w:val="28"/>
          <w:szCs w:val="28"/>
        </w:rPr>
      </w:pPr>
      <w:r>
        <w:rPr>
          <w:spacing w:val="-1"/>
          <w:sz w:val="28"/>
          <w:szCs w:val="28"/>
        </w:rPr>
        <w:t>GB 12158  防止静电事故通用导则</w:t>
      </w:r>
    </w:p>
    <w:p>
      <w:pPr>
        <w:pStyle w:val="BodyText"/>
        <w:spacing w:before="290" w:line="220" w:lineRule="auto"/>
        <w:ind w:left="580"/>
        <w:rPr>
          <w:sz w:val="28"/>
          <w:szCs w:val="28"/>
        </w:rPr>
      </w:pPr>
      <w:r>
        <w:rPr>
          <w:spacing w:val="-1"/>
          <w:sz w:val="28"/>
          <w:szCs w:val="28"/>
        </w:rPr>
        <w:t>GB 14193  液化气体气瓶充装规定</w:t>
      </w:r>
    </w:p>
    <w:p>
      <w:pPr>
        <w:pStyle w:val="BodyText"/>
        <w:spacing w:before="296" w:line="219" w:lineRule="auto"/>
        <w:ind w:left="580"/>
        <w:rPr>
          <w:sz w:val="28"/>
          <w:szCs w:val="28"/>
        </w:rPr>
      </w:pPr>
      <w:r>
        <w:rPr>
          <w:sz w:val="28"/>
          <w:szCs w:val="28"/>
        </w:rPr>
        <w:t>GB/T 34525-2017</w:t>
      </w:r>
      <w:r>
        <w:rPr>
          <w:spacing w:val="117"/>
          <w:sz w:val="28"/>
          <w:szCs w:val="28"/>
        </w:rPr>
        <w:t xml:space="preserve"> </w:t>
      </w:r>
      <w:r>
        <w:rPr>
          <w:sz w:val="28"/>
          <w:szCs w:val="28"/>
        </w:rPr>
        <w:t>气瓶搬运、装卸、储存和使用安全规定</w:t>
      </w:r>
    </w:p>
    <w:p>
      <w:pPr>
        <w:pStyle w:val="BodyText"/>
        <w:spacing w:before="308" w:line="219" w:lineRule="auto"/>
        <w:ind w:left="580"/>
        <w:rPr>
          <w:sz w:val="28"/>
          <w:szCs w:val="28"/>
        </w:rPr>
      </w:pPr>
      <w:r>
        <w:rPr>
          <w:spacing w:val="-2"/>
          <w:sz w:val="28"/>
          <w:szCs w:val="28"/>
        </w:rPr>
        <w:t>GB 36894  危险化学品生产装置和储存设施风险基准</w:t>
      </w:r>
    </w:p>
    <w:p>
      <w:pPr>
        <w:pStyle w:val="BodyText"/>
        <w:spacing w:before="277" w:line="622" w:lineRule="exact"/>
        <w:ind w:left="580"/>
        <w:rPr>
          <w:sz w:val="28"/>
          <w:szCs w:val="28"/>
        </w:rPr>
      </w:pPr>
      <w:r>
        <w:rPr>
          <w:spacing w:val="-1"/>
          <w:position w:val="26"/>
          <w:sz w:val="28"/>
          <w:szCs w:val="28"/>
        </w:rPr>
        <w:t>GB/T</w:t>
      </w:r>
      <w:r>
        <w:rPr>
          <w:spacing w:val="52"/>
          <w:position w:val="26"/>
          <w:sz w:val="28"/>
          <w:szCs w:val="28"/>
        </w:rPr>
        <w:t xml:space="preserve"> </w:t>
      </w:r>
      <w:r>
        <w:rPr>
          <w:spacing w:val="-1"/>
          <w:position w:val="26"/>
          <w:sz w:val="28"/>
          <w:szCs w:val="28"/>
        </w:rPr>
        <w:t>37243  危险化学品生产装置和储存设施外部安全防护距离</w:t>
      </w:r>
      <w:r>
        <w:rPr>
          <w:spacing w:val="-2"/>
          <w:position w:val="26"/>
          <w:sz w:val="28"/>
          <w:szCs w:val="28"/>
        </w:rPr>
        <w:t>确定</w:t>
      </w:r>
    </w:p>
    <w:p>
      <w:pPr>
        <w:pStyle w:val="BodyText"/>
        <w:spacing w:before="1" w:line="220" w:lineRule="auto"/>
        <w:rPr>
          <w:sz w:val="28"/>
          <w:szCs w:val="28"/>
        </w:rPr>
      </w:pPr>
      <w:r>
        <w:rPr>
          <w:spacing w:val="9"/>
          <w:sz w:val="28"/>
          <w:szCs w:val="28"/>
        </w:rPr>
        <w:t>方法</w:t>
      </w:r>
    </w:p>
    <w:p>
      <w:pPr>
        <w:pStyle w:val="BodyText"/>
        <w:spacing w:before="291" w:line="622" w:lineRule="exact"/>
        <w:ind w:left="580"/>
        <w:rPr>
          <w:sz w:val="28"/>
          <w:szCs w:val="28"/>
        </w:rPr>
      </w:pPr>
      <w:r>
        <w:rPr>
          <w:spacing w:val="-1"/>
          <w:position w:val="26"/>
          <w:sz w:val="28"/>
          <w:szCs w:val="28"/>
        </w:rPr>
        <w:t>GB 50058</w:t>
      </w:r>
      <w:r>
        <w:rPr>
          <w:spacing w:val="120"/>
          <w:position w:val="26"/>
          <w:sz w:val="28"/>
          <w:szCs w:val="28"/>
        </w:rPr>
        <w:t xml:space="preserve"> </w:t>
      </w:r>
      <w:r>
        <w:rPr>
          <w:spacing w:val="-1"/>
          <w:position w:val="26"/>
          <w:sz w:val="28"/>
          <w:szCs w:val="28"/>
        </w:rPr>
        <w:t>爆炸危险环境电力装置设计规范</w:t>
      </w:r>
    </w:p>
    <w:p>
      <w:pPr>
        <w:pStyle w:val="BodyText"/>
        <w:spacing w:before="1" w:line="219" w:lineRule="auto"/>
        <w:ind w:left="580"/>
        <w:rPr>
          <w:sz w:val="28"/>
          <w:szCs w:val="28"/>
        </w:rPr>
      </w:pPr>
      <w:r>
        <w:rPr>
          <w:sz w:val="28"/>
          <w:szCs w:val="28"/>
        </w:rPr>
        <w:t>GB50140</w:t>
      </w:r>
      <w:r>
        <w:rPr>
          <w:spacing w:val="135"/>
          <w:sz w:val="28"/>
          <w:szCs w:val="28"/>
        </w:rPr>
        <w:t xml:space="preserve"> </w:t>
      </w:r>
      <w:r>
        <w:rPr>
          <w:sz w:val="28"/>
          <w:szCs w:val="28"/>
        </w:rPr>
        <w:t>建筑灭火器配置设计规范</w:t>
      </w:r>
    </w:p>
    <w:p>
      <w:pPr>
        <w:spacing w:line="219" w:lineRule="auto"/>
        <w:rPr>
          <w:sz w:val="28"/>
          <w:szCs w:val="28"/>
        </w:rPr>
        <w:sectPr>
          <w:pgSz w:w="11910" w:h="16840"/>
          <w:pgMar w:top="1431" w:right="1229" w:bottom="0" w:left="1569" w:header="0" w:footer="0" w:gutter="0"/>
          <w:pgNumType w:start="6"/>
          <w:cols w:space="708"/>
        </w:sectPr>
      </w:pPr>
    </w:p>
    <w:p>
      <w:pPr>
        <w:pStyle w:val="BodyText"/>
        <w:spacing w:before="149" w:line="620" w:lineRule="exact"/>
        <w:ind w:left="353"/>
        <w:rPr>
          <w:sz w:val="28"/>
          <w:szCs w:val="28"/>
        </w:rPr>
      </w:pPr>
      <w:r>
        <w:rPr>
          <w:position w:val="25"/>
          <w:sz w:val="28"/>
          <w:szCs w:val="28"/>
        </w:rPr>
        <w:t>GB</w:t>
      </w:r>
      <w:r>
        <w:rPr>
          <w:spacing w:val="8"/>
          <w:position w:val="25"/>
          <w:sz w:val="28"/>
          <w:szCs w:val="28"/>
        </w:rPr>
        <w:t xml:space="preserve"> 50160-2008</w:t>
      </w:r>
      <w:r>
        <w:rPr>
          <w:spacing w:val="152"/>
          <w:position w:val="25"/>
          <w:sz w:val="28"/>
          <w:szCs w:val="28"/>
        </w:rPr>
        <w:t xml:space="preserve"> </w:t>
      </w:r>
      <w:r>
        <w:rPr>
          <w:spacing w:val="8"/>
          <w:position w:val="25"/>
          <w:sz w:val="28"/>
          <w:szCs w:val="28"/>
        </w:rPr>
        <w:t>石油化工企业设计防火标准(2018年版)</w:t>
      </w:r>
    </w:p>
    <w:p>
      <w:pPr>
        <w:pStyle w:val="BodyText"/>
        <w:spacing w:line="219" w:lineRule="auto"/>
        <w:ind w:left="353"/>
        <w:rPr>
          <w:sz w:val="28"/>
          <w:szCs w:val="28"/>
        </w:rPr>
      </w:pPr>
      <w:r>
        <w:rPr>
          <w:spacing w:val="-2"/>
          <w:sz w:val="28"/>
          <w:szCs w:val="28"/>
        </w:rPr>
        <w:t>GB 50489  化工企业总图运输设计规范</w:t>
      </w:r>
    </w:p>
    <w:p>
      <w:pPr>
        <w:pStyle w:val="BodyText"/>
        <w:spacing w:before="288" w:line="220" w:lineRule="auto"/>
        <w:ind w:left="353"/>
        <w:rPr>
          <w:sz w:val="28"/>
          <w:szCs w:val="28"/>
        </w:rPr>
      </w:pPr>
      <w:r>
        <w:rPr>
          <w:spacing w:val="-1"/>
          <w:sz w:val="28"/>
          <w:szCs w:val="28"/>
        </w:rPr>
        <w:t>GB 55036  消防设施通用规范</w:t>
      </w:r>
    </w:p>
    <w:p>
      <w:pPr>
        <w:pStyle w:val="BodyText"/>
        <w:spacing w:before="285" w:line="219" w:lineRule="auto"/>
        <w:ind w:left="353"/>
        <w:rPr>
          <w:sz w:val="28"/>
          <w:szCs w:val="28"/>
        </w:rPr>
      </w:pPr>
      <w:r>
        <w:rPr>
          <w:spacing w:val="-1"/>
          <w:sz w:val="28"/>
          <w:szCs w:val="28"/>
        </w:rPr>
        <w:t>HG 2599</w:t>
      </w:r>
      <w:r>
        <w:rPr>
          <w:spacing w:val="114"/>
          <w:sz w:val="28"/>
          <w:szCs w:val="28"/>
        </w:rPr>
        <w:t xml:space="preserve"> </w:t>
      </w:r>
      <w:r>
        <w:rPr>
          <w:spacing w:val="-1"/>
          <w:sz w:val="28"/>
          <w:szCs w:val="28"/>
        </w:rPr>
        <w:t>液氨汽车罐车技术条件</w:t>
      </w:r>
    </w:p>
    <w:p>
      <w:pPr>
        <w:pStyle w:val="BodyText"/>
        <w:spacing w:before="306" w:line="630" w:lineRule="exact"/>
        <w:ind w:left="353"/>
        <w:rPr>
          <w:sz w:val="28"/>
          <w:szCs w:val="28"/>
        </w:rPr>
      </w:pPr>
      <w:r>
        <w:rPr>
          <w:spacing w:val="-1"/>
          <w:position w:val="26"/>
          <w:sz w:val="28"/>
          <w:szCs w:val="28"/>
        </w:rPr>
        <w:t>HG/T 20675</w:t>
      </w:r>
      <w:r>
        <w:rPr>
          <w:spacing w:val="119"/>
          <w:position w:val="26"/>
          <w:sz w:val="28"/>
          <w:szCs w:val="28"/>
        </w:rPr>
        <w:t xml:space="preserve"> </w:t>
      </w:r>
      <w:r>
        <w:rPr>
          <w:spacing w:val="-1"/>
          <w:position w:val="26"/>
          <w:sz w:val="28"/>
          <w:szCs w:val="28"/>
        </w:rPr>
        <w:t>化工企业静电接地设计规程</w:t>
      </w:r>
    </w:p>
    <w:p>
      <w:pPr>
        <w:pStyle w:val="BodyText"/>
        <w:spacing w:before="1" w:line="218" w:lineRule="auto"/>
        <w:ind w:left="353"/>
        <w:rPr>
          <w:sz w:val="28"/>
          <w:szCs w:val="28"/>
        </w:rPr>
      </w:pPr>
      <w:r>
        <w:rPr>
          <w:spacing w:val="-2"/>
          <w:sz w:val="28"/>
          <w:szCs w:val="28"/>
        </w:rPr>
        <w:t>SH/T 3097  石油化工静电接地设计规范</w:t>
      </w:r>
    </w:p>
    <w:p>
      <w:pPr>
        <w:pStyle w:val="BodyText"/>
        <w:spacing w:before="296" w:line="219" w:lineRule="auto"/>
        <w:ind w:left="357"/>
        <w:rPr>
          <w:sz w:val="28"/>
          <w:szCs w:val="28"/>
        </w:rPr>
      </w:pPr>
      <w:r>
        <w:rPr>
          <w:b/>
          <w:bCs/>
          <w:spacing w:val="-7"/>
          <w:sz w:val="28"/>
          <w:szCs w:val="28"/>
        </w:rPr>
        <w:t>3</w:t>
      </w:r>
      <w:r>
        <w:rPr>
          <w:spacing w:val="-7"/>
          <w:sz w:val="28"/>
          <w:szCs w:val="28"/>
        </w:rPr>
        <w:t xml:space="preserve"> </w:t>
      </w:r>
      <w:r>
        <w:rPr>
          <w:b/>
          <w:bCs/>
          <w:spacing w:val="-7"/>
          <w:sz w:val="28"/>
          <w:szCs w:val="28"/>
        </w:rPr>
        <w:t>术语和定义</w:t>
      </w:r>
    </w:p>
    <w:p>
      <w:pPr>
        <w:pStyle w:val="BodyText"/>
        <w:spacing w:before="280" w:line="219" w:lineRule="auto"/>
        <w:ind w:left="353"/>
        <w:rPr>
          <w:sz w:val="28"/>
          <w:szCs w:val="28"/>
        </w:rPr>
      </w:pPr>
      <w:r>
        <w:rPr>
          <w:spacing w:val="-6"/>
          <w:sz w:val="28"/>
          <w:szCs w:val="28"/>
        </w:rPr>
        <w:t>下列术语和定义适用于本文件。</w:t>
      </w:r>
    </w:p>
    <w:p>
      <w:pPr>
        <w:pStyle w:val="BodyText"/>
        <w:spacing w:before="256" w:line="214" w:lineRule="auto"/>
        <w:ind w:left="337"/>
        <w:outlineLvl w:val="0"/>
        <w:rPr>
          <w:sz w:val="33"/>
          <w:szCs w:val="33"/>
        </w:rPr>
      </w:pPr>
      <w:r>
        <w:rPr>
          <w:b/>
          <w:bCs/>
          <w:spacing w:val="-31"/>
          <w:sz w:val="33"/>
          <w:szCs w:val="33"/>
        </w:rPr>
        <w:t>3.1存储场所</w:t>
      </w:r>
      <w:r>
        <w:rPr>
          <w:spacing w:val="-72"/>
          <w:sz w:val="33"/>
          <w:szCs w:val="33"/>
        </w:rPr>
        <w:t xml:space="preserve"> </w:t>
      </w:r>
      <w:r>
        <w:rPr>
          <w:b/>
          <w:bCs/>
          <w:spacing w:val="-31"/>
          <w:sz w:val="33"/>
          <w:szCs w:val="33"/>
        </w:rPr>
        <w:t>storage</w:t>
      </w:r>
    </w:p>
    <w:p>
      <w:pPr>
        <w:pStyle w:val="BodyText"/>
        <w:spacing w:before="301" w:line="219" w:lineRule="auto"/>
        <w:ind w:left="353"/>
        <w:rPr>
          <w:sz w:val="28"/>
          <w:szCs w:val="28"/>
        </w:rPr>
      </w:pPr>
      <w:r>
        <w:rPr>
          <w:spacing w:val="19"/>
          <w:sz w:val="28"/>
          <w:szCs w:val="28"/>
        </w:rPr>
        <w:t>液氨钢瓶存储区(3.3)和储罐区(3.2)的统称。</w:t>
      </w:r>
    </w:p>
    <w:p>
      <w:pPr>
        <w:pStyle w:val="BodyText"/>
        <w:spacing w:before="278" w:line="469" w:lineRule="exact"/>
        <w:ind w:left="357"/>
        <w:rPr>
          <w:sz w:val="28"/>
          <w:szCs w:val="28"/>
        </w:rPr>
      </w:pPr>
      <w:r>
        <w:rPr>
          <w:b/>
          <w:bCs/>
          <w:spacing w:val="-7"/>
          <w:position w:val="13"/>
          <w:sz w:val="28"/>
          <w:szCs w:val="28"/>
        </w:rPr>
        <w:t>注</w:t>
      </w:r>
      <w:r>
        <w:rPr>
          <w:spacing w:val="-50"/>
          <w:position w:val="13"/>
          <w:sz w:val="28"/>
          <w:szCs w:val="28"/>
        </w:rPr>
        <w:t xml:space="preserve"> </w:t>
      </w:r>
      <w:r>
        <w:rPr>
          <w:b/>
          <w:bCs/>
          <w:spacing w:val="-7"/>
          <w:position w:val="13"/>
          <w:sz w:val="28"/>
          <w:szCs w:val="28"/>
        </w:rPr>
        <w:t>：</w:t>
      </w:r>
      <w:r>
        <w:rPr>
          <w:spacing w:val="-7"/>
          <w:position w:val="13"/>
          <w:sz w:val="28"/>
          <w:szCs w:val="28"/>
        </w:rPr>
        <w:t>不包括液氨汽车槽车暂停在危化品车辆停车场情况。</w:t>
      </w:r>
    </w:p>
    <w:p>
      <w:pPr>
        <w:pStyle w:val="BodyText"/>
        <w:spacing w:line="212" w:lineRule="auto"/>
        <w:ind w:left="357"/>
        <w:rPr>
          <w:rFonts w:ascii="Times New Roman" w:eastAsia="Times New Roman" w:hAnsi="Times New Roman" w:cs="Times New Roman"/>
          <w:sz w:val="40"/>
          <w:szCs w:val="40"/>
        </w:rPr>
      </w:pPr>
      <w:r>
        <w:rPr>
          <w:b/>
          <w:bCs/>
          <w:spacing w:val="-28"/>
          <w:w w:val="95"/>
          <w:sz w:val="40"/>
          <w:szCs w:val="40"/>
        </w:rPr>
        <w:t>3.2储罐区</w:t>
      </w:r>
      <w:r>
        <w:rPr>
          <w:spacing w:val="-102"/>
          <w:sz w:val="40"/>
          <w:szCs w:val="40"/>
        </w:rPr>
        <w:t xml:space="preserve"> </w:t>
      </w:r>
      <w:r>
        <w:rPr>
          <w:rFonts w:ascii="Times New Roman" w:eastAsia="Times New Roman" w:hAnsi="Times New Roman" w:cs="Times New Roman"/>
          <w:b/>
          <w:bCs/>
          <w:spacing w:val="-28"/>
          <w:w w:val="95"/>
          <w:sz w:val="40"/>
          <w:szCs w:val="40"/>
        </w:rPr>
        <w:t>storage tank district</w:t>
      </w:r>
    </w:p>
    <w:p>
      <w:pPr>
        <w:pStyle w:val="BodyText"/>
        <w:spacing w:before="310" w:line="219" w:lineRule="auto"/>
        <w:ind w:left="353"/>
        <w:rPr>
          <w:sz w:val="28"/>
          <w:szCs w:val="28"/>
        </w:rPr>
      </w:pPr>
      <w:r>
        <w:rPr>
          <w:spacing w:val="-4"/>
          <w:sz w:val="28"/>
          <w:szCs w:val="28"/>
        </w:rPr>
        <w:t>由一个或若干个存储液氨的储罐组成的相对独立区域。</w:t>
      </w:r>
    </w:p>
    <w:p>
      <w:pPr>
        <w:pStyle w:val="BodyText"/>
        <w:spacing w:before="257" w:line="212" w:lineRule="auto"/>
        <w:ind w:left="357"/>
        <w:outlineLvl w:val="0"/>
        <w:rPr>
          <w:rFonts w:ascii="Times New Roman" w:eastAsia="Times New Roman" w:hAnsi="Times New Roman" w:cs="Times New Roman"/>
          <w:sz w:val="28"/>
          <w:szCs w:val="28"/>
        </w:rPr>
      </w:pPr>
      <w:r>
        <w:rPr>
          <w:b/>
          <w:bCs/>
          <w:spacing w:val="4"/>
          <w:sz w:val="28"/>
          <w:szCs w:val="28"/>
        </w:rPr>
        <w:t>3.3钢瓶存储区</w:t>
      </w:r>
      <w:r>
        <w:rPr>
          <w:rFonts w:ascii="Times New Roman" w:eastAsia="Times New Roman" w:hAnsi="Times New Roman" w:cs="Times New Roman"/>
          <w:b/>
          <w:bCs/>
          <w:sz w:val="28"/>
          <w:szCs w:val="28"/>
        </w:rPr>
        <w:t>steel</w:t>
      </w:r>
      <w:r>
        <w:rPr>
          <w:rFonts w:ascii="Times New Roman" w:eastAsia="Times New Roman" w:hAnsi="Times New Roman" w:cs="Times New Roman"/>
          <w:b/>
          <w:bCs/>
          <w:spacing w:val="4"/>
          <w:sz w:val="28"/>
          <w:szCs w:val="28"/>
        </w:rPr>
        <w:t xml:space="preserve">    </w:t>
      </w:r>
      <w:r>
        <w:rPr>
          <w:rFonts w:ascii="Times New Roman" w:eastAsia="Times New Roman" w:hAnsi="Times New Roman" w:cs="Times New Roman"/>
          <w:b/>
          <w:bCs/>
          <w:sz w:val="28"/>
          <w:szCs w:val="28"/>
        </w:rPr>
        <w:t>cylinder</w:t>
      </w:r>
      <w:r>
        <w:rPr>
          <w:rFonts w:ascii="Times New Roman" w:eastAsia="Times New Roman" w:hAnsi="Times New Roman" w:cs="Times New Roman"/>
          <w:b/>
          <w:bCs/>
          <w:spacing w:val="4"/>
          <w:sz w:val="28"/>
          <w:szCs w:val="28"/>
        </w:rPr>
        <w:t xml:space="preserve">     </w:t>
      </w:r>
      <w:r>
        <w:rPr>
          <w:rFonts w:ascii="Times New Roman" w:eastAsia="Times New Roman" w:hAnsi="Times New Roman" w:cs="Times New Roman"/>
          <w:b/>
          <w:bCs/>
          <w:sz w:val="28"/>
          <w:szCs w:val="28"/>
        </w:rPr>
        <w:t>storage</w:t>
      </w:r>
      <w:r>
        <w:rPr>
          <w:rFonts w:ascii="Times New Roman" w:eastAsia="Times New Roman" w:hAnsi="Times New Roman" w:cs="Times New Roman"/>
          <w:b/>
          <w:bCs/>
          <w:spacing w:val="4"/>
          <w:sz w:val="28"/>
          <w:szCs w:val="28"/>
        </w:rPr>
        <w:t xml:space="preserve">     </w:t>
      </w:r>
      <w:r>
        <w:rPr>
          <w:rFonts w:ascii="Times New Roman" w:eastAsia="Times New Roman" w:hAnsi="Times New Roman" w:cs="Times New Roman"/>
          <w:b/>
          <w:bCs/>
          <w:sz w:val="28"/>
          <w:szCs w:val="28"/>
        </w:rPr>
        <w:t>tank</w:t>
      </w:r>
      <w:r>
        <w:rPr>
          <w:rFonts w:ascii="Times New Roman" w:eastAsia="Times New Roman" w:hAnsi="Times New Roman" w:cs="Times New Roman"/>
          <w:b/>
          <w:bCs/>
          <w:spacing w:val="4"/>
          <w:sz w:val="28"/>
          <w:szCs w:val="28"/>
        </w:rPr>
        <w:t xml:space="preserve">    </w:t>
      </w:r>
      <w:r>
        <w:rPr>
          <w:rFonts w:ascii="Times New Roman" w:eastAsia="Times New Roman" w:hAnsi="Times New Roman" w:cs="Times New Roman"/>
          <w:b/>
          <w:bCs/>
          <w:sz w:val="28"/>
          <w:szCs w:val="28"/>
        </w:rPr>
        <w:t>district</w:t>
      </w:r>
    </w:p>
    <w:p>
      <w:pPr>
        <w:spacing w:line="246" w:lineRule="auto"/>
      </w:pPr>
    </w:p>
    <w:p>
      <w:pPr>
        <w:pStyle w:val="BodyText"/>
        <w:spacing w:before="92" w:line="631" w:lineRule="exact"/>
        <w:ind w:left="353"/>
        <w:rPr>
          <w:sz w:val="28"/>
          <w:szCs w:val="28"/>
        </w:rPr>
      </w:pPr>
      <w:r>
        <w:rPr>
          <w:spacing w:val="-5"/>
          <w:position w:val="26"/>
          <w:sz w:val="28"/>
          <w:szCs w:val="28"/>
        </w:rPr>
        <w:t>存储若干个液氨钢瓶的相对独立区域。</w:t>
      </w:r>
    </w:p>
    <w:p>
      <w:pPr>
        <w:pStyle w:val="BodyText"/>
        <w:spacing w:before="1" w:line="219" w:lineRule="auto"/>
        <w:ind w:left="357"/>
        <w:rPr>
          <w:sz w:val="28"/>
          <w:szCs w:val="28"/>
        </w:rPr>
      </w:pPr>
      <w:r>
        <w:rPr>
          <w:b/>
          <w:bCs/>
          <w:spacing w:val="-11"/>
          <w:sz w:val="28"/>
          <w:szCs w:val="28"/>
        </w:rPr>
        <w:t>注：</w:t>
      </w:r>
      <w:r>
        <w:rPr>
          <w:spacing w:val="-53"/>
          <w:sz w:val="28"/>
          <w:szCs w:val="28"/>
        </w:rPr>
        <w:t xml:space="preserve"> </w:t>
      </w:r>
      <w:r>
        <w:rPr>
          <w:spacing w:val="-11"/>
          <w:sz w:val="28"/>
          <w:szCs w:val="28"/>
        </w:rPr>
        <w:t>包括液氨钢瓶存储仓库和棚库。</w:t>
      </w:r>
    </w:p>
    <w:p>
      <w:pPr>
        <w:pStyle w:val="BodyText"/>
        <w:spacing w:before="243" w:line="214" w:lineRule="auto"/>
        <w:ind w:left="357"/>
        <w:rPr>
          <w:sz w:val="33"/>
          <w:szCs w:val="33"/>
        </w:rPr>
      </w:pPr>
      <w:r>
        <w:rPr>
          <w:b/>
          <w:bCs/>
          <w:spacing w:val="-29"/>
          <w:sz w:val="33"/>
          <w:szCs w:val="33"/>
        </w:rPr>
        <w:t>3.4装卸场所</w:t>
      </w:r>
      <w:r>
        <w:rPr>
          <w:spacing w:val="-77"/>
          <w:sz w:val="33"/>
          <w:szCs w:val="33"/>
        </w:rPr>
        <w:t xml:space="preserve"> </w:t>
      </w:r>
      <w:r>
        <w:rPr>
          <w:b/>
          <w:bCs/>
          <w:spacing w:val="-29"/>
          <w:sz w:val="33"/>
          <w:szCs w:val="33"/>
        </w:rPr>
        <w:t>stevedorring</w:t>
      </w:r>
      <w:r>
        <w:rPr>
          <w:spacing w:val="-29"/>
          <w:sz w:val="33"/>
          <w:szCs w:val="33"/>
        </w:rPr>
        <w:t xml:space="preserve"> </w:t>
      </w:r>
      <w:r>
        <w:rPr>
          <w:b/>
          <w:bCs/>
          <w:spacing w:val="-29"/>
          <w:sz w:val="33"/>
          <w:szCs w:val="33"/>
        </w:rPr>
        <w:t>distri</w:t>
      </w:r>
      <w:r>
        <w:rPr>
          <w:b/>
          <w:bCs/>
          <w:spacing w:val="-30"/>
          <w:sz w:val="33"/>
          <w:szCs w:val="33"/>
        </w:rPr>
        <w:t>ct</w:t>
      </w:r>
    </w:p>
    <w:p>
      <w:pPr>
        <w:pStyle w:val="BodyText"/>
        <w:spacing w:before="302" w:line="219" w:lineRule="auto"/>
        <w:ind w:left="353"/>
        <w:rPr>
          <w:sz w:val="28"/>
          <w:szCs w:val="28"/>
        </w:rPr>
      </w:pPr>
      <w:r>
        <w:rPr>
          <w:spacing w:val="-3"/>
          <w:sz w:val="28"/>
          <w:szCs w:val="28"/>
        </w:rPr>
        <w:t>液氨汽车装卸场所、液氨火车装卸栈台和钢瓶充装场所的总称。</w:t>
      </w:r>
    </w:p>
    <w:p>
      <w:pPr>
        <w:pStyle w:val="BodyText"/>
        <w:spacing w:before="282" w:line="219" w:lineRule="auto"/>
        <w:ind w:left="357"/>
        <w:rPr>
          <w:sz w:val="28"/>
          <w:szCs w:val="28"/>
        </w:rPr>
      </w:pPr>
      <w:r>
        <w:rPr>
          <w:b/>
          <w:bCs/>
          <w:spacing w:val="-2"/>
          <w:sz w:val="28"/>
          <w:szCs w:val="28"/>
        </w:rPr>
        <w:t>4</w:t>
      </w:r>
      <w:r>
        <w:rPr>
          <w:spacing w:val="-2"/>
          <w:sz w:val="28"/>
          <w:szCs w:val="28"/>
        </w:rPr>
        <w:t xml:space="preserve"> </w:t>
      </w:r>
      <w:r>
        <w:rPr>
          <w:b/>
          <w:bCs/>
          <w:spacing w:val="-2"/>
          <w:sz w:val="28"/>
          <w:szCs w:val="28"/>
        </w:rPr>
        <w:t>缩略语</w:t>
      </w:r>
    </w:p>
    <w:p>
      <w:pPr>
        <w:pStyle w:val="BodyText"/>
        <w:spacing w:before="302" w:line="219" w:lineRule="auto"/>
        <w:ind w:left="353"/>
        <w:rPr>
          <w:sz w:val="28"/>
          <w:szCs w:val="28"/>
        </w:rPr>
      </w:pPr>
      <w:r>
        <w:rPr>
          <w:spacing w:val="-5"/>
          <w:sz w:val="28"/>
          <w:szCs w:val="28"/>
        </w:rPr>
        <w:t>下列缩略语适用于本文件。</w:t>
      </w:r>
    </w:p>
    <w:p>
      <w:pPr>
        <w:pStyle w:val="BodyText"/>
        <w:spacing w:before="257" w:line="630" w:lineRule="exact"/>
        <w:ind w:left="353"/>
        <w:rPr>
          <w:rFonts w:ascii="Times New Roman" w:eastAsia="Times New Roman" w:hAnsi="Times New Roman" w:cs="Times New Roman"/>
          <w:sz w:val="28"/>
          <w:szCs w:val="28"/>
        </w:rPr>
      </w:pPr>
      <w:r>
        <w:rPr>
          <w:rFonts w:ascii="Times New Roman" w:eastAsia="Times New Roman" w:hAnsi="Times New Roman" w:cs="Times New Roman"/>
          <w:spacing w:val="-2"/>
          <w:position w:val="27"/>
          <w:sz w:val="28"/>
          <w:szCs w:val="28"/>
        </w:rPr>
        <w:t xml:space="preserve">DCS:    </w:t>
      </w:r>
      <w:r>
        <w:rPr>
          <w:spacing w:val="-2"/>
          <w:position w:val="27"/>
          <w:sz w:val="28"/>
          <w:szCs w:val="28"/>
        </w:rPr>
        <w:t>分散式控制系统</w:t>
      </w:r>
      <w:r>
        <w:rPr>
          <w:spacing w:val="-33"/>
          <w:position w:val="27"/>
          <w:sz w:val="28"/>
          <w:szCs w:val="28"/>
        </w:rPr>
        <w:t xml:space="preserve"> </w:t>
      </w:r>
      <w:r>
        <w:rPr>
          <w:rFonts w:ascii="Times New Roman" w:eastAsia="Times New Roman" w:hAnsi="Times New Roman" w:cs="Times New Roman"/>
          <w:spacing w:val="-2"/>
          <w:position w:val="27"/>
          <w:sz w:val="28"/>
          <w:szCs w:val="28"/>
        </w:rPr>
        <w:t>(Distributed      Co</w:t>
      </w:r>
      <w:r>
        <w:rPr>
          <w:rFonts w:ascii="Times New Roman" w:eastAsia="Times New Roman" w:hAnsi="Times New Roman" w:cs="Times New Roman"/>
          <w:spacing w:val="-3"/>
          <w:position w:val="27"/>
          <w:sz w:val="28"/>
          <w:szCs w:val="28"/>
        </w:rPr>
        <w:t>ntrol      System)</w:t>
      </w:r>
    </w:p>
    <w:p>
      <w:pPr>
        <w:pStyle w:val="BodyText"/>
        <w:spacing w:line="212" w:lineRule="auto"/>
        <w:ind w:left="353"/>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 xml:space="preserve">ESD:    </w:t>
      </w:r>
      <w:r>
        <w:rPr>
          <w:spacing w:val="-1"/>
          <w:sz w:val="28"/>
          <w:szCs w:val="28"/>
        </w:rPr>
        <w:t>紧急停车系统</w:t>
      </w:r>
      <w:r>
        <w:rPr>
          <w:spacing w:val="-33"/>
          <w:sz w:val="28"/>
          <w:szCs w:val="28"/>
        </w:rPr>
        <w:t xml:space="preserve"> </w:t>
      </w:r>
      <w:r>
        <w:rPr>
          <w:rFonts w:ascii="Times New Roman" w:eastAsia="Times New Roman" w:hAnsi="Times New Roman" w:cs="Times New Roman"/>
          <w:spacing w:val="-1"/>
          <w:sz w:val="28"/>
          <w:szCs w:val="28"/>
        </w:rPr>
        <w:t xml:space="preserve">(Emergency   Shutdown  </w:t>
      </w:r>
      <w:r>
        <w:rPr>
          <w:rFonts w:ascii="Times New Roman" w:eastAsia="Times New Roman" w:hAnsi="Times New Roman" w:cs="Times New Roman"/>
          <w:spacing w:val="-2"/>
          <w:sz w:val="28"/>
          <w:szCs w:val="28"/>
        </w:rPr>
        <w:t xml:space="preserve"> Device)</w:t>
      </w:r>
    </w:p>
    <w:p>
      <w:pPr>
        <w:spacing w:line="212" w:lineRule="auto"/>
        <w:rPr>
          <w:rFonts w:ascii="Times New Roman" w:eastAsia="Times New Roman" w:hAnsi="Times New Roman" w:cs="Times New Roman"/>
          <w:sz w:val="28"/>
          <w:szCs w:val="28"/>
        </w:rPr>
        <w:sectPr>
          <w:pgSz w:w="11910" w:h="16840"/>
          <w:pgMar w:top="1431" w:right="1786" w:bottom="0" w:left="1786" w:header="0" w:footer="0" w:gutter="0"/>
          <w:pgNumType w:start="7"/>
          <w:cols w:space="708"/>
        </w:sectPr>
      </w:pPr>
    </w:p>
    <w:p>
      <w:pPr>
        <w:pStyle w:val="BodyText"/>
        <w:spacing w:before="107" w:line="212" w:lineRule="auto"/>
        <w:ind w:left="539"/>
        <w:rPr>
          <w:rFonts w:ascii="Times New Roman" w:eastAsia="Times New Roman" w:hAnsi="Times New Roman" w:cs="Times New Roman"/>
          <w:sz w:val="28"/>
          <w:szCs w:val="28"/>
        </w:rPr>
      </w:pPr>
      <w:r>
        <w:rPr>
          <w:rFonts w:ascii="Times New Roman" w:eastAsia="Times New Roman" w:hAnsi="Times New Roman" w:cs="Times New Roman"/>
          <w:spacing w:val="-2"/>
          <w:sz w:val="28"/>
          <w:szCs w:val="28"/>
        </w:rPr>
        <w:t xml:space="preserve">GDS:    </w:t>
      </w:r>
      <w:r>
        <w:rPr>
          <w:spacing w:val="-2"/>
          <w:sz w:val="28"/>
          <w:szCs w:val="28"/>
        </w:rPr>
        <w:t xml:space="preserve">可燃气体和有毒气体检测报警系统 </w:t>
      </w:r>
      <w:r>
        <w:rPr>
          <w:rFonts w:ascii="Times New Roman" w:eastAsia="Times New Roman" w:hAnsi="Times New Roman" w:cs="Times New Roman"/>
          <w:spacing w:val="-2"/>
          <w:sz w:val="28"/>
          <w:szCs w:val="28"/>
        </w:rPr>
        <w:t>(Gas    Detection    System)</w:t>
      </w:r>
    </w:p>
    <w:p>
      <w:pPr>
        <w:pStyle w:val="BodyText"/>
        <w:spacing w:before="275" w:line="689" w:lineRule="exact"/>
        <w:ind w:right="1"/>
        <w:jc w:val="right"/>
        <w:rPr>
          <w:rFonts w:ascii="Times New Roman" w:eastAsia="Times New Roman" w:hAnsi="Times New Roman" w:cs="Times New Roman"/>
          <w:sz w:val="32"/>
          <w:szCs w:val="32"/>
        </w:rPr>
      </w:pPr>
      <w:r>
        <w:rPr>
          <w:rFonts w:ascii="Times New Roman" w:eastAsia="Times New Roman" w:hAnsi="Times New Roman" w:cs="Times New Roman"/>
          <w:position w:val="28"/>
          <w:sz w:val="32"/>
          <w:szCs w:val="32"/>
        </w:rPr>
        <w:t>HIPPS</w:t>
      </w:r>
      <w:r>
        <w:rPr>
          <w:rFonts w:ascii="Times New Roman" w:eastAsia="Times New Roman" w:hAnsi="Times New Roman" w:cs="Times New Roman"/>
          <w:spacing w:val="13"/>
          <w:position w:val="28"/>
          <w:sz w:val="32"/>
          <w:szCs w:val="32"/>
        </w:rPr>
        <w:t xml:space="preserve">:     </w:t>
      </w:r>
      <w:r>
        <w:rPr>
          <w:spacing w:val="13"/>
          <w:position w:val="28"/>
          <w:sz w:val="32"/>
          <w:szCs w:val="32"/>
        </w:rPr>
        <w:t xml:space="preserve">高完整性压力保护系统 </w:t>
      </w:r>
      <w:r>
        <w:rPr>
          <w:rFonts w:ascii="Times New Roman" w:eastAsia="Times New Roman" w:hAnsi="Times New Roman" w:cs="Times New Roman"/>
          <w:spacing w:val="13"/>
          <w:position w:val="28"/>
          <w:sz w:val="32"/>
          <w:szCs w:val="32"/>
        </w:rPr>
        <w:t>(</w:t>
      </w:r>
      <w:r>
        <w:rPr>
          <w:rFonts w:ascii="Times New Roman" w:eastAsia="Times New Roman" w:hAnsi="Times New Roman" w:cs="Times New Roman"/>
          <w:position w:val="28"/>
          <w:sz w:val="32"/>
          <w:szCs w:val="32"/>
        </w:rPr>
        <w:t>HighIntegrity</w:t>
      </w:r>
      <w:r>
        <w:rPr>
          <w:rFonts w:ascii="Times New Roman" w:eastAsia="Times New Roman" w:hAnsi="Times New Roman" w:cs="Times New Roman"/>
          <w:spacing w:val="13"/>
          <w:position w:val="28"/>
          <w:sz w:val="32"/>
          <w:szCs w:val="32"/>
        </w:rPr>
        <w:t xml:space="preserve">      </w:t>
      </w:r>
      <w:r>
        <w:rPr>
          <w:rFonts w:ascii="Times New Roman" w:eastAsia="Times New Roman" w:hAnsi="Times New Roman" w:cs="Times New Roman"/>
          <w:position w:val="28"/>
          <w:sz w:val="32"/>
          <w:szCs w:val="32"/>
        </w:rPr>
        <w:t>Pressure</w:t>
      </w:r>
    </w:p>
    <w:p>
      <w:pPr>
        <w:spacing w:before="1" w:line="191" w:lineRule="auto"/>
        <w:rPr>
          <w:rFonts w:ascii="Times New Roman" w:eastAsia="Times New Roman" w:hAnsi="Times New Roman" w:cs="Times New Roman"/>
          <w:sz w:val="32"/>
          <w:szCs w:val="32"/>
        </w:rPr>
      </w:pPr>
      <w:r>
        <w:rPr>
          <w:rFonts w:ascii="Times New Roman" w:eastAsia="Times New Roman" w:hAnsi="Times New Roman" w:cs="Times New Roman"/>
          <w:spacing w:val="-2"/>
          <w:sz w:val="32"/>
          <w:szCs w:val="32"/>
        </w:rPr>
        <w:t>Protective</w:t>
      </w:r>
      <w:r>
        <w:rPr>
          <w:rFonts w:ascii="Times New Roman" w:eastAsia="Times New Roman" w:hAnsi="Times New Roman" w:cs="Times New Roman"/>
          <w:spacing w:val="21"/>
          <w:sz w:val="32"/>
          <w:szCs w:val="32"/>
        </w:rPr>
        <w:t xml:space="preserve">  </w:t>
      </w:r>
      <w:r>
        <w:rPr>
          <w:rFonts w:ascii="Times New Roman" w:eastAsia="Times New Roman" w:hAnsi="Times New Roman" w:cs="Times New Roman"/>
          <w:spacing w:val="-2"/>
          <w:sz w:val="32"/>
          <w:szCs w:val="32"/>
        </w:rPr>
        <w:t>System)</w:t>
      </w:r>
    </w:p>
    <w:p>
      <w:pPr>
        <w:pStyle w:val="BodyText"/>
        <w:spacing w:before="319" w:line="212" w:lineRule="auto"/>
        <w:ind w:left="539"/>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 xml:space="preserve">PLC:    </w:t>
      </w:r>
      <w:r>
        <w:rPr>
          <w:spacing w:val="-1"/>
          <w:sz w:val="28"/>
          <w:szCs w:val="28"/>
        </w:rPr>
        <w:t xml:space="preserve">可编程逻辑控制器 </w:t>
      </w:r>
      <w:r>
        <w:rPr>
          <w:rFonts w:ascii="Times New Roman" w:eastAsia="Times New Roman" w:hAnsi="Times New Roman" w:cs="Times New Roman"/>
          <w:spacing w:val="-1"/>
          <w:sz w:val="28"/>
          <w:szCs w:val="28"/>
        </w:rPr>
        <w:t>(Programmable     Logic     Controller)</w:t>
      </w:r>
    </w:p>
    <w:p>
      <w:pPr>
        <w:pStyle w:val="BodyText"/>
        <w:spacing w:before="299" w:line="212" w:lineRule="auto"/>
        <w:ind w:left="539"/>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 xml:space="preserve">PSD:    </w:t>
      </w:r>
      <w:r>
        <w:rPr>
          <w:spacing w:val="-1"/>
          <w:sz w:val="28"/>
          <w:szCs w:val="28"/>
        </w:rPr>
        <w:t xml:space="preserve">工艺关停系统 </w:t>
      </w:r>
      <w:r>
        <w:rPr>
          <w:rFonts w:ascii="Times New Roman" w:eastAsia="Times New Roman" w:hAnsi="Times New Roman" w:cs="Times New Roman"/>
          <w:spacing w:val="-1"/>
          <w:sz w:val="28"/>
          <w:szCs w:val="28"/>
        </w:rPr>
        <w:t xml:space="preserve">(ProcessShut    </w:t>
      </w:r>
      <w:r>
        <w:rPr>
          <w:rFonts w:ascii="Times New Roman" w:eastAsia="Times New Roman" w:hAnsi="Times New Roman" w:cs="Times New Roman"/>
          <w:spacing w:val="-2"/>
          <w:sz w:val="28"/>
          <w:szCs w:val="28"/>
        </w:rPr>
        <w:t>Down)</w:t>
      </w:r>
    </w:p>
    <w:p>
      <w:pPr>
        <w:pStyle w:val="BodyText"/>
        <w:spacing w:before="331" w:line="214" w:lineRule="auto"/>
        <w:ind w:left="539"/>
        <w:rPr>
          <w:sz w:val="28"/>
          <w:szCs w:val="28"/>
        </w:rPr>
      </w:pPr>
      <w:r>
        <w:rPr>
          <w:spacing w:val="-3"/>
          <w:sz w:val="28"/>
          <w:szCs w:val="28"/>
        </w:rPr>
        <w:t>SIS:</w:t>
      </w:r>
      <w:r>
        <w:rPr>
          <w:spacing w:val="133"/>
          <w:sz w:val="28"/>
          <w:szCs w:val="28"/>
        </w:rPr>
        <w:t xml:space="preserve"> </w:t>
      </w:r>
      <w:r>
        <w:rPr>
          <w:spacing w:val="-3"/>
          <w:sz w:val="28"/>
          <w:szCs w:val="28"/>
        </w:rPr>
        <w:t>安全仪表系统 (Safety</w:t>
      </w:r>
      <w:r>
        <w:rPr>
          <w:spacing w:val="87"/>
          <w:sz w:val="28"/>
          <w:szCs w:val="28"/>
        </w:rPr>
        <w:t xml:space="preserve"> </w:t>
      </w:r>
      <w:r>
        <w:rPr>
          <w:spacing w:val="-3"/>
          <w:sz w:val="28"/>
          <w:szCs w:val="28"/>
        </w:rPr>
        <w:t>Interlocking</w:t>
      </w:r>
      <w:r>
        <w:rPr>
          <w:spacing w:val="73"/>
          <w:sz w:val="28"/>
          <w:szCs w:val="28"/>
        </w:rPr>
        <w:t xml:space="preserve"> </w:t>
      </w:r>
      <w:r>
        <w:rPr>
          <w:spacing w:val="-3"/>
          <w:sz w:val="28"/>
          <w:szCs w:val="28"/>
        </w:rPr>
        <w:t>System)</w:t>
      </w:r>
    </w:p>
    <w:p>
      <w:pPr>
        <w:pStyle w:val="BodyText"/>
        <w:spacing w:before="299" w:line="219" w:lineRule="auto"/>
        <w:ind w:left="544"/>
        <w:rPr>
          <w:sz w:val="28"/>
          <w:szCs w:val="28"/>
        </w:rPr>
      </w:pPr>
      <w:r>
        <w:rPr>
          <w:b/>
          <w:bCs/>
          <w:spacing w:val="-2"/>
          <w:sz w:val="28"/>
          <w:szCs w:val="28"/>
        </w:rPr>
        <w:t>5</w:t>
      </w:r>
      <w:r>
        <w:rPr>
          <w:spacing w:val="-2"/>
          <w:sz w:val="28"/>
          <w:szCs w:val="28"/>
        </w:rPr>
        <w:t xml:space="preserve"> </w:t>
      </w:r>
      <w:r>
        <w:rPr>
          <w:b/>
          <w:bCs/>
          <w:spacing w:val="-2"/>
          <w:sz w:val="28"/>
          <w:szCs w:val="28"/>
        </w:rPr>
        <w:t>基本要求</w:t>
      </w:r>
    </w:p>
    <w:p>
      <w:pPr>
        <w:pStyle w:val="BodyText"/>
        <w:spacing w:before="288" w:line="219" w:lineRule="auto"/>
        <w:ind w:left="544"/>
        <w:outlineLvl w:val="0"/>
        <w:rPr>
          <w:sz w:val="28"/>
          <w:szCs w:val="28"/>
        </w:rPr>
      </w:pPr>
      <w:r>
        <w:rPr>
          <w:b/>
          <w:bCs/>
          <w:spacing w:val="2"/>
          <w:sz w:val="28"/>
          <w:szCs w:val="28"/>
        </w:rPr>
        <w:t>5.1选址与平面布置</w:t>
      </w:r>
    </w:p>
    <w:p>
      <w:pPr>
        <w:pStyle w:val="BodyText"/>
        <w:spacing w:before="292" w:line="621" w:lineRule="exact"/>
        <w:ind w:right="37"/>
        <w:jc w:val="right"/>
        <w:rPr>
          <w:sz w:val="28"/>
          <w:szCs w:val="28"/>
        </w:rPr>
      </w:pPr>
      <w:r>
        <w:rPr>
          <w:position w:val="26"/>
          <w:sz w:val="28"/>
          <w:szCs w:val="28"/>
        </w:rPr>
        <w:t>液氨存储与装卸的场所选址、防火间距与平面布置应在符合 GB50160</w:t>
      </w:r>
    </w:p>
    <w:p>
      <w:pPr>
        <w:pStyle w:val="BodyText"/>
        <w:spacing w:before="1" w:line="219" w:lineRule="auto"/>
        <w:rPr>
          <w:sz w:val="28"/>
          <w:szCs w:val="28"/>
        </w:rPr>
      </w:pPr>
      <w:r>
        <w:rPr>
          <w:spacing w:val="-4"/>
          <w:sz w:val="28"/>
          <w:szCs w:val="28"/>
        </w:rPr>
        <w:t>和</w:t>
      </w:r>
      <w:r>
        <w:rPr>
          <w:spacing w:val="-64"/>
          <w:sz w:val="28"/>
          <w:szCs w:val="28"/>
        </w:rPr>
        <w:t xml:space="preserve"> </w:t>
      </w:r>
      <w:r>
        <w:rPr>
          <w:spacing w:val="-4"/>
          <w:sz w:val="28"/>
          <w:szCs w:val="28"/>
        </w:rPr>
        <w:t>GB50489</w:t>
      </w:r>
      <w:r>
        <w:rPr>
          <w:spacing w:val="-52"/>
          <w:sz w:val="28"/>
          <w:szCs w:val="28"/>
        </w:rPr>
        <w:t xml:space="preserve"> </w:t>
      </w:r>
      <w:r>
        <w:rPr>
          <w:spacing w:val="-4"/>
          <w:sz w:val="28"/>
          <w:szCs w:val="28"/>
        </w:rPr>
        <w:t>要求基础上，满足以下要求。</w:t>
      </w:r>
    </w:p>
    <w:p>
      <w:pPr>
        <w:pStyle w:val="BodyText"/>
        <w:spacing w:before="254" w:line="420" w:lineRule="auto"/>
        <w:ind w:firstLine="539"/>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a)</w:t>
      </w:r>
      <w:r>
        <w:rPr>
          <w:rFonts w:ascii="Times New Roman" w:eastAsia="Times New Roman" w:hAnsi="Times New Roman" w:cs="Times New Roman"/>
          <w:spacing w:val="39"/>
          <w:sz w:val="28"/>
          <w:szCs w:val="28"/>
        </w:rPr>
        <w:t xml:space="preserve"> </w:t>
      </w:r>
      <w:r>
        <w:rPr>
          <w:spacing w:val="-1"/>
          <w:sz w:val="28"/>
          <w:szCs w:val="28"/>
        </w:rPr>
        <w:t>液氨的在储及装卸场所与相邻工厂或设施外部安全防护距离应按照</w:t>
      </w:r>
      <w:r>
        <w:rPr>
          <w:sz w:val="28"/>
          <w:szCs w:val="28"/>
        </w:rPr>
        <w:t xml:space="preserve"> </w:t>
      </w:r>
      <w:r>
        <w:rPr>
          <w:spacing w:val="-4"/>
          <w:sz w:val="28"/>
          <w:szCs w:val="28"/>
        </w:rPr>
        <w:t>GB/T</w:t>
      </w:r>
      <w:r>
        <w:rPr>
          <w:spacing w:val="72"/>
          <w:sz w:val="28"/>
          <w:szCs w:val="28"/>
        </w:rPr>
        <w:t xml:space="preserve"> </w:t>
      </w:r>
      <w:r>
        <w:rPr>
          <w:spacing w:val="-4"/>
          <w:sz w:val="28"/>
          <w:szCs w:val="28"/>
        </w:rPr>
        <w:t xml:space="preserve">37243 确定，个人风险和社会风险规定的可接受风险基准应满足 </w:t>
      </w:r>
      <w:r>
        <w:rPr>
          <w:rFonts w:ascii="Times New Roman" w:eastAsia="Times New Roman" w:hAnsi="Times New Roman" w:cs="Times New Roman"/>
          <w:spacing w:val="-4"/>
          <w:sz w:val="28"/>
          <w:szCs w:val="28"/>
        </w:rPr>
        <w:t>GB</w:t>
      </w:r>
    </w:p>
    <w:p>
      <w:pPr>
        <w:pStyle w:val="BodyText"/>
        <w:spacing w:line="220" w:lineRule="auto"/>
        <w:rPr>
          <w:sz w:val="28"/>
          <w:szCs w:val="28"/>
        </w:rPr>
      </w:pPr>
      <w:r>
        <w:rPr>
          <w:spacing w:val="1"/>
          <w:sz w:val="28"/>
          <w:szCs w:val="28"/>
        </w:rPr>
        <w:t>36894规定。</w:t>
      </w:r>
    </w:p>
    <w:p>
      <w:pPr>
        <w:pStyle w:val="BodyText"/>
        <w:spacing w:before="275" w:line="425" w:lineRule="auto"/>
        <w:ind w:right="17" w:firstLine="539"/>
        <w:rPr>
          <w:sz w:val="28"/>
          <w:szCs w:val="28"/>
        </w:rPr>
      </w:pPr>
      <w:r>
        <w:rPr>
          <w:rFonts w:ascii="Times New Roman" w:eastAsia="Times New Roman" w:hAnsi="Times New Roman" w:cs="Times New Roman"/>
          <w:spacing w:val="-3"/>
          <w:sz w:val="28"/>
          <w:szCs w:val="28"/>
        </w:rPr>
        <w:t>b)</w:t>
      </w:r>
      <w:r>
        <w:rPr>
          <w:rFonts w:ascii="Times New Roman" w:eastAsia="Times New Roman" w:hAnsi="Times New Roman" w:cs="Times New Roman"/>
          <w:spacing w:val="82"/>
          <w:w w:val="101"/>
          <w:sz w:val="28"/>
          <w:szCs w:val="28"/>
        </w:rPr>
        <w:t xml:space="preserve"> </w:t>
      </w:r>
      <w:r>
        <w:rPr>
          <w:spacing w:val="-3"/>
          <w:sz w:val="28"/>
          <w:szCs w:val="28"/>
        </w:rPr>
        <w:t>液氨存储与装卸场所在满足生产、生活、交通运输、安全卫生、环</w:t>
      </w:r>
      <w:r>
        <w:rPr>
          <w:sz w:val="28"/>
          <w:szCs w:val="28"/>
        </w:rPr>
        <w:t xml:space="preserve"> 境保护的条件下择优确定位置，应与辅助生产区及办公区分开布置，宜靠</w:t>
      </w:r>
    </w:p>
    <w:p>
      <w:pPr>
        <w:pStyle w:val="BodyText"/>
        <w:spacing w:before="1" w:line="218" w:lineRule="auto"/>
        <w:rPr>
          <w:sz w:val="28"/>
          <w:szCs w:val="28"/>
        </w:rPr>
      </w:pPr>
      <w:r>
        <w:rPr>
          <w:spacing w:val="-3"/>
          <w:sz w:val="28"/>
          <w:szCs w:val="28"/>
        </w:rPr>
        <w:t>近服务对象，布置在厂区边缘运输方便的地带，运输装卸条件便利。</w:t>
      </w:r>
    </w:p>
    <w:p>
      <w:pPr>
        <w:pStyle w:val="BodyText"/>
        <w:spacing w:before="289" w:line="620" w:lineRule="exact"/>
        <w:ind w:left="539"/>
        <w:rPr>
          <w:sz w:val="28"/>
          <w:szCs w:val="28"/>
        </w:rPr>
      </w:pPr>
      <w:r>
        <w:rPr>
          <w:spacing w:val="-3"/>
          <w:position w:val="26"/>
          <w:sz w:val="28"/>
          <w:szCs w:val="28"/>
        </w:rPr>
        <w:t>c) 液氨或气氨管道不准许穿越人员办公、休息的房间。</w:t>
      </w:r>
    </w:p>
    <w:p>
      <w:pPr>
        <w:pStyle w:val="BodyText"/>
        <w:spacing w:before="1" w:line="219" w:lineRule="auto"/>
        <w:ind w:left="539"/>
        <w:rPr>
          <w:sz w:val="28"/>
          <w:szCs w:val="28"/>
        </w:rPr>
      </w:pPr>
      <w:r>
        <w:rPr>
          <w:spacing w:val="-3"/>
          <w:sz w:val="28"/>
          <w:szCs w:val="28"/>
        </w:rPr>
        <w:t>d) 罐组内储罐防火间距应符合要求。</w:t>
      </w:r>
    </w:p>
    <w:p>
      <w:pPr>
        <w:pStyle w:val="BodyText"/>
        <w:spacing w:before="307" w:line="609" w:lineRule="exact"/>
        <w:ind w:right="25"/>
        <w:jc w:val="right"/>
        <w:rPr>
          <w:sz w:val="28"/>
          <w:szCs w:val="28"/>
        </w:rPr>
      </w:pPr>
      <w:r>
        <w:rPr>
          <w:spacing w:val="-2"/>
          <w:position w:val="25"/>
          <w:sz w:val="28"/>
          <w:szCs w:val="28"/>
        </w:rPr>
        <w:t>e)</w:t>
      </w:r>
      <w:r>
        <w:rPr>
          <w:spacing w:val="-43"/>
          <w:position w:val="25"/>
          <w:sz w:val="28"/>
          <w:szCs w:val="28"/>
        </w:rPr>
        <w:t xml:space="preserve"> </w:t>
      </w:r>
      <w:r>
        <w:rPr>
          <w:spacing w:val="-2"/>
          <w:position w:val="25"/>
          <w:sz w:val="28"/>
          <w:szCs w:val="28"/>
        </w:rPr>
        <w:t>液氨钢瓶灌装间应为敞开式建筑物，实</w:t>
      </w:r>
      <w:r>
        <w:rPr>
          <w:spacing w:val="-3"/>
          <w:position w:val="25"/>
          <w:sz w:val="28"/>
          <w:szCs w:val="28"/>
        </w:rPr>
        <w:t>瓶不应露天堆放，灌装间和</w:t>
      </w:r>
    </w:p>
    <w:p>
      <w:pPr>
        <w:pStyle w:val="BodyText"/>
        <w:spacing w:before="1" w:line="218" w:lineRule="auto"/>
        <w:rPr>
          <w:sz w:val="28"/>
          <w:szCs w:val="28"/>
        </w:rPr>
      </w:pPr>
      <w:r>
        <w:rPr>
          <w:spacing w:val="-5"/>
          <w:sz w:val="28"/>
          <w:szCs w:val="28"/>
        </w:rPr>
        <w:t>钢瓶存储区应分开布置。</w:t>
      </w:r>
    </w:p>
    <w:p>
      <w:pPr>
        <w:pStyle w:val="BodyText"/>
        <w:spacing w:before="258" w:line="672" w:lineRule="exact"/>
        <w:ind w:right="35"/>
        <w:jc w:val="right"/>
        <w:rPr>
          <w:sz w:val="28"/>
          <w:szCs w:val="28"/>
        </w:rPr>
      </w:pPr>
      <w:r>
        <w:rPr>
          <w:rFonts w:ascii="Times New Roman" w:eastAsia="Times New Roman" w:hAnsi="Times New Roman" w:cs="Times New Roman"/>
          <w:spacing w:val="-3"/>
          <w:position w:val="30"/>
          <w:sz w:val="28"/>
          <w:szCs w:val="28"/>
        </w:rPr>
        <w:t>f)</w:t>
      </w:r>
      <w:r>
        <w:rPr>
          <w:rFonts w:ascii="Times New Roman" w:eastAsia="Times New Roman" w:hAnsi="Times New Roman" w:cs="Times New Roman"/>
          <w:spacing w:val="30"/>
          <w:position w:val="30"/>
          <w:sz w:val="28"/>
          <w:szCs w:val="28"/>
        </w:rPr>
        <w:t xml:space="preserve">  </w:t>
      </w:r>
      <w:r>
        <w:rPr>
          <w:spacing w:val="-3"/>
          <w:position w:val="30"/>
          <w:sz w:val="28"/>
          <w:szCs w:val="28"/>
        </w:rPr>
        <w:t>液氨装卸站的进、出口应分开设置，当进、出口合用时，站内应设</w:t>
      </w:r>
    </w:p>
    <w:p>
      <w:pPr>
        <w:pStyle w:val="BodyText"/>
        <w:spacing w:line="219" w:lineRule="auto"/>
        <w:rPr>
          <w:sz w:val="28"/>
          <w:szCs w:val="28"/>
        </w:rPr>
      </w:pPr>
      <w:r>
        <w:rPr>
          <w:spacing w:val="-8"/>
          <w:sz w:val="28"/>
          <w:szCs w:val="28"/>
        </w:rPr>
        <w:t>置回车场。</w:t>
      </w:r>
    </w:p>
    <w:p>
      <w:pPr>
        <w:spacing w:line="219" w:lineRule="auto"/>
        <w:rPr>
          <w:sz w:val="28"/>
          <w:szCs w:val="28"/>
        </w:rPr>
        <w:sectPr>
          <w:pgSz w:w="11910" w:h="16840"/>
          <w:pgMar w:top="1431" w:right="1329" w:bottom="0" w:left="1589" w:header="0" w:footer="0" w:gutter="0"/>
          <w:pgNumType w:start="8"/>
          <w:cols w:space="708"/>
        </w:sectPr>
      </w:pPr>
    </w:p>
    <w:p>
      <w:pPr>
        <w:pStyle w:val="BodyText"/>
        <w:spacing w:before="157" w:line="221" w:lineRule="auto"/>
        <w:ind w:left="544"/>
        <w:outlineLvl w:val="0"/>
        <w:rPr>
          <w:sz w:val="28"/>
          <w:szCs w:val="28"/>
        </w:rPr>
      </w:pPr>
      <w:r>
        <w:rPr>
          <w:b/>
          <w:bCs/>
          <w:spacing w:val="9"/>
          <w:sz w:val="28"/>
          <w:szCs w:val="28"/>
        </w:rPr>
        <w:t>5.2设备设施</w:t>
      </w:r>
    </w:p>
    <w:p>
      <w:pPr>
        <w:pStyle w:val="BodyText"/>
        <w:spacing w:before="272" w:line="640" w:lineRule="exact"/>
        <w:ind w:left="544"/>
        <w:rPr>
          <w:sz w:val="28"/>
          <w:szCs w:val="28"/>
        </w:rPr>
      </w:pPr>
      <w:r>
        <w:rPr>
          <w:b/>
          <w:bCs/>
          <w:spacing w:val="-3"/>
          <w:position w:val="27"/>
          <w:sz w:val="28"/>
          <w:szCs w:val="28"/>
        </w:rPr>
        <w:t>5.2.1</w:t>
      </w:r>
      <w:r>
        <w:rPr>
          <w:spacing w:val="-3"/>
          <w:position w:val="27"/>
          <w:sz w:val="28"/>
          <w:szCs w:val="28"/>
        </w:rPr>
        <w:t xml:space="preserve"> </w:t>
      </w:r>
      <w:r>
        <w:rPr>
          <w:b/>
          <w:bCs/>
          <w:spacing w:val="-3"/>
          <w:position w:val="27"/>
          <w:sz w:val="28"/>
          <w:szCs w:val="28"/>
        </w:rPr>
        <w:t>液氨存储与装卸的压力容器、压力管道、安全附件和阀门管件</w:t>
      </w:r>
    </w:p>
    <w:p>
      <w:pPr>
        <w:pStyle w:val="BodyText"/>
        <w:spacing w:line="219" w:lineRule="auto"/>
        <w:ind w:left="4"/>
        <w:rPr>
          <w:sz w:val="28"/>
          <w:szCs w:val="28"/>
        </w:rPr>
      </w:pPr>
      <w:r>
        <w:rPr>
          <w:b/>
          <w:bCs/>
          <w:spacing w:val="-5"/>
          <w:sz w:val="28"/>
          <w:szCs w:val="28"/>
        </w:rPr>
        <w:t>应规范设计安装、维护保养和使用，符合以下</w:t>
      </w:r>
      <w:r>
        <w:rPr>
          <w:b/>
          <w:bCs/>
          <w:spacing w:val="-6"/>
          <w:sz w:val="28"/>
          <w:szCs w:val="28"/>
        </w:rPr>
        <w:t>要求。</w:t>
      </w:r>
    </w:p>
    <w:p>
      <w:pPr>
        <w:pStyle w:val="BodyText"/>
        <w:spacing w:before="268" w:line="413" w:lineRule="auto"/>
        <w:ind w:right="108" w:firstLine="539"/>
        <w:rPr>
          <w:sz w:val="28"/>
          <w:szCs w:val="28"/>
        </w:rPr>
      </w:pPr>
      <w:r>
        <w:rPr>
          <w:rFonts w:ascii="Times New Roman" w:eastAsia="Times New Roman" w:hAnsi="Times New Roman" w:cs="Times New Roman"/>
          <w:spacing w:val="-2"/>
          <w:sz w:val="28"/>
          <w:szCs w:val="28"/>
        </w:rPr>
        <w:t xml:space="preserve">a)  </w:t>
      </w:r>
      <w:r>
        <w:rPr>
          <w:spacing w:val="-2"/>
          <w:sz w:val="28"/>
          <w:szCs w:val="28"/>
        </w:rPr>
        <w:t>压力容器、压力管道的设计、制造、安装、改造、维修、使用、检</w:t>
      </w:r>
      <w:r>
        <w:rPr>
          <w:spacing w:val="9"/>
          <w:sz w:val="28"/>
          <w:szCs w:val="28"/>
        </w:rPr>
        <w:t xml:space="preserve"> </w:t>
      </w:r>
      <w:r>
        <w:rPr>
          <w:sz w:val="28"/>
          <w:szCs w:val="28"/>
        </w:rPr>
        <w:t>验检测及其监督检查等应符合特种设备有关要求</w:t>
      </w:r>
      <w:r>
        <w:rPr>
          <w:spacing w:val="-1"/>
          <w:sz w:val="28"/>
          <w:szCs w:val="28"/>
        </w:rPr>
        <w:t>，未经检验或检验不合格</w:t>
      </w:r>
    </w:p>
    <w:p>
      <w:pPr>
        <w:pStyle w:val="BodyText"/>
        <w:spacing w:before="1" w:line="219" w:lineRule="auto"/>
        <w:rPr>
          <w:sz w:val="28"/>
          <w:szCs w:val="28"/>
        </w:rPr>
      </w:pPr>
      <w:r>
        <w:rPr>
          <w:spacing w:val="-5"/>
          <w:sz w:val="28"/>
          <w:szCs w:val="28"/>
        </w:rPr>
        <w:t>不准许使用。</w:t>
      </w:r>
    </w:p>
    <w:p>
      <w:pPr>
        <w:pStyle w:val="BodyText"/>
        <w:spacing w:before="277" w:line="425" w:lineRule="auto"/>
        <w:ind w:right="119" w:firstLine="539"/>
        <w:rPr>
          <w:sz w:val="28"/>
          <w:szCs w:val="28"/>
        </w:rPr>
      </w:pPr>
      <w:r>
        <w:rPr>
          <w:rFonts w:ascii="Times New Roman" w:eastAsia="Times New Roman" w:hAnsi="Times New Roman" w:cs="Times New Roman"/>
          <w:spacing w:val="7"/>
          <w:sz w:val="28"/>
          <w:szCs w:val="28"/>
        </w:rPr>
        <w:t>b)</w:t>
      </w:r>
      <w:r>
        <w:rPr>
          <w:rFonts w:ascii="Times New Roman" w:eastAsia="Times New Roman" w:hAnsi="Times New Roman" w:cs="Times New Roman"/>
          <w:spacing w:val="56"/>
          <w:sz w:val="28"/>
          <w:szCs w:val="28"/>
        </w:rPr>
        <w:t xml:space="preserve"> </w:t>
      </w:r>
      <w:r>
        <w:rPr>
          <w:spacing w:val="7"/>
          <w:sz w:val="28"/>
          <w:szCs w:val="28"/>
        </w:rPr>
        <w:t>压力容器、压力管道使用单位应设专(兼)职人员</w:t>
      </w:r>
      <w:r>
        <w:rPr>
          <w:spacing w:val="6"/>
          <w:sz w:val="28"/>
          <w:szCs w:val="28"/>
        </w:rPr>
        <w:t>管理，建立特种</w:t>
      </w:r>
      <w:r>
        <w:rPr>
          <w:sz w:val="28"/>
          <w:szCs w:val="28"/>
        </w:rPr>
        <w:t xml:space="preserve"> </w:t>
      </w:r>
      <w:r>
        <w:rPr>
          <w:spacing w:val="-1"/>
          <w:sz w:val="28"/>
          <w:szCs w:val="28"/>
        </w:rPr>
        <w:t>设备安全技术档案，向设区的市特种设备安全监督管理部门登记，登记标</w:t>
      </w:r>
    </w:p>
    <w:p>
      <w:pPr>
        <w:pStyle w:val="BodyText"/>
        <w:spacing w:before="1" w:line="218" w:lineRule="auto"/>
        <w:rPr>
          <w:sz w:val="28"/>
          <w:szCs w:val="28"/>
        </w:rPr>
      </w:pPr>
      <w:r>
        <w:rPr>
          <w:spacing w:val="-3"/>
          <w:sz w:val="28"/>
          <w:szCs w:val="28"/>
        </w:rPr>
        <w:t>志应置于或者附着于该特种设备的显著位置。</w:t>
      </w:r>
    </w:p>
    <w:p>
      <w:pPr>
        <w:pStyle w:val="BodyText"/>
        <w:spacing w:before="248" w:line="670" w:lineRule="exact"/>
        <w:ind w:left="539"/>
        <w:rPr>
          <w:sz w:val="28"/>
          <w:szCs w:val="28"/>
        </w:rPr>
      </w:pPr>
      <w:r>
        <w:rPr>
          <w:rFonts w:ascii="Times New Roman" w:eastAsia="Times New Roman" w:hAnsi="Times New Roman" w:cs="Times New Roman"/>
          <w:spacing w:val="-4"/>
          <w:position w:val="30"/>
          <w:sz w:val="28"/>
          <w:szCs w:val="28"/>
        </w:rPr>
        <w:t>c)</w:t>
      </w:r>
      <w:r>
        <w:rPr>
          <w:rFonts w:ascii="Times New Roman" w:eastAsia="Times New Roman" w:hAnsi="Times New Roman" w:cs="Times New Roman"/>
          <w:spacing w:val="21"/>
          <w:position w:val="30"/>
          <w:sz w:val="28"/>
          <w:szCs w:val="28"/>
        </w:rPr>
        <w:t xml:space="preserve">  </w:t>
      </w:r>
      <w:r>
        <w:rPr>
          <w:spacing w:val="-4"/>
          <w:position w:val="30"/>
          <w:sz w:val="28"/>
          <w:szCs w:val="28"/>
        </w:rPr>
        <w:t>贮</w:t>
      </w:r>
      <w:r>
        <w:rPr>
          <w:spacing w:val="-58"/>
          <w:position w:val="30"/>
          <w:sz w:val="28"/>
          <w:szCs w:val="28"/>
        </w:rPr>
        <w:t xml:space="preserve"> </w:t>
      </w:r>
      <w:r>
        <w:rPr>
          <w:spacing w:val="-4"/>
          <w:position w:val="30"/>
          <w:sz w:val="28"/>
          <w:szCs w:val="28"/>
        </w:rPr>
        <w:t>量</w:t>
      </w:r>
      <w:r>
        <w:rPr>
          <w:spacing w:val="-38"/>
          <w:position w:val="30"/>
          <w:sz w:val="28"/>
          <w:szCs w:val="28"/>
        </w:rPr>
        <w:t xml:space="preserve"> </w:t>
      </w:r>
      <w:r>
        <w:rPr>
          <w:spacing w:val="-4"/>
          <w:position w:val="30"/>
          <w:sz w:val="28"/>
          <w:szCs w:val="28"/>
        </w:rPr>
        <w:t>1</w:t>
      </w:r>
      <w:r>
        <w:rPr>
          <w:rFonts w:ascii="Times New Roman" w:eastAsia="Times New Roman" w:hAnsi="Times New Roman" w:cs="Times New Roman"/>
          <w:spacing w:val="-4"/>
          <w:position w:val="30"/>
          <w:sz w:val="28"/>
          <w:szCs w:val="28"/>
        </w:rPr>
        <w:t>t</w:t>
      </w:r>
      <w:r>
        <w:rPr>
          <w:rFonts w:ascii="Times New Roman" w:eastAsia="Times New Roman" w:hAnsi="Times New Roman" w:cs="Times New Roman"/>
          <w:spacing w:val="27"/>
          <w:position w:val="30"/>
          <w:sz w:val="28"/>
          <w:szCs w:val="28"/>
        </w:rPr>
        <w:t xml:space="preserve">  </w:t>
      </w:r>
      <w:r>
        <w:rPr>
          <w:spacing w:val="-4"/>
          <w:position w:val="30"/>
          <w:sz w:val="28"/>
          <w:szCs w:val="28"/>
        </w:rPr>
        <w:t>以上的储罐基础，每年应测定基础下沉状况。充</w:t>
      </w:r>
      <w:r>
        <w:rPr>
          <w:spacing w:val="-5"/>
          <w:position w:val="30"/>
          <w:sz w:val="28"/>
          <w:szCs w:val="28"/>
        </w:rPr>
        <w:t>装设施长</w:t>
      </w:r>
    </w:p>
    <w:p>
      <w:pPr>
        <w:pStyle w:val="BodyText"/>
        <w:spacing w:before="1" w:line="218" w:lineRule="auto"/>
        <w:rPr>
          <w:sz w:val="28"/>
          <w:szCs w:val="28"/>
        </w:rPr>
      </w:pPr>
      <w:r>
        <w:rPr>
          <w:spacing w:val="-4"/>
          <w:sz w:val="28"/>
          <w:szCs w:val="28"/>
        </w:rPr>
        <w:t>期不用可临时拆除，并加盲板封堵，使用时应保证完好。</w:t>
      </w:r>
    </w:p>
    <w:p>
      <w:pPr>
        <w:pStyle w:val="BodyText"/>
        <w:spacing w:before="248" w:line="212" w:lineRule="auto"/>
        <w:ind w:left="539"/>
        <w:rPr>
          <w:sz w:val="28"/>
          <w:szCs w:val="28"/>
        </w:rPr>
      </w:pPr>
      <w:r>
        <w:rPr>
          <w:rFonts w:ascii="Times New Roman" w:eastAsia="Times New Roman" w:hAnsi="Times New Roman" w:cs="Times New Roman"/>
          <w:spacing w:val="-2"/>
          <w:sz w:val="28"/>
          <w:szCs w:val="28"/>
        </w:rPr>
        <w:t>d)</w:t>
      </w:r>
      <w:r>
        <w:rPr>
          <w:rFonts w:ascii="Times New Roman" w:eastAsia="Times New Roman" w:hAnsi="Times New Roman" w:cs="Times New Roman"/>
          <w:spacing w:val="18"/>
          <w:sz w:val="28"/>
          <w:szCs w:val="28"/>
        </w:rPr>
        <w:t xml:space="preserve">  </w:t>
      </w:r>
      <w:r>
        <w:rPr>
          <w:spacing w:val="-2"/>
          <w:sz w:val="28"/>
          <w:szCs w:val="28"/>
        </w:rPr>
        <w:t>装卸车气液相鹤管应安装拉断阀，不应随意拆除或弃置不</w:t>
      </w:r>
      <w:r>
        <w:rPr>
          <w:spacing w:val="-3"/>
          <w:sz w:val="28"/>
          <w:szCs w:val="28"/>
        </w:rPr>
        <w:t>用。</w:t>
      </w:r>
    </w:p>
    <w:p>
      <w:pPr>
        <w:pStyle w:val="BodyText"/>
        <w:spacing w:before="299" w:line="671" w:lineRule="exact"/>
        <w:ind w:left="539"/>
        <w:rPr>
          <w:sz w:val="28"/>
          <w:szCs w:val="28"/>
        </w:rPr>
      </w:pPr>
      <w:r>
        <w:rPr>
          <w:rFonts w:ascii="Times New Roman" w:eastAsia="Times New Roman" w:hAnsi="Times New Roman" w:cs="Times New Roman"/>
          <w:spacing w:val="-2"/>
          <w:position w:val="30"/>
          <w:sz w:val="28"/>
          <w:szCs w:val="28"/>
        </w:rPr>
        <w:t xml:space="preserve">e)  </w:t>
      </w:r>
      <w:r>
        <w:rPr>
          <w:spacing w:val="-2"/>
          <w:position w:val="30"/>
          <w:sz w:val="28"/>
          <w:szCs w:val="28"/>
        </w:rPr>
        <w:t>液氨储罐、输送管道应至少每月进行一次自行检查，并进行详细记</w:t>
      </w:r>
    </w:p>
    <w:p>
      <w:pPr>
        <w:pStyle w:val="BodyText"/>
        <w:spacing w:before="1" w:line="219" w:lineRule="auto"/>
        <w:rPr>
          <w:sz w:val="28"/>
          <w:szCs w:val="28"/>
        </w:rPr>
      </w:pPr>
      <w:r>
        <w:rPr>
          <w:spacing w:val="-2"/>
          <w:sz w:val="28"/>
          <w:szCs w:val="28"/>
        </w:rPr>
        <w:t>录。对日常维护保养时发现异常情况的，应及</w:t>
      </w:r>
      <w:r>
        <w:rPr>
          <w:spacing w:val="-3"/>
          <w:sz w:val="28"/>
          <w:szCs w:val="28"/>
        </w:rPr>
        <w:t>时处理。</w:t>
      </w:r>
    </w:p>
    <w:p>
      <w:pPr>
        <w:pStyle w:val="BodyText"/>
        <w:spacing w:before="245" w:line="419" w:lineRule="auto"/>
        <w:ind w:firstLine="539"/>
        <w:rPr>
          <w:sz w:val="28"/>
          <w:szCs w:val="28"/>
        </w:rPr>
      </w:pPr>
      <w:r>
        <w:rPr>
          <w:rFonts w:ascii="Times New Roman" w:eastAsia="Times New Roman" w:hAnsi="Times New Roman" w:cs="Times New Roman"/>
          <w:sz w:val="28"/>
          <w:szCs w:val="28"/>
        </w:rPr>
        <w:t xml:space="preserve">f)   </w:t>
      </w:r>
      <w:r>
        <w:rPr>
          <w:sz w:val="28"/>
          <w:szCs w:val="28"/>
        </w:rPr>
        <w:t>液氨储罐、管道、压力表、安全阀、法兰垫片、法兰螺栓的选材、</w:t>
      </w:r>
      <w:r>
        <w:rPr>
          <w:spacing w:val="12"/>
          <w:sz w:val="28"/>
          <w:szCs w:val="28"/>
        </w:rPr>
        <w:t xml:space="preserve"> </w:t>
      </w:r>
      <w:r>
        <w:rPr>
          <w:sz w:val="28"/>
          <w:szCs w:val="28"/>
        </w:rPr>
        <w:t>选型应符合其储运方式的要求，满足相应的耐低</w:t>
      </w:r>
      <w:r>
        <w:rPr>
          <w:spacing w:val="-1"/>
          <w:sz w:val="28"/>
          <w:szCs w:val="28"/>
        </w:rPr>
        <w:t>温、耐腐蚀条件。与氨接</w:t>
      </w:r>
    </w:p>
    <w:p>
      <w:pPr>
        <w:pStyle w:val="BodyText"/>
        <w:spacing w:before="1" w:line="218" w:lineRule="auto"/>
        <w:rPr>
          <w:sz w:val="28"/>
          <w:szCs w:val="28"/>
        </w:rPr>
      </w:pPr>
      <w:r>
        <w:rPr>
          <w:spacing w:val="-2"/>
          <w:sz w:val="28"/>
          <w:szCs w:val="28"/>
        </w:rPr>
        <w:t>触的部件不应选用铜或铜合金材料以及镀锌或镀锡的零配件。</w:t>
      </w:r>
    </w:p>
    <w:p>
      <w:pPr>
        <w:pStyle w:val="BodyText"/>
        <w:spacing w:before="267" w:line="426" w:lineRule="auto"/>
        <w:ind w:right="81" w:firstLine="539"/>
        <w:rPr>
          <w:sz w:val="28"/>
          <w:szCs w:val="28"/>
        </w:rPr>
      </w:pPr>
      <w:r>
        <w:rPr>
          <w:rFonts w:ascii="Times New Roman" w:eastAsia="Times New Roman" w:hAnsi="Times New Roman" w:cs="Times New Roman"/>
          <w:spacing w:val="-1"/>
          <w:sz w:val="28"/>
          <w:szCs w:val="28"/>
        </w:rPr>
        <w:t>g)</w:t>
      </w:r>
      <w:r>
        <w:rPr>
          <w:rFonts w:ascii="Times New Roman" w:eastAsia="Times New Roman" w:hAnsi="Times New Roman" w:cs="Times New Roman"/>
          <w:spacing w:val="55"/>
          <w:w w:val="101"/>
          <w:sz w:val="28"/>
          <w:szCs w:val="28"/>
        </w:rPr>
        <w:t xml:space="preserve"> </w:t>
      </w:r>
      <w:r>
        <w:rPr>
          <w:spacing w:val="-1"/>
          <w:sz w:val="28"/>
          <w:szCs w:val="28"/>
        </w:rPr>
        <w:t>全冷冻和半冷冻氨罐辅助冰机系统应处于完好状态，冰机应投用自</w:t>
      </w:r>
      <w:r>
        <w:rPr>
          <w:sz w:val="28"/>
          <w:szCs w:val="28"/>
        </w:rPr>
        <w:t xml:space="preserve"> 启动联锁装置；未设计冰机系统的液氨罐区，其液氨储罐应设置就地压力</w:t>
      </w:r>
    </w:p>
    <w:p>
      <w:pPr>
        <w:pStyle w:val="BodyText"/>
        <w:spacing w:before="1" w:line="219" w:lineRule="auto"/>
        <w:rPr>
          <w:sz w:val="28"/>
          <w:szCs w:val="28"/>
        </w:rPr>
      </w:pPr>
      <w:r>
        <w:rPr>
          <w:spacing w:val="-2"/>
          <w:sz w:val="28"/>
          <w:szCs w:val="28"/>
        </w:rPr>
        <w:t>调节系统，排放应排入吸收系统或氨专用的</w:t>
      </w:r>
      <w:r>
        <w:rPr>
          <w:spacing w:val="-3"/>
          <w:sz w:val="28"/>
          <w:szCs w:val="28"/>
        </w:rPr>
        <w:t>火炬系统。</w:t>
      </w:r>
    </w:p>
    <w:p>
      <w:pPr>
        <w:pStyle w:val="BodyText"/>
        <w:spacing w:before="276" w:line="630" w:lineRule="exact"/>
        <w:ind w:right="77"/>
        <w:jc w:val="right"/>
        <w:rPr>
          <w:sz w:val="28"/>
          <w:szCs w:val="28"/>
        </w:rPr>
      </w:pPr>
      <w:r>
        <w:rPr>
          <w:rFonts w:ascii="Times New Roman" w:eastAsia="Times New Roman" w:hAnsi="Times New Roman" w:cs="Times New Roman"/>
          <w:spacing w:val="1"/>
          <w:position w:val="27"/>
          <w:sz w:val="28"/>
          <w:szCs w:val="28"/>
        </w:rPr>
        <w:t xml:space="preserve">h) </w:t>
      </w:r>
      <w:r>
        <w:rPr>
          <w:spacing w:val="1"/>
          <w:position w:val="27"/>
          <w:sz w:val="28"/>
          <w:szCs w:val="28"/>
        </w:rPr>
        <w:t>全冷冻和半冷冻液氨罐压力高高报警自动打开液氨储槽顶</w:t>
      </w:r>
      <w:r>
        <w:rPr>
          <w:position w:val="27"/>
          <w:sz w:val="28"/>
          <w:szCs w:val="28"/>
        </w:rPr>
        <w:t>部放空阀</w:t>
      </w:r>
    </w:p>
    <w:p>
      <w:pPr>
        <w:pStyle w:val="BodyText"/>
        <w:spacing w:before="1" w:line="218" w:lineRule="auto"/>
        <w:rPr>
          <w:sz w:val="28"/>
          <w:szCs w:val="28"/>
        </w:rPr>
      </w:pPr>
      <w:r>
        <w:rPr>
          <w:spacing w:val="-3"/>
          <w:sz w:val="28"/>
          <w:szCs w:val="28"/>
        </w:rPr>
        <w:t>去火炬系统，液氨罐压力低低报警自动打开氮气输</w:t>
      </w:r>
      <w:r>
        <w:rPr>
          <w:spacing w:val="-4"/>
          <w:sz w:val="28"/>
          <w:szCs w:val="28"/>
        </w:rPr>
        <w:t>入阀。</w:t>
      </w:r>
    </w:p>
    <w:p>
      <w:pPr>
        <w:spacing w:line="218" w:lineRule="auto"/>
        <w:rPr>
          <w:sz w:val="28"/>
          <w:szCs w:val="28"/>
        </w:rPr>
        <w:sectPr>
          <w:pgSz w:w="11910" w:h="16840"/>
          <w:pgMar w:top="1431" w:right="1249" w:bottom="0" w:left="1589" w:header="0" w:footer="0" w:gutter="0"/>
          <w:pgNumType w:start="9"/>
          <w:cols w:space="708"/>
        </w:sectPr>
      </w:pPr>
    </w:p>
    <w:p>
      <w:pPr>
        <w:pStyle w:val="BodyText"/>
        <w:spacing w:before="117" w:line="416" w:lineRule="auto"/>
        <w:ind w:left="26" w:right="229" w:firstLine="550"/>
        <w:rPr>
          <w:rFonts w:ascii="Times New Roman" w:eastAsia="Times New Roman" w:hAnsi="Times New Roman" w:cs="Times New Roman"/>
          <w:sz w:val="28"/>
          <w:szCs w:val="28"/>
        </w:rPr>
      </w:pPr>
      <w:r>
        <w:rPr>
          <w:rFonts w:ascii="Times New Roman" w:eastAsia="Times New Roman" w:hAnsi="Times New Roman" w:cs="Times New Roman"/>
          <w:spacing w:val="-2"/>
          <w:sz w:val="28"/>
          <w:szCs w:val="28"/>
        </w:rPr>
        <w:t>i)</w:t>
      </w:r>
      <w:r>
        <w:rPr>
          <w:rFonts w:ascii="Times New Roman" w:eastAsia="Times New Roman" w:hAnsi="Times New Roman" w:cs="Times New Roman"/>
          <w:spacing w:val="18"/>
          <w:w w:val="101"/>
          <w:sz w:val="28"/>
          <w:szCs w:val="28"/>
        </w:rPr>
        <w:t xml:space="preserve">  </w:t>
      </w:r>
      <w:r>
        <w:rPr>
          <w:spacing w:val="-2"/>
          <w:sz w:val="28"/>
          <w:szCs w:val="28"/>
        </w:rPr>
        <w:t>涉及液氨装卸车辆防静电接地断开、满溢、有毒</w:t>
      </w:r>
      <w:r>
        <w:rPr>
          <w:spacing w:val="-3"/>
          <w:sz w:val="28"/>
          <w:szCs w:val="28"/>
        </w:rPr>
        <w:t>气体检测等报警信</w:t>
      </w:r>
      <w:r>
        <w:rPr>
          <w:sz w:val="28"/>
          <w:szCs w:val="28"/>
        </w:rPr>
        <w:t xml:space="preserve"> </w:t>
      </w:r>
      <w:r>
        <w:rPr>
          <w:spacing w:val="1"/>
          <w:sz w:val="28"/>
          <w:szCs w:val="28"/>
        </w:rPr>
        <w:t>息(如报警时间、鹤位、类型等)应接入分散式控制系统</w:t>
      </w:r>
      <w:r>
        <w:rPr>
          <w:spacing w:val="-53"/>
          <w:sz w:val="28"/>
          <w:szCs w:val="28"/>
        </w:rPr>
        <w:t xml:space="preserve"> </w:t>
      </w:r>
      <w:r>
        <w:rPr>
          <w:rFonts w:ascii="Times New Roman" w:eastAsia="Times New Roman" w:hAnsi="Times New Roman" w:cs="Times New Roman"/>
          <w:spacing w:val="1"/>
          <w:sz w:val="28"/>
          <w:szCs w:val="28"/>
        </w:rPr>
        <w:t>(</w:t>
      </w:r>
      <w:r>
        <w:rPr>
          <w:rFonts w:ascii="Times New Roman" w:eastAsia="Times New Roman" w:hAnsi="Times New Roman" w:cs="Times New Roman"/>
          <w:sz w:val="28"/>
          <w:szCs w:val="28"/>
        </w:rPr>
        <w:t>DCS</w:t>
      </w:r>
      <w:r>
        <w:rPr>
          <w:rFonts w:ascii="Times New Roman" w:eastAsia="Times New Roman" w:hAnsi="Times New Roman" w:cs="Times New Roman"/>
          <w:spacing w:val="1"/>
          <w:sz w:val="28"/>
          <w:szCs w:val="28"/>
        </w:rPr>
        <w:t>)</w:t>
      </w:r>
      <w:r>
        <w:rPr>
          <w:sz w:val="28"/>
          <w:szCs w:val="28"/>
        </w:rPr>
        <w:t xml:space="preserve">、可编程逻 </w:t>
      </w:r>
      <w:r>
        <w:rPr>
          <w:spacing w:val="-5"/>
          <w:sz w:val="28"/>
          <w:szCs w:val="28"/>
        </w:rPr>
        <w:t>辑控制器</w:t>
      </w:r>
      <w:r>
        <w:rPr>
          <w:rFonts w:ascii="Times New Roman" w:eastAsia="Times New Roman" w:hAnsi="Times New Roman" w:cs="Times New Roman"/>
          <w:spacing w:val="-5"/>
          <w:sz w:val="28"/>
          <w:szCs w:val="28"/>
        </w:rPr>
        <w:t>(PLC)</w:t>
      </w:r>
      <w:r>
        <w:rPr>
          <w:spacing w:val="-5"/>
          <w:sz w:val="28"/>
          <w:szCs w:val="28"/>
        </w:rPr>
        <w:t>等过程控制系统、可燃气体和有毒气体检测报警系统</w:t>
      </w:r>
      <w:r>
        <w:rPr>
          <w:rFonts w:ascii="Times New Roman" w:eastAsia="Times New Roman" w:hAnsi="Times New Roman" w:cs="Times New Roman"/>
          <w:spacing w:val="-5"/>
          <w:sz w:val="28"/>
          <w:szCs w:val="28"/>
        </w:rPr>
        <w:t>(GDS)</w:t>
      </w:r>
    </w:p>
    <w:p>
      <w:pPr>
        <w:pStyle w:val="BodyText"/>
        <w:spacing w:line="219" w:lineRule="auto"/>
        <w:ind w:left="26"/>
        <w:rPr>
          <w:sz w:val="28"/>
          <w:szCs w:val="28"/>
        </w:rPr>
      </w:pPr>
      <w:r>
        <w:rPr>
          <w:spacing w:val="-7"/>
          <w:sz w:val="28"/>
          <w:szCs w:val="28"/>
        </w:rPr>
        <w:t>或安全仪表系统。</w:t>
      </w:r>
    </w:p>
    <w:p>
      <w:pPr>
        <w:pStyle w:val="BodyText"/>
        <w:spacing w:before="285" w:line="212" w:lineRule="auto"/>
        <w:jc w:val="right"/>
        <w:rPr>
          <w:sz w:val="28"/>
          <w:szCs w:val="28"/>
        </w:rPr>
      </w:pPr>
      <w:r>
        <w:rPr>
          <w:rFonts w:ascii="Times New Roman" w:eastAsia="Times New Roman" w:hAnsi="Times New Roman" w:cs="Times New Roman"/>
          <w:spacing w:val="-1"/>
          <w:sz w:val="28"/>
          <w:szCs w:val="28"/>
        </w:rPr>
        <w:t>j)</w:t>
      </w:r>
      <w:r>
        <w:rPr>
          <w:rFonts w:ascii="Times New Roman" w:eastAsia="Times New Roman" w:hAnsi="Times New Roman" w:cs="Times New Roman"/>
          <w:spacing w:val="38"/>
          <w:sz w:val="28"/>
          <w:szCs w:val="28"/>
        </w:rPr>
        <w:t xml:space="preserve"> </w:t>
      </w:r>
      <w:r>
        <w:rPr>
          <w:spacing w:val="-1"/>
          <w:sz w:val="28"/>
          <w:szCs w:val="28"/>
        </w:rPr>
        <w:t>液氨钢瓶充装应配备具有在超装时报警和自动切断功能的计量衡</w:t>
      </w:r>
      <w:r>
        <w:rPr>
          <w:spacing w:val="-2"/>
          <w:sz w:val="28"/>
          <w:szCs w:val="28"/>
        </w:rPr>
        <w:t>器。</w:t>
      </w:r>
    </w:p>
    <w:p>
      <w:pPr>
        <w:pStyle w:val="BodyText"/>
        <w:spacing w:before="315" w:line="643" w:lineRule="exact"/>
        <w:ind w:left="580"/>
        <w:rPr>
          <w:sz w:val="28"/>
          <w:szCs w:val="28"/>
        </w:rPr>
      </w:pPr>
      <w:r>
        <w:rPr>
          <w:b/>
          <w:bCs/>
          <w:spacing w:val="-2"/>
          <w:position w:val="27"/>
          <w:sz w:val="28"/>
          <w:szCs w:val="28"/>
        </w:rPr>
        <w:t>5.2.2</w:t>
      </w:r>
      <w:r>
        <w:rPr>
          <w:spacing w:val="-2"/>
          <w:position w:val="27"/>
          <w:sz w:val="28"/>
          <w:szCs w:val="28"/>
        </w:rPr>
        <w:t xml:space="preserve"> </w:t>
      </w:r>
      <w:r>
        <w:rPr>
          <w:b/>
          <w:bCs/>
          <w:spacing w:val="-2"/>
          <w:position w:val="27"/>
          <w:sz w:val="28"/>
          <w:szCs w:val="28"/>
        </w:rPr>
        <w:t>液氨储罐区储罐个数、储罐安全</w:t>
      </w:r>
      <w:r>
        <w:rPr>
          <w:b/>
          <w:bCs/>
          <w:spacing w:val="-3"/>
          <w:position w:val="27"/>
          <w:sz w:val="28"/>
          <w:szCs w:val="28"/>
        </w:rPr>
        <w:t>附件设置和监控需满足以下要</w:t>
      </w:r>
    </w:p>
    <w:p>
      <w:pPr>
        <w:pStyle w:val="BodyText"/>
        <w:spacing w:before="1" w:line="220" w:lineRule="auto"/>
        <w:rPr>
          <w:sz w:val="28"/>
          <w:szCs w:val="28"/>
        </w:rPr>
      </w:pPr>
      <w:r>
        <w:rPr>
          <w:b/>
          <w:bCs/>
          <w:spacing w:val="-8"/>
          <w:sz w:val="28"/>
          <w:szCs w:val="28"/>
        </w:rPr>
        <w:t>求。</w:t>
      </w:r>
    </w:p>
    <w:p>
      <w:pPr>
        <w:pStyle w:val="BodyText"/>
        <w:spacing w:before="244" w:line="426" w:lineRule="auto"/>
        <w:ind w:left="26" w:right="223" w:firstLine="550"/>
        <w:rPr>
          <w:sz w:val="28"/>
          <w:szCs w:val="28"/>
        </w:rPr>
      </w:pPr>
      <w:r>
        <w:rPr>
          <w:rFonts w:ascii="Times New Roman" w:eastAsia="Times New Roman" w:hAnsi="Times New Roman" w:cs="Times New Roman"/>
          <w:spacing w:val="1"/>
          <w:sz w:val="28"/>
          <w:szCs w:val="28"/>
        </w:rPr>
        <w:t>a)</w:t>
      </w:r>
      <w:r>
        <w:rPr>
          <w:rFonts w:ascii="Times New Roman" w:eastAsia="Times New Roman" w:hAnsi="Times New Roman" w:cs="Times New Roman"/>
          <w:spacing w:val="26"/>
          <w:w w:val="101"/>
          <w:sz w:val="28"/>
          <w:szCs w:val="28"/>
        </w:rPr>
        <w:t xml:space="preserve">  </w:t>
      </w:r>
      <w:r>
        <w:rPr>
          <w:spacing w:val="1"/>
          <w:sz w:val="28"/>
          <w:szCs w:val="28"/>
        </w:rPr>
        <w:t>液氨储罐区一般不宜少于2个储罐，存储量应根据存储或使用的天</w:t>
      </w:r>
      <w:r>
        <w:rPr>
          <w:sz w:val="28"/>
          <w:szCs w:val="28"/>
        </w:rPr>
        <w:t xml:space="preserve"> </w:t>
      </w:r>
      <w:r>
        <w:rPr>
          <w:spacing w:val="4"/>
          <w:sz w:val="28"/>
          <w:szCs w:val="28"/>
        </w:rPr>
        <w:t>数确定，管道输送一般7</w:t>
      </w:r>
      <w:r>
        <w:rPr>
          <w:rFonts w:ascii="Times New Roman" w:eastAsia="Times New Roman" w:hAnsi="Times New Roman" w:cs="Times New Roman"/>
          <w:spacing w:val="4"/>
          <w:sz w:val="28"/>
          <w:szCs w:val="28"/>
        </w:rPr>
        <w:t>d~10d</w:t>
      </w:r>
      <w:r>
        <w:rPr>
          <w:rFonts w:ascii="Times New Roman" w:eastAsia="Times New Roman" w:hAnsi="Times New Roman" w:cs="Times New Roman"/>
          <w:spacing w:val="47"/>
          <w:w w:val="101"/>
          <w:sz w:val="28"/>
          <w:szCs w:val="28"/>
        </w:rPr>
        <w:t xml:space="preserve"> </w:t>
      </w:r>
      <w:r>
        <w:rPr>
          <w:spacing w:val="4"/>
          <w:sz w:val="28"/>
          <w:szCs w:val="28"/>
        </w:rPr>
        <w:t>为宜，铁路运输10</w:t>
      </w:r>
      <w:r>
        <w:rPr>
          <w:rFonts w:ascii="Times New Roman" w:eastAsia="Times New Roman" w:hAnsi="Times New Roman" w:cs="Times New Roman"/>
          <w:spacing w:val="4"/>
          <w:sz w:val="28"/>
          <w:szCs w:val="28"/>
        </w:rPr>
        <w:t>d~20</w:t>
      </w:r>
      <w:r>
        <w:rPr>
          <w:rFonts w:ascii="Times New Roman" w:eastAsia="Times New Roman" w:hAnsi="Times New Roman" w:cs="Times New Roman"/>
          <w:spacing w:val="3"/>
          <w:sz w:val="28"/>
          <w:szCs w:val="28"/>
        </w:rPr>
        <w:t xml:space="preserve">d  </w:t>
      </w:r>
      <w:r>
        <w:rPr>
          <w:spacing w:val="3"/>
          <w:sz w:val="28"/>
          <w:szCs w:val="28"/>
        </w:rPr>
        <w:t>为宜，公路运输</w:t>
      </w:r>
    </w:p>
    <w:p>
      <w:pPr>
        <w:pStyle w:val="BodyText"/>
        <w:spacing w:line="219" w:lineRule="auto"/>
        <w:ind w:left="26"/>
        <w:rPr>
          <w:sz w:val="28"/>
          <w:szCs w:val="28"/>
        </w:rPr>
      </w:pPr>
      <w:r>
        <w:rPr>
          <w:spacing w:val="5"/>
          <w:sz w:val="28"/>
          <w:szCs w:val="28"/>
        </w:rPr>
        <w:t>10d~15d</w:t>
      </w:r>
      <w:r>
        <w:rPr>
          <w:spacing w:val="-47"/>
          <w:sz w:val="28"/>
          <w:szCs w:val="28"/>
        </w:rPr>
        <w:t xml:space="preserve"> </w:t>
      </w:r>
      <w:r>
        <w:rPr>
          <w:spacing w:val="5"/>
          <w:sz w:val="28"/>
          <w:szCs w:val="28"/>
        </w:rPr>
        <w:t>为宜，其储罐容量尚应满足一次装</w:t>
      </w:r>
      <w:r>
        <w:rPr>
          <w:spacing w:val="4"/>
          <w:sz w:val="28"/>
          <w:szCs w:val="28"/>
        </w:rPr>
        <w:t>(卸)车量的要求。</w:t>
      </w:r>
    </w:p>
    <w:p>
      <w:pPr>
        <w:pStyle w:val="BodyText"/>
        <w:spacing w:before="246" w:line="672" w:lineRule="exact"/>
        <w:ind w:left="576"/>
        <w:rPr>
          <w:rFonts w:ascii="Times New Roman" w:eastAsia="Times New Roman" w:hAnsi="Times New Roman" w:cs="Times New Roman"/>
          <w:sz w:val="28"/>
          <w:szCs w:val="28"/>
        </w:rPr>
      </w:pPr>
      <w:r>
        <w:rPr>
          <w:rFonts w:ascii="Times New Roman" w:eastAsia="Times New Roman" w:hAnsi="Times New Roman" w:cs="Times New Roman"/>
          <w:spacing w:val="-2"/>
          <w:position w:val="30"/>
          <w:sz w:val="28"/>
          <w:szCs w:val="28"/>
        </w:rPr>
        <w:t>b)</w:t>
      </w:r>
      <w:r>
        <w:rPr>
          <w:rFonts w:ascii="Times New Roman" w:eastAsia="Times New Roman" w:hAnsi="Times New Roman" w:cs="Times New Roman"/>
          <w:spacing w:val="72"/>
          <w:position w:val="30"/>
          <w:sz w:val="28"/>
          <w:szCs w:val="28"/>
        </w:rPr>
        <w:t xml:space="preserve"> </w:t>
      </w:r>
      <w:r>
        <w:rPr>
          <w:spacing w:val="-2"/>
          <w:position w:val="30"/>
          <w:sz w:val="28"/>
          <w:szCs w:val="28"/>
        </w:rPr>
        <w:t xml:space="preserve">液氨储罐应设置液位计、压力表和安全阀等安全附件，超过100 </w:t>
      </w:r>
      <w:r>
        <w:rPr>
          <w:rFonts w:ascii="Times New Roman" w:eastAsia="Times New Roman" w:hAnsi="Times New Roman" w:cs="Times New Roman"/>
          <w:spacing w:val="-2"/>
          <w:position w:val="30"/>
          <w:sz w:val="28"/>
          <w:szCs w:val="28"/>
        </w:rPr>
        <w:t>m²</w:t>
      </w:r>
    </w:p>
    <w:p>
      <w:pPr>
        <w:pStyle w:val="BodyText"/>
        <w:spacing w:line="219" w:lineRule="auto"/>
        <w:ind w:left="26"/>
        <w:rPr>
          <w:sz w:val="28"/>
          <w:szCs w:val="28"/>
        </w:rPr>
      </w:pPr>
      <w:r>
        <w:rPr>
          <w:spacing w:val="-3"/>
          <w:sz w:val="28"/>
          <w:szCs w:val="28"/>
        </w:rPr>
        <w:t>的液氨储罐应设双安全阀，定期校验，保证完好灵敏。</w:t>
      </w:r>
    </w:p>
    <w:p>
      <w:pPr>
        <w:pStyle w:val="BodyText"/>
        <w:spacing w:before="246" w:line="670" w:lineRule="exact"/>
        <w:ind w:left="576"/>
        <w:rPr>
          <w:sz w:val="28"/>
          <w:szCs w:val="28"/>
        </w:rPr>
      </w:pPr>
      <w:r>
        <w:rPr>
          <w:rFonts w:ascii="Times New Roman" w:eastAsia="Times New Roman" w:hAnsi="Times New Roman" w:cs="Times New Roman"/>
          <w:spacing w:val="-5"/>
          <w:position w:val="30"/>
          <w:sz w:val="28"/>
          <w:szCs w:val="28"/>
        </w:rPr>
        <w:t xml:space="preserve">c) </w:t>
      </w:r>
      <w:r>
        <w:rPr>
          <w:spacing w:val="-5"/>
          <w:position w:val="30"/>
          <w:sz w:val="28"/>
          <w:szCs w:val="28"/>
        </w:rPr>
        <w:t>安全阀应为全启式，安全阀出口管应接至火炬或其他事故处理系统，</w:t>
      </w:r>
    </w:p>
    <w:p>
      <w:pPr>
        <w:pStyle w:val="BodyText"/>
        <w:spacing w:before="1" w:line="217" w:lineRule="auto"/>
        <w:ind w:left="26"/>
        <w:rPr>
          <w:sz w:val="28"/>
          <w:szCs w:val="28"/>
        </w:rPr>
      </w:pPr>
      <w:r>
        <w:rPr>
          <w:spacing w:val="-4"/>
          <w:sz w:val="28"/>
          <w:szCs w:val="28"/>
        </w:rPr>
        <w:t>避免火灾、爆炸、中毒和污染。</w:t>
      </w:r>
    </w:p>
    <w:p>
      <w:pPr>
        <w:pStyle w:val="BodyText"/>
        <w:spacing w:before="250" w:line="671" w:lineRule="exact"/>
        <w:ind w:left="576"/>
        <w:rPr>
          <w:sz w:val="28"/>
          <w:szCs w:val="28"/>
        </w:rPr>
      </w:pPr>
      <w:r>
        <w:rPr>
          <w:rFonts w:ascii="Times New Roman" w:eastAsia="Times New Roman" w:hAnsi="Times New Roman" w:cs="Times New Roman"/>
          <w:spacing w:val="-2"/>
          <w:position w:val="30"/>
          <w:sz w:val="28"/>
          <w:szCs w:val="28"/>
        </w:rPr>
        <w:t xml:space="preserve">d)  </w:t>
      </w:r>
      <w:r>
        <w:rPr>
          <w:spacing w:val="-2"/>
          <w:position w:val="30"/>
          <w:sz w:val="28"/>
          <w:szCs w:val="28"/>
        </w:rPr>
        <w:t>液氨储罐应设置液位高、低报警和高高、低低限报警及联锁，其中</w:t>
      </w:r>
    </w:p>
    <w:p>
      <w:pPr>
        <w:pStyle w:val="BodyText"/>
        <w:spacing w:before="1" w:line="219" w:lineRule="auto"/>
        <w:ind w:left="26"/>
        <w:rPr>
          <w:sz w:val="28"/>
          <w:szCs w:val="28"/>
        </w:rPr>
      </w:pPr>
      <w:r>
        <w:rPr>
          <w:spacing w:val="-5"/>
          <w:sz w:val="28"/>
          <w:szCs w:val="28"/>
        </w:rPr>
        <w:t>低温液氨储罐应设温度显示和高限报警。</w:t>
      </w:r>
    </w:p>
    <w:p>
      <w:pPr>
        <w:pStyle w:val="BodyText"/>
        <w:spacing w:before="278" w:line="219" w:lineRule="auto"/>
        <w:ind w:left="576"/>
        <w:rPr>
          <w:sz w:val="28"/>
          <w:szCs w:val="28"/>
        </w:rPr>
      </w:pPr>
      <w:r>
        <w:rPr>
          <w:spacing w:val="1"/>
          <w:sz w:val="28"/>
          <w:szCs w:val="28"/>
        </w:rPr>
        <w:t>e) 液氨储罐的储存系数不应大于0.85。</w:t>
      </w:r>
    </w:p>
    <w:p>
      <w:pPr>
        <w:pStyle w:val="BodyText"/>
        <w:spacing w:before="266" w:line="651" w:lineRule="exact"/>
        <w:ind w:left="576"/>
        <w:rPr>
          <w:sz w:val="28"/>
          <w:szCs w:val="28"/>
        </w:rPr>
      </w:pPr>
      <w:r>
        <w:rPr>
          <w:rFonts w:ascii="Times New Roman" w:eastAsia="Times New Roman" w:hAnsi="Times New Roman" w:cs="Times New Roman"/>
          <w:spacing w:val="-1"/>
          <w:position w:val="29"/>
          <w:sz w:val="28"/>
          <w:szCs w:val="28"/>
        </w:rPr>
        <w:t xml:space="preserve">f)  </w:t>
      </w:r>
      <w:r>
        <w:rPr>
          <w:spacing w:val="-1"/>
          <w:position w:val="29"/>
          <w:sz w:val="28"/>
          <w:szCs w:val="28"/>
        </w:rPr>
        <w:t>液氨储罐进出口管线应设置双切断</w:t>
      </w:r>
      <w:r>
        <w:rPr>
          <w:spacing w:val="-2"/>
          <w:position w:val="29"/>
          <w:sz w:val="28"/>
          <w:szCs w:val="28"/>
        </w:rPr>
        <w:t>阀，其中一只出口切断阀为紧急</w:t>
      </w:r>
    </w:p>
    <w:p>
      <w:pPr>
        <w:pStyle w:val="BodyText"/>
        <w:spacing w:before="1" w:line="219" w:lineRule="auto"/>
        <w:ind w:left="26"/>
        <w:rPr>
          <w:sz w:val="28"/>
          <w:szCs w:val="28"/>
        </w:rPr>
      </w:pPr>
      <w:r>
        <w:rPr>
          <w:spacing w:val="-10"/>
          <w:sz w:val="28"/>
          <w:szCs w:val="28"/>
        </w:rPr>
        <w:t>切断阀。</w:t>
      </w:r>
    </w:p>
    <w:p>
      <w:pPr>
        <w:pStyle w:val="BodyText"/>
        <w:spacing w:before="256" w:line="419" w:lineRule="auto"/>
        <w:ind w:left="26" w:right="223" w:firstLine="550"/>
        <w:rPr>
          <w:sz w:val="28"/>
          <w:szCs w:val="28"/>
        </w:rPr>
      </w:pPr>
      <w:r>
        <w:rPr>
          <w:rFonts w:ascii="Times New Roman" w:eastAsia="Times New Roman" w:hAnsi="Times New Roman" w:cs="Times New Roman"/>
          <w:spacing w:val="-2"/>
          <w:sz w:val="28"/>
          <w:szCs w:val="28"/>
        </w:rPr>
        <w:t xml:space="preserve">g)  </w:t>
      </w:r>
      <w:r>
        <w:rPr>
          <w:spacing w:val="-2"/>
          <w:sz w:val="28"/>
          <w:szCs w:val="28"/>
        </w:rPr>
        <w:t>氨存储量构成重大危险源的，应在设置温度、压力、</w:t>
      </w:r>
      <w:r>
        <w:rPr>
          <w:spacing w:val="-3"/>
          <w:sz w:val="28"/>
          <w:szCs w:val="28"/>
        </w:rPr>
        <w:t>液位等检测设</w:t>
      </w:r>
      <w:r>
        <w:rPr>
          <w:sz w:val="28"/>
          <w:szCs w:val="28"/>
        </w:rPr>
        <w:t xml:space="preserve"> 施的基础上完善视频监控和联锁报警等装置，应具备信息远传和连续记录</w:t>
      </w:r>
    </w:p>
    <w:p>
      <w:pPr>
        <w:pStyle w:val="BodyText"/>
        <w:spacing w:before="1" w:line="219" w:lineRule="auto"/>
        <w:ind w:left="26"/>
        <w:rPr>
          <w:sz w:val="28"/>
          <w:szCs w:val="28"/>
        </w:rPr>
      </w:pPr>
      <w:r>
        <w:rPr>
          <w:spacing w:val="-2"/>
          <w:sz w:val="28"/>
          <w:szCs w:val="28"/>
        </w:rPr>
        <w:t>等功能，且能保存30d 以上。音视频信息应保存7d</w:t>
      </w:r>
      <w:r>
        <w:rPr>
          <w:spacing w:val="-44"/>
          <w:sz w:val="28"/>
          <w:szCs w:val="28"/>
        </w:rPr>
        <w:t xml:space="preserve"> </w:t>
      </w:r>
      <w:r>
        <w:rPr>
          <w:spacing w:val="-2"/>
          <w:sz w:val="28"/>
          <w:szCs w:val="28"/>
        </w:rPr>
        <w:t>以</w:t>
      </w:r>
      <w:r>
        <w:rPr>
          <w:spacing w:val="-3"/>
          <w:sz w:val="28"/>
          <w:szCs w:val="28"/>
        </w:rPr>
        <w:t>上，报警信息应保存</w:t>
      </w:r>
    </w:p>
    <w:p>
      <w:pPr>
        <w:spacing w:line="219" w:lineRule="auto"/>
        <w:rPr>
          <w:sz w:val="28"/>
          <w:szCs w:val="28"/>
        </w:rPr>
        <w:sectPr>
          <w:pgSz w:w="11910" w:h="16840"/>
          <w:pgMar w:top="1431" w:right="1113" w:bottom="0" w:left="1573" w:header="0" w:footer="0" w:gutter="0"/>
          <w:pgNumType w:start="10"/>
          <w:cols w:space="708"/>
        </w:sectPr>
      </w:pPr>
    </w:p>
    <w:p>
      <w:pPr>
        <w:pStyle w:val="BodyText"/>
        <w:spacing w:before="150" w:line="219" w:lineRule="auto"/>
        <w:rPr>
          <w:sz w:val="28"/>
          <w:szCs w:val="28"/>
        </w:rPr>
      </w:pPr>
      <w:r>
        <w:rPr>
          <w:sz w:val="28"/>
          <w:szCs w:val="28"/>
        </w:rPr>
        <w:t>1年以上。</w:t>
      </w:r>
    </w:p>
    <w:p>
      <w:pPr>
        <w:pStyle w:val="BodyText"/>
        <w:spacing w:before="281" w:line="219" w:lineRule="auto"/>
        <w:ind w:left="564"/>
        <w:outlineLvl w:val="0"/>
        <w:rPr>
          <w:sz w:val="28"/>
          <w:szCs w:val="28"/>
        </w:rPr>
      </w:pPr>
      <w:r>
        <w:rPr>
          <w:b/>
          <w:bCs/>
          <w:spacing w:val="-2"/>
          <w:sz w:val="28"/>
          <w:szCs w:val="28"/>
        </w:rPr>
        <w:t>5.2.3液氨管道布置和管理满足以下要求。</w:t>
      </w:r>
    </w:p>
    <w:p>
      <w:pPr>
        <w:pStyle w:val="BodyText"/>
        <w:spacing w:before="302" w:line="616" w:lineRule="exact"/>
        <w:ind w:right="23"/>
        <w:jc w:val="right"/>
        <w:rPr>
          <w:sz w:val="28"/>
          <w:szCs w:val="28"/>
        </w:rPr>
      </w:pPr>
      <w:r>
        <w:rPr>
          <w:spacing w:val="-2"/>
          <w:position w:val="25"/>
          <w:sz w:val="28"/>
          <w:szCs w:val="28"/>
        </w:rPr>
        <w:t>a)</w:t>
      </w:r>
      <w:r>
        <w:rPr>
          <w:spacing w:val="-45"/>
          <w:position w:val="25"/>
          <w:sz w:val="28"/>
          <w:szCs w:val="28"/>
        </w:rPr>
        <w:t xml:space="preserve"> </w:t>
      </w:r>
      <w:r>
        <w:rPr>
          <w:spacing w:val="-2"/>
          <w:position w:val="25"/>
          <w:sz w:val="28"/>
          <w:szCs w:val="28"/>
        </w:rPr>
        <w:t>液氨管道宜地上敷设，采用管墩敷设时，墩顶高出设计地面不宜小</w:t>
      </w:r>
    </w:p>
    <w:p>
      <w:pPr>
        <w:pStyle w:val="BodyText"/>
        <w:spacing w:before="1" w:line="222" w:lineRule="auto"/>
        <w:rPr>
          <w:sz w:val="28"/>
          <w:szCs w:val="28"/>
        </w:rPr>
      </w:pPr>
      <w:r>
        <w:rPr>
          <w:spacing w:val="-10"/>
          <w:sz w:val="28"/>
          <w:szCs w:val="28"/>
        </w:rPr>
        <w:t>于300</w:t>
      </w:r>
      <w:r>
        <w:rPr>
          <w:rFonts w:ascii="Times New Roman" w:eastAsia="Times New Roman" w:hAnsi="Times New Roman" w:cs="Times New Roman"/>
          <w:spacing w:val="-10"/>
          <w:sz w:val="28"/>
          <w:szCs w:val="28"/>
        </w:rPr>
        <w:t>mm</w:t>
      </w:r>
      <w:r>
        <w:rPr>
          <w:spacing w:val="-10"/>
          <w:sz w:val="28"/>
          <w:szCs w:val="28"/>
        </w:rPr>
        <w:t>。</w:t>
      </w:r>
    </w:p>
    <w:p>
      <w:pPr>
        <w:pStyle w:val="BodyText"/>
        <w:spacing w:before="275" w:line="212" w:lineRule="auto"/>
        <w:ind w:left="560"/>
        <w:rPr>
          <w:sz w:val="28"/>
          <w:szCs w:val="28"/>
        </w:rPr>
      </w:pPr>
      <w:r>
        <w:rPr>
          <w:rFonts w:ascii="Times New Roman" w:eastAsia="Times New Roman" w:hAnsi="Times New Roman" w:cs="Times New Roman"/>
          <w:spacing w:val="-1"/>
          <w:sz w:val="28"/>
          <w:szCs w:val="28"/>
        </w:rPr>
        <w:t xml:space="preserve">b)  </w:t>
      </w:r>
      <w:r>
        <w:rPr>
          <w:spacing w:val="-1"/>
          <w:sz w:val="28"/>
          <w:szCs w:val="28"/>
        </w:rPr>
        <w:t>主管道带上的固定点，宜靠近罐前支管道带处设置。</w:t>
      </w:r>
    </w:p>
    <w:p>
      <w:pPr>
        <w:pStyle w:val="BodyText"/>
        <w:spacing w:before="320" w:line="640" w:lineRule="exact"/>
        <w:ind w:right="31"/>
        <w:jc w:val="right"/>
        <w:rPr>
          <w:sz w:val="28"/>
          <w:szCs w:val="28"/>
        </w:rPr>
      </w:pPr>
      <w:r>
        <w:rPr>
          <w:spacing w:val="-4"/>
          <w:position w:val="27"/>
          <w:sz w:val="28"/>
          <w:szCs w:val="28"/>
        </w:rPr>
        <w:t>c) 防火堤不宜作为管道的支撑点，管道穿防火堤处应设钢制套管，套</w:t>
      </w:r>
    </w:p>
    <w:p>
      <w:pPr>
        <w:pStyle w:val="BodyText"/>
        <w:spacing w:line="219" w:lineRule="auto"/>
        <w:rPr>
          <w:sz w:val="28"/>
          <w:szCs w:val="28"/>
        </w:rPr>
      </w:pPr>
      <w:r>
        <w:rPr>
          <w:spacing w:val="-3"/>
          <w:sz w:val="28"/>
          <w:szCs w:val="28"/>
        </w:rPr>
        <w:t>管长度不应小于防火堤的厚度，套管两端应做防渗漏的密封处理。</w:t>
      </w:r>
    </w:p>
    <w:p>
      <w:pPr>
        <w:pStyle w:val="BodyText"/>
        <w:spacing w:before="266" w:line="633" w:lineRule="exact"/>
        <w:ind w:right="8"/>
        <w:jc w:val="right"/>
        <w:rPr>
          <w:sz w:val="28"/>
          <w:szCs w:val="28"/>
        </w:rPr>
      </w:pPr>
      <w:r>
        <w:rPr>
          <w:rFonts w:ascii="Times New Roman" w:eastAsia="Times New Roman" w:hAnsi="Times New Roman" w:cs="Times New Roman"/>
          <w:spacing w:val="-1"/>
          <w:position w:val="27"/>
          <w:sz w:val="28"/>
          <w:szCs w:val="28"/>
        </w:rPr>
        <w:t>d)</w:t>
      </w:r>
      <w:r>
        <w:rPr>
          <w:rFonts w:ascii="Times New Roman" w:eastAsia="Times New Roman" w:hAnsi="Times New Roman" w:cs="Times New Roman"/>
          <w:spacing w:val="57"/>
          <w:position w:val="27"/>
          <w:sz w:val="28"/>
          <w:szCs w:val="28"/>
        </w:rPr>
        <w:t xml:space="preserve"> </w:t>
      </w:r>
      <w:r>
        <w:rPr>
          <w:spacing w:val="-1"/>
          <w:position w:val="27"/>
          <w:sz w:val="28"/>
          <w:szCs w:val="28"/>
        </w:rPr>
        <w:t>应在管道带合适的位置设跨桥，桥底面最低处距管顶((或保温层顶</w:t>
      </w:r>
    </w:p>
    <w:p>
      <w:pPr>
        <w:pStyle w:val="BodyText"/>
        <w:spacing w:before="1" w:line="212" w:lineRule="auto"/>
        <w:rPr>
          <w:rFonts w:ascii="Times New Roman" w:eastAsia="Times New Roman" w:hAnsi="Times New Roman" w:cs="Times New Roman"/>
          <w:sz w:val="28"/>
          <w:szCs w:val="28"/>
        </w:rPr>
      </w:pPr>
      <w:r>
        <w:rPr>
          <w:spacing w:val="4"/>
          <w:sz w:val="28"/>
          <w:szCs w:val="28"/>
        </w:rPr>
        <w:t xml:space="preserve">面)的距离不应小于80 </w:t>
      </w:r>
      <w:r>
        <w:rPr>
          <w:rFonts w:ascii="Times New Roman" w:eastAsia="Times New Roman" w:hAnsi="Times New Roman" w:cs="Times New Roman"/>
          <w:sz w:val="28"/>
          <w:szCs w:val="28"/>
        </w:rPr>
        <w:t>mm</w:t>
      </w:r>
      <w:r>
        <w:rPr>
          <w:rFonts w:ascii="Times New Roman" w:eastAsia="Times New Roman" w:hAnsi="Times New Roman" w:cs="Times New Roman"/>
          <w:spacing w:val="4"/>
          <w:sz w:val="28"/>
          <w:szCs w:val="28"/>
        </w:rPr>
        <w:t>;</w:t>
      </w:r>
    </w:p>
    <w:p>
      <w:pPr>
        <w:pStyle w:val="BodyText"/>
        <w:spacing w:before="275" w:line="212" w:lineRule="auto"/>
        <w:ind w:left="560"/>
        <w:rPr>
          <w:sz w:val="28"/>
          <w:szCs w:val="28"/>
        </w:rPr>
      </w:pPr>
      <w:r>
        <w:rPr>
          <w:rFonts w:ascii="Times New Roman" w:eastAsia="Times New Roman" w:hAnsi="Times New Roman" w:cs="Times New Roman"/>
          <w:spacing w:val="-3"/>
          <w:sz w:val="28"/>
          <w:szCs w:val="28"/>
        </w:rPr>
        <w:t>e)</w:t>
      </w:r>
      <w:r>
        <w:rPr>
          <w:rFonts w:ascii="Times New Roman" w:eastAsia="Times New Roman" w:hAnsi="Times New Roman" w:cs="Times New Roman"/>
          <w:spacing w:val="29"/>
          <w:sz w:val="28"/>
          <w:szCs w:val="28"/>
        </w:rPr>
        <w:t xml:space="preserve">  </w:t>
      </w:r>
      <w:r>
        <w:rPr>
          <w:spacing w:val="-3"/>
          <w:sz w:val="28"/>
          <w:szCs w:val="28"/>
        </w:rPr>
        <w:t>罐组之间的管道布置，不应妨碍消防车的通行。</w:t>
      </w:r>
    </w:p>
    <w:p>
      <w:pPr>
        <w:pStyle w:val="BodyText"/>
        <w:spacing w:before="308" w:line="651" w:lineRule="exact"/>
        <w:ind w:right="17"/>
        <w:jc w:val="right"/>
        <w:rPr>
          <w:sz w:val="28"/>
          <w:szCs w:val="28"/>
        </w:rPr>
      </w:pPr>
      <w:r>
        <w:rPr>
          <w:rFonts w:ascii="Times New Roman" w:eastAsia="Times New Roman" w:hAnsi="Times New Roman" w:cs="Times New Roman"/>
          <w:position w:val="28"/>
          <w:sz w:val="28"/>
          <w:szCs w:val="28"/>
        </w:rPr>
        <w:t xml:space="preserve">f)  </w:t>
      </w:r>
      <w:r>
        <w:rPr>
          <w:position w:val="28"/>
          <w:sz w:val="28"/>
          <w:szCs w:val="28"/>
        </w:rPr>
        <w:t>距装卸车金属万向管道充装臂10</w:t>
      </w:r>
      <w:r>
        <w:rPr>
          <w:rFonts w:ascii="Times New Roman" w:eastAsia="Times New Roman" w:hAnsi="Times New Roman" w:cs="Times New Roman"/>
          <w:position w:val="28"/>
          <w:sz w:val="28"/>
          <w:szCs w:val="28"/>
        </w:rPr>
        <w:t>m</w:t>
      </w:r>
      <w:r>
        <w:rPr>
          <w:rFonts w:ascii="Times New Roman" w:eastAsia="Times New Roman" w:hAnsi="Times New Roman" w:cs="Times New Roman"/>
          <w:spacing w:val="-1"/>
          <w:position w:val="28"/>
          <w:sz w:val="28"/>
          <w:szCs w:val="28"/>
        </w:rPr>
        <w:t xml:space="preserve"> </w:t>
      </w:r>
      <w:r>
        <w:rPr>
          <w:spacing w:val="-1"/>
          <w:position w:val="28"/>
          <w:sz w:val="28"/>
          <w:szCs w:val="28"/>
        </w:rPr>
        <w:t>以外的装卸液氨管道上，除有动</w:t>
      </w:r>
    </w:p>
    <w:p>
      <w:pPr>
        <w:pStyle w:val="BodyText"/>
        <w:spacing w:before="1" w:line="219" w:lineRule="auto"/>
        <w:rPr>
          <w:sz w:val="28"/>
          <w:szCs w:val="28"/>
        </w:rPr>
      </w:pPr>
      <w:r>
        <w:rPr>
          <w:spacing w:val="-3"/>
          <w:sz w:val="28"/>
          <w:szCs w:val="28"/>
        </w:rPr>
        <w:t>力装卸的紧急停用措施外，还应设置便于操作的紧急切断阀。</w:t>
      </w:r>
    </w:p>
    <w:p>
      <w:pPr>
        <w:pStyle w:val="BodyText"/>
        <w:spacing w:before="302" w:line="219" w:lineRule="auto"/>
        <w:ind w:left="564"/>
        <w:outlineLvl w:val="0"/>
        <w:rPr>
          <w:sz w:val="28"/>
          <w:szCs w:val="28"/>
        </w:rPr>
      </w:pPr>
      <w:r>
        <w:rPr>
          <w:b/>
          <w:bCs/>
          <w:spacing w:val="-2"/>
          <w:sz w:val="28"/>
          <w:szCs w:val="28"/>
        </w:rPr>
        <w:t>5.2.4液氨存储与装卸场所的供用电满足以下</w:t>
      </w:r>
      <w:r>
        <w:rPr>
          <w:b/>
          <w:bCs/>
          <w:spacing w:val="-3"/>
          <w:sz w:val="28"/>
          <w:szCs w:val="28"/>
        </w:rPr>
        <w:t>要求。</w:t>
      </w:r>
    </w:p>
    <w:p>
      <w:pPr>
        <w:pStyle w:val="BodyText"/>
        <w:spacing w:before="252" w:line="663" w:lineRule="exact"/>
        <w:ind w:right="35"/>
        <w:jc w:val="right"/>
        <w:rPr>
          <w:sz w:val="28"/>
          <w:szCs w:val="28"/>
        </w:rPr>
      </w:pPr>
      <w:r>
        <w:rPr>
          <w:rFonts w:ascii="Times New Roman" w:eastAsia="Times New Roman" w:hAnsi="Times New Roman" w:cs="Times New Roman"/>
          <w:spacing w:val="5"/>
          <w:position w:val="30"/>
          <w:sz w:val="28"/>
          <w:szCs w:val="28"/>
        </w:rPr>
        <w:t>a)</w:t>
      </w:r>
      <w:r>
        <w:rPr>
          <w:rFonts w:ascii="Times New Roman" w:eastAsia="Times New Roman" w:hAnsi="Times New Roman" w:cs="Times New Roman"/>
          <w:spacing w:val="36"/>
          <w:w w:val="101"/>
          <w:position w:val="30"/>
          <w:sz w:val="28"/>
          <w:szCs w:val="28"/>
        </w:rPr>
        <w:t xml:space="preserve">  </w:t>
      </w:r>
      <w:r>
        <w:rPr>
          <w:spacing w:val="5"/>
          <w:position w:val="30"/>
          <w:sz w:val="28"/>
          <w:szCs w:val="28"/>
        </w:rPr>
        <w:t>液氨存储和装卸场所安全用电设计、施工安装和日常管理应符合</w:t>
      </w:r>
    </w:p>
    <w:p>
      <w:pPr>
        <w:pStyle w:val="BodyText"/>
        <w:spacing w:before="2" w:line="220" w:lineRule="auto"/>
        <w:rPr>
          <w:sz w:val="28"/>
          <w:szCs w:val="28"/>
        </w:rPr>
      </w:pPr>
      <w:r>
        <w:rPr>
          <w:spacing w:val="-2"/>
          <w:sz w:val="28"/>
          <w:szCs w:val="28"/>
        </w:rPr>
        <w:t>GB50058 要求。</w:t>
      </w:r>
    </w:p>
    <w:p>
      <w:pPr>
        <w:pStyle w:val="BodyText"/>
        <w:spacing w:before="253" w:line="415" w:lineRule="auto"/>
        <w:ind w:right="34" w:firstLine="560"/>
        <w:rPr>
          <w:sz w:val="28"/>
          <w:szCs w:val="28"/>
        </w:rPr>
      </w:pPr>
      <w:r>
        <w:rPr>
          <w:rFonts w:ascii="Times New Roman" w:eastAsia="Times New Roman" w:hAnsi="Times New Roman" w:cs="Times New Roman"/>
          <w:spacing w:val="-2"/>
          <w:sz w:val="28"/>
          <w:szCs w:val="28"/>
        </w:rPr>
        <w:t>b)</w:t>
      </w:r>
      <w:r>
        <w:rPr>
          <w:rFonts w:ascii="Times New Roman" w:eastAsia="Times New Roman" w:hAnsi="Times New Roman" w:cs="Times New Roman"/>
          <w:spacing w:val="60"/>
          <w:sz w:val="28"/>
          <w:szCs w:val="28"/>
        </w:rPr>
        <w:t xml:space="preserve"> </w:t>
      </w:r>
      <w:r>
        <w:rPr>
          <w:spacing w:val="-2"/>
          <w:sz w:val="28"/>
          <w:szCs w:val="28"/>
        </w:rPr>
        <w:t>安全仪表系统</w:t>
      </w:r>
      <w:r>
        <w:rPr>
          <w:spacing w:val="-63"/>
          <w:sz w:val="28"/>
          <w:szCs w:val="28"/>
        </w:rPr>
        <w:t xml:space="preserve"> </w:t>
      </w:r>
      <w:r>
        <w:rPr>
          <w:rFonts w:ascii="Times New Roman" w:eastAsia="Times New Roman" w:hAnsi="Times New Roman" w:cs="Times New Roman"/>
          <w:spacing w:val="-2"/>
          <w:sz w:val="28"/>
          <w:szCs w:val="28"/>
        </w:rPr>
        <w:t>(SIS)</w:t>
      </w:r>
      <w:r>
        <w:rPr>
          <w:rFonts w:ascii="Times New Roman" w:eastAsia="Times New Roman" w:hAnsi="Times New Roman" w:cs="Times New Roman"/>
          <w:spacing w:val="-40"/>
          <w:sz w:val="28"/>
          <w:szCs w:val="28"/>
        </w:rPr>
        <w:t xml:space="preserve"> </w:t>
      </w:r>
      <w:r>
        <w:rPr>
          <w:spacing w:val="-2"/>
          <w:sz w:val="28"/>
          <w:szCs w:val="28"/>
        </w:rPr>
        <w:t>、</w:t>
      </w:r>
      <w:r>
        <w:rPr>
          <w:spacing w:val="-59"/>
          <w:sz w:val="28"/>
          <w:szCs w:val="28"/>
        </w:rPr>
        <w:t xml:space="preserve"> </w:t>
      </w:r>
      <w:r>
        <w:rPr>
          <w:spacing w:val="-2"/>
          <w:sz w:val="28"/>
          <w:szCs w:val="28"/>
        </w:rPr>
        <w:t>紧急停车系统</w:t>
      </w:r>
      <w:r>
        <w:rPr>
          <w:spacing w:val="-63"/>
          <w:sz w:val="28"/>
          <w:szCs w:val="28"/>
        </w:rPr>
        <w:t xml:space="preserve"> </w:t>
      </w:r>
      <w:r>
        <w:rPr>
          <w:rFonts w:ascii="Times New Roman" w:eastAsia="Times New Roman" w:hAnsi="Times New Roman" w:cs="Times New Roman"/>
          <w:spacing w:val="-2"/>
          <w:sz w:val="28"/>
          <w:szCs w:val="28"/>
        </w:rPr>
        <w:t>(ESD)</w:t>
      </w:r>
      <w:r>
        <w:rPr>
          <w:spacing w:val="-2"/>
          <w:sz w:val="28"/>
          <w:szCs w:val="28"/>
        </w:rPr>
        <w:t>、工艺关停系统</w:t>
      </w:r>
      <w:r>
        <w:rPr>
          <w:spacing w:val="-63"/>
          <w:sz w:val="28"/>
          <w:szCs w:val="28"/>
        </w:rPr>
        <w:t xml:space="preserve"> </w:t>
      </w:r>
      <w:r>
        <w:rPr>
          <w:rFonts w:ascii="Times New Roman" w:eastAsia="Times New Roman" w:hAnsi="Times New Roman" w:cs="Times New Roman"/>
          <w:spacing w:val="-2"/>
          <w:sz w:val="28"/>
          <w:szCs w:val="28"/>
        </w:rPr>
        <w:t xml:space="preserve">(PSD)   </w:t>
      </w:r>
      <w:r>
        <w:rPr>
          <w:spacing w:val="-1"/>
          <w:sz w:val="28"/>
          <w:szCs w:val="28"/>
        </w:rPr>
        <w:t>和高完整性压力保护系统</w:t>
      </w:r>
      <w:r>
        <w:rPr>
          <w:spacing w:val="-48"/>
          <w:sz w:val="28"/>
          <w:szCs w:val="28"/>
        </w:rPr>
        <w:t xml:space="preserve"> </w:t>
      </w:r>
      <w:r>
        <w:rPr>
          <w:rFonts w:ascii="Times New Roman" w:eastAsia="Times New Roman" w:hAnsi="Times New Roman" w:cs="Times New Roman"/>
          <w:spacing w:val="-1"/>
          <w:sz w:val="28"/>
          <w:szCs w:val="28"/>
        </w:rPr>
        <w:t xml:space="preserve">(HIPPS)  </w:t>
      </w:r>
      <w:r>
        <w:rPr>
          <w:spacing w:val="-1"/>
          <w:sz w:val="28"/>
          <w:szCs w:val="28"/>
        </w:rPr>
        <w:t>等系统所涵盖的控制单元、检测器</w:t>
      </w:r>
      <w:r>
        <w:rPr>
          <w:spacing w:val="-2"/>
          <w:sz w:val="28"/>
          <w:szCs w:val="28"/>
        </w:rPr>
        <w:t>、报</w:t>
      </w:r>
      <w:r>
        <w:rPr>
          <w:sz w:val="28"/>
          <w:szCs w:val="28"/>
        </w:rPr>
        <w:t xml:space="preserve"> </w:t>
      </w:r>
      <w:r>
        <w:rPr>
          <w:spacing w:val="1"/>
          <w:sz w:val="28"/>
          <w:szCs w:val="28"/>
        </w:rPr>
        <w:t>警器等的供电负荷应按一级用电负荷中特别重</w:t>
      </w:r>
      <w:r>
        <w:rPr>
          <w:sz w:val="28"/>
          <w:szCs w:val="28"/>
        </w:rPr>
        <w:t>要负荷设置，采用两路交流</w:t>
      </w:r>
    </w:p>
    <w:p>
      <w:pPr>
        <w:pStyle w:val="BodyText"/>
        <w:spacing w:before="1" w:line="218" w:lineRule="auto"/>
        <w:rPr>
          <w:sz w:val="28"/>
          <w:szCs w:val="28"/>
        </w:rPr>
      </w:pPr>
      <w:r>
        <w:rPr>
          <w:spacing w:val="-7"/>
          <w:sz w:val="28"/>
          <w:szCs w:val="28"/>
        </w:rPr>
        <w:t>不间断电源供电。</w:t>
      </w:r>
    </w:p>
    <w:p>
      <w:pPr>
        <w:pStyle w:val="BodyText"/>
        <w:spacing w:before="278" w:line="419" w:lineRule="auto"/>
        <w:ind w:firstLine="560"/>
        <w:rPr>
          <w:sz w:val="28"/>
          <w:szCs w:val="28"/>
        </w:rPr>
      </w:pPr>
      <w:r>
        <w:rPr>
          <w:rFonts w:ascii="Times New Roman" w:eastAsia="Times New Roman" w:hAnsi="Times New Roman" w:cs="Times New Roman"/>
          <w:spacing w:val="-1"/>
          <w:sz w:val="28"/>
          <w:szCs w:val="28"/>
        </w:rPr>
        <w:t xml:space="preserve">c)  </w:t>
      </w:r>
      <w:r>
        <w:rPr>
          <w:spacing w:val="-1"/>
          <w:sz w:val="28"/>
          <w:szCs w:val="28"/>
        </w:rPr>
        <w:t>敷设电气线路的管沟、电缆或钢管所穿过的不同区域之间墙或楼板</w:t>
      </w:r>
      <w:r>
        <w:rPr>
          <w:spacing w:val="12"/>
          <w:sz w:val="28"/>
          <w:szCs w:val="28"/>
        </w:rPr>
        <w:t xml:space="preserve"> </w:t>
      </w:r>
      <w:r>
        <w:rPr>
          <w:sz w:val="28"/>
          <w:szCs w:val="28"/>
        </w:rPr>
        <w:t>处的孔洞处采用非燃烧性材料严密堵塞；电缆沟至电缆室，电缆室至配电</w:t>
      </w:r>
    </w:p>
    <w:p>
      <w:pPr>
        <w:pStyle w:val="BodyText"/>
        <w:spacing w:before="1" w:line="218" w:lineRule="auto"/>
        <w:rPr>
          <w:sz w:val="28"/>
          <w:szCs w:val="28"/>
        </w:rPr>
      </w:pPr>
      <w:r>
        <w:rPr>
          <w:spacing w:val="-9"/>
          <w:sz w:val="28"/>
          <w:szCs w:val="28"/>
        </w:rPr>
        <w:t>室开关柜、电气盘的开孔部位，电缆贯穿隔墙、楼板的孔洞采取阻火封堵。</w:t>
      </w:r>
    </w:p>
    <w:p>
      <w:pPr>
        <w:spacing w:line="218" w:lineRule="auto"/>
        <w:rPr>
          <w:sz w:val="28"/>
          <w:szCs w:val="28"/>
        </w:rPr>
        <w:sectPr>
          <w:pgSz w:w="11910" w:h="16840"/>
          <w:pgMar w:top="1431" w:right="1302" w:bottom="0" w:left="1589" w:header="0" w:footer="0" w:gutter="0"/>
          <w:pgNumType w:start="11"/>
          <w:cols w:space="708"/>
        </w:sectPr>
      </w:pPr>
    </w:p>
    <w:p>
      <w:pPr>
        <w:pStyle w:val="BodyText"/>
        <w:spacing w:before="118" w:line="649" w:lineRule="exact"/>
        <w:jc w:val="right"/>
        <w:rPr>
          <w:sz w:val="28"/>
          <w:szCs w:val="28"/>
        </w:rPr>
      </w:pPr>
      <w:r>
        <w:rPr>
          <w:rFonts w:ascii="Times New Roman" w:eastAsia="Times New Roman" w:hAnsi="Times New Roman" w:cs="Times New Roman"/>
          <w:position w:val="28"/>
          <w:sz w:val="28"/>
          <w:szCs w:val="28"/>
        </w:rPr>
        <w:t>d)</w:t>
      </w:r>
      <w:r>
        <w:rPr>
          <w:rFonts w:ascii="Times New Roman" w:eastAsia="Times New Roman" w:hAnsi="Times New Roman" w:cs="Times New Roman"/>
          <w:spacing w:val="18"/>
          <w:position w:val="28"/>
          <w:sz w:val="28"/>
          <w:szCs w:val="28"/>
        </w:rPr>
        <w:t xml:space="preserve">  </w:t>
      </w:r>
      <w:r>
        <w:rPr>
          <w:position w:val="28"/>
          <w:sz w:val="28"/>
          <w:szCs w:val="28"/>
        </w:rPr>
        <w:t>本区域内所有电缆应用阻燃电缆，且电缆不应有中间接头，电气、</w:t>
      </w:r>
    </w:p>
    <w:p>
      <w:pPr>
        <w:pStyle w:val="BodyText"/>
        <w:spacing w:before="1" w:line="217" w:lineRule="auto"/>
        <w:rPr>
          <w:sz w:val="28"/>
          <w:szCs w:val="28"/>
        </w:rPr>
      </w:pPr>
      <w:r>
        <w:rPr>
          <w:spacing w:val="-2"/>
          <w:sz w:val="28"/>
          <w:szCs w:val="28"/>
        </w:rPr>
        <w:t>仪表设备以及照明灯具和控制开关应符合防爆等级要</w:t>
      </w:r>
      <w:r>
        <w:rPr>
          <w:spacing w:val="-3"/>
          <w:sz w:val="28"/>
          <w:szCs w:val="28"/>
        </w:rPr>
        <w:t>求。</w:t>
      </w:r>
    </w:p>
    <w:p>
      <w:pPr>
        <w:pStyle w:val="BodyText"/>
        <w:spacing w:before="280" w:line="212" w:lineRule="auto"/>
        <w:ind w:left="550"/>
        <w:rPr>
          <w:sz w:val="28"/>
          <w:szCs w:val="28"/>
        </w:rPr>
      </w:pPr>
      <w:r>
        <w:rPr>
          <w:rFonts w:ascii="Times New Roman" w:eastAsia="Times New Roman" w:hAnsi="Times New Roman" w:cs="Times New Roman"/>
          <w:spacing w:val="-3"/>
          <w:sz w:val="28"/>
          <w:szCs w:val="28"/>
        </w:rPr>
        <w:t>e)</w:t>
      </w:r>
      <w:r>
        <w:rPr>
          <w:rFonts w:ascii="Times New Roman" w:eastAsia="Times New Roman" w:hAnsi="Times New Roman" w:cs="Times New Roman"/>
          <w:spacing w:val="40"/>
          <w:w w:val="101"/>
          <w:sz w:val="28"/>
          <w:szCs w:val="28"/>
        </w:rPr>
        <w:t xml:space="preserve">  </w:t>
      </w:r>
      <w:r>
        <w:rPr>
          <w:spacing w:val="-3"/>
          <w:sz w:val="28"/>
          <w:szCs w:val="28"/>
        </w:rPr>
        <w:t>电力电缆不应和液氨管道、热力管道敷设在同一管沟内。</w:t>
      </w:r>
    </w:p>
    <w:p>
      <w:pPr>
        <w:pStyle w:val="BodyText"/>
        <w:spacing w:before="288" w:line="655" w:lineRule="exact"/>
        <w:ind w:left="550"/>
        <w:rPr>
          <w:sz w:val="28"/>
          <w:szCs w:val="28"/>
        </w:rPr>
      </w:pPr>
      <w:r>
        <w:rPr>
          <w:rFonts w:ascii="Times New Roman" w:eastAsia="Times New Roman" w:hAnsi="Times New Roman" w:cs="Times New Roman"/>
          <w:spacing w:val="-1"/>
          <w:position w:val="29"/>
          <w:sz w:val="28"/>
          <w:szCs w:val="28"/>
        </w:rPr>
        <w:t>f)</w:t>
      </w:r>
      <w:r>
        <w:rPr>
          <w:rFonts w:ascii="Times New Roman" w:eastAsia="Times New Roman" w:hAnsi="Times New Roman" w:cs="Times New Roman"/>
          <w:spacing w:val="52"/>
          <w:w w:val="101"/>
          <w:position w:val="29"/>
          <w:sz w:val="28"/>
          <w:szCs w:val="28"/>
        </w:rPr>
        <w:t xml:space="preserve"> </w:t>
      </w:r>
      <w:r>
        <w:rPr>
          <w:spacing w:val="-1"/>
          <w:position w:val="29"/>
          <w:sz w:val="28"/>
          <w:szCs w:val="28"/>
        </w:rPr>
        <w:t>应急照明灯具和灯光疏散指示标志的备用电源的连续供电时间不应</w:t>
      </w:r>
    </w:p>
    <w:p>
      <w:pPr>
        <w:pStyle w:val="BodyText"/>
        <w:spacing w:line="221" w:lineRule="auto"/>
        <w:rPr>
          <w:sz w:val="28"/>
          <w:szCs w:val="28"/>
        </w:rPr>
      </w:pPr>
      <w:r>
        <w:rPr>
          <w:spacing w:val="7"/>
          <w:sz w:val="28"/>
          <w:szCs w:val="28"/>
        </w:rPr>
        <w:t>少于90</w:t>
      </w:r>
      <w:r>
        <w:rPr>
          <w:rFonts w:ascii="Times New Roman" w:eastAsia="Times New Roman" w:hAnsi="Times New Roman" w:cs="Times New Roman"/>
          <w:sz w:val="28"/>
          <w:szCs w:val="28"/>
        </w:rPr>
        <w:t>min</w:t>
      </w:r>
      <w:r>
        <w:rPr>
          <w:spacing w:val="7"/>
          <w:sz w:val="28"/>
          <w:szCs w:val="28"/>
        </w:rPr>
        <w:t>。</w:t>
      </w:r>
    </w:p>
    <w:p>
      <w:pPr>
        <w:pStyle w:val="BodyText"/>
        <w:spacing w:before="259" w:line="661" w:lineRule="exact"/>
        <w:ind w:left="550"/>
        <w:rPr>
          <w:sz w:val="28"/>
          <w:szCs w:val="28"/>
        </w:rPr>
      </w:pPr>
      <w:r>
        <w:rPr>
          <w:rFonts w:ascii="Times New Roman" w:eastAsia="Times New Roman" w:hAnsi="Times New Roman" w:cs="Times New Roman"/>
          <w:spacing w:val="-2"/>
          <w:position w:val="29"/>
          <w:sz w:val="28"/>
          <w:szCs w:val="28"/>
        </w:rPr>
        <w:t xml:space="preserve">g)  </w:t>
      </w:r>
      <w:r>
        <w:rPr>
          <w:spacing w:val="-2"/>
          <w:position w:val="29"/>
          <w:sz w:val="28"/>
          <w:szCs w:val="28"/>
        </w:rPr>
        <w:t>设备、设施的电器开关宜设置在远离防火堤处，不准许将电器开关</w:t>
      </w:r>
    </w:p>
    <w:p>
      <w:pPr>
        <w:pStyle w:val="BodyText"/>
        <w:spacing w:before="1" w:line="219" w:lineRule="auto"/>
        <w:rPr>
          <w:sz w:val="28"/>
          <w:szCs w:val="28"/>
        </w:rPr>
      </w:pPr>
      <w:r>
        <w:rPr>
          <w:spacing w:val="-7"/>
          <w:sz w:val="28"/>
          <w:szCs w:val="28"/>
        </w:rPr>
        <w:t>设在防火堤内。</w:t>
      </w:r>
    </w:p>
    <w:p>
      <w:pPr>
        <w:pStyle w:val="BodyText"/>
        <w:spacing w:before="293" w:line="620" w:lineRule="exact"/>
        <w:ind w:left="554"/>
        <w:rPr>
          <w:sz w:val="28"/>
          <w:szCs w:val="28"/>
        </w:rPr>
      </w:pPr>
      <w:r>
        <w:rPr>
          <w:b/>
          <w:bCs/>
          <w:spacing w:val="-2"/>
          <w:position w:val="26"/>
          <w:sz w:val="28"/>
          <w:szCs w:val="28"/>
        </w:rPr>
        <w:t>5.2.5</w:t>
      </w:r>
      <w:r>
        <w:rPr>
          <w:spacing w:val="-2"/>
          <w:position w:val="26"/>
          <w:sz w:val="28"/>
          <w:szCs w:val="28"/>
        </w:rPr>
        <w:t xml:space="preserve"> </w:t>
      </w:r>
      <w:r>
        <w:rPr>
          <w:b/>
          <w:bCs/>
          <w:spacing w:val="-2"/>
          <w:position w:val="26"/>
          <w:sz w:val="28"/>
          <w:szCs w:val="28"/>
        </w:rPr>
        <w:t>防雷设施液氨存储与装卸场所的防雷接地设施应规范设置</w:t>
      </w:r>
      <w:r>
        <w:rPr>
          <w:b/>
          <w:bCs/>
          <w:spacing w:val="-3"/>
          <w:position w:val="26"/>
          <w:sz w:val="28"/>
          <w:szCs w:val="28"/>
        </w:rPr>
        <w:t>和管</w:t>
      </w:r>
    </w:p>
    <w:p>
      <w:pPr>
        <w:pStyle w:val="BodyText"/>
        <w:spacing w:before="1" w:line="219" w:lineRule="auto"/>
        <w:ind w:left="4"/>
        <w:rPr>
          <w:sz w:val="28"/>
          <w:szCs w:val="28"/>
        </w:rPr>
      </w:pPr>
      <w:r>
        <w:rPr>
          <w:b/>
          <w:bCs/>
          <w:spacing w:val="-8"/>
          <w:sz w:val="28"/>
          <w:szCs w:val="28"/>
        </w:rPr>
        <w:t>理，至少满足以下要求。</w:t>
      </w:r>
    </w:p>
    <w:p>
      <w:pPr>
        <w:pStyle w:val="BodyText"/>
        <w:spacing w:before="260" w:line="653" w:lineRule="exact"/>
        <w:ind w:left="550"/>
        <w:rPr>
          <w:sz w:val="28"/>
          <w:szCs w:val="28"/>
        </w:rPr>
      </w:pPr>
      <w:r>
        <w:rPr>
          <w:rFonts w:ascii="Times New Roman" w:eastAsia="Times New Roman" w:hAnsi="Times New Roman" w:cs="Times New Roman"/>
          <w:spacing w:val="-1"/>
          <w:position w:val="29"/>
          <w:sz w:val="28"/>
          <w:szCs w:val="28"/>
        </w:rPr>
        <w:t xml:space="preserve">a)  </w:t>
      </w:r>
      <w:r>
        <w:rPr>
          <w:spacing w:val="-1"/>
          <w:position w:val="29"/>
          <w:sz w:val="28"/>
          <w:szCs w:val="28"/>
        </w:rPr>
        <w:t>液氨罐体应做防雷接地，卧式罐接地点不</w:t>
      </w:r>
      <w:r>
        <w:rPr>
          <w:spacing w:val="-2"/>
          <w:position w:val="29"/>
          <w:sz w:val="28"/>
          <w:szCs w:val="28"/>
        </w:rPr>
        <w:t>应少于两处，间距不应大</w:t>
      </w:r>
    </w:p>
    <w:p>
      <w:pPr>
        <w:pStyle w:val="BodyText"/>
        <w:spacing w:line="212" w:lineRule="auto"/>
        <w:rPr>
          <w:sz w:val="28"/>
          <w:szCs w:val="28"/>
        </w:rPr>
      </w:pPr>
      <w:r>
        <w:rPr>
          <w:sz w:val="28"/>
          <w:szCs w:val="28"/>
        </w:rPr>
        <w:t>于18</w:t>
      </w:r>
      <w:r>
        <w:rPr>
          <w:rFonts w:ascii="Times New Roman" w:eastAsia="Times New Roman" w:hAnsi="Times New Roman" w:cs="Times New Roman"/>
          <w:sz w:val="28"/>
          <w:szCs w:val="28"/>
        </w:rPr>
        <w:t xml:space="preserve">m;  </w:t>
      </w:r>
      <w:r>
        <w:rPr>
          <w:sz w:val="28"/>
          <w:szCs w:val="28"/>
        </w:rPr>
        <w:t>球罐接地不少于支腿数量的</w:t>
      </w:r>
      <w:r>
        <w:rPr>
          <w:spacing w:val="-1"/>
          <w:sz w:val="28"/>
          <w:szCs w:val="28"/>
        </w:rPr>
        <w:t>一半，并应沿罐体周边均匀布置。</w:t>
      </w:r>
    </w:p>
    <w:p>
      <w:pPr>
        <w:pStyle w:val="BodyText"/>
        <w:spacing w:before="285" w:line="610" w:lineRule="exact"/>
        <w:ind w:left="550"/>
        <w:rPr>
          <w:sz w:val="28"/>
          <w:szCs w:val="28"/>
        </w:rPr>
      </w:pPr>
      <w:r>
        <w:rPr>
          <w:rFonts w:ascii="Times New Roman" w:eastAsia="Times New Roman" w:hAnsi="Times New Roman" w:cs="Times New Roman"/>
          <w:spacing w:val="-2"/>
          <w:position w:val="25"/>
          <w:sz w:val="28"/>
          <w:szCs w:val="28"/>
        </w:rPr>
        <w:t xml:space="preserve">b)  </w:t>
      </w:r>
      <w:r>
        <w:rPr>
          <w:spacing w:val="-2"/>
          <w:position w:val="25"/>
          <w:sz w:val="28"/>
          <w:szCs w:val="28"/>
        </w:rPr>
        <w:t>进入装卸台的输送管道应在进入点接地。</w:t>
      </w:r>
    </w:p>
    <w:p>
      <w:pPr>
        <w:pStyle w:val="BodyText"/>
        <w:spacing w:line="212" w:lineRule="auto"/>
        <w:ind w:left="550"/>
        <w:rPr>
          <w:sz w:val="28"/>
          <w:szCs w:val="28"/>
        </w:rPr>
      </w:pPr>
      <w:r>
        <w:rPr>
          <w:rFonts w:ascii="Times New Roman" w:eastAsia="Times New Roman" w:hAnsi="Times New Roman" w:cs="Times New Roman"/>
          <w:spacing w:val="1"/>
          <w:sz w:val="28"/>
          <w:szCs w:val="28"/>
        </w:rPr>
        <w:t>c)</w:t>
      </w:r>
      <w:r>
        <w:rPr>
          <w:rFonts w:ascii="Times New Roman" w:eastAsia="Times New Roman" w:hAnsi="Times New Roman" w:cs="Times New Roman"/>
          <w:spacing w:val="32"/>
          <w:w w:val="101"/>
          <w:sz w:val="28"/>
          <w:szCs w:val="28"/>
        </w:rPr>
        <w:t xml:space="preserve">  </w:t>
      </w:r>
      <w:r>
        <w:rPr>
          <w:spacing w:val="1"/>
          <w:sz w:val="28"/>
          <w:szCs w:val="28"/>
        </w:rPr>
        <w:t>冲击接地电阻不应大于10Ω。</w:t>
      </w:r>
    </w:p>
    <w:p>
      <w:pPr>
        <w:pStyle w:val="BodyText"/>
        <w:spacing w:before="319" w:line="212" w:lineRule="auto"/>
        <w:jc w:val="right"/>
        <w:rPr>
          <w:sz w:val="28"/>
          <w:szCs w:val="28"/>
        </w:rPr>
      </w:pPr>
      <w:r>
        <w:rPr>
          <w:rFonts w:ascii="Times New Roman" w:eastAsia="Times New Roman" w:hAnsi="Times New Roman" w:cs="Times New Roman"/>
          <w:spacing w:val="5"/>
          <w:sz w:val="28"/>
          <w:szCs w:val="28"/>
        </w:rPr>
        <w:t xml:space="preserve">d)  </w:t>
      </w:r>
      <w:r>
        <w:rPr>
          <w:spacing w:val="5"/>
          <w:sz w:val="28"/>
          <w:szCs w:val="28"/>
        </w:rPr>
        <w:t>防雷装置和设施，应每季度至少检查1次，每半年至少检测一次。</w:t>
      </w:r>
    </w:p>
    <w:p>
      <w:pPr>
        <w:pStyle w:val="BodyText"/>
        <w:spacing w:before="315" w:line="631" w:lineRule="exact"/>
        <w:ind w:left="554"/>
        <w:rPr>
          <w:sz w:val="28"/>
          <w:szCs w:val="28"/>
        </w:rPr>
      </w:pPr>
      <w:r>
        <w:rPr>
          <w:b/>
          <w:bCs/>
          <w:spacing w:val="-2"/>
          <w:position w:val="26"/>
          <w:sz w:val="28"/>
          <w:szCs w:val="28"/>
        </w:rPr>
        <w:t>5.2.6</w:t>
      </w:r>
      <w:r>
        <w:rPr>
          <w:spacing w:val="-2"/>
          <w:position w:val="26"/>
          <w:sz w:val="28"/>
          <w:szCs w:val="28"/>
        </w:rPr>
        <w:t xml:space="preserve"> </w:t>
      </w:r>
      <w:r>
        <w:rPr>
          <w:b/>
          <w:bCs/>
          <w:spacing w:val="-2"/>
          <w:position w:val="26"/>
          <w:sz w:val="28"/>
          <w:szCs w:val="28"/>
        </w:rPr>
        <w:t>液氨存储与装卸场所的防静电接地设施应规范设置和管</w:t>
      </w:r>
      <w:r>
        <w:rPr>
          <w:b/>
          <w:bCs/>
          <w:spacing w:val="-3"/>
          <w:position w:val="26"/>
          <w:sz w:val="28"/>
          <w:szCs w:val="28"/>
        </w:rPr>
        <w:t>理，至</w:t>
      </w:r>
    </w:p>
    <w:p>
      <w:pPr>
        <w:pStyle w:val="BodyText"/>
        <w:spacing w:line="219" w:lineRule="auto"/>
        <w:ind w:left="4"/>
        <w:rPr>
          <w:sz w:val="28"/>
          <w:szCs w:val="28"/>
        </w:rPr>
      </w:pPr>
      <w:r>
        <w:rPr>
          <w:b/>
          <w:bCs/>
          <w:spacing w:val="-9"/>
          <w:sz w:val="28"/>
          <w:szCs w:val="28"/>
        </w:rPr>
        <w:t>少满足以下要求。</w:t>
      </w:r>
    </w:p>
    <w:p>
      <w:pPr>
        <w:pStyle w:val="BodyText"/>
        <w:spacing w:before="261" w:line="425" w:lineRule="auto"/>
        <w:ind w:left="550" w:right="123"/>
        <w:rPr>
          <w:sz w:val="28"/>
          <w:szCs w:val="28"/>
        </w:rPr>
      </w:pPr>
      <w:r>
        <w:rPr>
          <w:rFonts w:ascii="Times New Roman" w:eastAsia="Times New Roman" w:hAnsi="Times New Roman" w:cs="Times New Roman"/>
          <w:spacing w:val="-2"/>
          <w:sz w:val="28"/>
          <w:szCs w:val="28"/>
        </w:rPr>
        <w:t>a)</w:t>
      </w:r>
      <w:r>
        <w:rPr>
          <w:rFonts w:ascii="Times New Roman" w:eastAsia="Times New Roman" w:hAnsi="Times New Roman" w:cs="Times New Roman"/>
          <w:spacing w:val="54"/>
          <w:w w:val="101"/>
          <w:sz w:val="28"/>
          <w:szCs w:val="28"/>
        </w:rPr>
        <w:t xml:space="preserve"> </w:t>
      </w:r>
      <w:r>
        <w:rPr>
          <w:spacing w:val="-2"/>
          <w:sz w:val="28"/>
          <w:szCs w:val="28"/>
        </w:rPr>
        <w:t>防静电管理应满足GB12158、HG/T20675</w:t>
      </w:r>
      <w:r>
        <w:rPr>
          <w:spacing w:val="-28"/>
          <w:sz w:val="28"/>
          <w:szCs w:val="28"/>
        </w:rPr>
        <w:t xml:space="preserve"> </w:t>
      </w:r>
      <w:r>
        <w:rPr>
          <w:spacing w:val="-2"/>
          <w:sz w:val="28"/>
          <w:szCs w:val="28"/>
        </w:rPr>
        <w:t>和</w:t>
      </w:r>
      <w:r>
        <w:rPr>
          <w:spacing w:val="-57"/>
          <w:sz w:val="28"/>
          <w:szCs w:val="28"/>
        </w:rPr>
        <w:t xml:space="preserve"> </w:t>
      </w:r>
      <w:r>
        <w:rPr>
          <w:spacing w:val="-2"/>
          <w:sz w:val="28"/>
          <w:szCs w:val="28"/>
        </w:rPr>
        <w:t>SH/T3097</w:t>
      </w:r>
      <w:r>
        <w:rPr>
          <w:spacing w:val="-28"/>
          <w:sz w:val="28"/>
          <w:szCs w:val="28"/>
        </w:rPr>
        <w:t xml:space="preserve"> </w:t>
      </w:r>
      <w:r>
        <w:rPr>
          <w:spacing w:val="-2"/>
          <w:sz w:val="28"/>
          <w:szCs w:val="28"/>
        </w:rPr>
        <w:t>等相关要求。</w:t>
      </w:r>
      <w:r>
        <w:rPr>
          <w:sz w:val="28"/>
          <w:szCs w:val="28"/>
        </w:rPr>
        <w:t xml:space="preserve"> </w:t>
      </w:r>
      <w:r>
        <w:rPr>
          <w:spacing w:val="-2"/>
          <w:sz w:val="28"/>
          <w:szCs w:val="28"/>
        </w:rPr>
        <w:t>b) 液氨汽车罐车、铁路罐车和装卸栈台，应设专用静电接地装置。</w:t>
      </w:r>
    </w:p>
    <w:p>
      <w:pPr>
        <w:pStyle w:val="BodyText"/>
        <w:spacing w:before="1" w:line="218" w:lineRule="auto"/>
        <w:ind w:left="550"/>
        <w:rPr>
          <w:sz w:val="28"/>
          <w:szCs w:val="28"/>
        </w:rPr>
      </w:pPr>
      <w:r>
        <w:rPr>
          <w:spacing w:val="-2"/>
          <w:sz w:val="28"/>
          <w:szCs w:val="28"/>
        </w:rPr>
        <w:t>c) 液氨装置、设备和管道的静电接地点和跨接点应牢固</w:t>
      </w:r>
      <w:r>
        <w:rPr>
          <w:spacing w:val="-3"/>
          <w:sz w:val="28"/>
          <w:szCs w:val="28"/>
        </w:rPr>
        <w:t>可靠。</w:t>
      </w:r>
    </w:p>
    <w:p>
      <w:pPr>
        <w:pStyle w:val="BodyText"/>
        <w:spacing w:before="258" w:line="651" w:lineRule="exact"/>
        <w:ind w:left="550"/>
        <w:rPr>
          <w:sz w:val="28"/>
          <w:szCs w:val="28"/>
        </w:rPr>
      </w:pPr>
      <w:r>
        <w:rPr>
          <w:rFonts w:ascii="Times New Roman" w:eastAsia="Times New Roman" w:hAnsi="Times New Roman" w:cs="Times New Roman"/>
          <w:spacing w:val="-3"/>
          <w:position w:val="28"/>
          <w:sz w:val="28"/>
          <w:szCs w:val="28"/>
        </w:rPr>
        <w:t xml:space="preserve">d)  </w:t>
      </w:r>
      <w:r>
        <w:rPr>
          <w:spacing w:val="-3"/>
          <w:position w:val="28"/>
          <w:sz w:val="28"/>
          <w:szCs w:val="28"/>
        </w:rPr>
        <w:t>泵房的门外、罐区入口处、储罐的上罐扶梯入口处、操作平台的扶</w:t>
      </w:r>
    </w:p>
    <w:p>
      <w:pPr>
        <w:pStyle w:val="BodyText"/>
        <w:spacing w:before="1" w:line="218" w:lineRule="auto"/>
        <w:rPr>
          <w:sz w:val="28"/>
          <w:szCs w:val="28"/>
        </w:rPr>
      </w:pPr>
      <w:r>
        <w:rPr>
          <w:spacing w:val="-3"/>
          <w:sz w:val="28"/>
          <w:szCs w:val="28"/>
        </w:rPr>
        <w:t>梯入口处等部位应设消除人体静电装置。</w:t>
      </w:r>
    </w:p>
    <w:p>
      <w:pPr>
        <w:pStyle w:val="BodyText"/>
        <w:spacing w:before="278" w:line="212" w:lineRule="auto"/>
        <w:ind w:left="550"/>
        <w:rPr>
          <w:sz w:val="28"/>
          <w:szCs w:val="28"/>
        </w:rPr>
      </w:pPr>
      <w:r>
        <w:rPr>
          <w:rFonts w:ascii="Times New Roman" w:eastAsia="Times New Roman" w:hAnsi="Times New Roman" w:cs="Times New Roman"/>
          <w:spacing w:val="-2"/>
          <w:sz w:val="28"/>
          <w:szCs w:val="28"/>
        </w:rPr>
        <w:t>e)</w:t>
      </w:r>
      <w:r>
        <w:rPr>
          <w:rFonts w:ascii="Times New Roman" w:eastAsia="Times New Roman" w:hAnsi="Times New Roman" w:cs="Times New Roman"/>
          <w:spacing w:val="26"/>
          <w:w w:val="101"/>
          <w:sz w:val="28"/>
          <w:szCs w:val="28"/>
        </w:rPr>
        <w:t xml:space="preserve">  </w:t>
      </w:r>
      <w:r>
        <w:rPr>
          <w:spacing w:val="-2"/>
          <w:sz w:val="28"/>
          <w:szCs w:val="28"/>
        </w:rPr>
        <w:t>车间应每月至少检查一次，企业每年至少抽查两次。</w:t>
      </w:r>
    </w:p>
    <w:p>
      <w:pPr>
        <w:spacing w:line="212" w:lineRule="auto"/>
        <w:rPr>
          <w:sz w:val="28"/>
          <w:szCs w:val="28"/>
        </w:rPr>
      </w:pPr>
      <w:r>
        <w:rPr>
          <w:sz w:val="28"/>
          <w:szCs w:val="28"/>
        </w:rPr>
        <w:br/>
      </w:r>
      <w:r>
        <w:rPr>
          <w:sz w:val="28"/>
          <w:szCs w:val="28"/>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 w:history="1">
        <w:r>
          <w:rPr>
            <w:rFonts w:ascii="SimSun" w:eastAsia="SimSun" w:hAnsi="SimSun" w:cs="SimSun"/>
            <w:b/>
            <w:bCs/>
            <w:snapToGrid/>
            <w:color w:val="0000EE"/>
            <w:kern w:val="0"/>
            <w:sz w:val="30"/>
            <w:szCs w:val="30"/>
            <w:u w:val="single" w:color="0000EE"/>
          </w:rPr>
          <w:t>https://d.book118.com/028020030045006044</w:t>
        </w:r>
      </w:hyperlink>
    </w:p>
    <w:p>
      <w:pPr>
        <w:spacing w:line="212" w:lineRule="auto"/>
        <w:rPr>
          <w:sz w:val="28"/>
          <w:szCs w:val="28"/>
        </w:rPr>
      </w:pPr>
    </w:p>
    <w:sectPr>
      <w:pgSz w:w="11910" w:h="16840"/>
      <w:pgMar w:top="1431" w:right="1239" w:bottom="0" w:left="1589" w:header="0" w:footer="0" w:gutter="0"/>
      <w:pgNumType w:start="12"/>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CD2650E"/>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1"/>
      <w:szCs w:val="21"/>
      <w:lang w:val="en-US" w:eastAsia="en-US" w:bidi="ar-SA"/>
    </w:rPr>
  </w:style>
  <w:style w:type="paragraph" w:styleId="BodyText">
    <w:name w:val="Body Text"/>
    <w:basedOn w:val="Normal"/>
    <w:semiHidden/>
    <w:qFormat/>
    <w:rPr>
      <w:rFonts w:ascii="宋体" w:eastAsia="宋体" w:hAnsi="宋体" w:cs="宋体"/>
      <w:sz w:val="27"/>
      <w:szCs w:val="27"/>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6.1.1.5" TargetMode="External" /><Relationship Id="rId5" Type="http://schemas.openxmlformats.org/officeDocument/2006/relationships/hyperlink" Target="https://d.book118.com/028020030045006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2024-03-10T21:21:00Z</dcterms:created>
  <dcterms:modified xsi:type="dcterms:W3CDTF">2024-03-10T13:21:27Z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2024-03-10T13:21:25Z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65edb3d054cdff001fc15669wl</vt:lpwstr>
  </property>
</Properties>
</file>