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2018-2023年云南锡业职业技术学院高职单招（数学／语文／英语）历年常考试题库含答案解析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生活在南北宋交替之际的诗人是（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A.“盛衰之理，虽日天命，岂非人事哉”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B.“满招损，谦得益”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C.“忧劳可以兴国，逸豫可以亡身”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D.“祸患常积于忽微，而智勇多困于所溺”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苏轼《前赤壁赋》中“哀吾生之须臾，羡长江之无穷”所运用的手法有（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C.对偶、对比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《箱子岩》一文叙述的是（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A.军旅生活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B.边地湘西生活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C.都市生活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D.市井生活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《论学问》一文指出治学的目的是（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A.能权衡轻重，审察事理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B.娱乐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D.装饰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贯穿《谏逐客书》一文始终的论证方法是（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《行路难》中运用了典故的诗句是（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A.金樽清酒斗十千，玉盘珍羞直万钱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D.欲渡黄河冰塞川，将登太行雪满山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中唐新乐府运动的倡导者是（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《郑伯克段于鄢》是一篇典型的（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A.写人文章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C.议论文章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D.抒情文章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《左传》是一部（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A.编年体史书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B.国别体史书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C.纪传体史书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下列作家属于明代“后七子”的是（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B.侯方域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被人称为“七绝圣手”的诗人是（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A.王之涣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提出新格律诗“三美”主张的诗人是（）。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A.郭沫若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D.艾青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从内容上说，《氓》是一首（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A.战争诗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B.劳动诗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C.祭祀诗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https://d.book118.com/028020047135006040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28020047135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