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9"/>
        </w:rPr>
      </w:pPr>
    </w:p>
    <w:p>
      <w:pPr>
        <w:spacing w:before="0" w:line="484" w:lineRule="exact"/>
        <w:ind w:left="247" w:right="0" w:firstLine="0"/>
        <w:jc w:val="left"/>
        <w:rPr>
          <w:rFonts w:ascii="Microsoft JhengHei" w:eastAsia="Microsoft JhengHei" w:hint="eastAsia"/>
          <w:b/>
          <w:sz w:val="28"/>
        </w:rPr>
      </w:pPr>
      <w:r>
        <w:rPr>
          <w:rFonts w:ascii="Microsoft JhengHei" w:eastAsia="Microsoft JhengHei" w:hint="eastAsia"/>
          <w:b/>
          <w:color w:val="365F91"/>
          <w:sz w:val="28"/>
        </w:rPr>
        <w:t>内容目录</w:t>
      </w:r>
    </w:p>
    <w:sdt>
      <w:sdtPr>
        <w:id w:val="349898712"/>
        <w:docPartObj>
          <w:docPartGallery w:val="Table of Contents"/>
          <w:docPartUnique/>
        </w:docPartObj>
      </w:sdtPr>
      <w:sdtContent>
        <w:p>
          <w:pPr>
            <w:pStyle w:val="TOC4"/>
            <w:tabs>
              <w:tab w:val="right" w:leader="dot" w:pos="10785"/>
            </w:tabs>
            <w:spacing w:before="94"/>
            <w:rPr>
              <w:rFonts w:ascii="Tahoma" w:eastAsia="Tahoma"/>
            </w:rPr>
          </w:pPr>
          <w:hyperlink w:anchor="_TOC_250017" w:history="1">
            <w:r>
              <w:t>一、市场表现回顾：全年电网设备重点在出海及特高压</w:t>
              <w:tab/>
            </w:r>
            <w:r>
              <w:rPr>
                <w:rFonts w:ascii="Tahoma" w:eastAsia="Tahoma"/>
              </w:rPr>
              <w:t>5</w:t>
            </w:r>
          </w:hyperlink>
        </w:p>
        <w:p>
          <w:pPr>
            <w:pStyle w:val="TOC6"/>
            <w:numPr>
              <w:ilvl w:val="1"/>
              <w:numId w:val="14"/>
            </w:numPr>
            <w:tabs>
              <w:tab w:val="left" w:pos="971"/>
              <w:tab w:val="right" w:leader="dot" w:pos="10785"/>
            </w:tabs>
            <w:spacing w:before="3" w:after="0" w:line="240" w:lineRule="auto"/>
            <w:ind w:left="970" w:right="0" w:hanging="323"/>
            <w:jc w:val="left"/>
            <w:rPr>
              <w:rFonts w:ascii="Tahoma" w:eastAsia="Tahoma"/>
            </w:rPr>
          </w:pPr>
          <w:hyperlink w:anchor="_TOC_250016" w:history="1">
            <w:r>
              <w:t>板块涨跌：</w:t>
            </w:r>
            <w:r>
              <w:rPr>
                <w:rFonts w:ascii="Tahoma" w:eastAsia="Tahoma"/>
              </w:rPr>
              <w:t>2023</w:t>
            </w:r>
            <w:r>
              <w:rPr>
                <w:rFonts w:ascii="Tahoma" w:eastAsia="Tahoma"/>
                <w:spacing w:val="-19"/>
              </w:rPr>
              <w:t xml:space="preserve"> </w:t>
            </w:r>
            <w:r>
              <w:t>年电网设备板块累计上涨</w:t>
            </w:r>
            <w:r>
              <w:rPr>
                <w:spacing w:val="-49"/>
              </w:rPr>
              <w:t xml:space="preserve"> </w:t>
            </w:r>
            <w:r>
              <w:rPr>
                <w:rFonts w:ascii="Tahoma" w:eastAsia="Tahoma"/>
              </w:rPr>
              <w:t>0.71%</w:t>
            </w:r>
            <w:r>
              <w:t>，出口配用电表现较优</w:t>
              <w:tab/>
            </w:r>
            <w:r>
              <w:rPr>
                <w:rFonts w:ascii="Tahoma" w:eastAsia="Tahoma"/>
              </w:rPr>
              <w:t>5</w:t>
            </w:r>
          </w:hyperlink>
        </w:p>
        <w:p>
          <w:pPr>
            <w:pStyle w:val="TOC6"/>
            <w:numPr>
              <w:ilvl w:val="1"/>
              <w:numId w:val="14"/>
            </w:numPr>
            <w:tabs>
              <w:tab w:val="left" w:pos="971"/>
              <w:tab w:val="right" w:leader="dot" w:pos="10785"/>
            </w:tabs>
            <w:spacing w:before="3" w:after="0" w:line="240" w:lineRule="auto"/>
            <w:ind w:left="970" w:right="0" w:hanging="323"/>
            <w:jc w:val="left"/>
            <w:rPr>
              <w:rFonts w:ascii="Tahoma" w:eastAsia="Tahoma"/>
            </w:rPr>
          </w:pPr>
          <w:hyperlink w:anchor="_TOC_250015" w:history="1">
            <w:r>
              <w:t>配用电出海：变压器海关出口景气较高，持续看好</w:t>
            </w:r>
            <w:r>
              <w:rPr>
                <w:spacing w:val="-47"/>
              </w:rPr>
              <w:t xml:space="preserve"> </w:t>
            </w:r>
            <w:r>
              <w:rPr>
                <w:rFonts w:ascii="Tahoma" w:eastAsia="Tahoma"/>
              </w:rPr>
              <w:t>2024</w:t>
            </w:r>
            <w:r>
              <w:rPr>
                <w:rFonts w:ascii="Tahoma" w:eastAsia="Tahoma"/>
                <w:spacing w:val="-15"/>
              </w:rPr>
              <w:t xml:space="preserve"> </w:t>
            </w:r>
            <w:r>
              <w:t>年发展</w:t>
              <w:tab/>
            </w:r>
            <w:r>
              <w:rPr>
                <w:rFonts w:ascii="Tahoma" w:eastAsia="Tahoma"/>
              </w:rPr>
              <w:t>6</w:t>
            </w:r>
          </w:hyperlink>
        </w:p>
        <w:p>
          <w:pPr>
            <w:pStyle w:val="TOC7"/>
            <w:numPr>
              <w:ilvl w:val="2"/>
              <w:numId w:val="14"/>
            </w:numPr>
            <w:tabs>
              <w:tab w:val="left" w:pos="1611"/>
            </w:tabs>
            <w:spacing w:before="2" w:after="0" w:line="240" w:lineRule="auto"/>
            <w:ind w:left="1610" w:right="0" w:hanging="565"/>
            <w:jc w:val="left"/>
          </w:pPr>
          <w:r>
            <w:rPr>
              <w:spacing w:val="12"/>
            </w:rPr>
            <w:t xml:space="preserve">智能电表： 电表海关出口景气较高， </w:t>
          </w:r>
          <w:r>
            <w:rPr>
              <w:rFonts w:ascii="Tahoma" w:eastAsia="Tahoma"/>
            </w:rPr>
            <w:t>2023</w:t>
          </w:r>
          <w:r>
            <w:rPr>
              <w:rFonts w:ascii="Tahoma" w:eastAsia="Tahoma"/>
              <w:spacing w:val="50"/>
            </w:rPr>
            <w:t xml:space="preserve"> </w:t>
          </w:r>
          <w:r>
            <w:rPr>
              <w:spacing w:val="11"/>
            </w:rPr>
            <w:t xml:space="preserve">年 </w:t>
          </w:r>
          <w:r>
            <w:rPr>
              <w:rFonts w:ascii="Tahoma" w:eastAsia="Tahoma"/>
            </w:rPr>
            <w:t>1-11</w:t>
          </w:r>
          <w:r>
            <w:rPr>
              <w:rFonts w:ascii="Tahoma" w:eastAsia="Tahoma"/>
              <w:spacing w:val="50"/>
            </w:rPr>
            <w:t xml:space="preserve"> </w:t>
          </w:r>
          <w:r>
            <w:rPr>
              <w:spacing w:val="26"/>
            </w:rPr>
            <w:t>月东南亚、非洲、欧洲电表出口数量同增</w:t>
          </w:r>
        </w:p>
        <w:p>
          <w:pPr>
            <w:pStyle w:val="TOC1"/>
            <w:tabs>
              <w:tab w:val="left" w:leader="dot" w:pos="9630"/>
            </w:tabs>
          </w:pPr>
          <w:r>
            <w:t>31%/63%/13%</w:t>
            <w:tab/>
          </w:r>
          <w:r>
            <w:rPr>
              <w:spacing w:val="-1"/>
            </w:rPr>
            <w:t>6</w:t>
          </w:r>
        </w:p>
        <w:p>
          <w:pPr>
            <w:pStyle w:val="TOC7"/>
            <w:numPr>
              <w:ilvl w:val="2"/>
              <w:numId w:val="14"/>
            </w:numPr>
            <w:tabs>
              <w:tab w:val="left" w:pos="1539"/>
              <w:tab w:val="right" w:leader="dot" w:pos="10785"/>
            </w:tabs>
            <w:spacing w:before="1" w:after="0" w:line="240" w:lineRule="auto"/>
            <w:ind w:left="1538" w:right="0" w:hanging="493"/>
            <w:jc w:val="left"/>
            <w:rPr>
              <w:rFonts w:ascii="Tahoma" w:eastAsia="Tahoma"/>
            </w:rPr>
          </w:pPr>
          <w:hyperlink w:anchor="_TOC_250014" w:history="1">
            <w:r>
              <w:t>变压器：变压器海关出口景气较高，</w:t>
            </w:r>
            <w:r>
              <w:rPr>
                <w:rFonts w:ascii="Tahoma" w:eastAsia="Tahoma"/>
              </w:rPr>
              <w:t>2023</w:t>
            </w:r>
            <w:r>
              <w:rPr>
                <w:rFonts w:ascii="Tahoma" w:eastAsia="Tahoma"/>
                <w:spacing w:val="-19"/>
              </w:rPr>
              <w:t xml:space="preserve"> </w:t>
            </w:r>
            <w:r>
              <w:t>年</w:t>
            </w:r>
            <w:r>
              <w:rPr>
                <w:spacing w:val="-48"/>
              </w:rPr>
              <w:t xml:space="preserve"> </w:t>
            </w:r>
            <w:r>
              <w:rPr>
                <w:rFonts w:ascii="Tahoma" w:eastAsia="Tahoma"/>
              </w:rPr>
              <w:t>1-11</w:t>
            </w:r>
            <w:r>
              <w:rPr>
                <w:rFonts w:ascii="Tahoma" w:eastAsia="Tahoma"/>
                <w:spacing w:val="-18"/>
              </w:rPr>
              <w:t xml:space="preserve"> </w:t>
            </w:r>
            <w:r>
              <w:t>月欧美地区变压器需求高增</w:t>
              <w:tab/>
            </w:r>
            <w:r>
              <w:rPr>
                <w:rFonts w:ascii="Tahoma" w:eastAsia="Tahoma"/>
              </w:rPr>
              <w:t>7</w:t>
            </w:r>
          </w:hyperlink>
        </w:p>
        <w:p>
          <w:pPr>
            <w:pStyle w:val="TOC6"/>
            <w:numPr>
              <w:ilvl w:val="1"/>
              <w:numId w:val="14"/>
            </w:numPr>
            <w:tabs>
              <w:tab w:val="left" w:pos="971"/>
              <w:tab w:val="right" w:leader="dot" w:pos="10785"/>
            </w:tabs>
            <w:spacing w:before="3" w:after="0" w:line="240" w:lineRule="auto"/>
            <w:ind w:left="970" w:right="0" w:hanging="323"/>
            <w:jc w:val="left"/>
            <w:rPr>
              <w:rFonts w:ascii="Tahoma" w:eastAsia="Tahoma"/>
            </w:rPr>
          </w:pPr>
          <w:hyperlink w:anchor="_TOC_250013" w:history="1">
            <w:r>
              <w:t>特高压产业链：</w:t>
            </w:r>
            <w:r>
              <w:rPr>
                <w:rFonts w:ascii="Tahoma" w:eastAsia="Tahoma"/>
              </w:rPr>
              <w:t>2023</w:t>
            </w:r>
            <w:r>
              <w:rPr>
                <w:rFonts w:ascii="Tahoma" w:eastAsia="Tahoma"/>
                <w:spacing w:val="-19"/>
              </w:rPr>
              <w:t xml:space="preserve"> </w:t>
            </w:r>
            <w:r>
              <w:t>项目核准高峰，柔直技术有望从</w:t>
            </w:r>
            <w:r>
              <w:rPr>
                <w:spacing w:val="-48"/>
              </w:rPr>
              <w:t xml:space="preserve"> </w:t>
            </w:r>
            <w:r>
              <w:rPr>
                <w:rFonts w:ascii="Tahoma" w:eastAsia="Tahoma"/>
              </w:rPr>
              <w:t>0</w:t>
            </w:r>
            <w:r>
              <w:rPr>
                <w:rFonts w:ascii="Tahoma" w:eastAsia="Tahoma"/>
                <w:spacing w:val="-18"/>
              </w:rPr>
              <w:t xml:space="preserve"> </w:t>
            </w:r>
            <w:r>
              <w:t>至</w:t>
            </w:r>
            <w:r>
              <w:rPr>
                <w:spacing w:val="-50"/>
              </w:rPr>
              <w:t xml:space="preserve"> </w:t>
            </w:r>
            <w:r>
              <w:rPr>
                <w:rFonts w:ascii="Tahoma" w:eastAsia="Tahoma"/>
              </w:rPr>
              <w:t>1</w:t>
            </w:r>
            <w:r>
              <w:rPr>
                <w:rFonts w:ascii="Tahoma" w:eastAsia="Tahoma"/>
                <w:spacing w:val="-18"/>
              </w:rPr>
              <w:t xml:space="preserve"> </w:t>
            </w:r>
            <w:r>
              <w:t>爆发增长</w:t>
              <w:tab/>
            </w:r>
            <w:r>
              <w:rPr>
                <w:rFonts w:ascii="Tahoma" w:eastAsia="Tahoma"/>
              </w:rPr>
              <w:t>7</w:t>
            </w:r>
          </w:hyperlink>
        </w:p>
        <w:p>
          <w:pPr>
            <w:pStyle w:val="TOC4"/>
            <w:tabs>
              <w:tab w:val="right" w:leader="dot" w:pos="10782"/>
            </w:tabs>
            <w:rPr>
              <w:rFonts w:ascii="Tahoma" w:eastAsia="Tahoma"/>
            </w:rPr>
          </w:pPr>
          <w:hyperlink w:anchor="_TOC_250012" w:history="1">
            <w:r>
              <w:t>二、配用电出海：优选具备海外渠道优势的企业</w:t>
              <w:tab/>
            </w:r>
            <w:r>
              <w:rPr>
                <w:rFonts w:ascii="Tahoma" w:eastAsia="Tahoma"/>
              </w:rPr>
              <w:t>10</w:t>
            </w:r>
          </w:hyperlink>
        </w:p>
        <w:p>
          <w:pPr>
            <w:pStyle w:val="TOC6"/>
            <w:numPr>
              <w:ilvl w:val="1"/>
              <w:numId w:val="13"/>
            </w:numPr>
            <w:tabs>
              <w:tab w:val="left" w:pos="1016"/>
            </w:tabs>
            <w:spacing w:before="3" w:after="0" w:line="240" w:lineRule="auto"/>
            <w:ind w:left="1015" w:right="0" w:hanging="368"/>
            <w:jc w:val="left"/>
          </w:pPr>
          <w:r>
            <w:rPr>
              <w:spacing w:val="3"/>
            </w:rPr>
            <w:t xml:space="preserve">电表行业空间：欧洲电网升级草案有望进一步催化电表出口需求，预计 </w:t>
          </w:r>
          <w:r>
            <w:rPr>
              <w:rFonts w:ascii="Tahoma" w:eastAsia="Tahoma"/>
            </w:rPr>
            <w:t>2023-25</w:t>
          </w:r>
          <w:r>
            <w:rPr>
              <w:rFonts w:ascii="Tahoma" w:eastAsia="Tahoma"/>
              <w:spacing w:val="25"/>
            </w:rPr>
            <w:t xml:space="preserve"> </w:t>
          </w:r>
          <w:r>
            <w:rPr>
              <w:spacing w:val="2"/>
            </w:rPr>
            <w:t xml:space="preserve">年亚非拉电表出口 </w:t>
          </w:r>
          <w:r>
            <w:rPr>
              <w:rFonts w:ascii="Tahoma" w:eastAsia="Tahoma"/>
            </w:rPr>
            <w:t>CAGR</w:t>
          </w:r>
          <w:r>
            <w:rPr>
              <w:rFonts w:ascii="Tahoma" w:eastAsia="Tahoma"/>
              <w:spacing w:val="27"/>
            </w:rPr>
            <w:t xml:space="preserve"> </w:t>
          </w:r>
          <w:r>
            <w:t>达</w:t>
          </w:r>
        </w:p>
        <w:p>
          <w:pPr>
            <w:pStyle w:val="TOC1"/>
            <w:tabs>
              <w:tab w:val="left" w:leader="dot" w:pos="9918"/>
            </w:tabs>
            <w:ind w:right="581"/>
          </w:pPr>
          <w:r>
            <w:t>30%+</w:t>
            <w:tab/>
          </w:r>
          <w:r>
            <w:rPr>
              <w:spacing w:val="-2"/>
            </w:rPr>
            <w:t>10</w:t>
          </w:r>
        </w:p>
        <w:p>
          <w:pPr>
            <w:pStyle w:val="TOC6"/>
            <w:numPr>
              <w:ilvl w:val="1"/>
              <w:numId w:val="13"/>
            </w:numPr>
            <w:tabs>
              <w:tab w:val="left" w:pos="971"/>
              <w:tab w:val="right" w:leader="dot" w:pos="10782"/>
            </w:tabs>
            <w:spacing w:before="1" w:after="0" w:line="240" w:lineRule="auto"/>
            <w:ind w:left="970" w:right="0" w:hanging="323"/>
            <w:jc w:val="left"/>
            <w:rPr>
              <w:rFonts w:ascii="Tahoma" w:eastAsia="Tahoma"/>
            </w:rPr>
          </w:pPr>
          <w:hyperlink w:anchor="_TOC_250011" w:history="1">
            <w:r>
              <w:t>电表投资建议：优选具备海外渠道优势、低估值</w:t>
            </w:r>
            <w:r>
              <w:rPr>
                <w:rFonts w:ascii="Tahoma" w:eastAsia="Tahoma"/>
              </w:rPr>
              <w:t>+</w:t>
            </w:r>
            <w:r>
              <w:t>高分红电表出口龙头</w:t>
              <w:tab/>
            </w:r>
            <w:r>
              <w:rPr>
                <w:rFonts w:ascii="Tahoma" w:eastAsia="Tahoma"/>
              </w:rPr>
              <w:t>12</w:t>
            </w:r>
          </w:hyperlink>
        </w:p>
        <w:p>
          <w:pPr>
            <w:pStyle w:val="TOC7"/>
            <w:numPr>
              <w:ilvl w:val="2"/>
              <w:numId w:val="13"/>
            </w:numPr>
            <w:tabs>
              <w:tab w:val="left" w:pos="1539"/>
              <w:tab w:val="right" w:leader="dot" w:pos="10782"/>
            </w:tabs>
            <w:spacing w:before="3" w:after="0" w:line="240" w:lineRule="auto"/>
            <w:ind w:left="1538" w:right="0" w:hanging="493"/>
            <w:jc w:val="left"/>
            <w:rPr>
              <w:rFonts w:ascii="Tahoma" w:eastAsia="Tahoma"/>
            </w:rPr>
          </w:pPr>
          <w:hyperlink w:anchor="_TOC_250010" w:history="1">
            <w:r>
              <w:t>海兴电力：电表龙头，海外渠道和研发实力构筑核心优势</w:t>
              <w:tab/>
            </w:r>
            <w:r>
              <w:rPr>
                <w:rFonts w:ascii="Tahoma" w:eastAsia="Tahoma"/>
              </w:rPr>
              <w:t>14</w:t>
            </w:r>
          </w:hyperlink>
        </w:p>
        <w:p>
          <w:pPr>
            <w:pStyle w:val="TOC7"/>
            <w:numPr>
              <w:ilvl w:val="2"/>
              <w:numId w:val="13"/>
            </w:numPr>
            <w:tabs>
              <w:tab w:val="left" w:pos="1539"/>
              <w:tab w:val="right" w:leader="dot" w:pos="10782"/>
            </w:tabs>
            <w:spacing w:before="3" w:after="0" w:line="240" w:lineRule="auto"/>
            <w:ind w:left="1538" w:right="0" w:hanging="493"/>
            <w:jc w:val="left"/>
            <w:rPr>
              <w:rFonts w:ascii="Tahoma" w:eastAsia="Tahoma"/>
            </w:rPr>
          </w:pPr>
          <w:hyperlink w:anchor="_TOC_250009" w:history="1">
            <w:r>
              <w:t>三星医疗：电表业务出色，海外订单高增</w:t>
              <w:tab/>
            </w:r>
            <w:r>
              <w:rPr>
                <w:rFonts w:ascii="Tahoma" w:eastAsia="Tahoma"/>
              </w:rPr>
              <w:t>15</w:t>
            </w:r>
          </w:hyperlink>
        </w:p>
        <w:p>
          <w:pPr>
            <w:pStyle w:val="TOC6"/>
            <w:numPr>
              <w:ilvl w:val="1"/>
              <w:numId w:val="13"/>
            </w:numPr>
            <w:tabs>
              <w:tab w:val="left" w:pos="971"/>
              <w:tab w:val="right" w:leader="dot" w:pos="10782"/>
            </w:tabs>
            <w:spacing w:before="3" w:after="0" w:line="240" w:lineRule="auto"/>
            <w:ind w:left="970" w:right="0" w:hanging="323"/>
            <w:jc w:val="left"/>
            <w:rPr>
              <w:rFonts w:ascii="Tahoma" w:eastAsia="Tahoma"/>
            </w:rPr>
          </w:pPr>
          <w:hyperlink w:anchor="_TOC_250008" w:history="1">
            <w:r>
              <w:t>变压器海外供需：海外配电设备老旧，新能源占比提升带动海外配电需求高增，但海外产能扩张乏力</w:t>
              <w:tab/>
            </w:r>
            <w:r>
              <w:rPr>
                <w:rFonts w:ascii="Tahoma" w:eastAsia="Tahoma"/>
              </w:rPr>
              <w:t>16</w:t>
            </w:r>
          </w:hyperlink>
        </w:p>
        <w:p>
          <w:pPr>
            <w:pStyle w:val="TOC6"/>
            <w:numPr>
              <w:ilvl w:val="1"/>
              <w:numId w:val="13"/>
            </w:numPr>
            <w:tabs>
              <w:tab w:val="left" w:pos="971"/>
              <w:tab w:val="right" w:leader="dot" w:pos="10782"/>
            </w:tabs>
            <w:spacing w:before="3" w:after="0" w:line="240" w:lineRule="auto"/>
            <w:ind w:left="970" w:right="0" w:hanging="323"/>
            <w:jc w:val="left"/>
            <w:rPr>
              <w:rFonts w:ascii="Tahoma" w:eastAsia="Tahoma"/>
            </w:rPr>
          </w:pPr>
          <w:hyperlink w:anchor="_TOC_250007" w:history="1">
            <w:r>
              <w:t>变压器投资建议：欧美市场需求高增，优选欧美有市场布局的企业</w:t>
              <w:tab/>
            </w:r>
            <w:r>
              <w:rPr>
                <w:rFonts w:ascii="Tahoma" w:eastAsia="Tahoma"/>
              </w:rPr>
              <w:t>17</w:t>
            </w:r>
          </w:hyperlink>
        </w:p>
        <w:p>
          <w:pPr>
            <w:pStyle w:val="TOC7"/>
            <w:numPr>
              <w:ilvl w:val="2"/>
              <w:numId w:val="13"/>
            </w:numPr>
            <w:tabs>
              <w:tab w:val="left" w:pos="1537"/>
              <w:tab w:val="right" w:leader="dot" w:pos="10782"/>
            </w:tabs>
            <w:spacing w:before="3" w:after="0" w:line="240" w:lineRule="auto"/>
            <w:ind w:left="1536" w:right="0" w:hanging="491"/>
            <w:jc w:val="left"/>
            <w:rPr>
              <w:rFonts w:ascii="Tahoma" w:eastAsia="Tahoma"/>
            </w:rPr>
          </w:pPr>
          <w:hyperlink w:anchor="_TOC_250006" w:history="1">
            <w:r>
              <w:t>思源电气：具备成长性的一、二次设备民企领军企业</w:t>
              <w:tab/>
            </w:r>
            <w:r>
              <w:rPr>
                <w:rFonts w:ascii="Tahoma" w:eastAsia="Tahoma"/>
              </w:rPr>
              <w:t>17</w:t>
            </w:r>
          </w:hyperlink>
        </w:p>
        <w:p>
          <w:pPr>
            <w:pStyle w:val="TOC7"/>
            <w:numPr>
              <w:ilvl w:val="2"/>
              <w:numId w:val="13"/>
            </w:numPr>
            <w:tabs>
              <w:tab w:val="left" w:pos="1537"/>
              <w:tab w:val="right" w:leader="dot" w:pos="10782"/>
            </w:tabs>
            <w:spacing w:before="2" w:after="0" w:line="240" w:lineRule="auto"/>
            <w:ind w:left="1536" w:right="0" w:hanging="491"/>
            <w:jc w:val="left"/>
            <w:rPr>
              <w:rFonts w:ascii="Tahoma" w:eastAsia="Tahoma"/>
            </w:rPr>
          </w:pPr>
          <w:hyperlink w:anchor="_TOC_250005" w:history="1">
            <w:r>
              <w:t>金盘科技：墨西哥布局覆盖美国需求，正逐步扩张欧洲市场</w:t>
              <w:tab/>
            </w:r>
            <w:r>
              <w:rPr>
                <w:rFonts w:ascii="Tahoma" w:eastAsia="Tahoma"/>
              </w:rPr>
              <w:t>18</w:t>
            </w:r>
          </w:hyperlink>
        </w:p>
        <w:p>
          <w:pPr>
            <w:pStyle w:val="TOC4"/>
            <w:tabs>
              <w:tab w:val="right" w:leader="dot" w:pos="10782"/>
            </w:tabs>
            <w:rPr>
              <w:rFonts w:ascii="Tahoma" w:eastAsia="Tahoma"/>
            </w:rPr>
          </w:pPr>
          <w:hyperlink w:anchor="_TOC_250004" w:history="1">
            <w:r>
              <w:t>三、特高压：</w:t>
            </w:r>
            <w:r>
              <w:rPr>
                <w:rFonts w:ascii="Tahoma" w:eastAsia="Tahoma"/>
              </w:rPr>
              <w:t>2024</w:t>
            </w:r>
            <w:r>
              <w:rPr>
                <w:rFonts w:ascii="Tahoma" w:eastAsia="Tahoma"/>
                <w:spacing w:val="-19"/>
              </w:rPr>
              <w:t xml:space="preserve"> </w:t>
            </w:r>
            <w:r>
              <w:t>建设有望持续攀峰，柔直技术渗透率提升</w:t>
              <w:tab/>
            </w:r>
            <w:r>
              <w:rPr>
                <w:rFonts w:ascii="Tahoma" w:eastAsia="Tahoma"/>
              </w:rPr>
              <w:t>19</w:t>
            </w:r>
          </w:hyperlink>
        </w:p>
        <w:p>
          <w:pPr>
            <w:pStyle w:val="TOC6"/>
            <w:numPr>
              <w:ilvl w:val="1"/>
              <w:numId w:val="12"/>
            </w:numPr>
            <w:tabs>
              <w:tab w:val="left" w:pos="971"/>
              <w:tab w:val="right" w:leader="dot" w:pos="10782"/>
            </w:tabs>
            <w:spacing w:before="3" w:after="0" w:line="240" w:lineRule="auto"/>
            <w:ind w:left="970" w:right="0" w:hanging="323"/>
            <w:jc w:val="left"/>
            <w:rPr>
              <w:rFonts w:ascii="Tahoma" w:eastAsia="Tahoma"/>
            </w:rPr>
          </w:pPr>
          <w:hyperlink w:anchor="_TOC_250003" w:history="1">
            <w:r>
              <w:t>特高压行业空间：风光大基地建成在即，十四五期间剩余</w:t>
            </w:r>
            <w:r>
              <w:rPr>
                <w:spacing w:val="-48"/>
              </w:rPr>
              <w:t xml:space="preserve"> </w:t>
            </w:r>
            <w:r>
              <w:rPr>
                <w:rFonts w:ascii="Tahoma" w:eastAsia="Tahoma"/>
              </w:rPr>
              <w:t>9</w:t>
            </w:r>
            <w:r>
              <w:rPr>
                <w:rFonts w:ascii="Tahoma" w:eastAsia="Tahoma"/>
                <w:spacing w:val="-18"/>
              </w:rPr>
              <w:t xml:space="preserve"> </w:t>
            </w:r>
            <w:r>
              <w:t>直</w:t>
            </w:r>
            <w:r>
              <w:rPr>
                <w:spacing w:val="-50"/>
              </w:rPr>
              <w:t xml:space="preserve"> </w:t>
            </w:r>
            <w:r>
              <w:rPr>
                <w:rFonts w:ascii="Tahoma" w:eastAsia="Tahoma"/>
              </w:rPr>
              <w:t>2</w:t>
            </w:r>
            <w:r>
              <w:rPr>
                <w:rFonts w:ascii="Tahoma" w:eastAsia="Tahoma"/>
                <w:spacing w:val="-18"/>
              </w:rPr>
              <w:t xml:space="preserve"> </w:t>
            </w:r>
            <w:r>
              <w:t>交特高压核准待开工</w:t>
              <w:tab/>
            </w:r>
            <w:r>
              <w:rPr>
                <w:rFonts w:ascii="Tahoma" w:eastAsia="Tahoma"/>
              </w:rPr>
              <w:t>19</w:t>
            </w:r>
          </w:hyperlink>
        </w:p>
        <w:p>
          <w:pPr>
            <w:pStyle w:val="TOC6"/>
            <w:numPr>
              <w:ilvl w:val="1"/>
              <w:numId w:val="12"/>
            </w:numPr>
            <w:tabs>
              <w:tab w:val="left" w:pos="971"/>
              <w:tab w:val="right" w:leader="dot" w:pos="10782"/>
            </w:tabs>
            <w:spacing w:before="3" w:after="0" w:line="240" w:lineRule="auto"/>
            <w:ind w:left="970" w:right="0" w:hanging="323"/>
            <w:jc w:val="left"/>
            <w:rPr>
              <w:rFonts w:ascii="Tahoma" w:eastAsia="Tahoma"/>
            </w:rPr>
          </w:pPr>
          <w:hyperlink w:anchor="_TOC_250002" w:history="1">
            <w:r>
              <w:t>柔直技术：渗透率有望大幅提升，从</w:t>
            </w:r>
            <w:r>
              <w:rPr>
                <w:spacing w:val="-50"/>
              </w:rPr>
              <w:t xml:space="preserve"> </w:t>
            </w:r>
            <w:r>
              <w:rPr>
                <w:rFonts w:ascii="Tahoma" w:eastAsia="Tahoma"/>
              </w:rPr>
              <w:t>0</w:t>
            </w:r>
            <w:r>
              <w:rPr>
                <w:rFonts w:ascii="Tahoma" w:eastAsia="Tahoma"/>
                <w:spacing w:val="-18"/>
              </w:rPr>
              <w:t xml:space="preserve"> </w:t>
            </w:r>
            <w:r>
              <w:t>到</w:t>
            </w:r>
            <w:r>
              <w:rPr>
                <w:spacing w:val="-50"/>
              </w:rPr>
              <w:t xml:space="preserve"> </w:t>
            </w:r>
            <w:r>
              <w:rPr>
                <w:rFonts w:ascii="Tahoma" w:eastAsia="Tahoma"/>
              </w:rPr>
              <w:t>1</w:t>
            </w:r>
            <w:r>
              <w:rPr>
                <w:rFonts w:ascii="Tahoma" w:eastAsia="Tahoma"/>
                <w:spacing w:val="-18"/>
              </w:rPr>
              <w:t xml:space="preserve"> </w:t>
            </w:r>
            <w:r>
              <w:t>实现爆发增长</w:t>
              <w:tab/>
            </w:r>
            <w:r>
              <w:rPr>
                <w:rFonts w:ascii="Tahoma" w:eastAsia="Tahoma"/>
              </w:rPr>
              <w:t>23</w:t>
            </w:r>
          </w:hyperlink>
        </w:p>
        <w:p>
          <w:pPr>
            <w:pStyle w:val="TOC6"/>
            <w:numPr>
              <w:ilvl w:val="1"/>
              <w:numId w:val="12"/>
            </w:numPr>
            <w:tabs>
              <w:tab w:val="left" w:pos="971"/>
              <w:tab w:val="right" w:leader="dot" w:pos="10782"/>
            </w:tabs>
            <w:spacing w:before="3" w:after="0" w:line="240" w:lineRule="auto"/>
            <w:ind w:left="970" w:right="0" w:hanging="323"/>
            <w:jc w:val="left"/>
            <w:rPr>
              <w:rFonts w:ascii="Tahoma" w:eastAsia="Tahoma"/>
            </w:rPr>
          </w:pPr>
          <w:hyperlink w:anchor="_TOC_250001" w:history="1">
            <w:r>
              <w:t>投资建议：关注平高电气、许继电气、国电南瑞、华明装备、中国西电、特变电工</w:t>
              <w:tab/>
            </w:r>
            <w:r>
              <w:rPr>
                <w:rFonts w:ascii="Tahoma" w:eastAsia="Tahoma"/>
              </w:rPr>
              <w:t>26</w:t>
            </w:r>
          </w:hyperlink>
        </w:p>
        <w:p>
          <w:pPr>
            <w:pStyle w:val="TOC4"/>
            <w:tabs>
              <w:tab w:val="right" w:leader="dot" w:pos="10782"/>
            </w:tabs>
            <w:spacing w:before="5"/>
            <w:rPr>
              <w:rFonts w:ascii="Tahoma" w:eastAsia="Tahoma"/>
            </w:rPr>
          </w:pPr>
          <w:hyperlink w:anchor="_TOC_250000" w:history="1">
            <w:r>
              <w:t>风险提示</w:t>
              <w:tab/>
            </w:r>
            <w:r>
              <w:rPr>
                <w:rFonts w:ascii="Tahoma" w:eastAsia="Tahoma"/>
              </w:rPr>
              <w:t>30</w:t>
            </w:r>
          </w:hyperlink>
        </w:p>
        <w:p>
          <w:pPr>
            <w:pStyle w:val="TOC2"/>
          </w:pPr>
          <w:r>
            <w:rPr>
              <w:color w:val="365F91"/>
            </w:rPr>
            <w:t>图表目录</w:t>
          </w:r>
        </w:p>
        <w:p>
          <w:pPr>
            <w:pStyle w:val="TOC5"/>
            <w:tabs>
              <w:tab w:val="right" w:leader="dot" w:pos="10785"/>
            </w:tabs>
            <w:spacing w:before="85" w:line="265" w:lineRule="exact"/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65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2023</w:t>
          </w:r>
          <w:r>
            <w:rPr>
              <w:rFonts w:ascii="Tahoma" w:eastAsia="Tahoma"/>
              <w:b w:val="0"/>
              <w:spacing w:val="-30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年各板块涨跌幅：电网设备、沪深</w:t>
          </w:r>
          <w:r>
            <w:rPr>
              <w:b w:val="0"/>
              <w:i w:val="0"/>
              <w:spacing w:val="-63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300</w:t>
          </w:r>
          <w:r>
            <w:rPr>
              <w:rFonts w:ascii="Tahoma" w:eastAsia="Tahoma"/>
              <w:b w:val="0"/>
              <w:spacing w:val="-30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累计上涨</w:t>
          </w:r>
          <w:r>
            <w:rPr>
              <w:b w:val="0"/>
              <w:i w:val="0"/>
              <w:spacing w:val="-63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0.71%/</w:t>
          </w:r>
          <w:r>
            <w:rPr>
              <w:b w:val="0"/>
              <w:i w:val="0"/>
              <w:sz w:val="21"/>
            </w:rPr>
            <w:t>下跌</w:t>
          </w:r>
          <w:r>
            <w:rPr>
              <w:b w:val="0"/>
              <w:i w:val="0"/>
              <w:spacing w:val="-64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11.38%</w:t>
          </w:r>
          <w:r>
            <w:rPr>
              <w:b w:val="0"/>
              <w:i w:val="0"/>
              <w:sz w:val="21"/>
            </w:rPr>
            <w:t>（单位：</w:t>
          </w:r>
          <w:r>
            <w:rPr>
              <w:rFonts w:ascii="Tahoma" w:eastAsia="Tahoma"/>
              <w:b w:val="0"/>
              <w:sz w:val="21"/>
            </w:rPr>
            <w:t>%</w:t>
          </w:r>
          <w:r>
            <w:rPr>
              <w:b w:val="0"/>
              <w:i w:val="0"/>
              <w:sz w:val="21"/>
            </w:rPr>
            <w:t>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5</w:t>
          </w:r>
        </w:p>
        <w:p>
          <w:pPr>
            <w:pStyle w:val="TOC5"/>
            <w:tabs>
              <w:tab w:val="right" w:leader="dot" w:pos="10785"/>
            </w:tabs>
            <w:spacing w:line="260" w:lineRule="exact"/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2023</w:t>
          </w:r>
          <w:r>
            <w:rPr>
              <w:rFonts w:ascii="Tahoma" w:eastAsia="Tahoma"/>
              <w:b w:val="0"/>
              <w:spacing w:val="-24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年电网设备</w:t>
          </w:r>
          <w:r>
            <w:rPr>
              <w:rFonts w:ascii="Tahoma" w:eastAsia="Tahoma"/>
              <w:b w:val="0"/>
              <w:sz w:val="21"/>
            </w:rPr>
            <w:t>/</w:t>
          </w:r>
          <w:r>
            <w:rPr>
              <w:b w:val="0"/>
              <w:i w:val="0"/>
              <w:sz w:val="21"/>
            </w:rPr>
            <w:t>沪深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300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指数较年初累计涨跌幅（</w:t>
          </w:r>
          <w:r>
            <w:rPr>
              <w:rFonts w:ascii="Tahoma" w:eastAsia="Tahoma"/>
              <w:b w:val="0"/>
              <w:sz w:val="21"/>
            </w:rPr>
            <w:t>%</w:t>
          </w:r>
          <w:r>
            <w:rPr>
              <w:b w:val="0"/>
              <w:i w:val="0"/>
              <w:sz w:val="21"/>
            </w:rPr>
            <w:t>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5</w:t>
          </w:r>
        </w:p>
        <w:p>
          <w:pPr>
            <w:pStyle w:val="TOC5"/>
            <w:tabs>
              <w:tab w:val="right" w:leader="dot" w:pos="10785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7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3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2023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电网设备板块涨幅前</w:t>
          </w:r>
          <w:r>
            <w:rPr>
              <w:b w:val="0"/>
              <w:i w:val="0"/>
              <w:spacing w:val="-56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15</w:t>
          </w:r>
          <w:r>
            <w:rPr>
              <w:rFonts w:ascii="Tahoma" w:eastAsia="Tahoma"/>
              <w:b w:val="0"/>
              <w:spacing w:val="-20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标的（</w:t>
          </w:r>
          <w:r>
            <w:rPr>
              <w:rFonts w:ascii="Tahoma" w:eastAsia="Tahoma"/>
              <w:b w:val="0"/>
              <w:sz w:val="21"/>
            </w:rPr>
            <w:t>%</w:t>
          </w:r>
          <w:r>
            <w:rPr>
              <w:b w:val="0"/>
              <w:i w:val="0"/>
              <w:sz w:val="21"/>
            </w:rPr>
            <w:t>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6</w:t>
          </w:r>
        </w:p>
        <w:p>
          <w:pPr>
            <w:pStyle w:val="TOC5"/>
            <w:tabs>
              <w:tab w:val="right" w:leader="dot" w:pos="10785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4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2022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b w:val="0"/>
              <w:i w:val="0"/>
              <w:spacing w:val="-57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月</w:t>
          </w:r>
          <w:r>
            <w:rPr>
              <w:rFonts w:ascii="Tahoma" w:eastAsia="Tahoma"/>
              <w:b w:val="0"/>
              <w:sz w:val="21"/>
            </w:rPr>
            <w:t>-2023</w:t>
          </w:r>
          <w:r>
            <w:rPr>
              <w:rFonts w:ascii="Tahoma" w:eastAsia="Tahoma"/>
              <w:b w:val="0"/>
              <w:spacing w:val="-21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b w:val="0"/>
              <w:i w:val="0"/>
              <w:spacing w:val="-57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11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月电表出口数量（万个）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6</w:t>
          </w:r>
        </w:p>
        <w:p>
          <w:pPr>
            <w:pStyle w:val="TOC5"/>
            <w:tabs>
              <w:tab w:val="right" w:leader="dot" w:pos="10785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9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5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2022</w:t>
          </w:r>
          <w:r>
            <w:rPr>
              <w:rFonts w:ascii="Tahoma" w:eastAsia="Tahoma"/>
              <w:b w:val="0"/>
              <w:spacing w:val="-24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</w:t>
          </w:r>
          <w:r>
            <w:rPr>
              <w:rFonts w:ascii="Tahoma" w:eastAsia="Tahoma"/>
              <w:b w:val="0"/>
              <w:spacing w:val="-24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月</w:t>
          </w:r>
          <w:r>
            <w:rPr>
              <w:rFonts w:ascii="Tahoma" w:eastAsia="Tahoma"/>
              <w:b w:val="0"/>
              <w:sz w:val="21"/>
            </w:rPr>
            <w:t>-2023</w:t>
          </w:r>
          <w:r>
            <w:rPr>
              <w:rFonts w:ascii="Tahoma" w:eastAsia="Tahoma"/>
              <w:b w:val="0"/>
              <w:spacing w:val="-22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11</w:t>
          </w:r>
          <w:r>
            <w:rPr>
              <w:rFonts w:ascii="Tahoma" w:eastAsia="Tahoma"/>
              <w:b w:val="0"/>
              <w:spacing w:val="-24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月电表出口金额分地区情况（亿元）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6</w:t>
          </w:r>
        </w:p>
        <w:p>
          <w:pPr>
            <w:pStyle w:val="TOC3"/>
            <w:tabs>
              <w:tab w:val="right" w:leader="dot" w:pos="10785"/>
            </w:tabs>
            <w:rPr>
              <w:rFonts w:ascii="Tahoma" w:eastAsia="Tahoma"/>
              <w:sz w:val="20"/>
            </w:rPr>
          </w:pPr>
          <w:r>
            <w:t>图表</w:t>
          </w:r>
          <w:r>
            <w:rPr>
              <w:spacing w:val="-57"/>
            </w:rPr>
            <w:t xml:space="preserve"> </w:t>
          </w:r>
          <w:r>
            <w:rPr>
              <w:rFonts w:ascii="Tahoma" w:eastAsia="Tahoma"/>
              <w:i/>
            </w:rPr>
            <w:t>6</w:t>
          </w:r>
          <w:r>
            <w:t>：变压器年度出口金额（亿元）</w:t>
            <w:tab/>
          </w:r>
          <w:r>
            <w:rPr>
              <w:rFonts w:ascii="Tahoma" w:eastAsia="Tahoma"/>
              <w:sz w:val="20"/>
            </w:rPr>
            <w:t>7</w:t>
          </w:r>
        </w:p>
        <w:p>
          <w:pPr>
            <w:pStyle w:val="TOC3"/>
            <w:tabs>
              <w:tab w:val="right" w:leader="dot" w:pos="10785"/>
            </w:tabs>
            <w:rPr>
              <w:rFonts w:ascii="Tahoma" w:eastAsia="Tahoma"/>
              <w:sz w:val="20"/>
            </w:rPr>
          </w:pPr>
          <w:r>
            <w:t>图表</w:t>
          </w:r>
          <w:r>
            <w:rPr>
              <w:spacing w:val="-57"/>
            </w:rPr>
            <w:t xml:space="preserve"> </w:t>
          </w:r>
          <w:r>
            <w:rPr>
              <w:rFonts w:ascii="Tahoma" w:eastAsia="Tahoma"/>
              <w:i/>
            </w:rPr>
            <w:t>7</w:t>
          </w:r>
          <w:r>
            <w:t>：变压器单月出口金额（亿元）</w:t>
            <w:tab/>
          </w:r>
          <w:r>
            <w:rPr>
              <w:rFonts w:ascii="Tahoma" w:eastAsia="Tahoma"/>
              <w:sz w:val="20"/>
            </w:rPr>
            <w:t>7</w:t>
          </w:r>
        </w:p>
        <w:p>
          <w:pPr>
            <w:pStyle w:val="TOC5"/>
            <w:tabs>
              <w:tab w:val="right" w:leader="dot" w:pos="10785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9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8</w:t>
          </w:r>
          <w:r>
            <w:rPr>
              <w:b w:val="0"/>
              <w:i w:val="0"/>
              <w:sz w:val="21"/>
            </w:rPr>
            <w:t>：中国</w:t>
          </w:r>
          <w:r>
            <w:rPr>
              <w:b w:val="0"/>
              <w:i w:val="0"/>
              <w:spacing w:val="-59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2008</w:t>
          </w:r>
          <w:r>
            <w:rPr>
              <w:rFonts w:ascii="Tahoma" w:eastAsia="Tahoma"/>
              <w:b w:val="0"/>
              <w:spacing w:val="-22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至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2023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1-11</w:t>
          </w:r>
          <w:r>
            <w:rPr>
              <w:rFonts w:ascii="Tahoma" w:eastAsia="Tahoma"/>
              <w:b w:val="0"/>
              <w:spacing w:val="-22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月电网基本建设投资完成额（亿元）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8</w:t>
          </w:r>
        </w:p>
        <w:p>
          <w:pPr>
            <w:pStyle w:val="TOC5"/>
            <w:tabs>
              <w:tab w:val="right" w:leader="dot" w:pos="10785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60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9</w:t>
          </w:r>
          <w:r>
            <w:rPr>
              <w:b w:val="0"/>
              <w:i w:val="0"/>
              <w:sz w:val="21"/>
            </w:rPr>
            <w:t>：中国</w:t>
          </w:r>
          <w:r>
            <w:rPr>
              <w:b w:val="0"/>
              <w:i w:val="0"/>
              <w:spacing w:val="-59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2018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至</w:t>
          </w:r>
          <w:r>
            <w:rPr>
              <w:b w:val="0"/>
              <w:i w:val="0"/>
              <w:spacing w:val="-59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2023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b w:val="0"/>
              <w:i w:val="0"/>
              <w:spacing w:val="-59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1-11</w:t>
          </w:r>
          <w:r>
            <w:rPr>
              <w:rFonts w:ascii="Tahoma" w:eastAsia="Tahoma"/>
              <w:b w:val="0"/>
              <w:spacing w:val="-22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月单月电网基本建设投资完成额（亿元）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8</w:t>
          </w:r>
        </w:p>
        <w:p>
          <w:pPr>
            <w:pStyle w:val="TOC3"/>
            <w:tabs>
              <w:tab w:val="right" w:leader="dot" w:pos="10785"/>
            </w:tabs>
            <w:rPr>
              <w:rFonts w:ascii="Tahoma" w:eastAsia="Tahoma"/>
              <w:sz w:val="20"/>
            </w:rPr>
          </w:pPr>
          <w:r>
            <w:t>图表</w:t>
          </w:r>
          <w:r>
            <w:rPr>
              <w:spacing w:val="-56"/>
            </w:rPr>
            <w:t xml:space="preserve"> </w:t>
          </w:r>
          <w:r>
            <w:rPr>
              <w:rFonts w:ascii="Tahoma" w:eastAsia="Tahoma"/>
              <w:i/>
            </w:rPr>
            <w:t>10</w:t>
          </w:r>
          <w:r>
            <w:t>：特高压发展历程</w:t>
            <w:tab/>
          </w:r>
          <w:r>
            <w:rPr>
              <w:rFonts w:ascii="Tahoma" w:eastAsia="Tahoma"/>
              <w:sz w:val="20"/>
            </w:rPr>
            <w:t>9</w:t>
          </w:r>
        </w:p>
        <w:p>
          <w:pPr>
            <w:pStyle w:val="TOC3"/>
            <w:tabs>
              <w:tab w:val="right" w:leader="dot" w:pos="10785"/>
            </w:tabs>
            <w:rPr>
              <w:rFonts w:ascii="Tahoma" w:eastAsia="Tahoma"/>
              <w:sz w:val="20"/>
            </w:rPr>
          </w:pPr>
          <w:r>
            <w:t>图表</w:t>
          </w:r>
          <w:r>
            <w:rPr>
              <w:spacing w:val="-57"/>
            </w:rPr>
            <w:t xml:space="preserve"> </w:t>
          </w:r>
          <w:r>
            <w:rPr>
              <w:rFonts w:ascii="Tahoma" w:eastAsia="Tahoma"/>
              <w:i/>
            </w:rPr>
            <w:t>11</w:t>
          </w:r>
          <w:r>
            <w:t>：我给现已规划特高压项目最新进展</w:t>
            <w:tab/>
          </w:r>
          <w:r>
            <w:rPr>
              <w:rFonts w:ascii="Tahoma" w:eastAsia="Tahoma"/>
              <w:sz w:val="20"/>
            </w:rPr>
            <w:t>9</w:t>
          </w:r>
        </w:p>
        <w:p>
          <w:pPr>
            <w:pStyle w:val="TOC3"/>
            <w:tabs>
              <w:tab w:val="right" w:leader="dot" w:pos="10782"/>
            </w:tabs>
            <w:rPr>
              <w:rFonts w:ascii="Tahoma" w:eastAsia="Tahoma"/>
              <w:sz w:val="20"/>
            </w:rPr>
          </w:pPr>
          <w:r>
            <w:t>图表</w:t>
          </w:r>
          <w:r>
            <w:rPr>
              <w:spacing w:val="-57"/>
            </w:rPr>
            <w:t xml:space="preserve"> </w:t>
          </w:r>
          <w:r>
            <w:rPr>
              <w:rFonts w:ascii="Tahoma" w:eastAsia="Tahoma"/>
              <w:i/>
            </w:rPr>
            <w:t>12</w:t>
          </w:r>
          <w:r>
            <w:t>：国家电网各环节智能化投资（亿元；</w:t>
          </w:r>
          <w:r>
            <w:rPr>
              <w:rFonts w:ascii="Tahoma" w:eastAsia="Tahoma"/>
              <w:i/>
            </w:rPr>
            <w:t>%</w:t>
          </w:r>
          <w:r>
            <w:t>）</w:t>
            <w:tab/>
          </w:r>
          <w:r>
            <w:rPr>
              <w:rFonts w:ascii="Tahoma" w:eastAsia="Tahoma"/>
              <w:sz w:val="20"/>
            </w:rPr>
            <w:t>10</w:t>
          </w:r>
        </w:p>
        <w:p>
          <w:pPr>
            <w:pStyle w:val="TOC5"/>
            <w:tabs>
              <w:tab w:val="right" w:leader="dot" w:pos="10782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9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13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2020-2030</w:t>
          </w:r>
          <w:r>
            <w:rPr>
              <w:rFonts w:ascii="Tahoma" w:eastAsia="Tahoma"/>
              <w:b w:val="0"/>
              <w:spacing w:val="-24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年欧洲电网升级分类型累计投资额（十亿欧元）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11</w:t>
          </w:r>
        </w:p>
        <w:p>
          <w:pPr>
            <w:pStyle w:val="TOC3"/>
            <w:tabs>
              <w:tab w:val="right" w:leader="dot" w:pos="10782"/>
            </w:tabs>
            <w:spacing w:line="261" w:lineRule="exact"/>
            <w:rPr>
              <w:rFonts w:ascii="Tahoma" w:eastAsia="Tahoma"/>
              <w:sz w:val="20"/>
            </w:rPr>
          </w:pPr>
          <w:r>
            <w:t>图表</w:t>
          </w:r>
          <w:r>
            <w:rPr>
              <w:spacing w:val="-57"/>
            </w:rPr>
            <w:t xml:space="preserve"> </w:t>
          </w:r>
          <w:r>
            <w:rPr>
              <w:rFonts w:ascii="Tahoma" w:eastAsia="Tahoma"/>
              <w:i/>
            </w:rPr>
            <w:t>14</w:t>
          </w:r>
          <w:r>
            <w:t>：海外智能电表需求测算（万只；</w:t>
          </w:r>
          <w:r>
            <w:rPr>
              <w:rFonts w:ascii="Tahoma" w:eastAsia="Tahoma"/>
              <w:i/>
            </w:rPr>
            <w:t>%</w:t>
          </w:r>
          <w:r>
            <w:t>）</w:t>
            <w:tab/>
          </w:r>
          <w:r>
            <w:rPr>
              <w:rFonts w:ascii="Tahoma" w:eastAsia="Tahoma"/>
              <w:sz w:val="20"/>
            </w:rPr>
            <w:t>12</w:t>
          </w:r>
        </w:p>
        <w:p>
          <w:pPr>
            <w:pStyle w:val="TOC5"/>
            <w:tabs>
              <w:tab w:val="right" w:leader="dot" w:pos="10782"/>
            </w:tabs>
            <w:spacing w:line="260" w:lineRule="exact"/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60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15</w:t>
          </w:r>
          <w:r>
            <w:rPr>
              <w:b w:val="0"/>
              <w:i w:val="0"/>
              <w:sz w:val="21"/>
            </w:rPr>
            <w:t>：配用电公司股息率情况（单位：</w:t>
          </w:r>
          <w:r>
            <w:rPr>
              <w:rFonts w:ascii="Tahoma" w:eastAsia="Tahoma"/>
              <w:b w:val="0"/>
              <w:sz w:val="21"/>
            </w:rPr>
            <w:t>%</w:t>
          </w:r>
          <w:r>
            <w:rPr>
              <w:b w:val="0"/>
              <w:i w:val="0"/>
              <w:sz w:val="21"/>
            </w:rPr>
            <w:t>，市值日期为</w:t>
          </w:r>
          <w:r>
            <w:rPr>
              <w:b w:val="0"/>
              <w:i w:val="0"/>
              <w:spacing w:val="-60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2023</w:t>
          </w:r>
          <w:r>
            <w:rPr>
              <w:rFonts w:ascii="Tahoma" w:eastAsia="Tahoma"/>
              <w:b w:val="0"/>
              <w:spacing w:val="-25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12</w:t>
          </w:r>
          <w:r>
            <w:rPr>
              <w:rFonts w:ascii="Tahoma" w:eastAsia="Tahoma"/>
              <w:b w:val="0"/>
              <w:spacing w:val="-26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月</w:t>
          </w:r>
          <w:r>
            <w:rPr>
              <w:b w:val="0"/>
              <w:i w:val="0"/>
              <w:spacing w:val="-60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19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日）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13</w:t>
          </w:r>
        </w:p>
        <w:p>
          <w:pPr>
            <w:pStyle w:val="TOC5"/>
            <w:tabs>
              <w:tab w:val="right" w:leader="dot" w:pos="10782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60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16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2018~2022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年配用电公司累计现金分红</w:t>
          </w:r>
          <w:r>
            <w:rPr>
              <w:rFonts w:ascii="Tahoma" w:eastAsia="Tahoma"/>
              <w:b w:val="0"/>
              <w:spacing w:val="3"/>
              <w:sz w:val="21"/>
            </w:rPr>
            <w:t>/</w:t>
          </w:r>
          <w:r>
            <w:rPr>
              <w:b w:val="0"/>
              <w:i w:val="0"/>
              <w:sz w:val="21"/>
            </w:rPr>
            <w:t>累计归母净利润（</w:t>
          </w:r>
          <w:r>
            <w:rPr>
              <w:rFonts w:ascii="Tahoma" w:eastAsia="Tahoma"/>
              <w:b w:val="0"/>
              <w:sz w:val="21"/>
            </w:rPr>
            <w:t>%</w:t>
          </w:r>
          <w:r>
            <w:rPr>
              <w:b w:val="0"/>
              <w:i w:val="0"/>
              <w:sz w:val="21"/>
            </w:rPr>
            <w:t>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13</w:t>
          </w:r>
        </w:p>
        <w:p>
          <w:pPr>
            <w:pStyle w:val="TOC3"/>
            <w:tabs>
              <w:tab w:val="right" w:leader="dot" w:pos="10782"/>
            </w:tabs>
            <w:rPr>
              <w:rFonts w:ascii="Tahoma" w:eastAsia="Tahoma"/>
              <w:sz w:val="20"/>
            </w:rPr>
          </w:pPr>
          <w:r>
            <w:t>图表</w:t>
          </w:r>
          <w:r>
            <w:rPr>
              <w:spacing w:val="-57"/>
            </w:rPr>
            <w:t xml:space="preserve"> </w:t>
          </w:r>
          <w:r>
            <w:rPr>
              <w:rFonts w:ascii="Tahoma" w:eastAsia="Tahoma"/>
              <w:i/>
            </w:rPr>
            <w:t>17</w:t>
          </w:r>
          <w:r>
            <w:t>：海兴电力分地区营业收入（百万元）</w:t>
            <w:tab/>
          </w:r>
          <w:r>
            <w:rPr>
              <w:rFonts w:ascii="Tahoma" w:eastAsia="Tahoma"/>
              <w:sz w:val="20"/>
            </w:rPr>
            <w:t>14</w:t>
          </w:r>
        </w:p>
        <w:p>
          <w:pPr>
            <w:pStyle w:val="TOC3"/>
            <w:tabs>
              <w:tab w:val="right" w:leader="dot" w:pos="10782"/>
            </w:tabs>
            <w:rPr>
              <w:rFonts w:ascii="Tahoma" w:eastAsia="Tahoma"/>
              <w:sz w:val="20"/>
            </w:rPr>
          </w:pPr>
          <w:r>
            <w:t>图表</w:t>
          </w:r>
          <w:r>
            <w:rPr>
              <w:spacing w:val="-57"/>
            </w:rPr>
            <w:t xml:space="preserve"> </w:t>
          </w:r>
          <w:r>
            <w:rPr>
              <w:rFonts w:ascii="Tahoma" w:eastAsia="Tahoma"/>
              <w:i/>
            </w:rPr>
            <w:t>18</w:t>
          </w:r>
          <w:r>
            <w:t>：海兴电力海外分地区营业收入（百万元）</w:t>
            <w:tab/>
          </w:r>
          <w:r>
            <w:rPr>
              <w:rFonts w:ascii="Tahoma" w:eastAsia="Tahoma"/>
              <w:sz w:val="20"/>
            </w:rPr>
            <w:t>14</w:t>
          </w:r>
        </w:p>
        <w:p>
          <w:pPr>
            <w:pStyle w:val="TOC3"/>
            <w:tabs>
              <w:tab w:val="right" w:leader="dot" w:pos="10782"/>
            </w:tabs>
            <w:rPr>
              <w:rFonts w:ascii="Tahoma" w:eastAsia="Tahoma"/>
              <w:sz w:val="20"/>
            </w:rPr>
          </w:pPr>
          <w:r>
            <w:t>图表</w:t>
          </w:r>
          <w:r>
            <w:rPr>
              <w:spacing w:val="-58"/>
            </w:rPr>
            <w:t xml:space="preserve"> </w:t>
          </w:r>
          <w:r>
            <w:rPr>
              <w:rFonts w:ascii="Tahoma" w:eastAsia="Tahoma"/>
              <w:i/>
            </w:rPr>
            <w:t>19</w:t>
          </w:r>
          <w:r>
            <w:t>：三星医疗配用电及医疗业务营收情况（亿元；</w:t>
          </w:r>
          <w:r>
            <w:rPr>
              <w:rFonts w:ascii="Tahoma" w:eastAsia="Tahoma"/>
              <w:i/>
            </w:rPr>
            <w:t>%</w:t>
          </w:r>
          <w:r>
            <w:t>）</w:t>
            <w:tab/>
          </w:r>
          <w:r>
            <w:rPr>
              <w:rFonts w:ascii="Tahoma" w:eastAsia="Tahoma"/>
              <w:sz w:val="20"/>
            </w:rPr>
            <w:t>15</w:t>
          </w:r>
        </w:p>
        <w:p>
          <w:pPr>
            <w:pStyle w:val="TOC5"/>
            <w:tabs>
              <w:tab w:val="right" w:leader="dot" w:pos="10782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9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20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2020</w:t>
          </w:r>
          <w:r>
            <w:rPr>
              <w:rFonts w:ascii="Tahoma" w:eastAsia="Tahoma"/>
              <w:b w:val="0"/>
              <w:spacing w:val="-23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rFonts w:ascii="Tahoma" w:eastAsia="Tahoma"/>
              <w:b w:val="0"/>
              <w:sz w:val="21"/>
            </w:rPr>
            <w:t>-2023Q3</w:t>
          </w:r>
          <w:r>
            <w:rPr>
              <w:rFonts w:ascii="Tahoma" w:eastAsia="Tahoma"/>
              <w:b w:val="0"/>
              <w:spacing w:val="-21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三星医疗配用电累计在手订单（亿元；</w:t>
          </w:r>
          <w:r>
            <w:rPr>
              <w:rFonts w:ascii="Tahoma" w:eastAsia="Tahoma"/>
              <w:b w:val="0"/>
              <w:sz w:val="21"/>
            </w:rPr>
            <w:t>%</w:t>
          </w:r>
          <w:r>
            <w:rPr>
              <w:b w:val="0"/>
              <w:i w:val="0"/>
              <w:sz w:val="21"/>
            </w:rPr>
            <w:t>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15</w:t>
          </w:r>
        </w:p>
        <w:p>
          <w:pPr>
            <w:pStyle w:val="TOC5"/>
            <w:tabs>
              <w:tab w:val="right" w:leader="dot" w:pos="10782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6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21</w:t>
          </w:r>
          <w:r>
            <w:rPr>
              <w:b w:val="0"/>
              <w:i w:val="0"/>
              <w:sz w:val="21"/>
            </w:rPr>
            <w:t>：全球变压器产量分布</w:t>
            <w:tab/>
          </w:r>
          <w:r>
            <w:rPr>
              <w:rFonts w:ascii="Tahoma" w:eastAsia="Tahoma"/>
              <w:b w:val="0"/>
              <w:i w:val="0"/>
              <w:sz w:val="20"/>
            </w:rPr>
            <w:t>16</w:t>
          </w:r>
        </w:p>
        <w:p>
          <w:pPr>
            <w:pStyle w:val="TOC5"/>
            <w:tabs>
              <w:tab w:val="right" w:leader="dot" w:pos="10782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22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2015~2030E</w:t>
          </w:r>
          <w:r>
            <w:rPr>
              <w:rFonts w:ascii="Tahoma" w:eastAsia="Tahoma"/>
              <w:b w:val="0"/>
              <w:spacing w:val="-20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全球变压器需求预测（</w:t>
          </w:r>
          <w:r>
            <w:rPr>
              <w:rFonts w:ascii="Tahoma" w:eastAsia="Tahoma"/>
              <w:b w:val="0"/>
              <w:sz w:val="21"/>
            </w:rPr>
            <w:t>MVA</w:t>
          </w:r>
          <w:r>
            <w:rPr>
              <w:b w:val="0"/>
              <w:i w:val="0"/>
              <w:sz w:val="21"/>
            </w:rPr>
            <w:t>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16</w:t>
          </w:r>
        </w:p>
        <w:p>
          <w:pPr>
            <w:pStyle w:val="TOC5"/>
            <w:tabs>
              <w:tab w:val="right" w:leader="dot" w:pos="10782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7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23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2017</w:t>
          </w:r>
          <w:r>
            <w:rPr>
              <w:rFonts w:ascii="Tahoma" w:eastAsia="Tahoma"/>
              <w:b w:val="0"/>
              <w:spacing w:val="-21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rFonts w:ascii="Tahoma" w:eastAsia="Tahoma"/>
              <w:b w:val="0"/>
              <w:sz w:val="21"/>
            </w:rPr>
            <w:t>-2023Q3</w:t>
          </w:r>
          <w:r>
            <w:rPr>
              <w:rFonts w:ascii="Tahoma" w:eastAsia="Tahoma"/>
              <w:b w:val="0"/>
              <w:spacing w:val="-20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思源电气营收（亿元）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17</w:t>
          </w:r>
        </w:p>
        <w:p>
          <w:pPr>
            <w:pStyle w:val="TOC5"/>
            <w:tabs>
              <w:tab w:val="right" w:leader="dot" w:pos="10782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24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2017</w:t>
          </w:r>
          <w:r>
            <w:rPr>
              <w:rFonts w:ascii="Tahoma" w:eastAsia="Tahoma"/>
              <w:b w:val="0"/>
              <w:spacing w:val="-21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rFonts w:ascii="Tahoma" w:eastAsia="Tahoma"/>
              <w:b w:val="0"/>
              <w:sz w:val="21"/>
            </w:rPr>
            <w:t>-2023Q3</w:t>
          </w:r>
          <w:r>
            <w:rPr>
              <w:rFonts w:ascii="Tahoma" w:eastAsia="Tahoma"/>
              <w:b w:val="0"/>
              <w:spacing w:val="-20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思源电气归母净利润（亿元）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17</w:t>
          </w:r>
        </w:p>
        <w:p>
          <w:pPr>
            <w:pStyle w:val="TOC5"/>
            <w:tabs>
              <w:tab w:val="right" w:leader="dot" w:pos="10782"/>
            </w:tabs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7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25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2017</w:t>
          </w:r>
          <w:r>
            <w:rPr>
              <w:rFonts w:ascii="Tahoma" w:eastAsia="Tahoma"/>
              <w:b w:val="0"/>
              <w:spacing w:val="-21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rFonts w:ascii="Tahoma" w:eastAsia="Tahoma"/>
              <w:b w:val="0"/>
              <w:sz w:val="21"/>
            </w:rPr>
            <w:t>-2023Q3</w:t>
          </w:r>
          <w:r>
            <w:rPr>
              <w:rFonts w:ascii="Tahoma" w:eastAsia="Tahoma"/>
              <w:b w:val="0"/>
              <w:spacing w:val="-20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金盘科技营收（亿元）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18</w:t>
          </w:r>
        </w:p>
        <w:p>
          <w:pPr>
            <w:pStyle w:val="TOC5"/>
            <w:tabs>
              <w:tab w:val="right" w:leader="dot" w:pos="10782"/>
            </w:tabs>
            <w:spacing w:line="264" w:lineRule="exact"/>
            <w:rPr>
              <w:rFonts w:ascii="Tahoma" w:eastAsia="Tahoma"/>
              <w:b w:val="0"/>
              <w:i w:val="0"/>
              <w:sz w:val="20"/>
            </w:rPr>
          </w:pPr>
          <w:r>
            <w:rPr>
              <w:b w:val="0"/>
              <w:i w:val="0"/>
              <w:sz w:val="21"/>
            </w:rPr>
            <w:t>图表</w:t>
          </w:r>
          <w:r>
            <w:rPr>
              <w:b w:val="0"/>
              <w:i w:val="0"/>
              <w:spacing w:val="-58"/>
              <w:sz w:val="21"/>
            </w:rPr>
            <w:t xml:space="preserve"> </w:t>
          </w:r>
          <w:r>
            <w:rPr>
              <w:rFonts w:ascii="Tahoma" w:eastAsia="Tahoma"/>
              <w:b w:val="0"/>
              <w:sz w:val="21"/>
            </w:rPr>
            <w:t>26</w:t>
          </w:r>
          <w:r>
            <w:rPr>
              <w:b w:val="0"/>
              <w:i w:val="0"/>
              <w:sz w:val="21"/>
            </w:rPr>
            <w:t>：</w:t>
          </w:r>
          <w:r>
            <w:rPr>
              <w:rFonts w:ascii="Tahoma" w:eastAsia="Tahoma"/>
              <w:b w:val="0"/>
              <w:sz w:val="21"/>
            </w:rPr>
            <w:t>2017</w:t>
          </w:r>
          <w:r>
            <w:rPr>
              <w:rFonts w:ascii="Tahoma" w:eastAsia="Tahoma"/>
              <w:b w:val="0"/>
              <w:spacing w:val="-21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年</w:t>
          </w:r>
          <w:r>
            <w:rPr>
              <w:rFonts w:ascii="Tahoma" w:eastAsia="Tahoma"/>
              <w:b w:val="0"/>
              <w:sz w:val="21"/>
            </w:rPr>
            <w:t>-2023Q3</w:t>
          </w:r>
          <w:r>
            <w:rPr>
              <w:rFonts w:ascii="Tahoma" w:eastAsia="Tahoma"/>
              <w:b w:val="0"/>
              <w:spacing w:val="-20"/>
              <w:sz w:val="21"/>
            </w:rPr>
            <w:t xml:space="preserve"> </w:t>
          </w:r>
          <w:r>
            <w:rPr>
              <w:b w:val="0"/>
              <w:i w:val="0"/>
              <w:sz w:val="21"/>
            </w:rPr>
            <w:t>金盘科技归母净利润（亿元）</w:t>
            <w:tab/>
          </w:r>
          <w:r>
            <w:rPr>
              <w:rFonts w:ascii="Tahoma" w:eastAsia="Tahoma"/>
              <w:b w:val="0"/>
              <w:i w:val="0"/>
              <w:sz w:val="20"/>
            </w:rPr>
            <w:t>18</w:t>
          </w:r>
        </w:p>
      </w:sdtContent>
    </w:sdt>
    <w:p>
      <w:pPr>
        <w:spacing w:after="0" w:line="264" w:lineRule="exact"/>
        <w:rPr>
          <w:rFonts w:ascii="Tahoma" w:eastAsia="Tahoma"/>
          <w:sz w:val="20"/>
        </w:rPr>
        <w:sectPr>
          <w:headerReference w:type="default" r:id="rId4"/>
          <w:footerReference w:type="default" r:id="rId5"/>
          <w:type w:val="continuous"/>
          <w:pgSz w:w="11910" w:h="16840"/>
          <w:pgMar w:top="900" w:right="0" w:bottom="1060" w:left="540" w:header="708" w:footer="708"/>
          <w:cols w:space="708"/>
        </w:sectPr>
      </w:pPr>
    </w:p>
    <w:p>
      <w:pPr>
        <w:tabs>
          <w:tab w:val="left" w:leader="dot" w:pos="10566"/>
        </w:tabs>
        <w:spacing w:before="108" w:line="264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0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27</w:t>
      </w:r>
      <w:r>
        <w:rPr>
          <w:w w:val="95"/>
          <w:sz w:val="21"/>
        </w:rPr>
        <w:t>：风光大基地外送比例</w:t>
        <w:tab/>
      </w:r>
      <w:r>
        <w:rPr>
          <w:rFonts w:ascii="Tahoma" w:eastAsia="Tahoma"/>
          <w:sz w:val="20"/>
        </w:rPr>
        <w:t>19</w:t>
      </w:r>
    </w:p>
    <w:p>
      <w:pPr>
        <w:pStyle w:val="BodyText"/>
        <w:tabs>
          <w:tab w:val="left" w:leader="dot" w:pos="10566"/>
        </w:tabs>
        <w:spacing w:line="261" w:lineRule="exact"/>
        <w:ind w:left="247"/>
        <w:rPr>
          <w:rFonts w:ascii="Tahoma" w:eastAsia="Tahoma"/>
          <w:sz w:val="20"/>
        </w:rPr>
      </w:pPr>
      <w:r>
        <w:rPr>
          <w:w w:val="95"/>
        </w:rPr>
        <w:t>图表</w:t>
      </w:r>
      <w:r>
        <w:rPr>
          <w:spacing w:val="-48"/>
          <w:w w:val="95"/>
        </w:rPr>
        <w:t xml:space="preserve"> </w:t>
      </w:r>
      <w:r>
        <w:rPr>
          <w:rFonts w:ascii="Tahoma" w:eastAsia="Tahoma"/>
          <w:i/>
          <w:w w:val="95"/>
        </w:rPr>
        <w:t>28</w:t>
      </w:r>
      <w:r>
        <w:rPr>
          <w:w w:val="95"/>
        </w:rPr>
        <w:t>：第一、二、三批风光大基地外送通道需求测算</w:t>
        <w:tab/>
      </w:r>
      <w:r>
        <w:rPr>
          <w:rFonts w:ascii="Tahoma" w:eastAsia="Tahoma"/>
          <w:sz w:val="20"/>
        </w:rPr>
        <w:t>20</w:t>
      </w:r>
    </w:p>
    <w:p>
      <w:pPr>
        <w:tabs>
          <w:tab w:val="left" w:leader="dot" w:pos="10566"/>
        </w:tabs>
        <w:spacing w:before="5" w:line="230" w:lineRule="auto"/>
        <w:ind w:left="247" w:right="572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2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29</w:t>
      </w:r>
      <w:r>
        <w:rPr>
          <w:w w:val="95"/>
          <w:sz w:val="21"/>
        </w:rPr>
        <w:t>：第二批风光大基地库布齐、乌兰布和、腾格里、巴丹吉林沙漠基地、采煤沉陷区十四五规划</w:t>
      </w:r>
      <w:r>
        <w:rPr>
          <w:spacing w:val="-45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165GW</w:t>
      </w:r>
      <w:r>
        <w:rPr>
          <w:w w:val="95"/>
          <w:sz w:val="21"/>
        </w:rPr>
        <w:t>、外送风</w:t>
      </w:r>
      <w:r>
        <w:rPr>
          <w:spacing w:val="-12"/>
          <w:w w:val="95"/>
          <w:sz w:val="21"/>
        </w:rPr>
        <w:t>光</w:t>
      </w:r>
      <w:r>
        <w:rPr>
          <w:rFonts w:ascii="Tahoma" w:eastAsia="Tahoma"/>
          <w:i/>
          <w:sz w:val="21"/>
        </w:rPr>
        <w:t>115GW</w:t>
      </w:r>
      <w:r>
        <w:rPr>
          <w:sz w:val="21"/>
        </w:rPr>
        <w:t>，对应外送通道</w:t>
      </w:r>
      <w:r>
        <w:rPr>
          <w:spacing w:val="-81"/>
          <w:sz w:val="21"/>
        </w:rPr>
        <w:t xml:space="preserve"> </w:t>
      </w:r>
      <w:r>
        <w:rPr>
          <w:rFonts w:ascii="Tahoma" w:eastAsia="Tahoma"/>
          <w:i/>
          <w:sz w:val="21"/>
        </w:rPr>
        <w:t>15</w:t>
      </w:r>
      <w:r>
        <w:rPr>
          <w:rFonts w:ascii="Tahoma" w:eastAsia="Tahoma"/>
          <w:i/>
          <w:spacing w:val="-43"/>
          <w:sz w:val="21"/>
        </w:rPr>
        <w:t xml:space="preserve"> </w:t>
      </w:r>
      <w:r>
        <w:rPr>
          <w:sz w:val="21"/>
        </w:rPr>
        <w:t>条</w:t>
        <w:tab/>
      </w:r>
      <w:r>
        <w:rPr>
          <w:rFonts w:ascii="Tahoma" w:eastAsia="Tahoma"/>
          <w:sz w:val="20"/>
        </w:rPr>
        <w:t>21</w:t>
      </w:r>
    </w:p>
    <w:p>
      <w:pPr>
        <w:tabs>
          <w:tab w:val="left" w:leader="dot" w:pos="10566"/>
        </w:tabs>
        <w:spacing w:before="0" w:line="257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0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30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27</w:t>
      </w:r>
      <w:r>
        <w:rPr>
          <w:rFonts w:ascii="Tahoma" w:eastAsia="Tahoma"/>
          <w:i/>
          <w:spacing w:val="-15"/>
          <w:w w:val="95"/>
          <w:sz w:val="21"/>
        </w:rPr>
        <w:t xml:space="preserve"> </w:t>
      </w:r>
      <w:r>
        <w:rPr>
          <w:w w:val="95"/>
          <w:sz w:val="21"/>
        </w:rPr>
        <w:t>条在建、待建、待核、待预特高压</w:t>
        <w:tab/>
      </w:r>
      <w:r>
        <w:rPr>
          <w:rFonts w:ascii="Tahoma" w:eastAsia="Tahoma"/>
          <w:sz w:val="20"/>
        </w:rPr>
        <w:t>22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sz w:val="21"/>
        </w:rPr>
        <w:t>图表</w:t>
      </w:r>
      <w:r>
        <w:rPr>
          <w:spacing w:val="-87"/>
          <w:sz w:val="21"/>
        </w:rPr>
        <w:t xml:space="preserve"> </w:t>
      </w:r>
      <w:r>
        <w:rPr>
          <w:rFonts w:ascii="Tahoma" w:eastAsia="Tahoma"/>
          <w:i/>
          <w:sz w:val="21"/>
        </w:rPr>
        <w:t>31</w:t>
      </w:r>
      <w:r>
        <w:rPr>
          <w:sz w:val="21"/>
        </w:rPr>
        <w:t>：十四五期间剩余</w:t>
      </w:r>
      <w:r>
        <w:rPr>
          <w:spacing w:val="-85"/>
          <w:sz w:val="21"/>
        </w:rPr>
        <w:t xml:space="preserve"> </w:t>
      </w:r>
      <w:r>
        <w:rPr>
          <w:rFonts w:ascii="Tahoma" w:eastAsia="Tahoma"/>
          <w:i/>
          <w:sz w:val="21"/>
        </w:rPr>
        <w:t>21</w:t>
      </w:r>
      <w:r>
        <w:rPr>
          <w:rFonts w:ascii="Tahoma" w:eastAsia="Tahoma"/>
          <w:i/>
          <w:spacing w:val="-50"/>
          <w:sz w:val="21"/>
        </w:rPr>
        <w:t xml:space="preserve"> </w:t>
      </w:r>
      <w:r>
        <w:rPr>
          <w:sz w:val="21"/>
        </w:rPr>
        <w:t>条特高压需求</w:t>
        <w:tab/>
      </w:r>
      <w:r>
        <w:rPr>
          <w:rFonts w:ascii="Tahoma" w:eastAsia="Tahoma"/>
          <w:sz w:val="20"/>
        </w:rPr>
        <w:t>23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sz w:val="21"/>
        </w:rPr>
        <w:t>图表</w:t>
      </w:r>
      <w:r>
        <w:rPr>
          <w:spacing w:val="-86"/>
          <w:sz w:val="21"/>
        </w:rPr>
        <w:t xml:space="preserve"> </w:t>
      </w:r>
      <w:r>
        <w:rPr>
          <w:rFonts w:ascii="Tahoma" w:eastAsia="Tahoma"/>
          <w:i/>
          <w:sz w:val="21"/>
        </w:rPr>
        <w:t>32</w:t>
      </w:r>
      <w:r>
        <w:rPr>
          <w:sz w:val="21"/>
        </w:rPr>
        <w:t>：昆柳龙直流工程图</w:t>
        <w:tab/>
      </w:r>
      <w:r>
        <w:rPr>
          <w:rFonts w:ascii="Tahoma" w:eastAsia="Tahoma"/>
          <w:sz w:val="20"/>
        </w:rPr>
        <w:t>24</w:t>
      </w:r>
    </w:p>
    <w:p>
      <w:pPr>
        <w:pStyle w:val="BodyText"/>
        <w:tabs>
          <w:tab w:val="left" w:leader="dot" w:pos="10566"/>
        </w:tabs>
        <w:spacing w:line="259" w:lineRule="exact"/>
        <w:ind w:left="247"/>
        <w:rPr>
          <w:rFonts w:ascii="Tahoma" w:eastAsia="Tahoma"/>
          <w:sz w:val="20"/>
        </w:rPr>
      </w:pPr>
      <w:r>
        <w:rPr>
          <w:w w:val="95"/>
        </w:rPr>
        <w:t>图表</w:t>
      </w:r>
      <w:r>
        <w:rPr>
          <w:spacing w:val="-49"/>
          <w:w w:val="95"/>
        </w:rPr>
        <w:t xml:space="preserve"> </w:t>
      </w:r>
      <w:r>
        <w:rPr>
          <w:rFonts w:ascii="Tahoma" w:eastAsia="Tahoma"/>
          <w:i/>
          <w:w w:val="95"/>
        </w:rPr>
        <w:t>33</w:t>
      </w:r>
      <w:r>
        <w:rPr>
          <w:w w:val="95"/>
        </w:rPr>
        <w:t>：特高压常规直流和特高压柔直的优缺点对比</w:t>
        <w:tab/>
      </w:r>
      <w:r>
        <w:rPr>
          <w:rFonts w:ascii="Tahoma" w:eastAsia="Tahoma"/>
          <w:sz w:val="20"/>
        </w:rPr>
        <w:t>24</w:t>
      </w:r>
    </w:p>
    <w:p>
      <w:pPr>
        <w:pStyle w:val="BodyText"/>
        <w:tabs>
          <w:tab w:val="left" w:leader="dot" w:pos="10566"/>
        </w:tabs>
        <w:spacing w:line="259" w:lineRule="exact"/>
        <w:ind w:left="247"/>
        <w:rPr>
          <w:rFonts w:ascii="Tahoma" w:eastAsia="Tahoma"/>
          <w:sz w:val="20"/>
        </w:rPr>
      </w:pPr>
      <w:r>
        <w:rPr>
          <w:w w:val="95"/>
        </w:rPr>
        <w:t>图表</w:t>
      </w:r>
      <w:r>
        <w:rPr>
          <w:spacing w:val="-49"/>
          <w:w w:val="95"/>
        </w:rPr>
        <w:t xml:space="preserve"> </w:t>
      </w:r>
      <w:r>
        <w:rPr>
          <w:rFonts w:ascii="Tahoma" w:eastAsia="Tahoma"/>
          <w:i/>
          <w:w w:val="95"/>
        </w:rPr>
        <w:t>34</w:t>
      </w:r>
      <w:r>
        <w:rPr>
          <w:w w:val="95"/>
        </w:rPr>
        <w:t>：海上风电交直流送出方案经济性对比</w:t>
        <w:tab/>
      </w:r>
      <w:r>
        <w:rPr>
          <w:rFonts w:ascii="Tahoma" w:eastAsia="Tahoma"/>
          <w:sz w:val="20"/>
        </w:rPr>
        <w:t>25</w:t>
      </w:r>
    </w:p>
    <w:p>
      <w:pPr>
        <w:pStyle w:val="BodyText"/>
        <w:tabs>
          <w:tab w:val="left" w:leader="dot" w:pos="10566"/>
        </w:tabs>
        <w:spacing w:line="259" w:lineRule="exact"/>
        <w:ind w:left="247"/>
        <w:rPr>
          <w:rFonts w:ascii="Tahoma" w:eastAsia="Tahoma"/>
          <w:sz w:val="20"/>
        </w:rPr>
      </w:pPr>
      <w:r>
        <w:rPr>
          <w:w w:val="95"/>
        </w:rPr>
        <w:t>图表</w:t>
      </w:r>
      <w:r>
        <w:rPr>
          <w:spacing w:val="-49"/>
          <w:w w:val="95"/>
        </w:rPr>
        <w:t xml:space="preserve"> </w:t>
      </w:r>
      <w:r>
        <w:rPr>
          <w:rFonts w:ascii="Tahoma" w:eastAsia="Tahoma"/>
          <w:i/>
          <w:w w:val="95"/>
        </w:rPr>
        <w:t>35</w:t>
      </w:r>
      <w:r>
        <w:rPr>
          <w:w w:val="95"/>
        </w:rPr>
        <w:t>：传统直流输电和柔性直流输电的主设备投资分布比较</w:t>
        <w:tab/>
      </w:r>
      <w:r>
        <w:rPr>
          <w:rFonts w:ascii="Tahoma" w:eastAsia="Tahoma"/>
          <w:sz w:val="20"/>
        </w:rPr>
        <w:t>25</w:t>
      </w:r>
    </w:p>
    <w:p>
      <w:pPr>
        <w:pStyle w:val="BodyText"/>
        <w:tabs>
          <w:tab w:val="left" w:leader="dot" w:pos="10566"/>
        </w:tabs>
        <w:spacing w:line="259" w:lineRule="exact"/>
        <w:ind w:left="247"/>
        <w:rPr>
          <w:rFonts w:ascii="Tahoma" w:eastAsia="Tahoma"/>
          <w:sz w:val="20"/>
        </w:rPr>
      </w:pPr>
      <w:r>
        <w:rPr>
          <w:w w:val="95"/>
        </w:rPr>
        <w:t>图表</w:t>
      </w:r>
      <w:r>
        <w:rPr>
          <w:spacing w:val="-49"/>
          <w:w w:val="95"/>
        </w:rPr>
        <w:t xml:space="preserve"> </w:t>
      </w:r>
      <w:r>
        <w:rPr>
          <w:rFonts w:ascii="Tahoma" w:eastAsia="Tahoma"/>
          <w:i/>
          <w:w w:val="95"/>
        </w:rPr>
        <w:t>36</w:t>
      </w:r>
      <w:r>
        <w:rPr>
          <w:w w:val="95"/>
        </w:rPr>
        <w:t>：传统直流输电和柔性直流输电的主设备损耗分布比较</w:t>
        <w:tab/>
      </w:r>
      <w:r>
        <w:rPr>
          <w:rFonts w:ascii="Tahoma" w:eastAsia="Tahoma"/>
          <w:sz w:val="20"/>
        </w:rPr>
        <w:t>25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1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37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平高电气营收（亿元）</w:t>
        <w:tab/>
      </w:r>
      <w:r>
        <w:rPr>
          <w:rFonts w:ascii="Tahoma" w:eastAsia="Tahoma"/>
          <w:sz w:val="20"/>
        </w:rPr>
        <w:t>26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0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38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5"/>
          <w:w w:val="95"/>
          <w:sz w:val="21"/>
        </w:rPr>
        <w:t xml:space="preserve"> </w:t>
      </w:r>
      <w:r>
        <w:rPr>
          <w:w w:val="95"/>
          <w:sz w:val="21"/>
        </w:rPr>
        <w:t>平高电气归母净利润（亿元）</w:t>
        <w:tab/>
      </w:r>
      <w:r>
        <w:rPr>
          <w:rFonts w:ascii="Tahoma" w:eastAsia="Tahoma"/>
          <w:sz w:val="20"/>
        </w:rPr>
        <w:t>26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1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39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许继电气营收（亿元）</w:t>
        <w:tab/>
      </w:r>
      <w:r>
        <w:rPr>
          <w:rFonts w:ascii="Tahoma" w:eastAsia="Tahoma"/>
          <w:sz w:val="20"/>
        </w:rPr>
        <w:t>27</w:t>
      </w:r>
    </w:p>
    <w:p>
      <w:pPr>
        <w:tabs>
          <w:tab w:val="left" w:leader="dot" w:pos="10566"/>
        </w:tabs>
        <w:spacing w:before="0" w:line="260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0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40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5"/>
          <w:w w:val="95"/>
          <w:sz w:val="21"/>
        </w:rPr>
        <w:t xml:space="preserve"> </w:t>
      </w:r>
      <w:r>
        <w:rPr>
          <w:w w:val="95"/>
          <w:sz w:val="21"/>
        </w:rPr>
        <w:t>许继电气归母净利润（亿元）</w:t>
        <w:tab/>
      </w:r>
      <w:r>
        <w:rPr>
          <w:rFonts w:ascii="Tahoma" w:eastAsia="Tahoma"/>
          <w:sz w:val="20"/>
        </w:rPr>
        <w:t>27</w:t>
      </w:r>
    </w:p>
    <w:p>
      <w:pPr>
        <w:tabs>
          <w:tab w:val="left" w:leader="dot" w:pos="10566"/>
        </w:tabs>
        <w:spacing w:before="0" w:line="261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1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41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国电南瑞营收（亿元）</w:t>
        <w:tab/>
      </w:r>
      <w:r>
        <w:rPr>
          <w:rFonts w:ascii="Tahoma" w:eastAsia="Tahoma"/>
          <w:sz w:val="20"/>
        </w:rPr>
        <w:t>27</w:t>
      </w:r>
    </w:p>
    <w:p>
      <w:pPr>
        <w:tabs>
          <w:tab w:val="left" w:leader="dot" w:pos="10566"/>
        </w:tabs>
        <w:spacing w:before="0" w:line="260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0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42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5"/>
          <w:w w:val="95"/>
          <w:sz w:val="21"/>
        </w:rPr>
        <w:t xml:space="preserve"> </w:t>
      </w:r>
      <w:r>
        <w:rPr>
          <w:w w:val="95"/>
          <w:sz w:val="21"/>
        </w:rPr>
        <w:t>国电南瑞归母净利润（亿元）</w:t>
        <w:tab/>
      </w:r>
      <w:r>
        <w:rPr>
          <w:rFonts w:ascii="Tahoma" w:eastAsia="Tahoma"/>
          <w:sz w:val="20"/>
        </w:rPr>
        <w:t>27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1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43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华明装备营收（亿元）</w:t>
        <w:tab/>
      </w:r>
      <w:r>
        <w:rPr>
          <w:rFonts w:ascii="Tahoma" w:eastAsia="Tahoma"/>
          <w:sz w:val="20"/>
        </w:rPr>
        <w:t>28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0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44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5"/>
          <w:w w:val="95"/>
          <w:sz w:val="21"/>
        </w:rPr>
        <w:t xml:space="preserve"> </w:t>
      </w:r>
      <w:r>
        <w:rPr>
          <w:w w:val="95"/>
          <w:sz w:val="21"/>
        </w:rPr>
        <w:t>华明装备归母净利润（亿元）</w:t>
        <w:tab/>
      </w:r>
      <w:r>
        <w:rPr>
          <w:rFonts w:ascii="Tahoma" w:eastAsia="Tahoma"/>
          <w:sz w:val="20"/>
        </w:rPr>
        <w:t>28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1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45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中国西电营收（亿元）</w:t>
        <w:tab/>
      </w:r>
      <w:r>
        <w:rPr>
          <w:rFonts w:ascii="Tahoma" w:eastAsia="Tahoma"/>
          <w:sz w:val="20"/>
        </w:rPr>
        <w:t>28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0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46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5"/>
          <w:w w:val="95"/>
          <w:sz w:val="21"/>
        </w:rPr>
        <w:t xml:space="preserve"> </w:t>
      </w:r>
      <w:r>
        <w:rPr>
          <w:w w:val="95"/>
          <w:sz w:val="21"/>
        </w:rPr>
        <w:t>中国西电归母净利润（亿元）</w:t>
        <w:tab/>
      </w:r>
      <w:r>
        <w:rPr>
          <w:rFonts w:ascii="Tahoma" w:eastAsia="Tahoma"/>
          <w:sz w:val="20"/>
        </w:rPr>
        <w:t>28</w:t>
      </w:r>
    </w:p>
    <w:p>
      <w:pPr>
        <w:tabs>
          <w:tab w:val="left" w:leader="dot" w:pos="10566"/>
        </w:tabs>
        <w:spacing w:before="0" w:line="259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1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47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特变电工营收（亿元）</w:t>
        <w:tab/>
      </w:r>
      <w:r>
        <w:rPr>
          <w:rFonts w:ascii="Tahoma" w:eastAsia="Tahoma"/>
          <w:sz w:val="20"/>
        </w:rPr>
        <w:t>29</w:t>
      </w:r>
    </w:p>
    <w:p>
      <w:pPr>
        <w:tabs>
          <w:tab w:val="left" w:leader="dot" w:pos="10566"/>
        </w:tabs>
        <w:spacing w:before="0" w:line="264" w:lineRule="exact"/>
        <w:ind w:left="247" w:right="0" w:firstLine="0"/>
        <w:jc w:val="left"/>
        <w:rPr>
          <w:rFonts w:ascii="Tahoma" w:eastAsia="Tahoma"/>
          <w:sz w:val="20"/>
        </w:rPr>
      </w:pPr>
      <w:r>
        <w:rPr>
          <w:w w:val="95"/>
          <w:sz w:val="21"/>
        </w:rPr>
        <w:t>图表</w:t>
      </w:r>
      <w:r>
        <w:rPr>
          <w:spacing w:val="-50"/>
          <w:w w:val="95"/>
          <w:sz w:val="21"/>
        </w:rPr>
        <w:t xml:space="preserve"> </w:t>
      </w:r>
      <w:r>
        <w:rPr>
          <w:rFonts w:ascii="Tahoma" w:eastAsia="Tahoma"/>
          <w:i/>
          <w:w w:val="95"/>
          <w:sz w:val="21"/>
        </w:rPr>
        <w:t>48</w:t>
      </w:r>
      <w:r>
        <w:rPr>
          <w:w w:val="95"/>
          <w:sz w:val="21"/>
        </w:rPr>
        <w:t>：</w:t>
      </w:r>
      <w:r>
        <w:rPr>
          <w:rFonts w:ascii="Tahoma" w:eastAsia="Tahoma"/>
          <w:i/>
          <w:w w:val="95"/>
          <w:sz w:val="21"/>
        </w:rPr>
        <w:t>2017</w:t>
      </w:r>
      <w:r>
        <w:rPr>
          <w:rFonts w:ascii="Tahoma" w:eastAsia="Tahoma"/>
          <w:i/>
          <w:spacing w:val="-16"/>
          <w:w w:val="95"/>
          <w:sz w:val="21"/>
        </w:rPr>
        <w:t xml:space="preserve"> </w:t>
      </w:r>
      <w:r>
        <w:rPr>
          <w:w w:val="95"/>
          <w:sz w:val="21"/>
        </w:rPr>
        <w:t>年</w:t>
      </w:r>
      <w:r>
        <w:rPr>
          <w:rFonts w:ascii="Tahoma" w:eastAsia="Tahoma"/>
          <w:i/>
          <w:w w:val="95"/>
          <w:sz w:val="21"/>
        </w:rPr>
        <w:t>-2023Q3</w:t>
      </w:r>
      <w:r>
        <w:rPr>
          <w:rFonts w:ascii="Tahoma" w:eastAsia="Tahoma"/>
          <w:i/>
          <w:spacing w:val="-15"/>
          <w:w w:val="95"/>
          <w:sz w:val="21"/>
        </w:rPr>
        <w:t xml:space="preserve"> </w:t>
      </w:r>
      <w:r>
        <w:rPr>
          <w:w w:val="95"/>
          <w:sz w:val="21"/>
        </w:rPr>
        <w:t>特变电工归母净利润（亿元）</w:t>
        <w:tab/>
      </w:r>
      <w:r>
        <w:rPr>
          <w:rFonts w:ascii="Tahoma" w:eastAsia="Tahoma"/>
          <w:sz w:val="20"/>
        </w:rPr>
        <w:t>29</w:t>
      </w:r>
    </w:p>
    <w:p>
      <w:pPr>
        <w:spacing w:after="0" w:line="264" w:lineRule="exact"/>
        <w:jc w:val="left"/>
        <w:rPr>
          <w:rFonts w:ascii="Tahoma" w:eastAsia="Tahoma"/>
          <w:sz w:val="20"/>
        </w:rPr>
        <w:sectPr>
          <w:headerReference w:type="default" r:id="rId6"/>
          <w:footerReference w:type="default" r:id="rId7"/>
          <w:pgSz w:w="11910" w:h="16840"/>
          <w:pgMar w:top="900" w:right="0" w:bottom="1060" w:left="540" w:header="708" w:footer="708"/>
          <w:pgNumType w:start="2"/>
          <w:cols w:space="708"/>
        </w:sectPr>
      </w:pPr>
    </w:p>
    <w:p>
      <w:pPr>
        <w:pStyle w:val="Heading1"/>
      </w:pPr>
      <w:bookmarkStart w:id="0" w:name="_TOC_250017"/>
      <w:bookmarkEnd w:id="0"/>
      <w:r>
        <w:rPr>
          <w:color w:val="004097"/>
        </w:rPr>
        <w:t>一、市场表现回顾：全年电网设备重点在出海及特高压</w:t>
      </w:r>
    </w:p>
    <w:p>
      <w:pPr>
        <w:pStyle w:val="BodyText"/>
        <w:spacing w:before="3"/>
        <w:rPr>
          <w:rFonts w:ascii="Microsoft JhengHei"/>
          <w:b/>
          <w:sz w:val="30"/>
        </w:rPr>
      </w:pPr>
    </w:p>
    <w:p>
      <w:pPr>
        <w:pStyle w:val="Heading2"/>
        <w:numPr>
          <w:ilvl w:val="1"/>
          <w:numId w:val="11"/>
        </w:numPr>
        <w:tabs>
          <w:tab w:val="left" w:pos="3133"/>
        </w:tabs>
        <w:spacing w:before="0" w:after="0" w:line="170" w:lineRule="auto"/>
        <w:ind w:left="2690" w:right="894" w:firstLine="0"/>
        <w:jc w:val="left"/>
      </w:pPr>
      <w:bookmarkStart w:id="1" w:name="_TOC_250016"/>
      <w:r>
        <w:rPr>
          <w:color w:val="004097"/>
        </w:rPr>
        <w:t>板块涨跌：</w:t>
      </w:r>
      <w:r>
        <w:rPr>
          <w:rFonts w:ascii="Tahoma" w:eastAsia="Tahoma"/>
          <w:color w:val="004097"/>
        </w:rPr>
        <w:t>2023</w:t>
      </w:r>
      <w:r>
        <w:rPr>
          <w:rFonts w:ascii="Tahoma" w:eastAsia="Tahoma"/>
          <w:color w:val="004097"/>
          <w:spacing w:val="-7"/>
        </w:rPr>
        <w:t xml:space="preserve"> </w:t>
      </w:r>
      <w:r>
        <w:rPr>
          <w:color w:val="004097"/>
        </w:rPr>
        <w:t xml:space="preserve">年电网设备板块累计上涨 </w:t>
      </w:r>
      <w:r>
        <w:rPr>
          <w:rFonts w:ascii="Tahoma" w:eastAsia="Tahoma"/>
          <w:color w:val="004097"/>
        </w:rPr>
        <w:t>0.71%</w:t>
      </w:r>
      <w:bookmarkEnd w:id="1"/>
      <w:r>
        <w:rPr>
          <w:color w:val="004097"/>
        </w:rPr>
        <w:t>，出口配用电表现较优</w:t>
      </w:r>
    </w:p>
    <w:p>
      <w:pPr>
        <w:spacing w:before="137" w:line="194" w:lineRule="auto"/>
        <w:ind w:left="2690" w:right="672" w:firstLine="0"/>
        <w:jc w:val="both"/>
        <w:rPr>
          <w:sz w:val="21"/>
        </w:rPr>
      </w:pPr>
      <w:r>
        <w:rPr>
          <w:rFonts w:ascii="Microsoft JhengHei" w:eastAsia="Microsoft JhengHei" w:hAnsi="Microsoft JhengHei" w:hint="eastAsia"/>
          <w:b/>
          <w:sz w:val="21"/>
        </w:rPr>
        <w:t>行业层面：</w:t>
      </w:r>
      <w:r>
        <w:rPr>
          <w:rFonts w:ascii="Tahoma" w:eastAsia="Tahoma" w:hAnsi="Tahoma"/>
          <w:b/>
          <w:sz w:val="21"/>
        </w:rPr>
        <w:t>2023</w:t>
      </w:r>
      <w:r>
        <w:rPr>
          <w:rFonts w:ascii="Tahoma" w:eastAsia="Tahoma" w:hAnsi="Tahoma"/>
          <w:b/>
          <w:spacing w:val="53"/>
          <w:sz w:val="21"/>
        </w:rPr>
        <w:t xml:space="preserve"> </w:t>
      </w:r>
      <w:r>
        <w:rPr>
          <w:rFonts w:ascii="Microsoft JhengHei" w:eastAsia="Microsoft JhengHei" w:hAnsi="Microsoft JhengHei" w:hint="eastAsia"/>
          <w:b/>
          <w:sz w:val="21"/>
        </w:rPr>
        <w:t xml:space="preserve">年电网设备板块累计上涨 </w:t>
      </w:r>
      <w:r>
        <w:rPr>
          <w:rFonts w:ascii="Tahoma" w:eastAsia="Tahoma" w:hAnsi="Tahoma"/>
          <w:b/>
          <w:sz w:val="21"/>
        </w:rPr>
        <w:t>0.71%</w:t>
      </w:r>
      <w:r>
        <w:rPr>
          <w:rFonts w:ascii="Microsoft JhengHei" w:eastAsia="Microsoft JhengHei" w:hAnsi="Microsoft JhengHei" w:hint="eastAsia"/>
          <w:b/>
          <w:spacing w:val="-1"/>
          <w:sz w:val="21"/>
        </w:rPr>
        <w:t>，出口配用电表现较优，特高压核</w:t>
      </w:r>
      <w:r>
        <w:rPr>
          <w:rFonts w:ascii="Microsoft JhengHei" w:eastAsia="Microsoft JhengHei" w:hAnsi="Microsoft JhengHei" w:hint="eastAsia"/>
          <w:b/>
          <w:spacing w:val="-3"/>
          <w:sz w:val="21"/>
        </w:rPr>
        <w:t>心设备产业链标的收入、盈利能力持续超预期。</w:t>
      </w:r>
      <w:r>
        <w:rPr>
          <w:rFonts w:ascii="Tahoma" w:eastAsia="Tahoma" w:hAnsi="Tahoma"/>
          <w:sz w:val="21"/>
          <w:u w:val="single"/>
        </w:rPr>
        <w:t>1</w:t>
      </w:r>
      <w:r>
        <w:rPr>
          <w:sz w:val="21"/>
          <w:u w:val="single"/>
        </w:rPr>
        <w:t>）</w:t>
      </w:r>
      <w:r>
        <w:rPr>
          <w:spacing w:val="-1"/>
          <w:sz w:val="21"/>
          <w:u w:val="single"/>
        </w:rPr>
        <w:t>横向来看</w:t>
      </w:r>
      <w:r>
        <w:rPr>
          <w:spacing w:val="-17"/>
          <w:sz w:val="21"/>
        </w:rPr>
        <w:t xml:space="preserve">，截至 </w:t>
      </w:r>
      <w:r>
        <w:rPr>
          <w:rFonts w:ascii="Tahoma" w:eastAsia="Tahoma" w:hAnsi="Tahoma"/>
          <w:sz w:val="21"/>
        </w:rPr>
        <w:t>2023</w:t>
      </w:r>
      <w:r>
        <w:rPr>
          <w:rFonts w:ascii="Tahoma" w:eastAsia="Tahoma" w:hAnsi="Tahoma"/>
          <w:spacing w:val="-29"/>
          <w:sz w:val="21"/>
        </w:rPr>
        <w:t xml:space="preserve"> </w:t>
      </w:r>
      <w:r>
        <w:rPr>
          <w:spacing w:val="-30"/>
          <w:sz w:val="21"/>
        </w:rPr>
        <w:t xml:space="preserve">年 </w:t>
      </w:r>
      <w:r>
        <w:rPr>
          <w:rFonts w:ascii="Tahoma" w:eastAsia="Tahoma" w:hAnsi="Tahoma"/>
          <w:sz w:val="21"/>
        </w:rPr>
        <w:t>12</w:t>
      </w:r>
      <w:r>
        <w:rPr>
          <w:rFonts w:ascii="Tahoma" w:eastAsia="Tahoma" w:hAnsi="Tahoma"/>
          <w:spacing w:val="-26"/>
          <w:sz w:val="21"/>
        </w:rPr>
        <w:t xml:space="preserve"> </w:t>
      </w:r>
      <w:r>
        <w:rPr>
          <w:spacing w:val="-31"/>
          <w:sz w:val="21"/>
        </w:rPr>
        <w:t xml:space="preserve">月 </w:t>
      </w:r>
      <w:r>
        <w:rPr>
          <w:rFonts w:ascii="Tahoma" w:eastAsia="Tahoma" w:hAnsi="Tahoma"/>
          <w:sz w:val="21"/>
        </w:rPr>
        <w:t>29</w:t>
      </w:r>
      <w:r>
        <w:rPr>
          <w:rFonts w:ascii="Tahoma" w:eastAsia="Tahoma" w:hAnsi="Tahoma"/>
          <w:spacing w:val="-29"/>
          <w:sz w:val="21"/>
        </w:rPr>
        <w:t xml:space="preserve"> </w:t>
      </w:r>
      <w:r>
        <w:rPr>
          <w:sz w:val="21"/>
        </w:rPr>
        <w:t>日</w:t>
      </w:r>
      <w:r>
        <w:rPr>
          <w:spacing w:val="-6"/>
          <w:sz w:val="21"/>
        </w:rPr>
        <w:t xml:space="preserve">收盘，电网设备板块年累计上涨 </w:t>
      </w:r>
      <w:r>
        <w:rPr>
          <w:rFonts w:ascii="Tahoma" w:eastAsia="Tahoma" w:hAnsi="Tahoma"/>
          <w:sz w:val="21"/>
        </w:rPr>
        <w:t>0.71%</w:t>
      </w:r>
      <w:r>
        <w:rPr>
          <w:spacing w:val="-10"/>
          <w:sz w:val="21"/>
        </w:rPr>
        <w:t xml:space="preserve">，同期沪深 </w:t>
      </w:r>
      <w:r>
        <w:rPr>
          <w:rFonts w:ascii="Tahoma" w:eastAsia="Tahoma" w:hAnsi="Tahoma"/>
          <w:sz w:val="21"/>
        </w:rPr>
        <w:t>300</w:t>
      </w:r>
      <w:r>
        <w:rPr>
          <w:rFonts w:ascii="Tahoma" w:eastAsia="Tahoma" w:hAnsi="Tahoma"/>
          <w:spacing w:val="-12"/>
          <w:sz w:val="21"/>
        </w:rPr>
        <w:t xml:space="preserve"> </w:t>
      </w:r>
      <w:r>
        <w:rPr>
          <w:spacing w:val="-9"/>
          <w:sz w:val="21"/>
        </w:rPr>
        <w:t xml:space="preserve">指数下跌 </w:t>
      </w:r>
      <w:r>
        <w:rPr>
          <w:rFonts w:ascii="Tahoma" w:eastAsia="Tahoma" w:hAnsi="Tahoma"/>
          <w:sz w:val="21"/>
        </w:rPr>
        <w:t>11.38%</w:t>
      </w:r>
      <w:r>
        <w:rPr>
          <w:spacing w:val="-3"/>
          <w:sz w:val="21"/>
        </w:rPr>
        <w:t>，电网设备板块表现明显优于大盘。</w:t>
      </w:r>
      <w:r>
        <w:rPr>
          <w:rFonts w:ascii="Tahoma" w:eastAsia="Tahoma" w:hAnsi="Tahoma"/>
          <w:sz w:val="21"/>
          <w:u w:val="single"/>
        </w:rPr>
        <w:t>2</w:t>
      </w:r>
      <w:r>
        <w:rPr>
          <w:sz w:val="21"/>
          <w:u w:val="single"/>
        </w:rPr>
        <w:t>）纵向来看</w:t>
      </w:r>
      <w:r>
        <w:rPr>
          <w:sz w:val="21"/>
        </w:rPr>
        <w:t>，主要关注两个方向，</w:t>
      </w:r>
      <w:r>
        <w:rPr>
          <w:rFonts w:ascii="Microsoft JhengHei" w:eastAsia="Microsoft JhengHei" w:hAnsi="Microsoft JhengHei" w:hint="eastAsia"/>
          <w:b/>
          <w:sz w:val="21"/>
        </w:rPr>
        <w:t>①配用电出海：</w:t>
      </w:r>
      <w:r>
        <w:rPr>
          <w:sz w:val="21"/>
        </w:rPr>
        <w:t>海外新能源</w:t>
      </w:r>
    </w:p>
    <w:p>
      <w:pPr>
        <w:pStyle w:val="BodyText"/>
        <w:spacing w:line="247" w:lineRule="exact"/>
        <w:ind w:left="2690"/>
        <w:jc w:val="both"/>
      </w:pPr>
      <w:r>
        <w:t>占比提升带动智能电网改造需求提升，叠加疫后复苏催化海外招标回暖，</w:t>
      </w:r>
      <w:r>
        <w:rPr>
          <w:rFonts w:ascii="Tahoma" w:eastAsia="Tahoma"/>
        </w:rPr>
        <w:t>23Q1</w:t>
      </w:r>
      <w:r>
        <w:rPr>
          <w:rFonts w:ascii="Tahoma" w:eastAsia="Tahoma"/>
          <w:spacing w:val="11"/>
        </w:rPr>
        <w:t xml:space="preserve">  </w:t>
      </w:r>
      <w:r>
        <w:t>起配用</w:t>
      </w:r>
    </w:p>
    <w:p>
      <w:pPr>
        <w:pStyle w:val="BodyText"/>
        <w:spacing w:before="11"/>
        <w:ind w:left="2690"/>
        <w:jc w:val="both"/>
      </w:pPr>
      <w:r>
        <w:t>电出海高景气。</w:t>
      </w:r>
      <w:r>
        <w:rPr>
          <w:rFonts w:ascii="Tahoma" w:eastAsia="Tahoma"/>
        </w:rPr>
        <w:t>23Q2</w:t>
      </w:r>
      <w:r>
        <w:rPr>
          <w:rFonts w:ascii="Tahoma" w:eastAsia="Tahoma"/>
          <w:spacing w:val="8"/>
        </w:rPr>
        <w:t xml:space="preserve">  </w:t>
      </w:r>
      <w:r>
        <w:t>人民币快速贬值进一步增厚出海配用电标的利润，华明装备、思</w:t>
      </w:r>
    </w:p>
    <w:p>
      <w:pPr>
        <w:pStyle w:val="BodyText"/>
        <w:spacing w:before="44" w:line="204" w:lineRule="auto"/>
        <w:ind w:left="2690" w:right="467"/>
      </w:pPr>
      <w:r>
        <w:rPr>
          <w:spacing w:val="-3"/>
        </w:rPr>
        <w:t>源电气、许继电气、平高电气、三星医疗、海兴电力、金盘科技等配用电相关标的收入、盈利能力持续超预期。</w:t>
      </w:r>
      <w:r>
        <w:rPr>
          <w:rFonts w:ascii="Microsoft JhengHei" w:eastAsia="Microsoft JhengHei" w:hAnsi="Microsoft JhengHei" w:hint="eastAsia"/>
          <w:b/>
        </w:rPr>
        <w:t>②特高压产业链：</w:t>
      </w:r>
      <w:r>
        <w:rPr>
          <w:spacing w:val="-3"/>
        </w:rPr>
        <w:t>电网投资大幅增长，特高压建设迎来高峰期， 带动核心设备需求大幅上涨，叠加国网采购一般不会向上游挤压价格、挤压利润，因此</w:t>
      </w:r>
    </w:p>
    <w:p>
      <w:pPr>
        <w:pStyle w:val="BodyText"/>
        <w:spacing w:before="23" w:line="247" w:lineRule="auto"/>
        <w:ind w:left="2690" w:right="677"/>
      </w:pPr>
      <w:r>
        <w:t>需求增厚特高压电网设备核心标的利润，平高电气、许继电气、国电南瑞、华明装备、中国西电、特变电工等特高压核心设备产业链相关标的收入、盈利能力持续超预期。</w:t>
      </w:r>
    </w:p>
    <w:p>
      <w:pPr>
        <w:pStyle w:val="BodyText"/>
        <w:spacing w:before="3"/>
        <w:rPr>
          <w:sz w:val="25"/>
        </w:rPr>
      </w:pPr>
    </w:p>
    <w:p>
      <w:pPr>
        <w:spacing w:before="0"/>
        <w:ind w:left="247" w:right="0" w:firstLine="0"/>
        <w:jc w:val="left"/>
        <w:rPr>
          <w:sz w:val="17"/>
        </w:rPr>
      </w:pPr>
      <w:r>
        <w:pict>
          <v:shape id="_x0000_s1025" style="width:538.95pt;height:0.1pt;margin-top:14.5pt;margin-left:33.96pt;mso-position-horizontal-relative:page;mso-wrap-distance-left:0;mso-wrap-distance-right:0;position:absolute;z-index:-251658240" coordorigin="679,290" coordsize="10779,0" path="m679,290l11458,290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1</w:t>
      </w:r>
      <w:r>
        <w:rPr>
          <w:color w:val="004097"/>
          <w:sz w:val="17"/>
        </w:rPr>
        <w:t>：</w:t>
      </w:r>
      <w:r>
        <w:rPr>
          <w:rFonts w:ascii="Tahoma" w:eastAsia="Tahoma"/>
          <w:i/>
          <w:color w:val="004097"/>
          <w:sz w:val="17"/>
        </w:rPr>
        <w:t xml:space="preserve">2023 </w:t>
      </w:r>
      <w:r>
        <w:rPr>
          <w:color w:val="004097"/>
          <w:sz w:val="17"/>
        </w:rPr>
        <w:t xml:space="preserve">年各板块涨跌幅：电网设备、沪深 </w:t>
      </w:r>
      <w:r>
        <w:rPr>
          <w:rFonts w:ascii="Tahoma" w:eastAsia="Tahoma"/>
          <w:i/>
          <w:color w:val="004097"/>
          <w:sz w:val="17"/>
        </w:rPr>
        <w:t xml:space="preserve">300 </w:t>
      </w:r>
      <w:r>
        <w:rPr>
          <w:color w:val="004097"/>
          <w:sz w:val="17"/>
        </w:rPr>
        <w:t xml:space="preserve">累计上涨 </w:t>
      </w:r>
      <w:r>
        <w:rPr>
          <w:rFonts w:ascii="Tahoma" w:eastAsia="Tahoma"/>
          <w:i/>
          <w:color w:val="004097"/>
          <w:sz w:val="17"/>
        </w:rPr>
        <w:t>0.71%/</w:t>
      </w:r>
      <w:r>
        <w:rPr>
          <w:color w:val="004097"/>
          <w:sz w:val="17"/>
        </w:rPr>
        <w:t xml:space="preserve">下跌 </w:t>
      </w:r>
      <w:r>
        <w:rPr>
          <w:rFonts w:ascii="Tahoma" w:eastAsia="Tahoma"/>
          <w:i/>
          <w:color w:val="004097"/>
          <w:sz w:val="17"/>
        </w:rPr>
        <w:t>11.38%</w:t>
      </w:r>
      <w:r>
        <w:rPr>
          <w:color w:val="004097"/>
          <w:sz w:val="17"/>
        </w:rPr>
        <w:t>（单位：</w:t>
      </w:r>
      <w:r>
        <w:rPr>
          <w:rFonts w:ascii="Tahoma" w:eastAsia="Tahoma"/>
          <w:i/>
          <w:color w:val="004097"/>
          <w:sz w:val="17"/>
        </w:rPr>
        <w:t>%</w:t>
      </w:r>
      <w:r>
        <w:rPr>
          <w:color w:val="004097"/>
          <w:sz w:val="17"/>
        </w:rPr>
        <w:t>）</w: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8"/>
          <w:footerReference w:type="default" r:id="rId9"/>
          <w:pgSz w:w="11910" w:h="16840"/>
          <w:pgMar w:top="900" w:right="0" w:bottom="1060" w:left="540" w:header="708" w:footer="708"/>
          <w:pgNumType w:start="3"/>
          <w:cols w:space="708"/>
        </w:sectPr>
      </w:pPr>
    </w:p>
    <w:p>
      <w:pPr>
        <w:spacing w:before="48"/>
        <w:ind w:left="0" w:right="1" w:firstLine="0"/>
        <w:jc w:val="right"/>
        <w:rPr>
          <w:rFonts w:ascii="Tahoma"/>
          <w:sz w:val="16"/>
        </w:rPr>
      </w:pPr>
      <w:r>
        <w:rPr>
          <w:rFonts w:ascii="Tahoma"/>
          <w:spacing w:val="-2"/>
          <w:sz w:val="16"/>
        </w:rPr>
        <w:t>30</w:t>
      </w:r>
    </w:p>
    <w:p>
      <w:pPr>
        <w:spacing w:before="146"/>
        <w:ind w:left="0" w:right="1" w:firstLine="0"/>
        <w:jc w:val="right"/>
        <w:rPr>
          <w:rFonts w:ascii="Tahoma"/>
          <w:sz w:val="16"/>
        </w:rPr>
      </w:pPr>
      <w:r>
        <w:rPr>
          <w:rFonts w:ascii="Tahoma"/>
          <w:spacing w:val="-2"/>
          <w:sz w:val="16"/>
        </w:rPr>
        <w:t>20</w:t>
      </w:r>
    </w:p>
    <w:p>
      <w:pPr>
        <w:spacing w:before="146"/>
        <w:ind w:left="0" w:right="1" w:firstLine="0"/>
        <w:jc w:val="right"/>
        <w:rPr>
          <w:rFonts w:ascii="Tahoma"/>
          <w:sz w:val="16"/>
        </w:rPr>
      </w:pPr>
      <w:r>
        <w:rPr>
          <w:rFonts w:ascii="Tahoma"/>
          <w:spacing w:val="-2"/>
          <w:sz w:val="16"/>
        </w:rPr>
        <w:t>10</w:t>
      </w:r>
    </w:p>
    <w:p>
      <w:pPr>
        <w:spacing w:before="147"/>
        <w:ind w:left="0" w:right="1" w:firstLine="0"/>
        <w:jc w:val="right"/>
        <w:rPr>
          <w:rFonts w:ascii="Tahoma"/>
          <w:sz w:val="16"/>
        </w:rPr>
      </w:pPr>
      <w:r>
        <w:rPr>
          <w:rFonts w:ascii="Tahoma"/>
          <w:w w:val="100"/>
          <w:sz w:val="16"/>
        </w:rPr>
        <w:t>0</w:t>
      </w:r>
    </w:p>
    <w:p>
      <w:pPr>
        <w:spacing w:before="146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-10</w:t>
      </w:r>
    </w:p>
    <w:p>
      <w:pPr>
        <w:spacing w:before="146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-20</w:t>
      </w:r>
    </w:p>
    <w:p>
      <w:pPr>
        <w:spacing w:before="146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-30</w:t>
      </w:r>
    </w:p>
    <w:p>
      <w:pPr>
        <w:spacing w:before="146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-40</w:t>
      </w:r>
    </w:p>
    <w:p>
      <w:pPr>
        <w:pStyle w:val="BodyText"/>
        <w:rPr>
          <w:rFonts w:ascii="Tahoma"/>
          <w:sz w:val="16"/>
        </w:rPr>
      </w:pPr>
      <w:r>
        <w:br w:type="column"/>
      </w: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pStyle w:val="BodyText"/>
        <w:rPr>
          <w:rFonts w:ascii="Tahoma"/>
          <w:sz w:val="16"/>
        </w:rPr>
      </w:pPr>
    </w:p>
    <w:p>
      <w:pPr>
        <w:spacing w:before="136" w:line="187" w:lineRule="auto"/>
        <w:ind w:left="177" w:right="0" w:firstLine="0"/>
        <w:jc w:val="right"/>
        <w:rPr>
          <w:sz w:val="16"/>
        </w:rPr>
      </w:pPr>
      <w:r>
        <w:pict>
          <v:group id="_x0000_s1026" style="width:475.85pt;height:119pt;margin-top:-118.1pt;margin-left:61.59pt;mso-position-horizontal-relative:page;position:absolute;z-index:251660288" coordorigin="1232,-2362" coordsize="9517,2380">
            <v:rect id="_x0000_s1027" style="width:119;height:24;left:4594;position:absolute;top:-1366" filled="t" fillcolor="#c00000" stroked="f">
              <v:fill type="solid"/>
            </v:rect>
            <v:line id="_x0000_s1028" style="position:absolute" from="4574,-1354" to="4733,-1354" stroked="t" strokecolor="#c00000" strokeweight="3.2pt">
              <v:stroke dashstyle="solid"/>
            </v:line>
            <v:line id="_x0000_s1029" style="position:absolute" from="7329,-1342" to="7329,-956" stroked="t" strokecolor="#c00000" strokeweight="5.95pt">
              <v:stroke dashstyle="solid"/>
            </v:line>
            <v:rect id="_x0000_s1030" style="width:119;height:387;left:7269;position:absolute;top:-1342" filled="f" stroked="t" strokecolor="#c00000" strokeweight="2pt">
              <v:stroke dashstyle="solid"/>
            </v:rect>
            <v:line id="_x0000_s1031" style="position:absolute" from="1382,-2214" to="1382,-1341" stroked="t" strokecolor="#004097" strokeweight="6pt">
              <v:stroke dashstyle="solid"/>
            </v:line>
            <v:rect id="_x0000_s1032" style="width:120;height:874;left:1322;position:absolute;top:-2215" filled="f" stroked="t" strokecolor="#004097" strokeweight="2pt">
              <v:stroke dashstyle="solid"/>
            </v:rect>
            <v:shape id="_x0000_s1033" style="width:54;height:2375;left:1234;position:absolute;top:-2360" coordorigin="1234,-2360" coordsize="54,2375" path="m1234,15l1234,-2360m1234,15l1288,15m1234,-323l1288,-323m1234,-664l1288,-664m1234,-1002l1288,-1002m1234,-1341l1288,-1341m1234,-1682l1288,-1682m1234,-2020l1288,-2020m1234,-2360l1288,-2360e" filled="f" stroked="t" strokecolor="black" strokeweight="0.25pt">
              <v:stroke dashstyle="solid"/>
              <v:path arrowok="t"/>
            </v:shape>
            <v:line id="_x0000_s1034" style="position:absolute" from="1680,-1912" to="1680,-1341" stroked="t" strokecolor="#004097" strokeweight="6pt">
              <v:stroke dashstyle="solid"/>
            </v:line>
            <v:rect id="_x0000_s1035" style="width:120;height:572;left:1620;position:absolute;top:-1912" filled="f" stroked="t" strokecolor="#004097" strokeweight="2pt">
              <v:stroke dashstyle="solid"/>
            </v:rect>
            <v:line id="_x0000_s1036" style="position:absolute" from="1978,-1646" to="1978,-1341" stroked="t" strokecolor="#004097" strokeweight="6pt">
              <v:stroke dashstyle="solid"/>
            </v:line>
            <v:rect id="_x0000_s1037" style="width:120;height:305;left:1917;position:absolute;top:-1646" filled="f" stroked="t" strokecolor="#004097" strokeweight="2pt">
              <v:stroke dashstyle="solid"/>
            </v:rect>
            <v:rect id="_x0000_s1038" style="width:120;height:113;left:2215;position:absolute;top:-1454" filled="t" fillcolor="#004097" stroked="f">
              <v:fill type="solid"/>
            </v:rect>
            <v:rect id="_x0000_s1039" style="width:120;height:113;left:2215;position:absolute;top:-1454" filled="f" stroked="t" strokecolor="#004097" strokeweight="2pt">
              <v:stroke dashstyle="solid"/>
            </v:rect>
            <v:line id="_x0000_s1040" style="position:absolute" from="2573,-1588" to="2573,-1341" stroked="t" strokecolor="#004097" strokeweight="6pt">
              <v:stroke dashstyle="solid"/>
            </v:line>
            <v:rect id="_x0000_s1041" style="width:120;height:248;left:2512;position:absolute;top:-1588" filled="f" stroked="t" strokecolor="#004097" strokeweight="2pt">
              <v:stroke dashstyle="solid"/>
            </v:rect>
            <v:line id="_x0000_s1042" style="position:absolute" from="2869,-1487" to="2869,-1341" stroked="t" strokecolor="#004097" strokeweight="5.88pt">
              <v:stroke dashstyle="solid"/>
            </v:line>
            <v:rect id="_x0000_s1043" style="width:118;height:147;left:2810;position:absolute;top:-1488" filled="f" stroked="t" strokecolor="#004097" strokeweight="2pt">
              <v:stroke dashstyle="solid"/>
            </v:rect>
            <v:rect id="_x0000_s1044" style="width:118;height:113;left:3108;position:absolute;top:-1454" filled="t" fillcolor="#004097" stroked="f">
              <v:fill type="solid"/>
            </v:rect>
            <v:rect id="_x0000_s1045" style="width:118;height:113;left:3108;position:absolute;top:-1454" filled="f" stroked="t" strokecolor="#004097" strokeweight="2pt">
              <v:stroke dashstyle="solid"/>
            </v:rect>
            <v:rect id="_x0000_s1046" style="width:118;height:130;left:3405;position:absolute;top:-1471" filled="t" fillcolor="#004097" stroked="f">
              <v:fill type="solid"/>
            </v:rect>
            <v:rect id="_x0000_s1047" style="width:118;height:130;left:3405;position:absolute;top:-1471" filled="f" stroked="t" strokecolor="#004097" strokeweight="2pt">
              <v:stroke dashstyle="solid"/>
            </v:rect>
            <v:line id="_x0000_s1048" style="position:absolute" from="3761,-1482" to="3761,-1341" stroked="t" strokecolor="#004097" strokeweight="6pt">
              <v:stroke dashstyle="solid"/>
            </v:line>
            <v:rect id="_x0000_s1049" style="width:120;height:142;left:3700;position:absolute;top:-1483" filled="f" stroked="t" strokecolor="#004097" strokeweight="2pt">
              <v:stroke dashstyle="solid"/>
            </v:rect>
            <v:rect id="_x0000_s1050" style="width:120;height:12;left:3998;position:absolute;top:-1353" filled="t" fillcolor="#004097" stroked="f">
              <v:fill type="solid"/>
            </v:rect>
            <v:line id="_x0000_s1051" style="position:absolute" from="3978,-1347" to="4138,-1347" stroked="t" strokecolor="#004097" strokeweight="2.6pt">
              <v:stroke dashstyle="solid"/>
            </v:line>
            <v:rect id="_x0000_s1052" style="width:120;height:89;left:4296;position:absolute;top:-1341" filled="t" fillcolor="#004097" stroked="f">
              <v:fill type="solid"/>
            </v:rect>
            <v:rect id="_x0000_s1053" style="width:120;height:89;left:4296;position:absolute;top:-1341" filled="f" stroked="t" strokecolor="#004097" strokeweight="2pt">
              <v:stroke dashstyle="solid"/>
            </v:rect>
            <v:rect id="_x0000_s1054" style="width:120;height:39;left:4891;position:absolute;top:-1341" filled="t" fillcolor="#004097" stroked="f">
              <v:fill type="solid"/>
            </v:rect>
            <v:line id="_x0000_s1055" style="position:absolute" from="4871,-1322" to="5031,-1322" stroked="t" strokecolor="#004097" strokeweight="3.92pt">
              <v:stroke dashstyle="solid"/>
            </v:line>
            <v:line id="_x0000_s1056" style="position:absolute" from="5248,-1341" to="5248,-1103" stroked="t" strokecolor="#004097" strokeweight="5.88pt">
              <v:stroke dashstyle="solid"/>
            </v:line>
            <v:rect id="_x0000_s1057" style="width:118;height:238;left:5188;position:absolute;top:-1341" filled="f" stroked="t" strokecolor="#004097" strokeweight="2pt">
              <v:stroke dashstyle="solid"/>
            </v:rect>
            <v:line id="_x0000_s1058" style="position:absolute" from="5545,-1341" to="5545,-1103" stroked="t" strokecolor="#004097" strokeweight="5.88pt">
              <v:stroke dashstyle="solid"/>
            </v:line>
            <v:rect id="_x0000_s1059" style="width:118;height:238;left:5486;position:absolute;top:-1341" filled="f" stroked="t" strokecolor="#004097" strokeweight="2pt">
              <v:stroke dashstyle="solid"/>
            </v:rect>
            <v:line id="_x0000_s1060" style="position:absolute" from="5843,-1341" to="5843,-1158" stroked="t" strokecolor="#004097" strokeweight="5.88pt">
              <v:stroke dashstyle="solid"/>
            </v:line>
            <v:rect id="_x0000_s1061" style="width:118;height:183;left:5784;position:absolute;top:-1341" filled="f" stroked="t" strokecolor="#004097" strokeweight="2pt">
              <v:stroke dashstyle="solid"/>
            </v:rect>
            <v:line id="_x0000_s1062" style="position:absolute" from="6140,-1341" to="6140,-1096" stroked="t" strokecolor="#004097" strokeweight="5.88pt">
              <v:stroke dashstyle="solid"/>
            </v:line>
            <v:rect id="_x0000_s1063" style="width:118;height:245;left:6081;position:absolute;top:-1341" filled="f" stroked="t" strokecolor="#004097" strokeweight="2pt">
              <v:stroke dashstyle="solid"/>
            </v:rect>
            <v:line id="_x0000_s1064" style="position:absolute" from="6437,-1341" to="6437,-1065" stroked="t" strokecolor="#004097" strokeweight="6pt">
              <v:stroke dashstyle="solid"/>
            </v:line>
            <v:rect id="_x0000_s1065" style="width:120;height:276;left:6376;position:absolute;top:-1341" filled="f" stroked="t" strokecolor="#004097" strokeweight="2pt">
              <v:stroke dashstyle="solid"/>
            </v:rect>
            <v:line id="_x0000_s1066" style="position:absolute" from="6734,-1341" to="6734,-1110" stroked="t" strokecolor="#004097" strokeweight="6pt">
              <v:stroke dashstyle="solid"/>
            </v:line>
            <v:rect id="_x0000_s1067" style="width:120;height:231;left:6674;position:absolute;top:-1341" filled="f" stroked="t" strokecolor="#004097" strokeweight="2pt">
              <v:stroke dashstyle="solid"/>
            </v:rect>
            <v:line id="_x0000_s1068" style="position:absolute" from="7032,-1341" to="7032,-1074" stroked="t" strokecolor="#004097" strokeweight="6pt">
              <v:stroke dashstyle="solid"/>
            </v:line>
            <v:rect id="_x0000_s1069" style="width:120;height:267;left:6972;position:absolute;top:-1341" filled="f" stroked="t" strokecolor="#004097" strokeweight="2pt">
              <v:stroke dashstyle="solid"/>
            </v:rect>
            <v:line id="_x0000_s1070" style="position:absolute" from="7627,-1341" to="7627,-834" stroked="t" strokecolor="#004097" strokeweight="6pt">
              <v:stroke dashstyle="solid"/>
            </v:line>
            <v:rect id="_x0000_s1071" style="width:120;height:507;left:7567;position:absolute;top:-1341" filled="f" stroked="t" strokecolor="#004097" strokeweight="2pt">
              <v:stroke dashstyle="solid"/>
            </v:rect>
            <v:line id="_x0000_s1072" style="position:absolute" from="7924,-1341" to="7924,-1046" stroked="t" strokecolor="#004097" strokeweight="5.88pt">
              <v:stroke dashstyle="solid"/>
            </v:line>
            <v:rect id="_x0000_s1073" style="width:118;height:296;left:7864;position:absolute;top:-1341" filled="f" stroked="t" strokecolor="#004097" strokeweight="2pt">
              <v:stroke dashstyle="solid"/>
            </v:rect>
            <v:line id="_x0000_s1074" style="position:absolute" from="8221,-1341" to="8221,-897" stroked="t" strokecolor="#004097" strokeweight="5.88pt">
              <v:stroke dashstyle="solid"/>
            </v:line>
            <v:rect id="_x0000_s1075" style="width:118;height:444;left:8162;position:absolute;top:-1341" filled="f" stroked="t" strokecolor="#004097" strokeweight="2pt">
              <v:stroke dashstyle="solid"/>
            </v:rect>
            <v:line id="_x0000_s1076" style="position:absolute" from="8519,-1341" to="8519,-810" stroked="t" strokecolor="#004097" strokeweight="5.88pt">
              <v:stroke dashstyle="solid"/>
            </v:line>
            <v:rect id="_x0000_s1077" style="width:118;height:531;left:8460;position:absolute;top:-1341" filled="f" stroked="t" strokecolor="#004097" strokeweight="2pt">
              <v:stroke dashstyle="solid"/>
            </v:rect>
            <v:line id="_x0000_s1078" style="position:absolute" from="8815,-1341" to="8815,-926" stroked="t" strokecolor="#004097" strokeweight="6pt">
              <v:stroke dashstyle="solid"/>
            </v:line>
            <v:rect id="_x0000_s1079" style="width:120;height:416;left:8755;position:absolute;top:-1341" filled="f" stroked="t" strokecolor="#004097" strokeweight="2pt">
              <v:stroke dashstyle="solid"/>
            </v:rect>
            <v:line id="_x0000_s1080" style="position:absolute" from="9113,-1341" to="9113,-844" stroked="t" strokecolor="#004097" strokeweight="6pt">
              <v:stroke dashstyle="solid"/>
            </v:line>
            <v:rect id="_x0000_s1081" style="width:120;height:497;left:9052;position:absolute;top:-1341" filled="f" stroked="t" strokecolor="#004097" strokeweight="2pt">
              <v:stroke dashstyle="solid"/>
            </v:rect>
            <v:line id="_x0000_s1082" style="position:absolute" from="9410,-1341" to="9410,-594" stroked="t" strokecolor="#004097" strokeweight="6pt">
              <v:stroke dashstyle="solid"/>
            </v:line>
            <v:rect id="_x0000_s1083" style="width:120;height:747;left:9350;position:absolute;top:-1341" filled="f" stroked="t" strokecolor="#004097" strokeweight="2pt">
              <v:stroke dashstyle="solid"/>
            </v:rect>
            <v:line id="_x0000_s1084" style="position:absolute" from="9708,-1341" to="9708,-573" stroked="t" strokecolor="#004097" strokeweight="6pt">
              <v:stroke dashstyle="solid"/>
            </v:line>
            <v:rect id="_x0000_s1085" style="width:120;height:768;left:9648;position:absolute;top:-1341" filled="f" stroked="t" strokecolor="#004097" strokeweight="2pt">
              <v:stroke dashstyle="solid"/>
            </v:rect>
            <v:line id="_x0000_s1086" style="position:absolute" from="10006,-1341" to="10006,-446" stroked="t" strokecolor="#004097" strokeweight="6pt">
              <v:stroke dashstyle="solid"/>
            </v:line>
            <v:rect id="_x0000_s1087" style="width:120;height:896;left:9945;position:absolute;top:-1341" filled="f" stroked="t" strokecolor="#004097" strokeweight="2pt">
              <v:stroke dashstyle="solid"/>
            </v:rect>
            <v:line id="_x0000_s1088" style="position:absolute" from="10302,-1341" to="10302,-280" stroked="t" strokecolor="#004097" strokeweight="5.88pt">
              <v:stroke dashstyle="solid"/>
            </v:line>
            <v:rect id="_x0000_s1089" style="width:118;height:1061;left:10243;position:absolute;top:-1341" filled="f" stroked="t" strokecolor="#004097" strokeweight="2pt">
              <v:stroke dashstyle="solid"/>
            </v:rect>
            <v:line id="_x0000_s1090" style="position:absolute" from="10600,-1341" to="10600,-256" stroked="t" strokecolor="#004097" strokeweight="5.88pt">
              <v:stroke dashstyle="solid"/>
            </v:line>
            <v:rect id="_x0000_s1091" style="width:118;height:1085;left:10540;position:absolute;top:-1341" filled="f" stroked="t" strokecolor="#004097" strokeweight="2pt">
              <v:stroke dashstyle="solid"/>
            </v:rect>
            <v:line id="_x0000_s1092" style="position:absolute" from="1234,-1342" to="10748,-1342" stroked="t" strokecolor="black" strokeweight="0.25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93" type="#_x0000_t202" style="width:334;height:195;left:4496;position:absolute;top:-1649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z w:val="16"/>
                      </w:rPr>
                      <w:t>0.71</w:t>
                    </w:r>
                  </w:p>
                </w:txbxContent>
              </v:textbox>
            </v:shape>
            <v:shape id="_x0000_s1094" type="#_x0000_t202" style="width:480;height:195;left:7100;position:absolute;top:-865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z w:val="16"/>
                      </w:rPr>
                      <w:t>-11.38</w:t>
                    </w:r>
                  </w:p>
                </w:txbxContent>
              </v:textbox>
            </v:shape>
          </v:group>
        </w:pict>
      </w:r>
      <w:r>
        <w:rPr>
          <w:spacing w:val="-1"/>
          <w:sz w:val="16"/>
        </w:rPr>
        <w:t>通 传  计  汽  电 石 机</w:t>
      </w:r>
      <w:r>
        <w:rPr>
          <w:spacing w:val="22"/>
          <w:sz w:val="16"/>
        </w:rPr>
        <w:t>信 媒 算 车 子 油 械</w:t>
      </w:r>
    </w:p>
    <w:p>
      <w:pPr>
        <w:tabs>
          <w:tab w:val="left" w:pos="892"/>
        </w:tabs>
        <w:spacing w:before="0" w:line="149" w:lineRule="exact"/>
        <w:ind w:left="0" w:right="0" w:firstLine="0"/>
        <w:jc w:val="right"/>
        <w:rPr>
          <w:sz w:val="16"/>
        </w:rPr>
      </w:pPr>
      <w:r>
        <w:rPr>
          <w:sz w:val="16"/>
        </w:rPr>
        <w:t>机</w:t>
        <w:tab/>
        <w:t>石</w:t>
      </w:r>
      <w:r>
        <w:rPr>
          <w:spacing w:val="57"/>
          <w:sz w:val="16"/>
        </w:rPr>
        <w:t xml:space="preserve"> </w:t>
      </w:r>
      <w:r>
        <w:rPr>
          <w:sz w:val="16"/>
        </w:rPr>
        <w:t>设</w:t>
      </w:r>
    </w:p>
    <w:p>
      <w:pPr>
        <w:spacing w:before="0" w:line="182" w:lineRule="exact"/>
        <w:ind w:left="0" w:right="0" w:firstLine="0"/>
        <w:jc w:val="right"/>
        <w:rPr>
          <w:sz w:val="16"/>
        </w:rPr>
      </w:pPr>
      <w:r>
        <w:rPr>
          <w:spacing w:val="18"/>
          <w:sz w:val="16"/>
        </w:rPr>
        <w:t>化 备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4"/>
        </w:rPr>
      </w:pPr>
    </w:p>
    <w:p>
      <w:pPr>
        <w:spacing w:before="1" w:line="187" w:lineRule="auto"/>
        <w:ind w:left="96" w:right="0" w:firstLine="0"/>
        <w:jc w:val="both"/>
        <w:rPr>
          <w:sz w:val="16"/>
        </w:rPr>
      </w:pPr>
      <w:r>
        <w:rPr>
          <w:spacing w:val="2"/>
          <w:sz w:val="16"/>
        </w:rPr>
        <w:t>家 煤 纺用 炭 织</w:t>
      </w:r>
      <w:r>
        <w:rPr>
          <w:spacing w:val="1"/>
          <w:sz w:val="16"/>
        </w:rPr>
        <w:t>电     服</w:t>
      </w:r>
    </w:p>
    <w:p>
      <w:pPr>
        <w:spacing w:before="0" w:line="172" w:lineRule="exact"/>
        <w:ind w:left="96" w:right="0" w:firstLine="0"/>
        <w:jc w:val="both"/>
        <w:rPr>
          <w:sz w:val="16"/>
        </w:rPr>
      </w:pPr>
      <w:r>
        <w:rPr>
          <w:spacing w:val="1"/>
          <w:sz w:val="16"/>
        </w:rPr>
        <w:t>器     饰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4"/>
        </w:rPr>
      </w:pPr>
    </w:p>
    <w:p>
      <w:pPr>
        <w:spacing w:before="0" w:line="187" w:lineRule="auto"/>
        <w:ind w:left="96" w:right="0" w:firstLine="0"/>
        <w:jc w:val="both"/>
        <w:rPr>
          <w:sz w:val="16"/>
        </w:rPr>
      </w:pPr>
      <w:r>
        <w:rPr>
          <w:spacing w:val="-4"/>
          <w:sz w:val="16"/>
        </w:rPr>
        <w:t>非 电  公  医  环 建银 网  用  药  保 筑</w:t>
      </w:r>
      <w:r>
        <w:rPr>
          <w:spacing w:val="1"/>
          <w:sz w:val="16"/>
        </w:rPr>
        <w:t>金  设  事  生    装</w:t>
      </w:r>
    </w:p>
    <w:p>
      <w:pPr>
        <w:spacing w:before="0" w:line="172" w:lineRule="exact"/>
        <w:ind w:left="96" w:right="0" w:firstLine="0"/>
        <w:jc w:val="both"/>
        <w:rPr>
          <w:sz w:val="16"/>
        </w:rPr>
      </w:pPr>
      <w:r>
        <w:rPr>
          <w:spacing w:val="1"/>
          <w:sz w:val="16"/>
        </w:rPr>
        <w:t>融  备  业  物    饰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4"/>
        </w:rPr>
      </w:pPr>
    </w:p>
    <w:p>
      <w:pPr>
        <w:spacing w:before="0" w:line="187" w:lineRule="auto"/>
        <w:ind w:left="96" w:right="0" w:firstLine="0"/>
        <w:jc w:val="both"/>
        <w:rPr>
          <w:sz w:val="16"/>
        </w:rPr>
      </w:pPr>
      <w:r>
        <w:rPr>
          <w:spacing w:val="-2"/>
          <w:sz w:val="16"/>
        </w:rPr>
        <w:t>轻 钢  国 银工 铁  防 行</w:t>
      </w:r>
      <w:r>
        <w:rPr>
          <w:spacing w:val="11"/>
          <w:sz w:val="16"/>
        </w:rPr>
        <w:t>制 军</w:t>
      </w:r>
    </w:p>
    <w:p>
      <w:pPr>
        <w:spacing w:before="0" w:line="172" w:lineRule="exact"/>
        <w:ind w:left="96" w:right="0" w:firstLine="0"/>
        <w:jc w:val="both"/>
        <w:rPr>
          <w:sz w:val="16"/>
        </w:rPr>
      </w:pPr>
      <w:r>
        <w:rPr>
          <w:spacing w:val="4"/>
          <w:sz w:val="16"/>
        </w:rPr>
        <w:t>造     工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4"/>
        </w:rPr>
      </w:pPr>
    </w:p>
    <w:p>
      <w:pPr>
        <w:spacing w:before="0" w:line="187" w:lineRule="auto"/>
        <w:ind w:left="96" w:right="0" w:firstLine="0"/>
        <w:jc w:val="right"/>
        <w:rPr>
          <w:sz w:val="16"/>
        </w:rPr>
      </w:pPr>
      <w:r>
        <w:rPr>
          <w:spacing w:val="3"/>
          <w:sz w:val="16"/>
        </w:rPr>
        <w:t>沪 食  有 农 交深 品  色 林 通</w:t>
      </w:r>
      <w:r>
        <w:rPr>
          <w:sz w:val="16"/>
        </w:rPr>
        <w:t>饮 金 牧 运</w:t>
      </w:r>
    </w:p>
    <w:p>
      <w:pPr>
        <w:spacing w:before="0" w:line="172" w:lineRule="exact"/>
        <w:ind w:left="0" w:right="0" w:firstLine="0"/>
        <w:jc w:val="right"/>
        <w:rPr>
          <w:sz w:val="16"/>
        </w:rPr>
      </w:pPr>
      <w:r>
        <w:pict>
          <v:shape id="_x0000_s1095" type="#_x0000_t202" style="width:11.75pt;height:15.35pt;margin-top:-9.72pt;margin-left:360.8pt;mso-position-horizontal-relative:page;position:absolute;z-index:-251657216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300</w:t>
                  </w:r>
                </w:p>
              </w:txbxContent>
            </v:textbox>
          </v:shape>
        </w:pict>
      </w:r>
      <w:r>
        <w:rPr>
          <w:sz w:val="16"/>
        </w:rPr>
        <w:t>料  属  渔 输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"/>
        <w:rPr>
          <w:sz w:val="14"/>
        </w:rPr>
      </w:pPr>
    </w:p>
    <w:p>
      <w:pPr>
        <w:spacing w:before="1" w:line="187" w:lineRule="auto"/>
        <w:ind w:left="96" w:right="0" w:firstLine="0"/>
        <w:jc w:val="right"/>
        <w:rPr>
          <w:sz w:val="16"/>
        </w:rPr>
      </w:pPr>
      <w:r>
        <w:rPr>
          <w:spacing w:val="9"/>
          <w:sz w:val="16"/>
        </w:rPr>
        <w:t>综 基 社 建合 础 会 筑</w:t>
      </w:r>
      <w:r>
        <w:rPr>
          <w:spacing w:val="6"/>
          <w:sz w:val="16"/>
        </w:rPr>
        <w:t>化 服 材</w:t>
      </w:r>
    </w:p>
    <w:p>
      <w:pPr>
        <w:spacing w:before="0" w:line="172" w:lineRule="exact"/>
        <w:ind w:left="0" w:right="0" w:firstLine="0"/>
        <w:jc w:val="right"/>
        <w:rPr>
          <w:sz w:val="16"/>
        </w:rPr>
      </w:pPr>
      <w:r>
        <w:rPr>
          <w:spacing w:val="5"/>
          <w:sz w:val="16"/>
        </w:rPr>
        <w:t>工  务 料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7"/>
        <w:rPr>
          <w:sz w:val="14"/>
        </w:rPr>
      </w:pPr>
    </w:p>
    <w:p>
      <w:pPr>
        <w:spacing w:before="0" w:line="187" w:lineRule="auto"/>
        <w:ind w:left="96" w:right="1221" w:firstLine="0"/>
        <w:jc w:val="both"/>
        <w:rPr>
          <w:sz w:val="16"/>
        </w:rPr>
      </w:pPr>
      <w:r>
        <w:rPr>
          <w:spacing w:val="3"/>
          <w:sz w:val="16"/>
        </w:rPr>
        <w:t>房 商 美地 贸 容</w:t>
      </w:r>
      <w:r>
        <w:rPr>
          <w:spacing w:val="2"/>
          <w:sz w:val="16"/>
        </w:rPr>
        <w:t>产  零 护</w:t>
      </w:r>
    </w:p>
    <w:p>
      <w:pPr>
        <w:spacing w:before="0" w:line="171" w:lineRule="exact"/>
        <w:ind w:left="393" w:right="0" w:firstLine="0"/>
        <w:jc w:val="both"/>
        <w:rPr>
          <w:sz w:val="16"/>
        </w:rPr>
      </w:pPr>
      <w:r>
        <w:rPr>
          <w:spacing w:val="18"/>
          <w:sz w:val="16"/>
        </w:rPr>
        <w:t>售 理</w:t>
      </w:r>
    </w:p>
    <w:p>
      <w:pPr>
        <w:spacing w:after="0" w:line="171" w:lineRule="exact"/>
        <w:jc w:val="both"/>
        <w:rPr>
          <w:sz w:val="16"/>
        </w:rPr>
        <w:sectPr>
          <w:headerReference w:type="default" r:id="rId10"/>
          <w:footerReference w:type="default" r:id="rId11"/>
          <w:type w:val="continuous"/>
          <w:pgSz w:w="11910" w:h="16840"/>
          <w:pgMar w:top="900" w:right="0" w:bottom="1060" w:left="540" w:header="708" w:footer="708"/>
          <w:pgNumType w:start="4"/>
          <w:cols w:num="8" w:space="708" w:equalWidth="0">
            <w:col w:w="547" w:space="40"/>
            <w:col w:w="2123" w:space="39"/>
            <w:col w:w="853" w:space="39"/>
            <w:col w:w="1745" w:space="39"/>
            <w:col w:w="1150" w:space="40"/>
            <w:col w:w="1447" w:space="39"/>
            <w:col w:w="1150" w:space="40"/>
            <w:col w:w="2079" w:space="0"/>
          </w:cols>
        </w:sectPr>
      </w:pPr>
    </w:p>
    <w:p>
      <w:pPr>
        <w:pStyle w:val="BodyText"/>
        <w:spacing w:line="20" w:lineRule="exact"/>
        <w:ind w:left="129"/>
        <w:rPr>
          <w:sz w:val="2"/>
        </w:rPr>
      </w:pPr>
      <w:r>
        <w:rPr>
          <w:sz w:val="2"/>
        </w:rPr>
        <w:pict>
          <v:group id="_x0000_i1096" style="width:538.95pt;height:1pt;mso-position-horizontal-relative:char;mso-position-vertical-relative:line" coordorigin="0,0" coordsize="10779,20">
            <v:line id="_x0000_s1097" style="position:absolute" from="0,10" to="10778,10" stroked="t" strokecolor="#004097" strokeweight="0.96pt">
              <v:stroke dashstyle="solid"/>
            </v:line>
            <w10:wrap type="none"/>
          </v:group>
        </w:pict>
      </w:r>
    </w:p>
    <w:p>
      <w:pPr>
        <w:spacing w:before="0"/>
        <w:ind w:left="247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before="100"/>
        <w:ind w:left="247" w:right="0" w:firstLine="0"/>
        <w:jc w:val="left"/>
        <w:rPr>
          <w:sz w:val="17"/>
        </w:rPr>
      </w:pPr>
      <w:r>
        <w:pict>
          <v:shape id="_x0000_s1098" style="width:547pt;height:0.1pt;margin-top:17.58pt;margin-left:33.96pt;mso-position-horizontal-relative:page;mso-wrap-distance-left:0;mso-wrap-distance-right:0;position:absolute;z-index:-251653120" coordorigin="679,352" coordsize="10940,0" path="m679,352l11618,352e" filled="f" stroked="t" strokecolor="#004097" strokeweight="0.96pt">
            <v:stroke dashstyle="solid"/>
            <v:path arrowok="t"/>
            <w10:wrap type="topAndBottom"/>
          </v:shape>
        </w:pict>
      </w:r>
      <w:r>
        <w:pict>
          <v:line id="_x0000_s1099" style="mso-position-horizontal-relative:page;position:absolute;z-index:251665408" from="240.25pt,31.85pt" to="259.45pt,31.85pt" stroked="t" strokecolor="#a6a6a6" strokeweight="2pt">
            <v:stroke dashstyle="solid"/>
          </v:line>
        </w:pict>
      </w:r>
      <w:r>
        <w:pict>
          <v:line id="_x0000_s1100" style="mso-position-horizontal-relative:page;position:absolute;z-index:-251654144" from="302.1pt,31.85pt" to="321.3pt,31.85pt" stroked="t" strokecolor="#2e5496" strokeweight="1.75pt">
            <v:stroke dashstyle="solid"/>
          </v:line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2</w:t>
      </w:r>
      <w:r>
        <w:rPr>
          <w:color w:val="004097"/>
          <w:sz w:val="17"/>
        </w:rPr>
        <w:t>：</w:t>
      </w:r>
      <w:r>
        <w:rPr>
          <w:rFonts w:ascii="Tahoma" w:eastAsia="Tahoma"/>
          <w:i/>
          <w:color w:val="004097"/>
          <w:sz w:val="17"/>
        </w:rPr>
        <w:t xml:space="preserve">2023 </w:t>
      </w:r>
      <w:r>
        <w:rPr>
          <w:color w:val="004097"/>
          <w:sz w:val="17"/>
        </w:rPr>
        <w:t>年电网设备</w:t>
      </w:r>
      <w:r>
        <w:rPr>
          <w:rFonts w:ascii="Tahoma" w:eastAsia="Tahoma"/>
          <w:i/>
          <w:color w:val="004097"/>
          <w:sz w:val="17"/>
        </w:rPr>
        <w:t>/</w:t>
      </w:r>
      <w:r>
        <w:rPr>
          <w:color w:val="004097"/>
          <w:sz w:val="17"/>
        </w:rPr>
        <w:t xml:space="preserve">沪深 </w:t>
      </w:r>
      <w:r>
        <w:rPr>
          <w:rFonts w:ascii="Tahoma" w:eastAsia="Tahoma"/>
          <w:i/>
          <w:color w:val="004097"/>
          <w:sz w:val="17"/>
        </w:rPr>
        <w:t xml:space="preserve">300 </w:t>
      </w:r>
      <w:r>
        <w:rPr>
          <w:color w:val="004097"/>
          <w:sz w:val="17"/>
        </w:rPr>
        <w:t>指数较年初累计涨跌幅（</w:t>
      </w:r>
      <w:r>
        <w:rPr>
          <w:rFonts w:ascii="Tahoma" w:eastAsia="Tahoma"/>
          <w:i/>
          <w:color w:val="004097"/>
          <w:sz w:val="17"/>
        </w:rPr>
        <w:t>%</w:t>
      </w:r>
      <w:r>
        <w:rPr>
          <w:color w:val="004097"/>
          <w:sz w:val="17"/>
        </w:rPr>
        <w:t>）</w:t>
      </w:r>
    </w:p>
    <w:p>
      <w:pPr>
        <w:tabs>
          <w:tab w:val="left" w:pos="1580"/>
        </w:tabs>
        <w:spacing w:before="136"/>
        <w:ind w:left="343" w:right="0" w:firstLine="0"/>
        <w:jc w:val="center"/>
        <w:rPr>
          <w:rFonts w:ascii="Tahoma" w:eastAsia="Tahoma"/>
          <w:sz w:val="16"/>
        </w:rPr>
      </w:pPr>
      <w:r>
        <w:rPr>
          <w:sz w:val="16"/>
        </w:rPr>
        <w:t>沪深</w:t>
      </w:r>
      <w:r>
        <w:rPr>
          <w:rFonts w:ascii="Tahoma" w:eastAsia="Tahoma"/>
          <w:sz w:val="16"/>
        </w:rPr>
        <w:t>300</w:t>
        <w:tab/>
      </w:r>
      <w:r>
        <w:rPr>
          <w:sz w:val="16"/>
        </w:rPr>
        <w:t>电网设备</w:t>
      </w:r>
      <w:r>
        <w:rPr>
          <w:rFonts w:ascii="Tahoma" w:eastAsia="Tahoma"/>
          <w:sz w:val="16"/>
        </w:rPr>
        <w:t>(</w:t>
      </w:r>
      <w:r>
        <w:rPr>
          <w:sz w:val="16"/>
        </w:rPr>
        <w:t>申万</w:t>
      </w:r>
      <w:r>
        <w:rPr>
          <w:rFonts w:ascii="Tahoma" w:eastAsia="Tahoma"/>
          <w:sz w:val="16"/>
        </w:rPr>
        <w:t>)</w:t>
      </w:r>
    </w:p>
    <w:p>
      <w:pPr>
        <w:pStyle w:val="BodyText"/>
        <w:spacing w:before="2"/>
        <w:rPr>
          <w:rFonts w:ascii="Tahoma"/>
          <w:sz w:val="22"/>
        </w:rPr>
      </w:pPr>
    </w:p>
    <w:p>
      <w:pPr>
        <w:spacing w:before="101"/>
        <w:ind w:left="695" w:right="0" w:firstLine="0"/>
        <w:jc w:val="left"/>
        <w:rPr>
          <w:rFonts w:ascii="Tahoma"/>
          <w:sz w:val="16"/>
        </w:rPr>
      </w:pPr>
      <w:r>
        <w:pict>
          <v:group id="_x0000_s1101" style="width:475pt;height:104pt;margin-top:10.04pt;margin-left:70.46pt;mso-position-horizontal-relative:page;position:absolute;z-index:-251655168" coordorigin="1409,201" coordsize="9500,2080">
            <v:shape id="_x0000_s1102" style="width:9187;height:2075;left:1715;position:absolute;top:203" coordorigin="1716,203" coordsize="9187,2075" path="m1716,2278l1716,203m1716,2278l1769,2278m1716,1760l1769,1760m1716,1242l1769,1242m1716,721l1769,721m1716,203l1769,203m1716,1241l10902,1241m1716,1187l1716,1241m2506,1187l2506,1241m3216,1187l3216,1241m4006,1187l4006,1241m4769,1187l4769,1241m5558,1187l5558,1241m6322,1187l6322,1241m7111,1187l7111,1241m7898,1187l7898,1241m8662,1187l8662,1241m9451,1187l9451,1241m10215,1187l10215,1241e" filled="f" stroked="t" strokecolor="black" strokeweight="0.25pt">
              <v:stroke dashstyle="solid"/>
              <v:path arrowok="t"/>
            </v:shape>
            <v:shape id="_x0000_s1103" style="width:9161;height:1206;left:1728;position:absolute;top:822" coordorigin="1729,822" coordsize="9161,1206" path="m1729,1242l1754,1234,1778,1134,1805,1117,1882,1074,1906,1069,1932,1078,1958,1066,1982,992,2059,908,2086,908,2110,918,2136,884,2160,848,2417,822,2441,882,2467,829,2491,850,2518,903,2594,975,2618,966,2645,990,2671,918,2695,949,2772,898,2798,896,2822,925,2849,966,2873,1045,2950,913,2976,898,3000,949,3026,954,3053,1009,3127,1033,3154,999,3180,922,3204,934,3230,918,3307,946,3331,1026,3358,1045,3382,1064,3408,1136,3485,1078,3509,1112,3535,1110,3562,1172,3586,1146,3662,1172,3689,1114,3713,1093,3739,1040,3763,1054,3840,1074,3866,1093,3890,1083,3917,1040,3943,1023,4018,970,4044,954,4094,963,4121,927,4198,951,4222,958,4248,961,4274,999,4298,968,4375,891,4402,874,4426,925,4452,939,4476,1047,4553,1114,4579,1141,4603,1146,4630,1107,4656,1052,4807,1050,4834,1069,4910,1006,4934,1054,4961,1095,4985,1102,5011,1174,5088,1093,5112,1119,5138,1143,5165,1150,5189,1165,5266,1131,5292,1206,5316,1280,5342,1290,5366,1290,5443,1314,5470,1306,5494,1359,5520,1350,5546,1275,5621,1299,5647,1347,5674,1371,5698,1330,5724,1309,5801,1299,5825,1270,5851,1273,5875,1191,5902,1141,5978,1184,6002,1191,6029,1273,6156,1345,6182,1297,6206,1304,6233,1328,6259,1302,6334,1234,6360,1225,6386,1266,6410,1302,6437,1323,6514,1299,6538,1266,6564,1299,6588,1227,6614,1225,6691,1268,6715,1285,6742,1290,6768,1326,6792,1328,6869,1352,6895,1203,6919,1215,6946,1222,6970,1100,7046,1071,7073,1093,7097,1131,7123,1083,7150,1064,7224,1105,7250,1119,7277,1134,7301,1124,7327,1246,7404,1282,7428,1297,7454,1333,7478,1316,7505,1378,7582,1453,7606,1414,7632,1496,7658,1460,7682,1479,7759,1422,7786,1371,7810,1374,7836,1405,7860,1369,7937,1292,7963,1330,7987,1342,8014,1412,8040,1438,8114,1400,8141,1410,8167,1443,8191,1446,8218,1479,8294,1455,8318,1465,8345,1484,8371,1527,8395,1438,8472,1472,8498,1501,8522,1491,8549,1506,8827,1510,8854,1549,8880,1534,8904,1489,8930,1539,9007,1590,9031,1573,9058,1611,9082,1714,9108,1743,9185,1791,9209,1774,9235,1753,9262,1738,9286,1674,9362,1647,9389,1662,9413,1664,9439,1686,9463,1645,9540,1580,9566,1599,9590,1609,9617,1606,9643,1642,9718,1652,9744,1650,9770,1616,9794,1662,9821,1666,9898,1657,9922,1650,9948,1698,9972,1676,9998,1707,10075,1743,10102,1734,10126,1774,10152,1762,10176,1782,10253,1810,10279,1899,10303,1892,10330,1904,10356,1892,10430,1866,10457,1856,10483,1933,10507,1954,10534,1969,10610,1986,10634,1978,10661,2028,10685,1983,10711,1976,10788,1962,10812,1993,10838,1976,10865,1873,10889,1849e" filled="f" stroked="t" strokecolor="#a6a6a6" strokeweight="2pt">
              <v:stroke dashstyle="solid"/>
              <v:path arrowok="t"/>
            </v:shape>
            <v:shape id="_x0000_s1104" style="width:9161;height:931;left:1728;position:absolute;top:676" coordorigin="1729,676" coordsize="9161,931" path="m1729,1242l1754,1306,1778,1220,1805,1148,1882,1074,1906,1083,1932,1117,1958,1062,1982,1076,2059,987,2086,963,2110,946,2136,963,2160,896,2417,870,2441,870,2467,817,2491,860,2518,910,2594,872,2618,867,2645,841,2671,802,2695,843,2772,805,2798,682,2822,676,2849,860,2873,932,2950,874,2976,810,3000,822,3026,814,3053,848,3127,807,3154,788,3180,790,3204,862,3230,853,3307,805,3331,906,3358,910,3382,927,3408,1011,3485,956,3509,1066,3535,982,3562,1117,3586,1057,3662,1023,3689,973,3713,992,3739,1016,3763,970,3840,963,3866,1018,3890,1050,3917,1045,3943,1026,4018,1006,4044,1119,4094,1138,4121,1110,4198,1095,4222,1129,4248,1141,4274,1150,4298,1136,4375,1076,4402,1030,4426,1059,4452,1112,4476,1213,4553,1218,4579,1338,4603,1201,4630,1222,4656,1131,4807,1064,4834,1146,4910,1069,4934,1153,4961,997,4985,980,5011,1054,5088,898,5112,846,5138,771,5165,814,5189,841,5266,802,5292,927,5316,925,5342,874,5366,925,5443,954,5470,896,5494,973,5520,994,5546,942,5621,942,5647,1064,5674,1110,5698,1150,5724,1066,5801,1064,5825,1006,5851,1064,5875,925,5902,894,5978,913,6002,934,6029,1009,6156,1057,6182,985,6206,961,6233,920,6259,879,6334,836,6360,822,6386,853,6410,867,6437,898,6514,865,6538,822,6564,759,6588,733,6614,810,6691,716,6715,764,6742,798,6768,894,6792,963,6869,963,6895,934,6919,975,6946,992,6970,970,7046,915,7073,901,7097,927,7123,918,7150,903,7224,901,7250,937,7277,980,7301,956,7327,1066,7404,1062,7428,1117,7454,1201,7478,1167,7505,1215,7582,1285,7606,1268,7632,1369,7658,1366,7682,1426,7759,1371,7786,1218,7810,1189,7836,1227,7860,1246,7937,1194,7963,1194,7987,1196,8014,1299,8040,1292,8114,1242,8141,1249,8167,1321,8191,1352,8218,1366,8294,1350,8318,1395,8345,1448,8371,1474,8395,1369,8472,1388,8498,1405,8522,1333,8549,1285,8827,1268,8854,1285,8880,1328,8904,1273,8930,1326,9007,1388,9031,1381,9058,1443,9082,1498,9108,1484,9185,1597,9209,1558,9235,1532,9262,1494,9286,1424,9362,1395,9389,1448,9413,1429,9439,1479,9463,1419,9540,1357,9566,1345,9590,1366,9617,1347,9643,1362,9718,1350,9744,1364,9770,1304,9794,1362,9821,1323,9898,1280,9922,1328,9948,1400,9972,1354,9998,1422,10075,1359,10102,1321,10126,1330,10152,1354,10176,1364,10253,1371,10279,1455,10303,1455,10330,1477,10356,1496,10430,1443,10457,1450,10483,1474,10507,1455,10534,1506,10610,1578,10634,1549,10661,1606,10685,1542,10711,1542,10788,1534,10812,1580,10838,1542,10865,1398,10889,1316e" filled="f" stroked="t" strokecolor="#2e5496" strokeweight="1.75pt">
              <v:stroke dashstyle="solid"/>
              <v:path arrowok="t"/>
            </v:shape>
            <v:shape id="_x0000_s1105" type="#_x0000_t202" style="width:178;height:195;left:1410;position:absolute;top:618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w w:val="100"/>
                        <w:sz w:val="16"/>
                      </w:rPr>
                      <w:t>%</w:t>
                    </w:r>
                  </w:p>
                </w:txbxContent>
              </v:textbox>
            </v:shape>
            <v:shape id="_x0000_s1106" type="#_x0000_t202" style="width:543;height:714;left:1409;position:absolute;top:1137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pacing w:val="-1"/>
                        <w:w w:val="100"/>
                        <w:sz w:val="16"/>
                      </w:rPr>
                      <w:t>%</w:t>
                    </w:r>
                  </w:p>
                  <w:p>
                    <w:pPr>
                      <w:spacing w:before="18"/>
                      <w:ind w:left="116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z w:val="16"/>
                      </w:rPr>
                      <w:t>23-01</w:t>
                    </w:r>
                  </w:p>
                  <w:p>
                    <w:pPr>
                      <w:spacing w:before="114"/>
                      <w:ind w:left="1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w w:val="100"/>
                        <w:sz w:val="16"/>
                      </w:rPr>
                      <w:t>%</w:t>
                    </w:r>
                  </w:p>
                </w:txbxContent>
              </v:textbox>
            </v:shape>
            <v:shape id="_x0000_s1107" type="#_x0000_t202" style="width:427;height:195;left:2314;position:absolute;top:1349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z w:val="16"/>
                      </w:rPr>
                      <w:t>23-02</w:t>
                    </w:r>
                  </w:p>
                </w:txbxContent>
              </v:textbox>
            </v:shape>
            <v:shape id="_x0000_s1108" type="#_x0000_t202" style="width:7426;height:195;left:3026;position:absolute;top:1349" filled="f" stroked="f">
              <v:textbox inset="0,0,0,0">
                <w:txbxContent>
                  <w:p>
                    <w:pPr>
                      <w:tabs>
                        <w:tab w:val="left" w:pos="789"/>
                        <w:tab w:val="left" w:pos="1552"/>
                        <w:tab w:val="left" w:pos="2341"/>
                        <w:tab w:val="left" w:pos="3105"/>
                        <w:tab w:val="left" w:pos="3893"/>
                        <w:tab w:val="left" w:pos="4682"/>
                        <w:tab w:val="left" w:pos="5446"/>
                        <w:tab w:val="left" w:pos="6235"/>
                        <w:tab w:val="left" w:pos="6998"/>
                      </w:tabs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z w:val="16"/>
                      </w:rPr>
                      <w:t>23-03</w:t>
                      <w:tab/>
                      <w:t>23-04</w:t>
                      <w:tab/>
                      <w:t>23-05</w:t>
                      <w:tab/>
                      <w:t>23-06</w:t>
                      <w:tab/>
                      <w:t>23-07</w:t>
                      <w:tab/>
                      <w:t>23-08</w:t>
                      <w:tab/>
                      <w:t>23-09</w:t>
                      <w:tab/>
                      <w:t>23-10</w:t>
                      <w:tab/>
                      <w:t>23-11</w:t>
                      <w:tab/>
                      <w:t>23-12</w:t>
                    </w:r>
                  </w:p>
                </w:txbxContent>
              </v:textbox>
            </v:shape>
          </v:group>
        </w:pict>
      </w:r>
      <w:r>
        <w:rPr>
          <w:rFonts w:ascii="Tahoma"/>
          <w:sz w:val="16"/>
        </w:rPr>
        <w:t>20%</w:t>
      </w:r>
    </w:p>
    <w:p>
      <w:pPr>
        <w:pStyle w:val="BodyText"/>
        <w:spacing w:before="7"/>
        <w:rPr>
          <w:rFonts w:ascii="Tahoma"/>
          <w:sz w:val="18"/>
        </w:rPr>
      </w:pPr>
    </w:p>
    <w:p>
      <w:pPr>
        <w:spacing w:before="101"/>
        <w:ind w:left="695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10</w:t>
      </w:r>
    </w:p>
    <w:p>
      <w:pPr>
        <w:pStyle w:val="BodyText"/>
        <w:spacing w:before="8"/>
        <w:rPr>
          <w:rFonts w:ascii="Tahoma"/>
          <w:sz w:val="18"/>
        </w:rPr>
      </w:pPr>
    </w:p>
    <w:p>
      <w:pPr>
        <w:spacing w:before="101"/>
        <w:ind w:left="782" w:right="0" w:firstLine="0"/>
        <w:jc w:val="left"/>
        <w:rPr>
          <w:rFonts w:ascii="Tahoma"/>
          <w:sz w:val="16"/>
        </w:rPr>
      </w:pPr>
      <w:r>
        <w:rPr>
          <w:rFonts w:ascii="Tahoma"/>
          <w:spacing w:val="-1"/>
          <w:w w:val="100"/>
          <w:sz w:val="16"/>
        </w:rPr>
        <w:t>0</w:t>
      </w:r>
    </w:p>
    <w:p>
      <w:pPr>
        <w:pStyle w:val="BodyText"/>
        <w:spacing w:before="7"/>
        <w:rPr>
          <w:rFonts w:ascii="Tahoma"/>
          <w:sz w:val="18"/>
        </w:rPr>
      </w:pPr>
    </w:p>
    <w:p>
      <w:pPr>
        <w:spacing w:before="101"/>
        <w:ind w:left="636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-10</w:t>
      </w:r>
    </w:p>
    <w:p>
      <w:pPr>
        <w:pStyle w:val="BodyText"/>
        <w:spacing w:before="8"/>
        <w:rPr>
          <w:rFonts w:ascii="Tahoma"/>
          <w:sz w:val="18"/>
        </w:rPr>
      </w:pPr>
    </w:p>
    <w:p>
      <w:pPr>
        <w:spacing w:before="101"/>
        <w:ind w:left="636" w:right="0" w:firstLine="0"/>
        <w:jc w:val="left"/>
        <w:rPr>
          <w:rFonts w:ascii="Tahoma"/>
          <w:sz w:val="16"/>
        </w:rPr>
      </w:pPr>
      <w:r>
        <w:pict>
          <v:shape id="_x0000_s1109" style="width:547pt;height:0.1pt;margin-top:34.99pt;margin-left:33.96pt;mso-position-horizontal-relative:page;mso-wrap-distance-left:0;mso-wrap-distance-right:0;position:absolute;z-index:-251652096" coordorigin="679,700" coordsize="10940,0" path="m679,700l11618,700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rFonts w:ascii="Tahoma"/>
          <w:sz w:val="16"/>
        </w:rPr>
        <w:t>-20%</w:t>
      </w:r>
    </w:p>
    <w:p>
      <w:pPr>
        <w:pStyle w:val="BodyText"/>
        <w:rPr>
          <w:rFonts w:ascii="Tahoma"/>
          <w:sz w:val="24"/>
        </w:rPr>
      </w:pPr>
    </w:p>
    <w:p>
      <w:pPr>
        <w:spacing w:before="0"/>
        <w:ind w:left="247" w:right="0" w:firstLine="0"/>
        <w:jc w:val="left"/>
        <w:rPr>
          <w:sz w:val="17"/>
        </w:rPr>
      </w:pPr>
      <w:r>
        <w:t xml:space="preserve">资料来源： ， </w:t>
      </w:r>
    </w:p>
    <w:p>
      <w:pPr>
        <w:spacing w:after="0"/>
        <w:jc w:val="left"/>
        <w:rPr>
          <w:sz w:val="17"/>
        </w:rPr>
        <w:sectPr>
          <w:headerReference w:type="default" r:id="rId12"/>
          <w:footerReference w:type="default" r:id="rId13"/>
          <w:type w:val="continuous"/>
          <w:pgSz w:w="11910" w:h="16840"/>
          <w:pgMar w:top="900" w:right="0" w:bottom="1060" w:left="540" w:header="708" w:footer="708"/>
          <w:pgNumType w:start="5"/>
          <w:cols w:space="708"/>
        </w:sectPr>
      </w:pPr>
    </w:p>
    <w:p>
      <w:pPr>
        <w:pStyle w:val="BodyText"/>
        <w:spacing w:before="76" w:line="228" w:lineRule="auto"/>
        <w:ind w:left="2690" w:right="672"/>
        <w:jc w:val="both"/>
      </w:pPr>
      <w:r>
        <w:rPr>
          <w:rFonts w:ascii="Microsoft JhengHei" w:eastAsia="Microsoft JhengHei" w:hint="eastAsia"/>
          <w:b/>
          <w:spacing w:val="2"/>
        </w:rPr>
        <w:t>公司层面：</w:t>
      </w:r>
      <w:r>
        <w:rPr>
          <w:u w:val="single"/>
        </w:rPr>
        <w:t>分公司看</w:t>
      </w:r>
      <w:r>
        <w:t>，</w:t>
      </w:r>
      <w:r>
        <w:rPr>
          <w:rFonts w:ascii="Tahoma" w:eastAsia="Tahoma"/>
        </w:rPr>
        <w:t xml:space="preserve">2023 </w:t>
      </w:r>
      <w:r>
        <w:t>年以来市场表现前三为殷图网联</w:t>
      </w:r>
      <w:r>
        <w:rPr>
          <w:rFonts w:ascii="Tahoma" w:eastAsia="Tahoma"/>
        </w:rPr>
        <w:t>/</w:t>
      </w:r>
      <w:r>
        <w:rPr>
          <w:spacing w:val="1"/>
        </w:rPr>
        <w:t>灿能电力</w:t>
      </w:r>
      <w:r>
        <w:rPr>
          <w:rFonts w:ascii="Tahoma" w:eastAsia="Tahoma"/>
        </w:rPr>
        <w:t>/</w:t>
      </w:r>
      <w:r>
        <w:t>华明装备，年</w:t>
      </w:r>
      <w:r>
        <w:rPr>
          <w:spacing w:val="-9"/>
        </w:rPr>
        <w:t xml:space="preserve">初至今分别累计上涨 </w:t>
      </w:r>
      <w:r>
        <w:rPr>
          <w:rFonts w:ascii="Tahoma" w:eastAsia="Tahoma"/>
        </w:rPr>
        <w:t>130.25%/107.99%/93.36%</w:t>
      </w:r>
      <w:r>
        <w:rPr>
          <w:spacing w:val="-10"/>
        </w:rPr>
        <w:t xml:space="preserve">；跌幅前三为 </w:t>
      </w:r>
      <w:r>
        <w:rPr>
          <w:rFonts w:ascii="Tahoma" w:eastAsia="Tahoma"/>
        </w:rPr>
        <w:t xml:space="preserve">ST </w:t>
      </w:r>
      <w:r>
        <w:rPr>
          <w:spacing w:val="-2"/>
        </w:rPr>
        <w:t>华仪</w:t>
      </w:r>
      <w:r>
        <w:rPr>
          <w:rFonts w:ascii="Tahoma" w:eastAsia="Tahoma"/>
        </w:rPr>
        <w:t xml:space="preserve">/ST </w:t>
      </w:r>
      <w:r>
        <w:rPr>
          <w:spacing w:val="-2"/>
        </w:rPr>
        <w:t>红相</w:t>
      </w:r>
      <w:r>
        <w:rPr>
          <w:rFonts w:ascii="Tahoma" w:eastAsia="Tahoma"/>
        </w:rPr>
        <w:t>/</w:t>
      </w:r>
      <w:r>
        <w:rPr>
          <w:spacing w:val="-2"/>
        </w:rPr>
        <w:t>南网科</w:t>
      </w:r>
      <w:r>
        <w:rPr>
          <w:spacing w:val="-11"/>
        </w:rPr>
        <w:t xml:space="preserve">技，累计下跌 </w:t>
      </w:r>
      <w:r>
        <w:rPr>
          <w:rFonts w:ascii="Tahoma" w:eastAsia="Tahoma"/>
        </w:rPr>
        <w:t>82.79/60.17/56.14%</w:t>
      </w:r>
      <w:r>
        <w:t>。</w:t>
      </w:r>
    </w:p>
    <w:p>
      <w:pPr>
        <w:pStyle w:val="BodyText"/>
        <w:spacing w:before="3"/>
        <w:rPr>
          <w:sz w:val="26"/>
        </w:rPr>
      </w:pPr>
    </w:p>
    <w:p>
      <w:pPr>
        <w:spacing w:before="0"/>
        <w:ind w:left="247" w:right="0" w:firstLine="0"/>
        <w:jc w:val="left"/>
        <w:rPr>
          <w:sz w:val="17"/>
        </w:rPr>
      </w:pPr>
      <w:r>
        <w:pict>
          <v:shape id="_x0000_s1110" style="width:545.9pt;height:0.1pt;margin-top:14.5pt;margin-left:33.96pt;mso-position-horizontal-relative:page;mso-wrap-distance-left:0;mso-wrap-distance-right:0;position:absolute;z-index:-251650048" coordorigin="679,290" coordsize="10918,0" path="m679,290l11597,290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3</w:t>
      </w:r>
      <w:r>
        <w:rPr>
          <w:color w:val="004097"/>
          <w:sz w:val="17"/>
        </w:rPr>
        <w:t>：</w:t>
      </w:r>
      <w:r>
        <w:rPr>
          <w:rFonts w:ascii="Tahoma" w:eastAsia="Tahoma"/>
          <w:i/>
          <w:color w:val="004097"/>
          <w:sz w:val="17"/>
        </w:rPr>
        <w:t xml:space="preserve">2023 </w:t>
      </w:r>
      <w:r>
        <w:rPr>
          <w:color w:val="004097"/>
          <w:sz w:val="17"/>
        </w:rPr>
        <w:t xml:space="preserve">电网设备板块涨幅前 </w:t>
      </w:r>
      <w:r>
        <w:rPr>
          <w:rFonts w:ascii="Tahoma" w:eastAsia="Tahoma"/>
          <w:i/>
          <w:color w:val="004097"/>
          <w:sz w:val="17"/>
        </w:rPr>
        <w:t xml:space="preserve">15 </w:t>
      </w:r>
      <w:r>
        <w:rPr>
          <w:color w:val="004097"/>
          <w:sz w:val="17"/>
        </w:rPr>
        <w:t>标的（</w:t>
      </w:r>
      <w:r>
        <w:rPr>
          <w:rFonts w:ascii="Tahoma" w:eastAsia="Tahoma"/>
          <w:i/>
          <w:color w:val="004097"/>
          <w:sz w:val="17"/>
        </w:rPr>
        <w:t>%</w:t>
      </w:r>
      <w:r>
        <w:rPr>
          <w:color w:val="004097"/>
          <w:sz w:val="17"/>
        </w:rPr>
        <w:t>）</w:t>
      </w:r>
    </w:p>
    <w:p>
      <w:pPr>
        <w:pStyle w:val="BodyText"/>
        <w:spacing w:before="10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4"/>
          <w:footerReference w:type="default" r:id="rId15"/>
          <w:pgSz w:w="11910" w:h="16840"/>
          <w:pgMar w:top="900" w:right="0" w:bottom="1060" w:left="540" w:header="708" w:footer="708"/>
          <w:pgNumType w:start="6"/>
          <w:cols w:space="708"/>
        </w:sectPr>
      </w:pPr>
    </w:p>
    <w:p>
      <w:pPr>
        <w:spacing w:before="114"/>
        <w:ind w:left="0" w:right="1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140%</w:t>
      </w:r>
    </w:p>
    <w:p>
      <w:pPr>
        <w:spacing w:before="146"/>
        <w:ind w:left="0" w:right="1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120%</w:t>
      </w:r>
    </w:p>
    <w:p>
      <w:pPr>
        <w:spacing w:before="147"/>
        <w:ind w:left="0" w:right="1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100%</w:t>
      </w:r>
    </w:p>
    <w:p>
      <w:pPr>
        <w:spacing w:before="146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80%</w:t>
      </w:r>
    </w:p>
    <w:p>
      <w:pPr>
        <w:spacing w:before="146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60%</w:t>
      </w:r>
    </w:p>
    <w:p>
      <w:pPr>
        <w:spacing w:before="146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40%</w:t>
      </w:r>
    </w:p>
    <w:p>
      <w:pPr>
        <w:spacing w:before="146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20%</w:t>
      </w:r>
    </w:p>
    <w:p>
      <w:pPr>
        <w:spacing w:before="146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2"/>
          <w:sz w:val="16"/>
        </w:rPr>
        <w:t>0%</w:t>
      </w:r>
    </w:p>
    <w:p>
      <w:pPr>
        <w:spacing w:before="101"/>
        <w:ind w:left="104" w:right="0" w:firstLine="0"/>
        <w:jc w:val="left"/>
        <w:rPr>
          <w:rFonts w:ascii="Tahoma"/>
          <w:sz w:val="16"/>
        </w:rPr>
      </w:pPr>
      <w:r>
        <w:br w:type="column"/>
      </w:r>
      <w:r>
        <w:rPr>
          <w:rFonts w:ascii="Tahoma"/>
          <w:sz w:val="16"/>
        </w:rPr>
        <w:t>130.25%</w:t>
      </w:r>
    </w:p>
    <w:p>
      <w:pPr>
        <w:pStyle w:val="BodyText"/>
        <w:spacing w:before="4"/>
        <w:rPr>
          <w:rFonts w:ascii="Tahoma"/>
          <w:sz w:val="15"/>
        </w:rPr>
      </w:pPr>
    </w:p>
    <w:p>
      <w:pPr>
        <w:spacing w:before="0"/>
        <w:ind w:left="742" w:right="0" w:firstLine="0"/>
        <w:jc w:val="left"/>
        <w:rPr>
          <w:rFonts w:ascii="Tahoma"/>
          <w:sz w:val="16"/>
        </w:rPr>
      </w:pPr>
      <w:r>
        <w:pict>
          <v:group id="_x0000_s1111" style="width:478.95pt;height:119.9pt;margin-top:-13.19pt;margin-left:80.47pt;mso-position-horizontal-relative:page;position:absolute;z-index:-251649024" coordorigin="1609,-264" coordsize="9579,2398">
            <v:rect id="_x0000_s1112" style="width:257;height:2210;left:1802;position:absolute;top:-97" filled="t" fillcolor="#004097" stroked="f">
              <v:fill type="solid"/>
            </v:rect>
            <v:rect id="_x0000_s1113" style="width:257;height:2210;left:1802;position:absolute;top:-97" filled="f" stroked="t" strokecolor="#004097" strokeweight="2pt">
              <v:stroke dashstyle="solid"/>
            </v:rect>
            <v:rect id="_x0000_s1114" style="width:257;height:1831;left:2440;position:absolute;top:282" filled="t" fillcolor="#004097" stroked="f">
              <v:fill type="solid"/>
            </v:rect>
            <v:rect id="_x0000_s1115" style="width:257;height:1831;left:2440;position:absolute;top:282" filled="f" stroked="t" strokecolor="#004097" strokeweight="2pt">
              <v:stroke dashstyle="solid"/>
            </v:rect>
            <v:rect id="_x0000_s1116" style="width:257;height:1584;left:3079;position:absolute;top:530" filled="t" fillcolor="#004097" stroked="f">
              <v:fill type="solid"/>
            </v:rect>
            <v:rect id="_x0000_s1117" style="width:257;height:1584;left:3079;position:absolute;top:530" filled="f" stroked="t" strokecolor="#004097" strokeweight="2pt">
              <v:stroke dashstyle="solid"/>
            </v:rect>
            <v:rect id="_x0000_s1118" style="width:257;height:1519;left:3717;position:absolute;top:594" filled="t" fillcolor="#004097" stroked="f">
              <v:fill type="solid"/>
            </v:rect>
            <v:rect id="_x0000_s1119" style="width:257;height:1519;left:3717;position:absolute;top:594" filled="f" stroked="t" strokecolor="#004097" strokeweight="2pt">
              <v:stroke dashstyle="solid"/>
            </v:rect>
            <v:rect id="_x0000_s1120" style="width:257;height:1466;left:4356;position:absolute;top:647" filled="t" fillcolor="#004097" stroked="f">
              <v:fill type="solid"/>
            </v:rect>
            <v:rect id="_x0000_s1121" style="width:257;height:1466;left:4356;position:absolute;top:647" filled="f" stroked="t" strokecolor="#004097" strokeweight="2pt">
              <v:stroke dashstyle="solid"/>
            </v:rect>
            <v:rect id="_x0000_s1122" style="width:255;height:1433;left:4994;position:absolute;top:681" filled="t" fillcolor="#004097" stroked="f">
              <v:fill type="solid"/>
            </v:rect>
            <v:rect id="_x0000_s1123" style="width:255;height:1433;left:4994;position:absolute;top:681" filled="f" stroked="t" strokecolor="#004097" strokeweight="2pt">
              <v:stroke dashstyle="solid"/>
            </v:rect>
            <v:rect id="_x0000_s1124" style="width:255;height:1181;left:5632;position:absolute;top:933" filled="t" fillcolor="#004097" stroked="f">
              <v:fill type="solid"/>
            </v:rect>
            <v:rect id="_x0000_s1125" style="width:255;height:1181;left:5632;position:absolute;top:933" filled="f" stroked="t" strokecolor="#004097" strokeweight="2pt">
              <v:stroke dashstyle="solid"/>
            </v:rect>
            <v:rect id="_x0000_s1126" style="width:255;height:1142;left:6271;position:absolute;top:971" filled="t" fillcolor="#004097" stroked="f">
              <v:fill type="solid"/>
            </v:rect>
            <v:rect id="_x0000_s1127" style="width:255;height:1142;left:6271;position:absolute;top:971" filled="f" stroked="t" strokecolor="#004097" strokeweight="2pt">
              <v:stroke dashstyle="solid"/>
            </v:rect>
            <v:rect id="_x0000_s1128" style="width:255;height:1075;left:6909;position:absolute;top:1038" filled="t" fillcolor="#004097" stroked="f">
              <v:fill type="solid"/>
            </v:rect>
            <v:rect id="_x0000_s1129" style="width:255;height:1075;left:6909;position:absolute;top:1038" filled="f" stroked="t" strokecolor="#004097" strokeweight="2pt">
              <v:stroke dashstyle="solid"/>
            </v:rect>
            <v:rect id="_x0000_s1130" style="width:255;height:1070;left:7548;position:absolute;top:1043" filled="t" fillcolor="#004097" stroked="f">
              <v:fill type="solid"/>
            </v:rect>
            <v:rect id="_x0000_s1131" style="width:255;height:1070;left:7548;position:absolute;top:1043" filled="f" stroked="t" strokecolor="#004097" strokeweight="2pt">
              <v:stroke dashstyle="solid"/>
            </v:rect>
            <v:rect id="_x0000_s1132" style="width:255;height:1037;left:8186;position:absolute;top:1077" filled="t" fillcolor="#004097" stroked="f">
              <v:fill type="solid"/>
            </v:rect>
            <v:rect id="_x0000_s1133" style="width:255;height:1037;left:8186;position:absolute;top:1077" filled="f" stroked="t" strokecolor="#004097" strokeweight="2pt">
              <v:stroke dashstyle="solid"/>
            </v:rect>
            <v:rect id="_x0000_s1134" style="width:255;height:1027;left:8824;position:absolute;top:1086" filled="t" fillcolor="#004097" stroked="f">
              <v:fill type="solid"/>
            </v:rect>
            <v:rect id="_x0000_s1135" style="width:255;height:1027;left:8824;position:absolute;top:1086" filled="f" stroked="t" strokecolor="#004097" strokeweight="2pt">
              <v:stroke dashstyle="solid"/>
            </v:rect>
            <v:rect id="_x0000_s1136" style="width:255;height:967;left:9463;position:absolute;top:1146" filled="t" fillcolor="#004097" stroked="f">
              <v:fill type="solid"/>
            </v:rect>
            <v:rect id="_x0000_s1137" style="width:255;height:967;left:9463;position:absolute;top:1146" filled="f" stroked="t" strokecolor="#004097" strokeweight="2pt">
              <v:stroke dashstyle="solid"/>
            </v:rect>
            <v:rect id="_x0000_s1138" style="width:255;height:955;left:10101;position:absolute;top:1158" filled="t" fillcolor="#004097" stroked="f">
              <v:fill type="solid"/>
            </v:rect>
            <v:rect id="_x0000_s1139" style="width:255;height:955;left:10101;position:absolute;top:1158" filled="f" stroked="t" strokecolor="#004097" strokeweight="2pt">
              <v:stroke dashstyle="solid"/>
            </v:rect>
            <v:rect id="_x0000_s1140" style="width:255;height:950;left:10740;position:absolute;top:1163" filled="t" fillcolor="#004097" stroked="f">
              <v:fill type="solid"/>
            </v:rect>
            <v:rect id="_x0000_s1141" style="width:255;height:950;left:10740;position:absolute;top:1163" filled="f" stroked="t" strokecolor="#004097" strokeweight="2pt">
              <v:stroke dashstyle="solid"/>
            </v:rect>
            <v:shape id="_x0000_s1142" style="width:9574;height:2375;left:1611;position:absolute;top:-262" coordorigin="1612,-261" coordsize="9574,2375" path="m1612,2113l1612,-261m1612,2113l1665,2113m1612,1773l1665,1773m1612,1435l1665,1435m1612,1096l1665,1096m1612,756l1665,756m1612,417l1665,417m1612,79l1665,79m1612,-261l1665,-261m1612,2113l11186,2113m1612,2067l1612,2113m2251,2067l2251,2113m2890,2067l2890,2113m3526,2067l3526,2113m4164,2067l4164,2113m4802,2067l4802,2113m5441,2067l5441,2113m6079,2067l6079,2113m6718,2067l6718,2113m7356,2067l7356,2113m7994,2067l7994,2113m8633,2067l8633,2113m9271,2067l9271,2113m9910,2067l9910,2113m10548,2067l10548,2113m11186,2067l11186,2113e" filled="f" stroked="t" strokecolor="black" strokeweight="0.25pt">
              <v:stroke dashstyle="solid"/>
              <v:path arrowok="t"/>
            </v:shape>
          </v:group>
        </w:pict>
      </w:r>
      <w:r>
        <w:rPr>
          <w:rFonts w:ascii="Tahoma"/>
          <w:sz w:val="16"/>
        </w:rPr>
        <w:t>107.99%</w:t>
      </w:r>
    </w:p>
    <w:p>
      <w:pPr>
        <w:pStyle w:val="BodyText"/>
        <w:rPr>
          <w:rFonts w:ascii="Tahoma"/>
          <w:sz w:val="34"/>
        </w:rPr>
      </w:pPr>
      <w:r>
        <w:br w:type="column"/>
      </w:r>
    </w:p>
    <w:p>
      <w:pPr>
        <w:pStyle w:val="BodyText"/>
        <w:spacing w:before="3"/>
        <w:rPr>
          <w:rFonts w:ascii="Tahoma"/>
          <w:sz w:val="26"/>
        </w:rPr>
      </w:pPr>
    </w:p>
    <w:p>
      <w:pPr>
        <w:spacing w:before="0"/>
        <w:ind w:left="-7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 xml:space="preserve">93.36% </w:t>
      </w:r>
      <w:r>
        <w:rPr>
          <w:rFonts w:ascii="Tahoma"/>
          <w:position w:val="-5"/>
          <w:sz w:val="16"/>
        </w:rPr>
        <w:t xml:space="preserve">89.60% </w:t>
      </w:r>
      <w:r>
        <w:rPr>
          <w:rFonts w:ascii="Tahoma"/>
          <w:position w:val="-11"/>
          <w:sz w:val="16"/>
        </w:rPr>
        <w:t xml:space="preserve">86.38% </w:t>
      </w:r>
      <w:r>
        <w:rPr>
          <w:rFonts w:ascii="Tahoma"/>
          <w:position w:val="-14"/>
          <w:sz w:val="16"/>
        </w:rPr>
        <w:t>84.39%</w:t>
      </w:r>
    </w:p>
    <w:p>
      <w:pPr>
        <w:pStyle w:val="BodyText"/>
        <w:rPr>
          <w:rFonts w:ascii="Tahoma"/>
          <w:sz w:val="34"/>
        </w:rPr>
      </w:pPr>
      <w:r>
        <w:br w:type="column"/>
      </w:r>
    </w:p>
    <w:p>
      <w:pPr>
        <w:pStyle w:val="BodyText"/>
        <w:rPr>
          <w:rFonts w:ascii="Tahoma"/>
          <w:sz w:val="34"/>
        </w:rPr>
      </w:pPr>
    </w:p>
    <w:p>
      <w:pPr>
        <w:pStyle w:val="BodyText"/>
        <w:spacing w:before="8"/>
        <w:rPr>
          <w:rFonts w:ascii="Tahoma"/>
          <w:sz w:val="25"/>
        </w:rPr>
      </w:pPr>
    </w:p>
    <w:p>
      <w:pPr>
        <w:spacing w:before="0"/>
        <w:ind w:left="38" w:right="0" w:firstLine="0"/>
        <w:jc w:val="left"/>
        <w:rPr>
          <w:rFonts w:ascii="Tahoma"/>
          <w:sz w:val="16"/>
        </w:rPr>
      </w:pPr>
      <w:r>
        <w:rPr>
          <w:rFonts w:ascii="Tahoma"/>
          <w:position w:val="11"/>
          <w:sz w:val="16"/>
        </w:rPr>
        <w:t xml:space="preserve">69.55% </w:t>
      </w:r>
      <w:r>
        <w:rPr>
          <w:rFonts w:ascii="Tahoma"/>
          <w:position w:val="7"/>
          <w:sz w:val="16"/>
        </w:rPr>
        <w:t xml:space="preserve">67.25% </w:t>
      </w:r>
      <w:r>
        <w:rPr>
          <w:rFonts w:ascii="Tahoma"/>
          <w:sz w:val="16"/>
        </w:rPr>
        <w:t xml:space="preserve">63.34% 63.12% </w:t>
      </w:r>
      <w:r>
        <w:rPr>
          <w:rFonts w:ascii="Tahoma"/>
          <w:position w:val="-2"/>
          <w:sz w:val="16"/>
        </w:rPr>
        <w:t xml:space="preserve">61.13% </w:t>
      </w:r>
      <w:r>
        <w:rPr>
          <w:rFonts w:ascii="Tahoma"/>
          <w:position w:val="-3"/>
          <w:sz w:val="16"/>
        </w:rPr>
        <w:t>60.54%</w:t>
      </w:r>
    </w:p>
    <w:p>
      <w:pPr>
        <w:pStyle w:val="BodyText"/>
        <w:rPr>
          <w:rFonts w:ascii="Tahoma"/>
          <w:sz w:val="20"/>
        </w:rPr>
      </w:pPr>
      <w:r>
        <w:br w:type="column"/>
      </w: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pStyle w:val="BodyText"/>
        <w:rPr>
          <w:rFonts w:ascii="Tahoma"/>
          <w:sz w:val="20"/>
        </w:rPr>
      </w:pPr>
    </w:p>
    <w:p>
      <w:pPr>
        <w:spacing w:before="133"/>
        <w:ind w:left="38" w:right="0" w:firstLine="0"/>
        <w:jc w:val="left"/>
        <w:rPr>
          <w:rFonts w:ascii="Tahoma"/>
          <w:sz w:val="16"/>
        </w:rPr>
      </w:pPr>
      <w:r>
        <w:rPr>
          <w:rFonts w:ascii="Tahoma"/>
          <w:position w:val="2"/>
          <w:sz w:val="16"/>
        </w:rPr>
        <w:t xml:space="preserve">56.97% </w:t>
      </w:r>
      <w:r>
        <w:rPr>
          <w:rFonts w:ascii="Tahoma"/>
          <w:sz w:val="16"/>
        </w:rPr>
        <w:t>56.35% 56.06%</w:t>
      </w:r>
    </w:p>
    <w:p>
      <w:pPr>
        <w:spacing w:after="0"/>
        <w:jc w:val="left"/>
        <w:rPr>
          <w:rFonts w:ascii="Tahoma"/>
          <w:sz w:val="16"/>
        </w:rPr>
        <w:sectPr>
          <w:headerReference w:type="default" r:id="rId16"/>
          <w:footerReference w:type="default" r:id="rId17"/>
          <w:type w:val="continuous"/>
          <w:pgSz w:w="11910" w:h="16840"/>
          <w:pgMar w:top="900" w:right="0" w:bottom="1060" w:left="540" w:header="708" w:footer="708"/>
          <w:pgNumType w:start="7"/>
          <w:cols w:num="5" w:space="708" w:equalWidth="0">
            <w:col w:w="924" w:space="40"/>
            <w:col w:w="1391" w:space="39"/>
            <w:col w:w="2469" w:space="40"/>
            <w:col w:w="3790" w:space="39"/>
            <w:col w:w="2638" w:space="0"/>
          </w:cols>
        </w:sectPr>
      </w:pPr>
    </w:p>
    <w:p>
      <w:pPr>
        <w:spacing w:before="6"/>
        <w:ind w:left="1110" w:right="0" w:firstLine="0"/>
        <w:jc w:val="left"/>
        <w:rPr>
          <w:sz w:val="14"/>
        </w:rPr>
      </w:pPr>
      <w:r>
        <w:pict>
          <v:shape id="_x0000_s1143" style="width:545.9pt;height:0.1pt;margin-top:15.99pt;margin-left:33.96pt;mso-position-horizontal-relative:page;mso-wrap-distance-left:0;mso-wrap-distance-right:0;position:absolute;z-index:-251648000" coordorigin="679,320" coordsize="10918,0" path="m679,320l11597,320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sz w:val="14"/>
        </w:rPr>
        <w:t>殷图网联 灿能电力 华明装备 派诺科技 亿能电力 球冠电缆 海兴电力 百利电气 科林电气 万胜智能 平高电气 友讯达 泰永长征 三星医疗 洛凯股份</w:t>
      </w:r>
    </w:p>
    <w:p>
      <w:pPr>
        <w:spacing w:before="0"/>
        <w:ind w:left="247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Heading2"/>
        <w:numPr>
          <w:ilvl w:val="1"/>
          <w:numId w:val="15"/>
        </w:numPr>
        <w:tabs>
          <w:tab w:val="left" w:pos="3133"/>
        </w:tabs>
        <w:spacing w:before="21" w:after="0" w:line="240" w:lineRule="auto"/>
        <w:ind w:left="3132" w:right="0" w:hanging="443"/>
        <w:jc w:val="left"/>
      </w:pPr>
      <w:bookmarkStart w:id="2" w:name="_TOC_250015"/>
      <w:r>
        <w:rPr>
          <w:color w:val="004097"/>
        </w:rPr>
        <w:t xml:space="preserve">配用电出海：变压器海关出口景气较高，持续看好 </w:t>
      </w:r>
      <w:r>
        <w:rPr>
          <w:rFonts w:ascii="Tahoma" w:eastAsia="Tahoma"/>
          <w:color w:val="004097"/>
        </w:rPr>
        <w:t>2024</w:t>
      </w:r>
      <w:r>
        <w:rPr>
          <w:rFonts w:ascii="Tahoma" w:eastAsia="Tahoma"/>
          <w:color w:val="004097"/>
          <w:spacing w:val="-11"/>
        </w:rPr>
        <w:t xml:space="preserve"> </w:t>
      </w:r>
      <w:bookmarkEnd w:id="2"/>
      <w:r>
        <w:rPr>
          <w:color w:val="004097"/>
        </w:rPr>
        <w:t>年发展</w:t>
      </w:r>
    </w:p>
    <w:p>
      <w:pPr>
        <w:pStyle w:val="Heading3"/>
        <w:numPr>
          <w:ilvl w:val="2"/>
          <w:numId w:val="15"/>
        </w:numPr>
        <w:tabs>
          <w:tab w:val="left" w:pos="3304"/>
        </w:tabs>
        <w:spacing w:before="122" w:after="0" w:line="148" w:lineRule="auto"/>
        <w:ind w:left="2690" w:right="678" w:firstLine="0"/>
        <w:jc w:val="left"/>
        <w:rPr>
          <w:rFonts w:ascii="Tahoma" w:eastAsia="Tahoma"/>
        </w:rPr>
      </w:pPr>
      <w:r>
        <w:rPr>
          <w:color w:val="004097"/>
          <w:spacing w:val="-1"/>
        </w:rPr>
        <w:t>智能电表：电表海关出口景气较高，</w:t>
      </w:r>
      <w:r>
        <w:rPr>
          <w:rFonts w:ascii="Tahoma" w:eastAsia="Tahoma"/>
          <w:color w:val="004097"/>
        </w:rPr>
        <w:t>2023</w:t>
      </w:r>
      <w:r>
        <w:rPr>
          <w:rFonts w:ascii="Tahoma" w:eastAsia="Tahoma"/>
          <w:color w:val="004097"/>
          <w:spacing w:val="26"/>
        </w:rPr>
        <w:t xml:space="preserve"> </w:t>
      </w:r>
      <w:r>
        <w:rPr>
          <w:color w:val="004097"/>
          <w:spacing w:val="19"/>
        </w:rPr>
        <w:t xml:space="preserve">年 </w:t>
      </w:r>
      <w:r>
        <w:rPr>
          <w:rFonts w:ascii="Tahoma" w:eastAsia="Tahoma"/>
          <w:color w:val="004097"/>
        </w:rPr>
        <w:t>1-11</w:t>
      </w:r>
      <w:r>
        <w:rPr>
          <w:rFonts w:ascii="Tahoma" w:eastAsia="Tahoma"/>
          <w:color w:val="004097"/>
          <w:spacing w:val="26"/>
        </w:rPr>
        <w:t xml:space="preserve"> </w:t>
      </w:r>
      <w:r>
        <w:rPr>
          <w:color w:val="004097"/>
          <w:spacing w:val="-2"/>
        </w:rPr>
        <w:t xml:space="preserve">月东南亚、非洲、欧洲电表出口数量同增 </w:t>
      </w:r>
      <w:r>
        <w:rPr>
          <w:rFonts w:ascii="Tahoma" w:eastAsia="Tahoma"/>
          <w:color w:val="004097"/>
          <w:spacing w:val="-2"/>
        </w:rPr>
        <w:t>31%/63%/13%</w:t>
      </w:r>
    </w:p>
    <w:p>
      <w:pPr>
        <w:spacing w:before="176" w:line="213" w:lineRule="auto"/>
        <w:ind w:left="2690" w:right="672" w:firstLine="0"/>
        <w:jc w:val="left"/>
        <w:rPr>
          <w:sz w:val="21"/>
        </w:rPr>
      </w:pPr>
      <w:r>
        <w:rPr>
          <w:rFonts w:ascii="Microsoft JhengHei" w:eastAsia="Microsoft JhengHei" w:hint="eastAsia"/>
          <w:b/>
          <w:sz w:val="21"/>
        </w:rPr>
        <w:t>海关数据：</w:t>
      </w:r>
      <w:r>
        <w:rPr>
          <w:rFonts w:ascii="Tahoma" w:eastAsia="Tahoma"/>
          <w:b/>
          <w:sz w:val="21"/>
        </w:rPr>
        <w:t xml:space="preserve">2023 </w:t>
      </w:r>
      <w:r>
        <w:rPr>
          <w:rFonts w:ascii="Microsoft JhengHei" w:eastAsia="Microsoft JhengHei" w:hint="eastAsia"/>
          <w:b/>
          <w:spacing w:val="9"/>
          <w:sz w:val="21"/>
        </w:rPr>
        <w:t xml:space="preserve">年 </w:t>
      </w:r>
      <w:r>
        <w:rPr>
          <w:rFonts w:ascii="Tahoma" w:eastAsia="Tahoma"/>
          <w:b/>
          <w:sz w:val="21"/>
        </w:rPr>
        <w:t xml:space="preserve">1-11 </w:t>
      </w:r>
      <w:r>
        <w:rPr>
          <w:rFonts w:ascii="Microsoft JhengHei" w:eastAsia="Microsoft JhengHei" w:hint="eastAsia"/>
          <w:b/>
          <w:spacing w:val="1"/>
          <w:sz w:val="21"/>
        </w:rPr>
        <w:t xml:space="preserve">月电表出口数量 </w:t>
      </w:r>
      <w:r>
        <w:rPr>
          <w:rFonts w:ascii="Tahoma" w:eastAsia="Tahoma"/>
          <w:b/>
          <w:sz w:val="21"/>
        </w:rPr>
        <w:t xml:space="preserve">6387.36 </w:t>
      </w:r>
      <w:r>
        <w:rPr>
          <w:rFonts w:ascii="Microsoft JhengHei" w:eastAsia="Microsoft JhengHei" w:hint="eastAsia"/>
          <w:b/>
          <w:spacing w:val="3"/>
          <w:sz w:val="21"/>
        </w:rPr>
        <w:t xml:space="preserve">万台，同增 </w:t>
      </w:r>
      <w:r>
        <w:rPr>
          <w:rFonts w:ascii="Tahoma" w:eastAsia="Tahoma"/>
          <w:b/>
          <w:sz w:val="21"/>
        </w:rPr>
        <w:t>27.27%</w:t>
      </w:r>
      <w:r>
        <w:rPr>
          <w:rFonts w:ascii="Microsoft JhengHei" w:eastAsia="Microsoft JhengHei" w:hint="eastAsia"/>
          <w:b/>
          <w:sz w:val="21"/>
        </w:rPr>
        <w:t>。</w:t>
      </w:r>
      <w:r>
        <w:rPr>
          <w:spacing w:val="-2"/>
          <w:sz w:val="21"/>
        </w:rPr>
        <w:t>海关总署显示，</w:t>
      </w:r>
      <w:r>
        <w:rPr>
          <w:rFonts w:ascii="Tahoma" w:eastAsia="Tahoma"/>
          <w:spacing w:val="-2"/>
          <w:sz w:val="21"/>
        </w:rPr>
        <w:t xml:space="preserve">2023 </w:t>
      </w:r>
      <w:r>
        <w:rPr>
          <w:spacing w:val="-26"/>
          <w:sz w:val="21"/>
        </w:rPr>
        <w:t xml:space="preserve">年 </w:t>
      </w:r>
      <w:r>
        <w:rPr>
          <w:rFonts w:ascii="Tahoma" w:eastAsia="Tahoma"/>
          <w:sz w:val="21"/>
        </w:rPr>
        <w:t xml:space="preserve">1-11 </w:t>
      </w:r>
      <w:r>
        <w:rPr>
          <w:spacing w:val="-8"/>
          <w:sz w:val="21"/>
        </w:rPr>
        <w:t xml:space="preserve">月电表出口数量同增 </w:t>
      </w:r>
      <w:r>
        <w:rPr>
          <w:rFonts w:ascii="Tahoma" w:eastAsia="Tahoma"/>
          <w:spacing w:val="-4"/>
          <w:sz w:val="21"/>
        </w:rPr>
        <w:t>27.27%</w:t>
      </w:r>
      <w:r>
        <w:rPr>
          <w:spacing w:val="-25"/>
          <w:sz w:val="21"/>
        </w:rPr>
        <w:t xml:space="preserve">至 </w:t>
      </w:r>
      <w:r>
        <w:rPr>
          <w:rFonts w:ascii="Tahoma" w:eastAsia="Tahoma"/>
          <w:spacing w:val="-3"/>
          <w:sz w:val="21"/>
        </w:rPr>
        <w:t xml:space="preserve">6387.36 </w:t>
      </w:r>
      <w:r>
        <w:rPr>
          <w:spacing w:val="-11"/>
          <w:sz w:val="21"/>
        </w:rPr>
        <w:t xml:space="preserve">万台，其中 </w:t>
      </w:r>
      <w:r>
        <w:rPr>
          <w:rFonts w:ascii="Tahoma" w:eastAsia="Tahoma"/>
          <w:sz w:val="21"/>
        </w:rPr>
        <w:t xml:space="preserve">11 </w:t>
      </w:r>
      <w:r>
        <w:rPr>
          <w:spacing w:val="-1"/>
          <w:sz w:val="21"/>
        </w:rPr>
        <w:t>月电表出口</w:t>
      </w:r>
    </w:p>
    <w:p>
      <w:pPr>
        <w:pStyle w:val="BodyText"/>
        <w:spacing w:before="17" w:line="249" w:lineRule="auto"/>
        <w:ind w:left="2690" w:right="466"/>
      </w:pPr>
      <w:r>
        <w:rPr>
          <w:spacing w:val="-9"/>
        </w:rPr>
        <w:t xml:space="preserve">数量同增 </w:t>
      </w:r>
      <w:r>
        <w:rPr>
          <w:rFonts w:ascii="Tahoma" w:eastAsia="Tahoma"/>
        </w:rPr>
        <w:t>11.51%</w:t>
      </w:r>
      <w:r>
        <w:rPr>
          <w:spacing w:val="-20"/>
        </w:rPr>
        <w:t xml:space="preserve">至 </w:t>
      </w:r>
      <w:r>
        <w:rPr>
          <w:rFonts w:ascii="Tahoma" w:eastAsia="Tahoma"/>
        </w:rPr>
        <w:t>595.79</w:t>
      </w:r>
      <w:r>
        <w:rPr>
          <w:rFonts w:ascii="Tahoma" w:eastAsia="Tahoma"/>
          <w:spacing w:val="-6"/>
        </w:rPr>
        <w:t xml:space="preserve"> </w:t>
      </w:r>
      <w:r>
        <w:rPr>
          <w:spacing w:val="-10"/>
        </w:rPr>
        <w:t xml:space="preserve">万台，环增 </w:t>
      </w:r>
      <w:r>
        <w:rPr>
          <w:rFonts w:ascii="Tahoma" w:eastAsia="Tahoma"/>
        </w:rPr>
        <w:t>20.96%</w:t>
      </w:r>
      <w:r>
        <w:t>。</w:t>
      </w:r>
      <w:r>
        <w:rPr>
          <w:spacing w:val="-3"/>
          <w:u w:val="single"/>
        </w:rPr>
        <w:t>分地区看</w:t>
      </w:r>
      <w:r>
        <w:t>，</w:t>
      </w:r>
      <w:r>
        <w:rPr>
          <w:rFonts w:ascii="Tahoma" w:eastAsia="Tahoma"/>
        </w:rPr>
        <w:t>2023</w:t>
      </w:r>
      <w:r>
        <w:rPr>
          <w:rFonts w:ascii="Tahoma" w:eastAsia="Tahoma"/>
          <w:spacing w:val="-9"/>
        </w:rPr>
        <w:t xml:space="preserve"> </w:t>
      </w:r>
      <w:r>
        <w:rPr>
          <w:spacing w:val="-19"/>
        </w:rPr>
        <w:t xml:space="preserve">年 </w:t>
      </w:r>
      <w:r>
        <w:rPr>
          <w:rFonts w:ascii="Tahoma" w:eastAsia="Tahoma"/>
        </w:rPr>
        <w:t>1-11</w:t>
      </w:r>
      <w:r>
        <w:rPr>
          <w:rFonts w:ascii="Tahoma" w:eastAsia="Tahoma"/>
          <w:spacing w:val="-8"/>
        </w:rPr>
        <w:t xml:space="preserve"> </w:t>
      </w:r>
      <w:r>
        <w:rPr>
          <w:spacing w:val="-3"/>
        </w:rPr>
        <w:t>月东南亚、非</w:t>
      </w:r>
      <w:r>
        <w:t xml:space="preserve">洲地区增速较高，分别同增 </w:t>
      </w:r>
      <w:r>
        <w:rPr>
          <w:rFonts w:ascii="Tahoma" w:eastAsia="Tahoma"/>
        </w:rPr>
        <w:t>30.95%/63.14%</w:t>
      </w:r>
      <w:r>
        <w:rPr>
          <w:spacing w:val="-1"/>
        </w:rPr>
        <w:t xml:space="preserve">，主要系印尼、孟加拉招标景气度较高， </w:t>
      </w:r>
      <w:r>
        <w:rPr>
          <w:spacing w:val="-2"/>
        </w:rPr>
        <w:t xml:space="preserve">叠加非洲疫后复苏推动电表招标回暖；同期欧洲地区电表出口同增 </w:t>
      </w:r>
      <w:r>
        <w:rPr>
          <w:rFonts w:ascii="Tahoma" w:eastAsia="Tahoma"/>
        </w:rPr>
        <w:t>13.41%</w:t>
      </w:r>
      <w:r>
        <w:t>，电网升级规</w:t>
      </w:r>
      <w:r>
        <w:rPr>
          <w:spacing w:val="-3"/>
        </w:rPr>
        <w:t>划草案出台后，欧洲电表出口需求有望进一步增长。</w:t>
      </w:r>
    </w:p>
    <w:p>
      <w:pPr>
        <w:pStyle w:val="BodyText"/>
        <w:spacing w:before="1"/>
        <w:rPr>
          <w:sz w:val="25"/>
        </w:rPr>
      </w:pPr>
    </w:p>
    <w:p>
      <w:pPr>
        <w:tabs>
          <w:tab w:val="left" w:pos="5718"/>
        </w:tabs>
        <w:spacing w:before="1"/>
        <w:ind w:left="247" w:right="0" w:firstLine="0"/>
        <w:jc w:val="left"/>
        <w:rPr>
          <w:sz w:val="17"/>
        </w:rPr>
      </w:pPr>
      <w:r>
        <w:pict>
          <v:shape id="_x0000_s1144" style="width:262.4pt;height:0.1pt;margin-top:14.67pt;margin-left:33.96pt;mso-position-horizontal-relative:page;mso-wrap-distance-left:0;mso-wrap-distance-right:0;position:absolute;z-index:-251646976" coordorigin="679,293" coordsize="5248,0" path="m679,293l5927,293e" filled="f" stroked="t" strokecolor="#004097" strokeweight="0.96pt">
            <v:stroke dashstyle="solid"/>
            <v:path arrowok="t"/>
            <w10:wrap type="topAndBottom"/>
          </v:shape>
        </w:pict>
      </w:r>
      <w:r>
        <w:pict>
          <v:shape id="_x0000_s1145" style="width:279.7pt;height:0.1pt;margin-top:14.67pt;margin-left:307.37pt;mso-position-horizontal-relative:page;mso-wrap-distance-left:0;mso-wrap-distance-right:0;position:absolute;z-index:-251645952" coordorigin="6147,293" coordsize="5594,0" path="m6147,293l11741,293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color w:val="004097"/>
          <w:sz w:val="17"/>
        </w:rPr>
        <w:t>图表</w:t>
      </w:r>
      <w:r>
        <w:rPr>
          <w:color w:val="004097"/>
          <w:spacing w:val="-71"/>
          <w:sz w:val="17"/>
        </w:rPr>
        <w:t xml:space="preserve"> </w:t>
      </w:r>
      <w:r>
        <w:rPr>
          <w:rFonts w:ascii="Tahoma" w:eastAsia="Tahoma"/>
          <w:i/>
          <w:color w:val="004097"/>
          <w:sz w:val="17"/>
        </w:rPr>
        <w:t>4</w:t>
      </w:r>
      <w:r>
        <w:rPr>
          <w:color w:val="004097"/>
          <w:sz w:val="17"/>
        </w:rPr>
        <w:t>：</w:t>
      </w:r>
      <w:r>
        <w:rPr>
          <w:rFonts w:ascii="Tahoma" w:eastAsia="Tahoma"/>
          <w:i/>
          <w:color w:val="004097"/>
          <w:sz w:val="17"/>
        </w:rPr>
        <w:t>2022</w:t>
      </w:r>
      <w:r>
        <w:rPr>
          <w:rFonts w:ascii="Tahoma" w:eastAsia="Tahoma"/>
          <w:i/>
          <w:color w:val="004097"/>
          <w:spacing w:val="-39"/>
          <w:sz w:val="17"/>
        </w:rPr>
        <w:t xml:space="preserve"> </w:t>
      </w:r>
      <w:r>
        <w:rPr>
          <w:color w:val="004097"/>
          <w:sz w:val="17"/>
        </w:rPr>
        <w:t>年</w:t>
      </w:r>
      <w:r>
        <w:rPr>
          <w:color w:val="004097"/>
          <w:spacing w:val="-71"/>
          <w:sz w:val="17"/>
        </w:rPr>
        <w:t xml:space="preserve"> </w:t>
      </w:r>
      <w:r>
        <w:rPr>
          <w:rFonts w:ascii="Tahoma" w:eastAsia="Tahoma"/>
          <w:i/>
          <w:color w:val="004097"/>
          <w:sz w:val="17"/>
        </w:rPr>
        <w:t>1</w:t>
      </w:r>
      <w:r>
        <w:rPr>
          <w:rFonts w:ascii="Tahoma" w:eastAsia="Tahoma"/>
          <w:i/>
          <w:color w:val="004097"/>
          <w:spacing w:val="-39"/>
          <w:sz w:val="17"/>
        </w:rPr>
        <w:t xml:space="preserve"> </w:t>
      </w:r>
      <w:r>
        <w:rPr>
          <w:color w:val="004097"/>
          <w:sz w:val="17"/>
        </w:rPr>
        <w:t>月</w:t>
      </w:r>
      <w:r>
        <w:rPr>
          <w:rFonts w:ascii="Tahoma" w:eastAsia="Tahoma"/>
          <w:i/>
          <w:color w:val="004097"/>
          <w:sz w:val="17"/>
        </w:rPr>
        <w:t>-2023</w:t>
      </w:r>
      <w:r>
        <w:rPr>
          <w:rFonts w:ascii="Tahoma" w:eastAsia="Tahoma"/>
          <w:i/>
          <w:color w:val="004097"/>
          <w:spacing w:val="-39"/>
          <w:sz w:val="17"/>
        </w:rPr>
        <w:t xml:space="preserve"> </w:t>
      </w:r>
      <w:r>
        <w:rPr>
          <w:color w:val="004097"/>
          <w:sz w:val="17"/>
        </w:rPr>
        <w:t>年</w:t>
      </w:r>
      <w:r>
        <w:rPr>
          <w:color w:val="004097"/>
          <w:spacing w:val="-70"/>
          <w:sz w:val="17"/>
        </w:rPr>
        <w:t xml:space="preserve"> </w:t>
      </w:r>
      <w:r>
        <w:rPr>
          <w:rFonts w:ascii="Tahoma" w:eastAsia="Tahoma"/>
          <w:i/>
          <w:color w:val="004097"/>
          <w:sz w:val="17"/>
        </w:rPr>
        <w:t>11</w:t>
      </w:r>
      <w:r>
        <w:rPr>
          <w:rFonts w:ascii="Tahoma" w:eastAsia="Tahoma"/>
          <w:i/>
          <w:color w:val="004097"/>
          <w:spacing w:val="-40"/>
          <w:sz w:val="17"/>
        </w:rPr>
        <w:t xml:space="preserve"> </w:t>
      </w:r>
      <w:r>
        <w:rPr>
          <w:color w:val="004097"/>
          <w:sz w:val="17"/>
        </w:rPr>
        <w:t>月电表</w:t>
      </w:r>
      <w:r>
        <w:rPr>
          <w:color w:val="004097"/>
          <w:spacing w:val="-3"/>
          <w:sz w:val="17"/>
        </w:rPr>
        <w:t>出</w:t>
      </w:r>
      <w:r>
        <w:rPr>
          <w:color w:val="004097"/>
          <w:sz w:val="17"/>
        </w:rPr>
        <w:t>口数</w:t>
      </w:r>
      <w:r>
        <w:rPr>
          <w:color w:val="004097"/>
          <w:spacing w:val="-3"/>
          <w:sz w:val="17"/>
        </w:rPr>
        <w:t>量</w:t>
      </w:r>
      <w:r>
        <w:rPr>
          <w:color w:val="004097"/>
          <w:sz w:val="17"/>
        </w:rPr>
        <w:t>（万</w:t>
      </w:r>
      <w:r>
        <w:rPr>
          <w:color w:val="004097"/>
          <w:spacing w:val="-3"/>
          <w:sz w:val="17"/>
        </w:rPr>
        <w:t>个</w:t>
      </w:r>
      <w:r>
        <w:rPr>
          <w:color w:val="004097"/>
          <w:sz w:val="17"/>
        </w:rPr>
        <w:t>）</w:t>
        <w:tab/>
        <w:t>图表</w:t>
      </w:r>
      <w:r>
        <w:rPr>
          <w:color w:val="004097"/>
          <w:spacing w:val="-58"/>
          <w:sz w:val="17"/>
        </w:rPr>
        <w:t xml:space="preserve"> </w:t>
      </w:r>
      <w:r>
        <w:rPr>
          <w:rFonts w:ascii="Tahoma" w:eastAsia="Tahoma"/>
          <w:i/>
          <w:color w:val="004097"/>
          <w:sz w:val="17"/>
        </w:rPr>
        <w:t>5</w:t>
      </w:r>
      <w:r>
        <w:rPr>
          <w:color w:val="004097"/>
          <w:sz w:val="17"/>
        </w:rPr>
        <w:t>：</w:t>
      </w:r>
      <w:r>
        <w:rPr>
          <w:rFonts w:ascii="Tahoma" w:eastAsia="Tahoma"/>
          <w:i/>
          <w:color w:val="004097"/>
          <w:sz w:val="17"/>
        </w:rPr>
        <w:t>2022</w:t>
      </w:r>
      <w:r>
        <w:rPr>
          <w:rFonts w:ascii="Tahoma" w:eastAsia="Tahoma"/>
          <w:i/>
          <w:color w:val="004097"/>
          <w:spacing w:val="-27"/>
          <w:sz w:val="17"/>
        </w:rPr>
        <w:t xml:space="preserve"> </w:t>
      </w:r>
      <w:r>
        <w:rPr>
          <w:color w:val="004097"/>
          <w:sz w:val="17"/>
        </w:rPr>
        <w:t>年</w:t>
      </w:r>
      <w:r>
        <w:rPr>
          <w:color w:val="004097"/>
          <w:spacing w:val="-57"/>
          <w:sz w:val="17"/>
        </w:rPr>
        <w:t xml:space="preserve"> </w:t>
      </w:r>
      <w:r>
        <w:rPr>
          <w:rFonts w:ascii="Tahoma" w:eastAsia="Tahoma"/>
          <w:i/>
          <w:color w:val="004097"/>
          <w:sz w:val="17"/>
        </w:rPr>
        <w:t>1</w:t>
      </w:r>
      <w:r>
        <w:rPr>
          <w:rFonts w:ascii="Tahoma" w:eastAsia="Tahoma"/>
          <w:i/>
          <w:color w:val="004097"/>
          <w:spacing w:val="-27"/>
          <w:sz w:val="17"/>
        </w:rPr>
        <w:t xml:space="preserve"> </w:t>
      </w:r>
      <w:r>
        <w:rPr>
          <w:color w:val="004097"/>
          <w:sz w:val="17"/>
        </w:rPr>
        <w:t>月</w:t>
      </w:r>
      <w:r>
        <w:rPr>
          <w:rFonts w:ascii="Tahoma" w:eastAsia="Tahoma"/>
          <w:i/>
          <w:color w:val="004097"/>
          <w:sz w:val="17"/>
        </w:rPr>
        <w:t>-2023</w:t>
      </w:r>
      <w:r>
        <w:rPr>
          <w:rFonts w:ascii="Tahoma" w:eastAsia="Tahoma"/>
          <w:i/>
          <w:color w:val="004097"/>
          <w:spacing w:val="-26"/>
          <w:sz w:val="17"/>
        </w:rPr>
        <w:t xml:space="preserve"> </w:t>
      </w:r>
      <w:r>
        <w:rPr>
          <w:color w:val="004097"/>
          <w:sz w:val="17"/>
        </w:rPr>
        <w:t>年</w:t>
      </w:r>
      <w:r>
        <w:rPr>
          <w:color w:val="004097"/>
          <w:spacing w:val="-57"/>
          <w:sz w:val="17"/>
        </w:rPr>
        <w:t xml:space="preserve"> </w:t>
      </w:r>
      <w:r>
        <w:rPr>
          <w:rFonts w:ascii="Tahoma" w:eastAsia="Tahoma"/>
          <w:i/>
          <w:color w:val="004097"/>
          <w:sz w:val="17"/>
        </w:rPr>
        <w:t>11</w:t>
      </w:r>
      <w:r>
        <w:rPr>
          <w:rFonts w:ascii="Tahoma" w:eastAsia="Tahoma"/>
          <w:i/>
          <w:color w:val="004097"/>
          <w:spacing w:val="-29"/>
          <w:sz w:val="17"/>
        </w:rPr>
        <w:t xml:space="preserve"> </w:t>
      </w:r>
      <w:r>
        <w:rPr>
          <w:color w:val="004097"/>
          <w:sz w:val="17"/>
        </w:rPr>
        <w:t>月电表</w:t>
      </w:r>
      <w:r>
        <w:rPr>
          <w:color w:val="004097"/>
          <w:spacing w:val="-3"/>
          <w:sz w:val="17"/>
        </w:rPr>
        <w:t>出</w:t>
      </w:r>
      <w:r>
        <w:rPr>
          <w:color w:val="004097"/>
          <w:sz w:val="17"/>
        </w:rPr>
        <w:t>口金</w:t>
      </w:r>
      <w:r>
        <w:rPr>
          <w:color w:val="004097"/>
          <w:spacing w:val="-3"/>
          <w:sz w:val="17"/>
        </w:rPr>
        <w:t>额</w:t>
      </w:r>
      <w:r>
        <w:rPr>
          <w:color w:val="004097"/>
          <w:sz w:val="17"/>
        </w:rPr>
        <w:t>分地</w:t>
      </w:r>
      <w:r>
        <w:rPr>
          <w:color w:val="004097"/>
          <w:spacing w:val="-3"/>
          <w:sz w:val="17"/>
        </w:rPr>
        <w:t>区</w:t>
      </w:r>
      <w:r>
        <w:rPr>
          <w:color w:val="004097"/>
          <w:sz w:val="17"/>
        </w:rPr>
        <w:t>情况</w:t>
      </w:r>
      <w:r>
        <w:rPr>
          <w:color w:val="004097"/>
          <w:spacing w:val="-3"/>
          <w:sz w:val="17"/>
        </w:rPr>
        <w:t>（</w:t>
      </w:r>
      <w:r>
        <w:rPr>
          <w:color w:val="004097"/>
          <w:sz w:val="17"/>
        </w:rPr>
        <w:t>亿</w:t>
      </w:r>
      <w:r>
        <w:rPr>
          <w:color w:val="004097"/>
          <w:spacing w:val="-3"/>
          <w:sz w:val="17"/>
        </w:rPr>
        <w:t>元</w:t>
      </w:r>
      <w:r>
        <w:rPr>
          <w:color w:val="004097"/>
          <w:sz w:val="17"/>
        </w:rPr>
        <w:t>）</w: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8"/>
          <w:footerReference w:type="default" r:id="rId19"/>
          <w:type w:val="continuous"/>
          <w:pgSz w:w="11910" w:h="16840"/>
          <w:pgMar w:top="900" w:right="0" w:bottom="1060" w:left="540" w:header="708" w:footer="708"/>
          <w:pgNumType w:start="8"/>
          <w:cols w:space="708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"/>
        <w:rPr>
          <w:sz w:val="16"/>
        </w:rPr>
      </w:pPr>
    </w:p>
    <w:p>
      <w:pPr>
        <w:spacing w:before="0" w:line="189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1000</w:t>
      </w:r>
    </w:p>
    <w:p>
      <w:pPr>
        <w:spacing w:before="0" w:line="186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900</w:t>
      </w:r>
    </w:p>
    <w:p>
      <w:pPr>
        <w:spacing w:before="0" w:line="186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800</w:t>
      </w:r>
    </w:p>
    <w:p>
      <w:pPr>
        <w:spacing w:before="0" w:line="186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700</w:t>
      </w:r>
    </w:p>
    <w:p>
      <w:pPr>
        <w:spacing w:before="0" w:line="186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600</w:t>
      </w:r>
    </w:p>
    <w:p>
      <w:pPr>
        <w:spacing w:before="0" w:line="186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500</w:t>
      </w:r>
    </w:p>
    <w:p>
      <w:pPr>
        <w:spacing w:before="0" w:line="186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400</w:t>
      </w:r>
    </w:p>
    <w:p>
      <w:pPr>
        <w:spacing w:before="0" w:line="186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300</w:t>
      </w:r>
    </w:p>
    <w:p>
      <w:pPr>
        <w:spacing w:before="0" w:line="186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200</w:t>
      </w:r>
    </w:p>
    <w:p>
      <w:pPr>
        <w:spacing w:before="0" w:line="186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100</w:t>
      </w:r>
    </w:p>
    <w:p>
      <w:pPr>
        <w:spacing w:before="0" w:line="190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w w:val="100"/>
          <w:sz w:val="16"/>
        </w:rPr>
        <w:t>0</w:t>
      </w:r>
    </w:p>
    <w:p>
      <w:pPr>
        <w:tabs>
          <w:tab w:val="left" w:pos="2545"/>
        </w:tabs>
        <w:spacing w:before="80"/>
        <w:ind w:left="278" w:right="0" w:firstLine="0"/>
        <w:jc w:val="left"/>
        <w:rPr>
          <w:rFonts w:ascii="Tahoma" w:eastAsia="Tahoma"/>
          <w:sz w:val="16"/>
        </w:rPr>
      </w:pPr>
      <w:r>
        <w:br w:type="column"/>
      </w:r>
      <w:r>
        <w:rPr>
          <w:position w:val="1"/>
          <w:sz w:val="16"/>
        </w:rPr>
        <w:t>电表出</w:t>
      </w:r>
      <w:r>
        <w:rPr>
          <w:spacing w:val="-3"/>
          <w:position w:val="1"/>
          <w:sz w:val="16"/>
        </w:rPr>
        <w:t>口</w:t>
      </w:r>
      <w:r>
        <w:rPr>
          <w:position w:val="1"/>
          <w:sz w:val="16"/>
        </w:rPr>
        <w:t>数量</w:t>
      </w:r>
      <w:r>
        <w:rPr>
          <w:spacing w:val="-3"/>
          <w:position w:val="1"/>
          <w:sz w:val="16"/>
        </w:rPr>
        <w:t>（</w:t>
      </w:r>
      <w:r>
        <w:rPr>
          <w:position w:val="1"/>
          <w:sz w:val="16"/>
        </w:rPr>
        <w:t>万个）</w:t>
        <w:tab/>
      </w:r>
      <w:r>
        <w:rPr>
          <w:rFonts w:ascii="Tahoma" w:eastAsia="Tahoma"/>
          <w:sz w:val="16"/>
        </w:rPr>
        <w:t>yoy</w:t>
      </w:r>
    </w:p>
    <w:p>
      <w:pPr>
        <w:pStyle w:val="BodyText"/>
        <w:rPr>
          <w:rFonts w:ascii="Tahoma"/>
          <w:sz w:val="32"/>
        </w:rPr>
      </w:pPr>
      <w:r>
        <w:br w:type="column"/>
      </w:r>
    </w:p>
    <w:p>
      <w:pPr>
        <w:tabs>
          <w:tab w:val="left" w:pos="1194"/>
        </w:tabs>
        <w:spacing w:before="1"/>
        <w:ind w:left="278" w:right="0" w:firstLine="0"/>
        <w:jc w:val="left"/>
        <w:rPr>
          <w:rFonts w:ascii="Tahoma"/>
          <w:sz w:val="16"/>
        </w:rPr>
      </w:pPr>
      <w:r>
        <w:pict>
          <v:group id="_x0000_s1146" style="width:195.65pt;height:94.3pt;margin-top:7.31pt;margin-left:65.73pt;mso-position-horizontal-relative:page;position:absolute;z-index:251676672" coordorigin="1315,146" coordsize="3913,1886">
            <v:line id="_x0000_s1147" style="position:absolute" from="1402,1129" to="1402,2012" stroked="t" strokecolor="#004097" strokeweight="3.36pt">
              <v:stroke dashstyle="solid"/>
            </v:line>
            <v:rect id="_x0000_s1148" style="width:68;height:883;left:1368;position:absolute;top:1129" filled="f" stroked="t" strokecolor="#004097" strokeweight="2pt">
              <v:stroke dashstyle="solid"/>
            </v:rect>
            <v:line id="_x0000_s1149" style="position:absolute" from="1572,1499" to="1572,2012" stroked="t" strokecolor="#004097" strokeweight="3.36pt">
              <v:stroke dashstyle="solid"/>
            </v:line>
            <v:rect id="_x0000_s1150" style="width:68;height:514;left:1538;position:absolute;top:1498" filled="f" stroked="t" strokecolor="#004097" strokeweight="2pt">
              <v:stroke dashstyle="solid"/>
            </v:rect>
            <v:line id="_x0000_s1151" style="position:absolute" from="1741,1271" to="1741,2012" stroked="t" strokecolor="#004097" strokeweight="3.48pt">
              <v:stroke dashstyle="solid"/>
            </v:line>
            <v:rect id="_x0000_s1152" style="width:70;height:742;left:1706;position:absolute;top:1270" filled="f" stroked="t" strokecolor="#004097" strokeweight="2pt">
              <v:stroke dashstyle="solid"/>
            </v:rect>
            <v:line id="_x0000_s1153" style="position:absolute" from="1910,1468" to="1910,2012" stroked="t" strokecolor="#004097" strokeweight="3.36pt">
              <v:stroke dashstyle="solid"/>
            </v:line>
            <v:rect id="_x0000_s1154" style="width:68;height:545;left:1876;position:absolute;top:1467" filled="f" stroked="t" strokecolor="#004097" strokeweight="2pt">
              <v:stroke dashstyle="solid"/>
            </v:rect>
            <v:line id="_x0000_s1155" style="position:absolute" from="2081,1156" to="2081,2012" stroked="t" strokecolor="#004097" strokeweight="3.36pt">
              <v:stroke dashstyle="solid"/>
            </v:line>
            <v:rect id="_x0000_s1156" style="width:68;height:857;left:2047;position:absolute;top:1155" filled="f" stroked="t" strokecolor="#004097" strokeweight="2pt">
              <v:stroke dashstyle="solid"/>
            </v:rect>
            <v:line id="_x0000_s1157" style="position:absolute" from="2251,1144" to="2251,2012" stroked="t" strokecolor="#004097" strokeweight="3.36pt">
              <v:stroke dashstyle="solid"/>
            </v:line>
            <v:rect id="_x0000_s1158" style="width:68;height:869;left:2217;position:absolute;top:1143" filled="f" stroked="t" strokecolor="#004097" strokeweight="2pt">
              <v:stroke dashstyle="solid"/>
            </v:rect>
            <v:line id="_x0000_s1159" style="position:absolute" from="2420,1297" to="2420,2012" stroked="t" strokecolor="#004097" strokeweight="3.48pt">
              <v:stroke dashstyle="solid"/>
            </v:line>
            <v:rect id="_x0000_s1160" style="width:70;height:715;left:2385;position:absolute;top:1297" filled="f" stroked="t" strokecolor="#004097" strokeweight="2pt">
              <v:stroke dashstyle="solid"/>
            </v:rect>
            <v:line id="_x0000_s1161" style="position:absolute" from="2590,1105" to="2590,2012" stroked="t" strokecolor="#004097" strokeweight="3.36pt">
              <v:stroke dashstyle="solid"/>
            </v:line>
            <v:rect id="_x0000_s1162" style="width:68;height:907;left:2556;position:absolute;top:1105" filled="f" stroked="t" strokecolor="#004097" strokeweight="2pt">
              <v:stroke dashstyle="solid"/>
            </v:rect>
            <v:line id="_x0000_s1163" style="position:absolute" from="2760,1146" to="2760,2012" stroked="t" strokecolor="#004097" strokeweight="3.36pt">
              <v:stroke dashstyle="solid"/>
            </v:line>
            <v:rect id="_x0000_s1164" style="width:68;height:866;left:2726;position:absolute;top:1146" filled="f" stroked="t" strokecolor="#004097" strokeweight="2pt">
              <v:stroke dashstyle="solid"/>
            </v:rect>
            <v:line id="_x0000_s1165" style="position:absolute" from="2929,1218" to="2929,2012" stroked="t" strokecolor="#004097" strokeweight="3.48pt">
              <v:stroke dashstyle="solid"/>
            </v:line>
            <v:rect id="_x0000_s1166" style="width:70;height:794;left:2894;position:absolute;top:1218" filled="f" stroked="t" strokecolor="#004097" strokeweight="2pt">
              <v:stroke dashstyle="solid"/>
            </v:rect>
            <v:line id="_x0000_s1167" style="position:absolute" from="3098,1110" to="3098,2012" stroked="t" strokecolor="#004097" strokeweight="3.36pt">
              <v:stroke dashstyle="solid"/>
            </v:line>
            <v:rect id="_x0000_s1168" style="width:68;height:902;left:3064;position:absolute;top:1110" filled="f" stroked="t" strokecolor="#004097" strokeweight="2pt">
              <v:stroke dashstyle="solid"/>
            </v:rect>
            <v:line id="_x0000_s1169" style="position:absolute" from="3269,1148" to="3269,2012" stroked="t" strokecolor="#004097" strokeweight="3.36pt">
              <v:stroke dashstyle="solid"/>
            </v:line>
            <v:rect id="_x0000_s1170" style="width:68;height:864;left:3235;position:absolute;top:1148" filled="f" stroked="t" strokecolor="#004097" strokeweight="2pt">
              <v:stroke dashstyle="solid"/>
            </v:rect>
            <v:line id="_x0000_s1171" style="position:absolute" from="3438,1302" to="3438,2012" stroked="t" strokecolor="#004097" strokeweight="3.48pt">
              <v:stroke dashstyle="solid"/>
            </v:line>
            <v:rect id="_x0000_s1172" style="width:70;height:710;left:3403;position:absolute;top:1302" filled="f" stroked="t" strokecolor="#004097" strokeweight="2pt">
              <v:stroke dashstyle="solid"/>
            </v:rect>
            <v:line id="_x0000_s1173" style="position:absolute" from="3607,1439" to="3607,2012" stroked="t" strokecolor="#004097" strokeweight="3.36pt">
              <v:stroke dashstyle="solid"/>
            </v:line>
            <v:rect id="_x0000_s1174" style="width:68;height:574;left:3573;position:absolute;top:1438" filled="f" stroked="t" strokecolor="#004097" strokeweight="2pt">
              <v:stroke dashstyle="solid"/>
            </v:rect>
            <v:line id="_x0000_s1175" style="position:absolute" from="3778,1189" to="3778,2012" stroked="t" strokecolor="#004097" strokeweight="3.36pt">
              <v:stroke dashstyle="solid"/>
            </v:line>
            <v:rect id="_x0000_s1176" style="width:68;height:823;left:3744;position:absolute;top:1189" filled="f" stroked="t" strokecolor="#004097" strokeweight="2pt">
              <v:stroke dashstyle="solid"/>
            </v:rect>
            <v:line id="_x0000_s1177" style="position:absolute" from="3948,1175" to="3948,2012" stroked="t" strokecolor="#004097" strokeweight="3.36pt">
              <v:stroke dashstyle="solid"/>
            </v:line>
            <v:rect id="_x0000_s1178" style="width:68;height:838;left:3914;position:absolute;top:1174" filled="f" stroked="t" strokecolor="#004097" strokeweight="2pt">
              <v:stroke dashstyle="solid"/>
            </v:rect>
            <v:line id="_x0000_s1179" style="position:absolute" from="4117,385" to="4117,2012" stroked="t" strokecolor="#004097" strokeweight="3.48pt">
              <v:stroke dashstyle="solid"/>
            </v:line>
            <v:rect id="_x0000_s1180" style="width:70;height:1627;left:4082;position:absolute;top:385" filled="f" stroked="t" strokecolor="#004097" strokeweight="2pt">
              <v:stroke dashstyle="solid"/>
            </v:rect>
            <v:line id="_x0000_s1181" style="position:absolute" from="4286,1009" to="4286,2012" stroked="t" strokecolor="#004097" strokeweight="3.36pt">
              <v:stroke dashstyle="solid"/>
            </v:line>
            <v:rect id="_x0000_s1182" style="width:68;height:1003;left:4252;position:absolute;top:1009" filled="f" stroked="t" strokecolor="#004097" strokeweight="2pt">
              <v:stroke dashstyle="solid"/>
            </v:rect>
            <v:line id="_x0000_s1183" style="position:absolute" from="4457,498" to="4457,2012" stroked="t" strokecolor="#004097" strokeweight="3.36pt">
              <v:stroke dashstyle="solid"/>
            </v:line>
            <v:rect id="_x0000_s1184" style="width:68;height:1514;left:4423;position:absolute;top:498" filled="f" stroked="t" strokecolor="#004097" strokeweight="2pt">
              <v:stroke dashstyle="solid"/>
            </v:rect>
            <v:line id="_x0000_s1185" style="position:absolute" from="4626,776" to="4626,2012" stroked="t" strokecolor="#004097" strokeweight="3.48pt">
              <v:stroke dashstyle="solid"/>
            </v:line>
            <v:rect id="_x0000_s1186" style="width:70;height:1236;left:4591;position:absolute;top:776" filled="f" stroked="t" strokecolor="#004097" strokeweight="2pt">
              <v:stroke dashstyle="solid"/>
            </v:rect>
            <v:line id="_x0000_s1187" style="position:absolute" from="4795,1141" to="4795,2012" stroked="t" strokecolor="#004097" strokeweight="3.36pt">
              <v:stroke dashstyle="solid"/>
            </v:line>
            <v:rect id="_x0000_s1188" style="width:68;height:871;left:4761;position:absolute;top:1141" filled="f" stroked="t" strokecolor="#004097" strokeweight="2pt">
              <v:stroke dashstyle="solid"/>
            </v:rect>
            <v:line id="_x0000_s1189" style="position:absolute" from="4966,1165" to="4966,2012" stroked="t" strokecolor="#004097" strokeweight="3.36pt">
              <v:stroke dashstyle="solid"/>
            </v:line>
            <v:rect id="_x0000_s1190" style="width:68;height:847;left:4932;position:absolute;top:1165" filled="f" stroked="t" strokecolor="#004097" strokeweight="2pt">
              <v:stroke dashstyle="solid"/>
            </v:rect>
            <v:line id="_x0000_s1191" style="position:absolute" from="5135,995" to="5135,2012" stroked="t" strokecolor="#004097" strokeweight="3.48pt">
              <v:stroke dashstyle="solid"/>
            </v:line>
            <v:rect id="_x0000_s1192" style="width:70;height:1018;left:5100;position:absolute;top:994" filled="f" stroked="t" strokecolor="#004097" strokeweight="2pt">
              <v:stroke dashstyle="solid"/>
            </v:rect>
            <v:shape id="_x0000_s1193" style="width:54;height:1859;left:5166;position:absolute;top:153" coordorigin="5167,154" coordsize="54,1859" path="m5220,2012l5220,154m5167,2012l5220,2012m5167,1806l5220,1806m5167,1600l5220,1600m5167,1393l5220,1393m5167,1187l5220,1187m5167,980l5220,980m5167,774l5220,774m5167,568l5220,568m5167,361l5220,361m5167,154l5220,154e" filled="f" stroked="t" strokecolor="#858585" strokeweight="0.75pt">
              <v:stroke dashstyle="solid"/>
              <v:path arrowok="t"/>
            </v:shape>
            <v:shape id="_x0000_s1194" style="width:3903;height:1859;left:1317;position:absolute;top:153" coordorigin="1317,154" coordsize="3903,1859" path="m1317,2012l1317,154m1317,2012l1370,2012m1317,1825l1370,1825m1317,1640l1370,1640m1317,1456l1370,1456m1317,1268l1370,1268m1317,1084l1370,1084m1317,896l1370,896m1317,712l1370,712m1317,524l1370,524m1317,340l1370,340m1317,154l1370,154m1317,2012l5220,2012m1317,1959l1317,2012m1488,1959l1488,2012m1656,1959l1656,2012m1826,1959l1826,2012m1997,1959l1997,2012m2165,1959l2165,2012m2335,1959l2335,2012m2506,1959l2506,2012m2674,1959l2674,2012m2844,1959l2844,2012m3014,1959l3014,2012m3185,1959l3185,2012m3353,1959l3353,2012m3523,1959l3523,2012m3694,1959l3694,2012m3862,1959l3862,2012m4032,1959l4032,2012m4202,1959l4202,2012m4370,1959l4370,2012m4541,1959l4541,2012m4711,1959l4711,2012m4882,1959l4882,2012m5050,1959l5050,2012m5220,1959l5220,2012e" filled="f" stroked="t" strokecolor="black" strokeweight="0.25pt">
              <v:stroke dashstyle="solid"/>
              <v:path arrowok="t"/>
            </v:shape>
            <v:shape id="_x0000_s1195" style="width:3734;height:1490;left:1401;position:absolute;top:242" coordorigin="1402,242" coordsize="3734,1490" path="m1402,1175l1572,1592,1742,1352,1910,1732,2081,1220,2251,1048,2419,1338,2590,1093,2760,1175,2928,1206,3098,1295,3269,1436,3439,1595,3607,1271,3778,1278,3948,834,4116,464,4286,1232,4457,242,4625,1021,4795,1386,4966,1324,5135,1261e" filled="f" stroked="t" strokecolor="silver" strokeweight="1.75pt">
              <v:stroke dashstyle="solid"/>
              <v:path arrowok="t"/>
            </v:shape>
          </v:group>
        </w:pict>
      </w:r>
      <w:r>
        <w:pict>
          <v:group id="_x0000_s1196" style="width:21.2pt;height:6.35pt;margin-top:-12.83pt;margin-left:92.46pt;mso-position-horizontal-relative:page;position:absolute;z-index:251677696" coordorigin="1849,-257" coordsize="424,127">
            <v:line id="_x0000_s1197" style="position:absolute" from="1869,-193" to="2253,-193" stroked="t" strokecolor="#004097" strokeweight="4.34pt">
              <v:stroke dashstyle="solid"/>
            </v:line>
            <v:rect id="_x0000_s1198" style="width:384;height:87;left:1869;position:absolute;top:-237" filled="f" stroked="t" strokecolor="#004097" strokeweight="2pt">
              <v:stroke dashstyle="solid"/>
            </v:rect>
          </v:group>
        </w:pict>
      </w:r>
      <w:r>
        <w:pict>
          <v:line id="_x0000_s1199" style="mso-position-horizontal-relative:page;position:absolute;z-index:-251644928" from="206.8pt,-9.65pt" to="226pt,-9.65pt" stroked="t" strokecolor="silver" strokeweight="1.75pt">
            <v:stroke dashstyle="solid"/>
          </v:line>
        </w:pict>
      </w:r>
      <w:r>
        <w:pict>
          <v:group id="_x0000_s1200" style="width:225.3pt;height:98.75pt;margin-top:4.95pt;margin-left:330.4pt;mso-position-horizontal-relative:page;position:absolute;z-index:251678720" coordorigin="6608,99" coordsize="4506,1975">
            <v:rect id="_x0000_s1201" style="width:77;height:21;left:6669;position:absolute;top:2046" filled="t" fillcolor="#004097" stroked="f">
              <v:fill type="solid"/>
            </v:rect>
            <v:rect id="_x0000_s1202" style="width:77;height:21;left:6669;position:absolute;top:2046" filled="f" stroked="t" strokecolor="#004097" strokeweight="0.75pt">
              <v:stroke dashstyle="solid"/>
            </v:rect>
            <v:rect id="_x0000_s1203" style="width:77;height:22;left:6669;position:absolute;top:2024" filled="t" fillcolor="silver" stroked="f">
              <v:fill type="solid"/>
            </v:rect>
            <v:rect id="_x0000_s1204" style="width:77;height:22;left:6669;position:absolute;top:2024" filled="f" stroked="t" strokecolor="silver" strokeweight="0.75pt">
              <v:stroke dashstyle="solid"/>
            </v:rect>
            <v:line id="_x0000_s1205" style="position:absolute" from="6708,1684" to="6708,2024" stroked="t" strokecolor="#5085c5" strokeweight="3.84pt">
              <v:stroke dashstyle="solid"/>
            </v:line>
            <v:rect id="_x0000_s1206" style="width:77;height:341;left:6669;position:absolute;top:1683" filled="f" stroked="t" strokecolor="#5085c5" strokeweight="0.75pt">
              <v:stroke dashstyle="solid"/>
            </v:rect>
            <v:line id="_x0000_s1207" style="position:absolute" from="6708,1496" to="6708,1684" stroked="t" strokecolor="gray" strokeweight="3.84pt">
              <v:stroke dashstyle="solid"/>
            </v:line>
            <v:rect id="_x0000_s1208" style="width:77;height:188;left:6669;position:absolute;top:1496" filled="f" stroked="t" strokecolor="gray" strokeweight="0.75pt">
              <v:stroke dashstyle="solid"/>
            </v:rect>
            <v:rect id="_x0000_s1209" style="width:77;height:94;left:6669;position:absolute;top:1402" filled="t" fillcolor="#c2d4eb" stroked="f">
              <v:fill type="solid"/>
            </v:rect>
            <v:rect id="_x0000_s1210" style="width:77;height:94;left:6669;position:absolute;top:1402" filled="f" stroked="t" strokecolor="#c2d4eb" strokeweight="0.75pt">
              <v:stroke dashstyle="solid"/>
            </v:rect>
            <v:line id="_x0000_s1211" style="position:absolute" from="6708,952" to="6708,1403" stroked="t" strokecolor="#545454" strokeweight="3.84pt">
              <v:stroke dashstyle="solid"/>
            </v:line>
            <v:rect id="_x0000_s1212" style="width:77;height:452;left:6669;position:absolute;top:951" filled="f" stroked="t" strokecolor="#545454" strokeweight="0.75pt">
              <v:stroke dashstyle="solid"/>
            </v:rect>
            <v:shape id="_x0000_s1213" style="width:54;height:1965;left:6610;position:absolute;top:101" coordorigin="6611,101" coordsize="54,1965" path="m6611,2066l6611,101m6611,2066l6664,2066m6611,1739l6664,1739m6611,1412l6664,1412m6611,1084l6664,1084m6611,757l6664,757m6611,428l6664,428m6611,101l6664,101e" filled="f" stroked="t" strokecolor="black" strokeweight="0.25pt">
              <v:stroke dashstyle="solid"/>
              <v:path arrowok="t"/>
            </v:shape>
            <v:rect id="_x0000_s1214" style="width:80;height:13;left:6864;position:absolute;top:2053" filled="t" fillcolor="#004097" stroked="f">
              <v:fill type="solid"/>
            </v:rect>
            <v:rect id="_x0000_s1215" style="width:80;height:13;left:6864;position:absolute;top:2053" filled="f" stroked="t" strokecolor="#004097" strokeweight="0.75pt">
              <v:stroke dashstyle="solid"/>
            </v:rect>
            <v:rect id="_x0000_s1216" style="width:80;height:22;left:6864;position:absolute;top:2031" filled="t" fillcolor="silver" stroked="f">
              <v:fill type="solid"/>
            </v:rect>
            <v:rect id="_x0000_s1217" style="width:80;height:22;left:6864;position:absolute;top:2031" filled="f" stroked="t" strokecolor="silver" strokeweight="0.75pt">
              <v:stroke dashstyle="solid"/>
            </v:rect>
            <v:line id="_x0000_s1218" style="position:absolute" from="6904,1813" to="6904,2032" stroked="t" strokecolor="#5085c5" strokeweight="3.96pt">
              <v:stroke dashstyle="solid"/>
            </v:line>
            <v:rect id="_x0000_s1219" style="width:80;height:219;left:6864;position:absolute;top:1813" filled="f" stroked="t" strokecolor="#5085c5" strokeweight="0.75pt">
              <v:stroke dashstyle="solid"/>
            </v:rect>
            <v:rect id="_x0000_s1220" style="width:80;height:111;left:6864;position:absolute;top:1702" filled="t" fillcolor="gray" stroked="f">
              <v:fill type="solid"/>
            </v:rect>
            <v:rect id="_x0000_s1221" style="width:80;height:111;left:6864;position:absolute;top:1702" filled="f" stroked="t" strokecolor="gray" strokeweight="0.75pt">
              <v:stroke dashstyle="solid"/>
            </v:rect>
            <v:rect id="_x0000_s1222" style="width:80;height:72;left:6864;position:absolute;top:1630" filled="t" fillcolor="#c2d4eb" stroked="f">
              <v:fill type="solid"/>
            </v:rect>
            <v:rect id="_x0000_s1223" style="width:80;height:72;left:6864;position:absolute;top:1630" filled="f" stroked="t" strokecolor="#c2d4eb" strokeweight="0.75pt">
              <v:stroke dashstyle="solid"/>
            </v:rect>
            <v:line id="_x0000_s1224" style="position:absolute" from="6904,1312" to="6904,1631" stroked="t" strokecolor="#545454" strokeweight="3.96pt">
              <v:stroke dashstyle="solid"/>
            </v:line>
            <v:rect id="_x0000_s1225" style="width:80;height:320;left:6864;position:absolute;top:1311" filled="f" stroked="t" strokecolor="#545454" strokeweight="0.75pt">
              <v:stroke dashstyle="solid"/>
            </v:rect>
            <v:rect id="_x0000_s1226" style="width:80;height:16;left:7060;position:absolute;top:2050" filled="t" fillcolor="#004097" stroked="f">
              <v:fill type="solid"/>
            </v:rect>
            <v:rect id="_x0000_s1227" style="width:80;height:16;left:7060;position:absolute;top:2050" filled="f" stroked="t" strokecolor="#004097" strokeweight="0.75pt">
              <v:stroke dashstyle="solid"/>
            </v:rect>
            <v:rect id="_x0000_s1228" style="width:80;height:17;left:7060;position:absolute;top:2034" filled="t" fillcolor="silver" stroked="f">
              <v:fill type="solid"/>
            </v:rect>
            <v:rect id="_x0000_s1229" style="width:80;height:17;left:7060;position:absolute;top:2034" filled="f" stroked="t" strokecolor="silver" strokeweight="0.75pt">
              <v:stroke dashstyle="solid"/>
            </v:rect>
            <v:line id="_x0000_s1230" style="position:absolute" from="7100,1770" to="7100,2034" stroked="t" strokecolor="#5085c5" strokeweight="3.96pt">
              <v:stroke dashstyle="solid"/>
            </v:line>
            <v:rect id="_x0000_s1231" style="width:80;height:264;left:7060;position:absolute;top:1770" filled="f" stroked="t" strokecolor="#5085c5" strokeweight="0.75pt">
              <v:stroke dashstyle="solid"/>
            </v:rect>
            <v:rect id="_x0000_s1232" style="width:80;height:120;left:7060;position:absolute;top:1650" filled="t" fillcolor="gray" stroked="f">
              <v:fill type="solid"/>
            </v:rect>
            <v:rect id="_x0000_s1233" style="width:80;height:120;left:7060;position:absolute;top:1650" filled="f" stroked="t" strokecolor="gray" strokeweight="0.75pt">
              <v:stroke dashstyle="solid"/>
            </v:rect>
            <v:rect id="_x0000_s1234" style="width:80;height:77;left:7060;position:absolute;top:1573" filled="t" fillcolor="#c2d4eb" stroked="f">
              <v:fill type="solid"/>
            </v:rect>
            <v:rect id="_x0000_s1235" style="width:80;height:77;left:7060;position:absolute;top:1573" filled="f" stroked="t" strokecolor="#c2d4eb" strokeweight="0.75pt">
              <v:stroke dashstyle="solid"/>
            </v:rect>
            <v:line id="_x0000_s1236" style="position:absolute" from="7100,1242" to="7100,1573" stroked="t" strokecolor="#545454" strokeweight="3.96pt">
              <v:stroke dashstyle="solid"/>
            </v:line>
            <v:rect id="_x0000_s1237" style="width:80;height:332;left:7060;position:absolute;top:1242" filled="f" stroked="t" strokecolor="#545454" strokeweight="0.75pt">
              <v:stroke dashstyle="solid"/>
            </v:rect>
            <v:rect id="_x0000_s1238" style="width:80;height:33;left:7255;position:absolute;top:2034" filled="t" fillcolor="#004097" stroked="f">
              <v:fill type="solid"/>
            </v:rect>
            <v:rect id="_x0000_s1239" style="width:80;height:33;left:7255;position:absolute;top:2034" filled="f" stroked="t" strokecolor="#004097" strokeweight="0.75pt">
              <v:stroke dashstyle="solid"/>
            </v:rect>
            <v:rect id="_x0000_s1240" style="width:80;height:20;left:7255;position:absolute;top:2014" filled="t" fillcolor="silver" stroked="f">
              <v:fill type="solid"/>
            </v:rect>
            <v:rect id="_x0000_s1241" style="width:80;height:20;left:7255;position:absolute;top:2014" filled="f" stroked="t" strokecolor="silver" strokeweight="0.75pt">
              <v:stroke dashstyle="solid"/>
            </v:rect>
            <v:line id="_x0000_s1242" style="position:absolute" from="7295,1830" to="7295,2015" stroked="t" strokecolor="#5085c5" strokeweight="3.96pt">
              <v:stroke dashstyle="solid"/>
            </v:line>
            <v:rect id="_x0000_s1243" style="width:80;height:185;left:7255;position:absolute;top:1830" filled="f" stroked="t" strokecolor="#5085c5" strokeweight="0.75pt">
              <v:stroke dashstyle="solid"/>
            </v:rect>
            <v:line id="_x0000_s1244" style="position:absolute" from="7295,1674" to="7295,1830" stroked="t" strokecolor="gray" strokeweight="3.96pt">
              <v:stroke dashstyle="solid"/>
            </v:line>
            <v:rect id="_x0000_s1245" style="width:80;height:156;left:7255;position:absolute;top:1674" filled="f" stroked="t" strokecolor="gray" strokeweight="0.75pt">
              <v:stroke dashstyle="solid"/>
            </v:rect>
            <v:rect id="_x0000_s1246" style="width:80;height:53;left:7255;position:absolute;top:1621" filled="t" fillcolor="#c2d4eb" stroked="f">
              <v:fill type="solid"/>
            </v:rect>
            <v:rect id="_x0000_s1247" style="width:80;height:53;left:7255;position:absolute;top:1621" filled="f" stroked="t" strokecolor="#c2d4eb" strokeweight="0.75pt">
              <v:stroke dashstyle="solid"/>
            </v:rect>
            <v:line id="_x0000_s1248" style="position:absolute" from="7295,1328" to="7295,1621" stroked="t" strokecolor="#545454" strokeweight="3.96pt">
              <v:stroke dashstyle="solid"/>
            </v:line>
            <v:rect id="_x0000_s1249" style="width:80;height:293;left:7255;position:absolute;top:1328" filled="f" stroked="t" strokecolor="#545454" strokeweight="0.75pt">
              <v:stroke dashstyle="solid"/>
            </v:rect>
            <v:rect id="_x0000_s1250" style="width:80;height:42;left:7452;position:absolute;top:2024" filled="t" fillcolor="#004097" stroked="f">
              <v:fill type="solid"/>
            </v:rect>
            <v:rect id="_x0000_s1251" style="width:80;height:42;left:7452;position:absolute;top:2024" filled="f" stroked="t" strokecolor="#004097" strokeweight="0.75pt">
              <v:stroke dashstyle="solid"/>
            </v:rect>
            <v:rect id="_x0000_s1252" style="width:80;height:12;left:7452;position:absolute;top:2012" filled="t" fillcolor="silver" stroked="f">
              <v:fill type="solid"/>
            </v:rect>
            <v:rect id="_x0000_s1253" style="width:80;height:12;left:7452;position:absolute;top:2012" filled="f" stroked="t" strokecolor="silver" strokeweight="0.75pt">
              <v:stroke dashstyle="solid"/>
            </v:rect>
            <v:line id="_x0000_s1254" style="position:absolute" from="7492,1600" to="7492,2012" stroked="t" strokecolor="#5085c5" strokeweight="3.96pt">
              <v:stroke dashstyle="solid"/>
            </v:line>
            <v:rect id="_x0000_s1255" style="width:80;height:413;left:7452;position:absolute;top:1599" filled="f" stroked="t" strokecolor="#5085c5" strokeweight="0.75pt">
              <v:stroke dashstyle="solid"/>
            </v:rect>
            <v:line id="_x0000_s1256" style="position:absolute" from="7492,1381" to="7492,1600" stroked="t" strokecolor="gray" strokeweight="3.96pt">
              <v:stroke dashstyle="solid"/>
            </v:line>
            <v:rect id="_x0000_s1257" style="width:80;height:219;left:7452;position:absolute;top:1381" filled="f" stroked="t" strokecolor="gray" strokeweight="0.75pt">
              <v:stroke dashstyle="solid"/>
            </v:rect>
            <v:rect id="_x0000_s1258" style="width:80;height:53;left:7452;position:absolute;top:1328" filled="t" fillcolor="#c2d4eb" stroked="f">
              <v:fill type="solid"/>
            </v:rect>
            <v:rect id="_x0000_s1259" style="width:80;height:53;left:7452;position:absolute;top:1328" filled="f" stroked="t" strokecolor="#c2d4eb" strokeweight="0.75pt">
              <v:stroke dashstyle="solid"/>
            </v:rect>
            <v:line id="_x0000_s1260" style="position:absolute" from="7492,952" to="7492,1328" stroked="t" strokecolor="#545454" strokeweight="3.96pt">
              <v:stroke dashstyle="solid"/>
            </v:line>
            <v:rect id="_x0000_s1261" style="width:80;height:377;left:7452;position:absolute;top:951" filled="f" stroked="t" strokecolor="#545454" strokeweight="0.75pt">
              <v:stroke dashstyle="solid"/>
            </v:rect>
            <v:rect id="_x0000_s1262" style="width:77;height:28;left:7648;position:absolute;top:2038" filled="t" fillcolor="#004097" stroked="f">
              <v:fill type="solid"/>
            </v:rect>
            <v:rect id="_x0000_s1263" style="width:77;height:28;left:7648;position:absolute;top:2038" filled="f" stroked="t" strokecolor="#004097" strokeweight="0.75pt">
              <v:stroke dashstyle="solid"/>
            </v:rect>
            <v:rect id="_x0000_s1264" style="width:77;height:17;left:7648;position:absolute;top:2022" filled="t" fillcolor="silver" stroked="f">
              <v:fill type="solid"/>
            </v:rect>
            <v:rect id="_x0000_s1265" style="width:77;height:17;left:7648;position:absolute;top:2022" filled="f" stroked="t" strokecolor="silver" strokeweight="0.75pt">
              <v:stroke dashstyle="solid"/>
            </v:rect>
            <v:line id="_x0000_s1266" style="position:absolute" from="7687,1676" to="7687,2022" stroked="t" strokecolor="#5085c5" strokeweight="3.84pt">
              <v:stroke dashstyle="solid"/>
            </v:line>
            <v:rect id="_x0000_s1267" style="width:77;height:346;left:7648;position:absolute;top:1676" filled="f" stroked="t" strokecolor="#5085c5" strokeweight="0.75pt">
              <v:stroke dashstyle="solid"/>
            </v:rect>
            <v:line id="_x0000_s1268" style="position:absolute" from="7687,1408" to="7687,1676" stroked="t" strokecolor="gray" strokeweight="3.84pt">
              <v:stroke dashstyle="solid"/>
            </v:line>
            <v:rect id="_x0000_s1269" style="width:77;height:269;left:7648;position:absolute;top:1407" filled="f" stroked="t" strokecolor="gray" strokeweight="0.75pt">
              <v:stroke dashstyle="solid"/>
            </v:rect>
            <v:rect id="_x0000_s1270" style="width:77;height:99;left:7648;position:absolute;top:1309" filled="t" fillcolor="#c2d4eb" stroked="f">
              <v:fill type="solid"/>
            </v:rect>
            <v:rect id="_x0000_s1271" style="width:77;height:99;left:7648;position:absolute;top:1309" filled="f" stroked="t" strokecolor="#c2d4eb" strokeweight="0.75pt">
              <v:stroke dashstyle="solid"/>
            </v:rect>
            <v:line id="_x0000_s1272" style="position:absolute" from="7687,961" to="7687,1309" stroked="t" strokecolor="#545454" strokeweight="3.84pt">
              <v:stroke dashstyle="solid"/>
            </v:line>
            <v:rect id="_x0000_s1273" style="width:77;height:348;left:7648;position:absolute;top:961" filled="f" stroked="t" strokecolor="#545454" strokeweight="0.75pt">
              <v:stroke dashstyle="solid"/>
            </v:rect>
            <v:rect id="_x0000_s1274" style="width:80;height:28;left:7843;position:absolute;top:2038" filled="t" fillcolor="#004097" stroked="f">
              <v:fill type="solid"/>
            </v:rect>
            <v:rect id="_x0000_s1275" style="width:80;height:28;left:7843;position:absolute;top:2038" filled="f" stroked="t" strokecolor="#004097" strokeweight="0.75pt">
              <v:stroke dashstyle="solid"/>
            </v:rect>
            <v:rect id="_x0000_s1276" style="width:80;height:48;left:7843;position:absolute;top:1990" filled="t" fillcolor="silver" stroked="f">
              <v:fill type="solid"/>
            </v:rect>
            <v:rect id="_x0000_s1277" style="width:80;height:48;left:7843;position:absolute;top:1990" filled="f" stroked="t" strokecolor="silver" strokeweight="0.75pt">
              <v:stroke dashstyle="solid"/>
            </v:rect>
            <v:line id="_x0000_s1278" style="position:absolute" from="7883,1640" to="7883,1991" stroked="t" strokecolor="#5085c5" strokeweight="3.96pt">
              <v:stroke dashstyle="solid"/>
            </v:line>
            <v:rect id="_x0000_s1279" style="width:80;height:351;left:7843;position:absolute;top:1640" filled="f" stroked="t" strokecolor="#5085c5" strokeweight="0.75pt">
              <v:stroke dashstyle="solid"/>
            </v:rect>
            <v:line id="_x0000_s1280" style="position:absolute" from="7883,1408" to="7883,1640" stroked="t" strokecolor="gray" strokeweight="3.96pt">
              <v:stroke dashstyle="solid"/>
            </v:line>
            <v:rect id="_x0000_s1281" style="width:80;height:233;left:7843;position:absolute;top:1407" filled="f" stroked="t" strokecolor="gray" strokeweight="0.75pt">
              <v:stroke dashstyle="solid"/>
            </v:rect>
            <v:rect id="_x0000_s1282" style="width:80;height:22;left:7843;position:absolute;top:1386" filled="t" fillcolor="#c2d4eb" stroked="f">
              <v:fill type="solid"/>
            </v:rect>
            <v:rect id="_x0000_s1283" style="width:80;height:22;left:7843;position:absolute;top:1386" filled="f" stroked="t" strokecolor="#c2d4eb" strokeweight="0.75pt">
              <v:stroke dashstyle="solid"/>
            </v:rect>
            <v:line id="_x0000_s1284" style="position:absolute" from="7883,932" to="7883,1386" stroked="t" strokecolor="#545454" strokeweight="3.96pt">
              <v:stroke dashstyle="solid"/>
            </v:line>
            <v:rect id="_x0000_s1285" style="width:80;height:454;left:7843;position:absolute;top:932" filled="f" stroked="t" strokecolor="#545454" strokeweight="0.75pt">
              <v:stroke dashstyle="solid"/>
            </v:rect>
            <v:rect id="_x0000_s1286" style="width:77;height:16;left:8040;position:absolute;top:2050" filled="t" fillcolor="#004097" stroked="f">
              <v:fill type="solid"/>
            </v:rect>
            <v:rect id="_x0000_s1287" style="width:77;height:16;left:8040;position:absolute;top:2050" filled="f" stroked="t" strokecolor="#004097" strokeweight="0.75pt">
              <v:stroke dashstyle="solid"/>
            </v:rect>
            <v:rect id="_x0000_s1288" style="width:77;height:29;left:8040;position:absolute;top:2022" filled="t" fillcolor="silver" stroked="f">
              <v:fill type="solid"/>
            </v:rect>
            <v:rect id="_x0000_s1289" style="width:77;height:29;left:8040;position:absolute;top:2022" filled="f" stroked="t" strokecolor="silver" strokeweight="0.75pt">
              <v:stroke dashstyle="solid"/>
            </v:rect>
            <v:line id="_x0000_s1290" style="position:absolute" from="8078,1633" to="8078,2022" stroked="t" strokecolor="#5085c5" strokeweight="3.84pt">
              <v:stroke dashstyle="solid"/>
            </v:line>
            <v:rect id="_x0000_s1291" style="width:77;height:389;left:8040;position:absolute;top:1633" filled="f" stroked="t" strokecolor="#5085c5" strokeweight="0.75pt">
              <v:stroke dashstyle="solid"/>
            </v:rect>
            <v:line id="_x0000_s1292" style="position:absolute" from="8078,1463" to="8078,1633" stroked="t" strokecolor="gray" strokeweight="3.84pt">
              <v:stroke dashstyle="solid"/>
            </v:line>
            <v:rect id="_x0000_s1293" style="width:77;height:171;left:8040;position:absolute;top:1462" filled="f" stroked="t" strokecolor="gray" strokeweight="0.75pt">
              <v:stroke dashstyle="solid"/>
            </v:rect>
            <v:rect id="_x0000_s1294" style="width:77;height:75;left:8040;position:absolute;top:1388" filled="t" fillcolor="#c2d4eb" stroked="f">
              <v:fill type="solid"/>
            </v:rect>
            <v:rect id="_x0000_s1295" style="width:77;height:75;left:8040;position:absolute;top:1388" filled="f" stroked="t" strokecolor="#c2d4eb" strokeweight="0.75pt">
              <v:stroke dashstyle="solid"/>
            </v:rect>
            <v:line id="_x0000_s1296" style="position:absolute" from="8078,810" to="8078,1388" stroked="t" strokecolor="#545454" strokeweight="3.84pt">
              <v:stroke dashstyle="solid"/>
            </v:line>
            <v:rect id="_x0000_s1297" style="width:77;height:579;left:8040;position:absolute;top:810" filled="f" stroked="t" strokecolor="#545454" strokeweight="0.75pt">
              <v:stroke dashstyle="solid"/>
            </v:rect>
            <v:rect id="_x0000_s1298" style="width:80;height:11;left:8234;position:absolute;top:2055" filled="t" fillcolor="#004097" stroked="f">
              <v:fill type="solid"/>
            </v:rect>
            <v:rect id="_x0000_s1299" style="width:80;height:11;left:8234;position:absolute;top:2055" filled="f" stroked="t" strokecolor="#004097" strokeweight="0.75pt">
              <v:stroke dashstyle="solid"/>
            </v:rect>
            <v:rect id="_x0000_s1300" style="width:80;height:39;left:8234;position:absolute;top:2017" filled="t" fillcolor="silver" stroked="f">
              <v:fill type="solid"/>
            </v:rect>
            <v:rect id="_x0000_s1301" style="width:80;height:39;left:8234;position:absolute;top:2017" filled="f" stroked="t" strokecolor="silver" strokeweight="0.75pt">
              <v:stroke dashstyle="solid"/>
            </v:rect>
            <v:line id="_x0000_s1302" style="position:absolute" from="8274,1703" to="8274,2017" stroked="t" strokecolor="#5085c5" strokeweight="3.96pt">
              <v:stroke dashstyle="solid"/>
            </v:line>
            <v:rect id="_x0000_s1303" style="width:80;height:315;left:8234;position:absolute;top:1702" filled="f" stroked="t" strokecolor="#5085c5" strokeweight="0.75pt">
              <v:stroke dashstyle="solid"/>
            </v:rect>
            <v:line id="_x0000_s1304" style="position:absolute" from="8274,1499" to="8274,1703" stroked="t" strokecolor="gray" strokeweight="3.96pt">
              <v:stroke dashstyle="solid"/>
            </v:line>
            <v:rect id="_x0000_s1305" style="width:80;height:204;left:8234;position:absolute;top:1498" filled="f" stroked="t" strokecolor="gray" strokeweight="0.75pt">
              <v:stroke dashstyle="solid"/>
            </v:rect>
            <v:rect id="_x0000_s1306" style="width:80;height:32;left:8234;position:absolute;top:1467" filled="t" fillcolor="#c2d4eb" stroked="f">
              <v:fill type="solid"/>
            </v:rect>
            <v:rect id="_x0000_s1307" style="width:80;height:32;left:8234;position:absolute;top:1467" filled="f" stroked="t" strokecolor="#c2d4eb" strokeweight="0.75pt">
              <v:stroke dashstyle="solid"/>
            </v:rect>
            <v:line id="_x0000_s1308" style="position:absolute" from="8274,911" to="8274,1468" stroked="t" strokecolor="#545454" strokeweight="3.96pt">
              <v:stroke dashstyle="solid"/>
            </v:line>
            <v:rect id="_x0000_s1309" style="width:80;height:557;left:8234;position:absolute;top:910" filled="f" stroked="t" strokecolor="#545454" strokeweight="0.75pt">
              <v:stroke dashstyle="solid"/>
            </v:rect>
            <v:rect id="_x0000_s1310" style="width:77;height:16;left:8431;position:absolute;top:2050" filled="t" fillcolor="#004097" stroked="f">
              <v:fill type="solid"/>
            </v:rect>
            <v:rect id="_x0000_s1311" style="width:77;height:16;left:8431;position:absolute;top:2050" filled="f" stroked="t" strokecolor="#004097" strokeweight="0.75pt">
              <v:stroke dashstyle="solid"/>
            </v:rect>
            <v:rect id="_x0000_s1312" style="width:77;height:27;left:8431;position:absolute;top:2024" filled="t" fillcolor="silver" stroked="f">
              <v:fill type="solid"/>
            </v:rect>
            <v:rect id="_x0000_s1313" style="width:77;height:27;left:8431;position:absolute;top:2024" filled="f" stroked="t" strokecolor="silver" strokeweight="0.75pt">
              <v:stroke dashstyle="solid"/>
            </v:rect>
            <v:line id="_x0000_s1314" style="position:absolute" from="8470,1710" to="8470,2024" stroked="t" strokecolor="#5085c5" strokeweight="3.84pt">
              <v:stroke dashstyle="solid"/>
            </v:line>
            <v:rect id="_x0000_s1315" style="width:77;height:315;left:8431;position:absolute;top:1710" filled="f" stroked="t" strokecolor="#5085c5" strokeweight="0.75pt">
              <v:stroke dashstyle="solid"/>
            </v:rect>
            <v:line id="_x0000_s1316" style="position:absolute" from="8470,1432" to="8470,1710" stroked="t" strokecolor="gray" strokeweight="3.84pt">
              <v:stroke dashstyle="solid"/>
            </v:line>
            <v:rect id="_x0000_s1317" style="width:77;height:279;left:8431;position:absolute;top:1431" filled="f" stroked="t" strokecolor="gray" strokeweight="0.75pt">
              <v:stroke dashstyle="solid"/>
            </v:rect>
            <v:rect id="_x0000_s1318" style="width:77;height:89;left:8431;position:absolute;top:1342" filled="t" fillcolor="#c2d4eb" stroked="f">
              <v:fill type="solid"/>
            </v:rect>
            <v:rect id="_x0000_s1319" style="width:77;height:89;left:8431;position:absolute;top:1342" filled="f" stroked="t" strokecolor="#c2d4eb" strokeweight="0.75pt">
              <v:stroke dashstyle="solid"/>
            </v:rect>
            <v:line id="_x0000_s1320" style="position:absolute" from="8470,829" to="8470,1343" stroked="t" strokecolor="#545454" strokeweight="3.84pt">
              <v:stroke dashstyle="solid"/>
            </v:line>
            <v:rect id="_x0000_s1321" style="width:77;height:514;left:8431;position:absolute;top:829" filled="f" stroked="t" strokecolor="#545454" strokeweight="0.75pt">
              <v:stroke dashstyle="solid"/>
            </v:rect>
            <v:rect id="_x0000_s1322" style="width:80;height:21;left:8625;position:absolute;top:2046" filled="t" fillcolor="#004097" stroked="f">
              <v:fill type="solid"/>
            </v:rect>
            <v:rect id="_x0000_s1323" style="width:80;height:21;left:8625;position:absolute;top:2046" filled="f" stroked="t" strokecolor="#004097" strokeweight="0.75pt">
              <v:stroke dashstyle="solid"/>
            </v:rect>
            <v:rect id="_x0000_s1324" style="width:80;height:44;left:8625;position:absolute;top:2002" filled="t" fillcolor="silver" stroked="f">
              <v:fill type="solid"/>
            </v:rect>
            <v:rect id="_x0000_s1325" style="width:80;height:44;left:8625;position:absolute;top:2002" filled="f" stroked="t" strokecolor="silver" strokeweight="0.75pt">
              <v:stroke dashstyle="solid"/>
            </v:rect>
            <v:line id="_x0000_s1326" style="position:absolute" from="8665,1619" to="8665,2003" stroked="t" strokecolor="#5085c5" strokeweight="3.96pt">
              <v:stroke dashstyle="solid"/>
            </v:line>
            <v:rect id="_x0000_s1327" style="width:80;height:384;left:8625;position:absolute;top:1618" filled="f" stroked="t" strokecolor="#5085c5" strokeweight="0.75pt">
              <v:stroke dashstyle="solid"/>
            </v:rect>
            <v:line id="_x0000_s1328" style="position:absolute" from="8665,1374" to="8665,1619" stroked="t" strokecolor="gray" strokeweight="3.96pt">
              <v:stroke dashstyle="solid"/>
            </v:line>
            <v:rect id="_x0000_s1329" style="width:80;height:245;left:8625;position:absolute;top:1374" filled="f" stroked="t" strokecolor="gray" strokeweight="0.75pt">
              <v:stroke dashstyle="solid"/>
            </v:rect>
            <v:rect id="_x0000_s1330" style="width:80;height:125;left:8625;position:absolute;top:1249" filled="t" fillcolor="#c2d4eb" stroked="f">
              <v:fill type="solid"/>
            </v:rect>
            <v:rect id="_x0000_s1331" style="width:80;height:125;left:8625;position:absolute;top:1249" filled="f" stroked="t" strokecolor="#c2d4eb" strokeweight="0.75pt">
              <v:stroke dashstyle="solid"/>
            </v:rect>
            <v:line id="_x0000_s1332" style="position:absolute" from="8665,707" to="8665,1249" stroked="t" strokecolor="#545454" strokeweight="3.96pt">
              <v:stroke dashstyle="solid"/>
            </v:line>
            <v:rect id="_x0000_s1333" style="width:80;height:543;left:8625;position:absolute;top:706" filled="f" stroked="t" strokecolor="#545454" strokeweight="0.75pt">
              <v:stroke dashstyle="solid"/>
            </v:rect>
            <v:rect id="_x0000_s1334" style="width:77;height:21;left:8822;position:absolute;top:2046" filled="t" fillcolor="#004097" stroked="f">
              <v:fill type="solid"/>
            </v:rect>
            <v:rect id="_x0000_s1335" style="width:77;height:21;left:8822;position:absolute;top:2046" filled="f" stroked="t" strokecolor="#004097" strokeweight="0.75pt">
              <v:stroke dashstyle="solid"/>
            </v:rect>
            <v:rect id="_x0000_s1336" style="width:77;height:60;left:8822;position:absolute;top:1986" filled="t" fillcolor="silver" stroked="f">
              <v:fill type="solid"/>
            </v:rect>
            <v:rect id="_x0000_s1337" style="width:77;height:60;left:8822;position:absolute;top:1986" filled="f" stroked="t" strokecolor="silver" strokeweight="0.75pt">
              <v:stroke dashstyle="solid"/>
            </v:rect>
            <v:line id="_x0000_s1338" style="position:absolute" from="8861,1528" to="8861,1986" stroked="t" strokecolor="#5085c5" strokeweight="3.84pt">
              <v:stroke dashstyle="solid"/>
            </v:line>
            <v:rect id="_x0000_s1339" style="width:77;height:459;left:8822;position:absolute;top:1527" filled="f" stroked="t" strokecolor="#5085c5" strokeweight="0.75pt">
              <v:stroke dashstyle="solid"/>
            </v:rect>
            <v:line id="_x0000_s1340" style="position:absolute" from="8861,1268" to="8861,1528" stroked="t" strokecolor="gray" strokeweight="3.84pt">
              <v:stroke dashstyle="solid"/>
            </v:line>
            <v:rect id="_x0000_s1341" style="width:77;height:260;left:8822;position:absolute;top:1268" filled="f" stroked="t" strokecolor="gray" strokeweight="0.75pt">
              <v:stroke dashstyle="solid"/>
            </v:rect>
            <v:rect id="_x0000_s1342" style="width:77;height:65;left:8822;position:absolute;top:1203" filled="t" fillcolor="#c2d4eb" stroked="f">
              <v:fill type="solid"/>
            </v:rect>
            <v:rect id="_x0000_s1343" style="width:77;height:65;left:8822;position:absolute;top:1203" filled="f" stroked="t" strokecolor="#c2d4eb" strokeweight="0.75pt">
              <v:stroke dashstyle="solid"/>
            </v:rect>
            <v:line id="_x0000_s1344" style="position:absolute" from="8861,733" to="8861,1204" stroked="t" strokecolor="#545454" strokeweight="3.84pt">
              <v:stroke dashstyle="solid"/>
            </v:line>
            <v:rect id="_x0000_s1345" style="width:77;height:471;left:8822;position:absolute;top:733" filled="f" stroked="t" strokecolor="#545454" strokeweight="0.75pt">
              <v:stroke dashstyle="solid"/>
            </v:rect>
            <v:rect id="_x0000_s1346" style="width:80;height:35;left:9016;position:absolute;top:2031" filled="t" fillcolor="#004097" stroked="f">
              <v:fill type="solid"/>
            </v:rect>
            <v:rect id="_x0000_s1347" style="width:80;height:35;left:9016;position:absolute;top:2031" filled="f" stroked="t" strokecolor="#004097" strokeweight="0.75pt">
              <v:stroke dashstyle="solid"/>
            </v:rect>
            <v:rect id="_x0000_s1348" style="width:80;height:29;left:9016;position:absolute;top:2002" filled="t" fillcolor="silver" stroked="f">
              <v:fill type="solid"/>
            </v:rect>
            <v:rect id="_x0000_s1349" style="width:80;height:29;left:9016;position:absolute;top:2002" filled="f" stroked="t" strokecolor="silver" strokeweight="0.75pt">
              <v:stroke dashstyle="solid"/>
            </v:rect>
            <v:line id="_x0000_s1350" style="position:absolute" from="9056,1681" to="9056,2003" stroked="t" strokecolor="#5085c5" strokeweight="3.96pt">
              <v:stroke dashstyle="solid"/>
            </v:line>
            <v:rect id="_x0000_s1351" style="width:80;height:322;left:9016;position:absolute;top:1681" filled="f" stroked="t" strokecolor="#5085c5" strokeweight="0.75pt">
              <v:stroke dashstyle="solid"/>
            </v:rect>
            <v:line id="_x0000_s1352" style="position:absolute" from="9056,1528" to="9056,1681" stroked="t" strokecolor="gray" strokeweight="3.96pt">
              <v:stroke dashstyle="solid"/>
            </v:line>
            <v:rect id="_x0000_s1353" style="width:80;height:154;left:9016;position:absolute;top:1527" filled="f" stroked="t" strokecolor="gray" strokeweight="0.75pt">
              <v:stroke dashstyle="solid"/>
            </v:rect>
            <v:rect id="_x0000_s1354" style="width:80;height:27;left:9016;position:absolute;top:1501" filled="t" fillcolor="#c2d4eb" stroked="f">
              <v:fill type="solid"/>
            </v:rect>
            <v:rect id="_x0000_s1355" style="width:80;height:27;left:9016;position:absolute;top:1501" filled="f" stroked="t" strokecolor="#c2d4eb" strokeweight="0.75pt">
              <v:stroke dashstyle="solid"/>
            </v:rect>
            <v:line id="_x0000_s1356" style="position:absolute" from="9056,973" to="9056,1501" stroked="t" strokecolor="#545454" strokeweight="3.96pt">
              <v:stroke dashstyle="solid"/>
            </v:line>
            <v:rect id="_x0000_s1357" style="width:80;height:528;left:9016;position:absolute;top:973" filled="f" stroked="t" strokecolor="#545454" strokeweight="0.75pt">
              <v:stroke dashstyle="solid"/>
            </v:rect>
            <v:rect id="_x0000_s1358" style="width:77;height:13;left:9213;position:absolute;top:2053" filled="t" fillcolor="#004097" stroked="f">
              <v:fill type="solid"/>
            </v:rect>
            <v:rect id="_x0000_s1359" style="width:77;height:13;left:9213;position:absolute;top:2053" filled="f" stroked="t" strokecolor="#004097" strokeweight="0.75pt">
              <v:stroke dashstyle="solid"/>
            </v:rect>
            <v:rect id="_x0000_s1360" style="width:77;height:22;left:9213;position:absolute;top:2031" filled="t" fillcolor="silver" stroked="f">
              <v:fill type="solid"/>
            </v:rect>
            <v:rect id="_x0000_s1361" style="width:77;height:22;left:9213;position:absolute;top:2031" filled="f" stroked="t" strokecolor="silver" strokeweight="0.75pt">
              <v:stroke dashstyle="solid"/>
            </v:rect>
            <v:line id="_x0000_s1362" style="position:absolute" from="9252,1758" to="9252,2032" stroked="t" strokecolor="#5085c5" strokeweight="3.84pt">
              <v:stroke dashstyle="solid"/>
            </v:line>
            <v:rect id="_x0000_s1363" style="width:77;height:274;left:9213;position:absolute;top:1758" filled="f" stroked="t" strokecolor="#5085c5" strokeweight="0.75pt">
              <v:stroke dashstyle="solid"/>
            </v:rect>
            <v:line id="_x0000_s1364" style="position:absolute" from="9252,1621" to="9252,1758" stroked="t" strokecolor="gray" strokeweight="3.84pt">
              <v:stroke dashstyle="solid"/>
            </v:line>
            <v:rect id="_x0000_s1365" style="width:77;height:137;left:9213;position:absolute;top:1621" filled="f" stroked="t" strokecolor="gray" strokeweight="0.75pt">
              <v:stroke dashstyle="solid"/>
            </v:rect>
            <v:rect id="_x0000_s1366" style="width:77;height:36;left:9213;position:absolute;top:1585" filled="t" fillcolor="#c2d4eb" stroked="f">
              <v:fill type="solid"/>
            </v:rect>
            <v:rect id="_x0000_s1367" style="width:77;height:36;left:9213;position:absolute;top:1585" filled="f" stroked="t" strokecolor="#c2d4eb" strokeweight="0.75pt">
              <v:stroke dashstyle="solid"/>
            </v:rect>
            <v:line id="_x0000_s1368" style="position:absolute" from="9252,1189" to="9252,1585" stroked="t" strokecolor="#545454" strokeweight="3.84pt">
              <v:stroke dashstyle="solid"/>
            </v:line>
            <v:rect id="_x0000_s1369" style="width:77;height:396;left:9213;position:absolute;top:1189" filled="f" stroked="t" strokecolor="#545454" strokeweight="0.75pt">
              <v:stroke dashstyle="solid"/>
            </v:rect>
            <v:rect id="_x0000_s1370" style="width:80;height:25;left:9408;position:absolute;top:2041" filled="t" fillcolor="#004097" stroked="f">
              <v:fill type="solid"/>
            </v:rect>
            <v:rect id="_x0000_s1371" style="width:80;height:25;left:9408;position:absolute;top:2041" filled="f" stroked="t" strokecolor="#004097" strokeweight="0.75pt">
              <v:stroke dashstyle="solid"/>
            </v:rect>
            <v:rect id="_x0000_s1372" style="width:80;height:36;left:9408;position:absolute;top:2005" filled="t" fillcolor="silver" stroked="f">
              <v:fill type="solid"/>
            </v:rect>
            <v:rect id="_x0000_s1373" style="width:80;height:36;left:9408;position:absolute;top:2005" filled="f" stroked="t" strokecolor="silver" strokeweight="0.75pt">
              <v:stroke dashstyle="solid"/>
            </v:rect>
            <v:line id="_x0000_s1374" style="position:absolute" from="9448,1650" to="9448,2005" stroked="t" strokecolor="#5085c5" strokeweight="3.96pt">
              <v:stroke dashstyle="solid"/>
            </v:line>
            <v:rect id="_x0000_s1375" style="width:80;height:356;left:9408;position:absolute;top:1650" filled="f" stroked="t" strokecolor="#5085c5" strokeweight="0.75pt">
              <v:stroke dashstyle="solid"/>
            </v:rect>
            <v:line id="_x0000_s1376" style="position:absolute" from="9448,1386" to="9448,1650" stroked="t" strokecolor="gray" strokeweight="3.96pt">
              <v:stroke dashstyle="solid"/>
            </v:line>
            <v:rect id="_x0000_s1377" style="width:80;height:264;left:9408;position:absolute;top:1386" filled="f" stroked="t" strokecolor="gray" strokeweight="0.75pt">
              <v:stroke dashstyle="solid"/>
            </v:rect>
            <v:rect id="_x0000_s1378" style="width:80;height:63;left:9408;position:absolute;top:1323" filled="t" fillcolor="#c2d4eb" stroked="f">
              <v:fill type="solid"/>
            </v:rect>
            <v:rect id="_x0000_s1379" style="width:80;height:63;left:9408;position:absolute;top:1323" filled="f" stroked="t" strokecolor="#c2d4eb" strokeweight="0.75pt">
              <v:stroke dashstyle="solid"/>
            </v:rect>
            <v:line id="_x0000_s1380" style="position:absolute" from="9448,702" to="9448,1324" stroked="t" strokecolor="#545454" strokeweight="3.96pt">
              <v:stroke dashstyle="solid"/>
            </v:line>
            <v:rect id="_x0000_s1381" style="width:80;height:622;left:9408;position:absolute;top:702" filled="f" stroked="t" strokecolor="#545454" strokeweight="0.75pt">
              <v:stroke dashstyle="solid"/>
            </v:rect>
            <v:rect id="_x0000_s1382" style="width:80;height:35;left:9604;position:absolute;top:2031" filled="t" fillcolor="#004097" stroked="f">
              <v:fill type="solid"/>
            </v:rect>
            <v:rect id="_x0000_s1383" style="width:80;height:35;left:9604;position:absolute;top:2031" filled="f" stroked="t" strokecolor="#004097" strokeweight="0.75pt">
              <v:stroke dashstyle="solid"/>
            </v:rect>
            <v:rect id="_x0000_s1384" style="width:80;height:22;left:9604;position:absolute;top:2010" filled="t" fillcolor="silver" stroked="f">
              <v:fill type="solid"/>
            </v:rect>
            <v:rect id="_x0000_s1385" style="width:80;height:22;left:9604;position:absolute;top:2010" filled="f" stroked="t" strokecolor="silver" strokeweight="0.75pt">
              <v:stroke dashstyle="solid"/>
            </v:rect>
            <v:line id="_x0000_s1386" style="position:absolute" from="9644,1676" to="9644,2010" stroked="t" strokecolor="#5085c5" strokeweight="3.96pt">
              <v:stroke dashstyle="solid"/>
            </v:line>
            <v:rect id="_x0000_s1387" style="width:80;height:334;left:9604;position:absolute;top:1676" filled="f" stroked="t" strokecolor="#5085c5" strokeweight="0.75pt">
              <v:stroke dashstyle="solid"/>
            </v:rect>
            <v:line id="_x0000_s1388" style="position:absolute" from="9644,1278" to="9644,1676" stroked="t" strokecolor="gray" strokeweight="3.96pt">
              <v:stroke dashstyle="solid"/>
            </v:line>
            <v:rect id="_x0000_s1389" style="width:80;height:399;left:9604;position:absolute;top:1278" filled="f" stroked="t" strokecolor="gray" strokeweight="0.75pt">
              <v:stroke dashstyle="solid"/>
            </v:rect>
            <v:rect id="_x0000_s1390" style="width:80;height:65;left:9604;position:absolute;top:1213" filled="t" fillcolor="#c2d4eb" stroked="f">
              <v:fill type="solid"/>
            </v:rect>
            <v:rect id="_x0000_s1391" style="width:80;height:65;left:9604;position:absolute;top:1213" filled="f" stroked="t" strokecolor="#c2d4eb" strokeweight="0.75pt">
              <v:stroke dashstyle="solid"/>
            </v:rect>
            <v:line id="_x0000_s1392" style="position:absolute" from="9644,688" to="9644,1213" stroked="t" strokecolor="#545454" strokeweight="3.96pt">
              <v:stroke dashstyle="solid"/>
            </v:line>
            <v:rect id="_x0000_s1393" style="width:80;height:526;left:9604;position:absolute;top:687" filled="f" stroked="t" strokecolor="#545454" strokeweight="0.75pt">
              <v:stroke dashstyle="solid"/>
            </v:rect>
            <v:rect id="_x0000_s1394" style="width:77;height:28;left:9801;position:absolute;top:2038" filled="t" fillcolor="#004097" stroked="f">
              <v:fill type="solid"/>
            </v:rect>
            <v:rect id="_x0000_s1395" style="width:77;height:28;left:9801;position:absolute;top:2038" filled="f" stroked="t" strokecolor="#004097" strokeweight="0.75pt">
              <v:stroke dashstyle="solid"/>
            </v:rect>
            <v:rect id="_x0000_s1396" style="width:77;height:34;left:9801;position:absolute;top:2005" filled="t" fillcolor="silver" stroked="f">
              <v:fill type="solid"/>
            </v:rect>
            <v:rect id="_x0000_s1397" style="width:77;height:34;left:9801;position:absolute;top:2005" filled="f" stroked="t" strokecolor="silver" strokeweight="0.75pt">
              <v:stroke dashstyle="solid"/>
            </v:rect>
            <v:line id="_x0000_s1398" style="position:absolute" from="9840,1708" to="9840,2005" stroked="t" strokecolor="#5085c5" strokeweight="3.84pt">
              <v:stroke dashstyle="solid"/>
            </v:line>
            <v:rect id="_x0000_s1399" style="width:77;height:298;left:9801;position:absolute;top:1707" filled="f" stroked="t" strokecolor="#5085c5" strokeweight="0.75pt">
              <v:stroke dashstyle="solid"/>
            </v:rect>
            <v:line id="_x0000_s1400" style="position:absolute" from="9840,1300" to="9840,1708" stroked="t" strokecolor="gray" strokeweight="3.84pt">
              <v:stroke dashstyle="solid"/>
            </v:line>
            <v:rect id="_x0000_s1401" style="width:77;height:408;left:9801;position:absolute;top:1299" filled="f" stroked="t" strokecolor="gray" strokeweight="0.75pt">
              <v:stroke dashstyle="solid"/>
            </v:rect>
            <v:rect id="_x0000_s1402" style="width:77;height:27;left:9801;position:absolute;top:1273" filled="t" fillcolor="#c2d4eb" stroked="f">
              <v:fill type="solid"/>
            </v:rect>
            <v:rect id="_x0000_s1403" style="width:77;height:27;left:9801;position:absolute;top:1273" filled="f" stroked="t" strokecolor="#c2d4eb" strokeweight="0.75pt">
              <v:stroke dashstyle="solid"/>
            </v:rect>
            <v:line id="_x0000_s1404" style="position:absolute" from="9840,685" to="9840,1273" stroked="t" strokecolor="#545454" strokeweight="3.84pt">
              <v:stroke dashstyle="solid"/>
            </v:line>
            <v:rect id="_x0000_s1405" style="width:77;height:588;left:9801;position:absolute;top:685" filled="f" stroked="t" strokecolor="#545454" strokeweight="0.75pt">
              <v:stroke dashstyle="solid"/>
            </v:rect>
            <v:rect id="_x0000_s1406" style="width:80;height:11;left:9996;position:absolute;top:2055" filled="t" fillcolor="#004097" stroked="f">
              <v:fill type="solid"/>
            </v:rect>
            <v:rect id="_x0000_s1407" style="width:80;height:11;left:9996;position:absolute;top:2055" filled="f" stroked="t" strokecolor="#004097" strokeweight="0.75pt">
              <v:stroke dashstyle="solid"/>
            </v:rect>
            <v:rect id="_x0000_s1408" style="width:80;height:24;left:9996;position:absolute;top:2031" filled="t" fillcolor="silver" stroked="f">
              <v:fill type="solid"/>
            </v:rect>
            <v:rect id="_x0000_s1409" style="width:80;height:24;left:9996;position:absolute;top:2031" filled="f" stroked="t" strokecolor="silver" strokeweight="0.75pt">
              <v:stroke dashstyle="solid"/>
            </v:rect>
            <v:line id="_x0000_s1410" style="position:absolute" from="10036,1453" to="10036,2032" stroked="t" strokecolor="#5085c5" strokeweight="3.96pt">
              <v:stroke dashstyle="solid"/>
            </v:line>
            <v:rect id="_x0000_s1411" style="width:80;height:579;left:9996;position:absolute;top:1453" filled="f" stroked="t" strokecolor="#5085c5" strokeweight="0.75pt">
              <v:stroke dashstyle="solid"/>
            </v:rect>
            <v:line id="_x0000_s1412" style="position:absolute" from="10036,983" to="10036,1453" stroked="t" strokecolor="gray" strokeweight="3.96pt">
              <v:stroke dashstyle="solid"/>
            </v:line>
            <v:rect id="_x0000_s1413" style="width:80;height:471;left:9996;position:absolute;top:982" filled="f" stroked="t" strokecolor="gray" strokeweight="0.75pt">
              <v:stroke dashstyle="solid"/>
            </v:rect>
            <v:rect id="_x0000_s1414" style="width:80;height:58;left:9996;position:absolute;top:925" filled="t" fillcolor="#c2d4eb" stroked="f">
              <v:fill type="solid"/>
            </v:rect>
            <v:rect id="_x0000_s1415" style="width:80;height:58;left:9996;position:absolute;top:925" filled="f" stroked="t" strokecolor="#c2d4eb" strokeweight="0.75pt">
              <v:stroke dashstyle="solid"/>
            </v:rect>
            <v:line id="_x0000_s1416" style="position:absolute" from="10036,349" to="10036,925" stroked="t" strokecolor="#545454" strokeweight="3.96pt">
              <v:stroke dashstyle="solid"/>
            </v:line>
            <v:rect id="_x0000_s1417" style="width:80;height:576;left:9996;position:absolute;top:349" filled="f" stroked="t" strokecolor="#545454" strokeweight="0.75pt">
              <v:stroke dashstyle="solid"/>
            </v:rect>
            <v:rect id="_x0000_s1418" style="width:77;height:21;left:10192;position:absolute;top:2046" filled="t" fillcolor="#004097" stroked="f">
              <v:fill type="solid"/>
            </v:rect>
            <v:rect id="_x0000_s1419" style="width:77;height:21;left:10192;position:absolute;top:2046" filled="f" stroked="t" strokecolor="#004097" strokeweight="0.75pt">
              <v:stroke dashstyle="solid"/>
            </v:rect>
            <v:rect id="_x0000_s1420" style="width:77;height:17;left:10192;position:absolute;top:2029" filled="t" fillcolor="silver" stroked="f">
              <v:fill type="solid"/>
            </v:rect>
            <v:rect id="_x0000_s1421" style="width:77;height:17;left:10192;position:absolute;top:2029" filled="f" stroked="t" strokecolor="silver" strokeweight="0.75pt">
              <v:stroke dashstyle="solid"/>
            </v:rect>
            <v:line id="_x0000_s1422" style="position:absolute" from="10231,1609" to="10231,2029" stroked="t" strokecolor="#5085c5" strokeweight="3.84pt">
              <v:stroke dashstyle="solid"/>
            </v:line>
            <v:rect id="_x0000_s1423" style="width:77;height:420;left:10192;position:absolute;top:1609" filled="f" stroked="t" strokecolor="#5085c5" strokeweight="0.75pt">
              <v:stroke dashstyle="solid"/>
            </v:rect>
            <v:line id="_x0000_s1424" style="position:absolute" from="10231,1355" to="10231,1609" stroked="t" strokecolor="gray" strokeweight="3.84pt">
              <v:stroke dashstyle="solid"/>
            </v:line>
            <v:rect id="_x0000_s1425" style="width:77;height:255;left:10192;position:absolute;top:1354" filled="f" stroked="t" strokecolor="gray" strokeweight="0.75pt">
              <v:stroke dashstyle="solid"/>
            </v:rect>
            <v:rect id="_x0000_s1426" style="width:77;height:92;left:10192;position:absolute;top:1263" filled="t" fillcolor="#c2d4eb" stroked="f">
              <v:fill type="solid"/>
            </v:rect>
            <v:rect id="_x0000_s1427" style="width:77;height:92;left:10192;position:absolute;top:1263" filled="f" stroked="t" strokecolor="#c2d4eb" strokeweight="0.75pt">
              <v:stroke dashstyle="solid"/>
            </v:rect>
            <v:line id="_x0000_s1428" style="position:absolute" from="10231,877" to="10231,1264" stroked="t" strokecolor="#545454" strokeweight="3.84pt">
              <v:stroke dashstyle="solid"/>
            </v:line>
            <v:rect id="_x0000_s1429" style="width:77;height:387;left:10192;position:absolute;top:877" filled="f" stroked="t" strokecolor="#545454" strokeweight="0.75pt">
              <v:stroke dashstyle="solid"/>
            </v:rect>
            <v:rect id="_x0000_s1430" style="width:80;height:9;left:10387;position:absolute;top:2058" filled="t" fillcolor="#004097" stroked="f">
              <v:fill type="solid"/>
            </v:rect>
            <v:rect id="_x0000_s1431" style="width:80;height:9;left:10387;position:absolute;top:2058" filled="f" stroked="t" strokecolor="#004097" strokeweight="0.75pt">
              <v:stroke dashstyle="solid"/>
            </v:rect>
            <v:rect id="_x0000_s1432" style="width:80;height:20;left:10387;position:absolute;top:2038" filled="t" fillcolor="silver" stroked="f">
              <v:fill type="solid"/>
            </v:rect>
            <v:rect id="_x0000_s1433" style="width:80;height:20;left:10387;position:absolute;top:2038" filled="f" stroked="t" strokecolor="silver" strokeweight="0.75pt">
              <v:stroke dashstyle="solid"/>
            </v:rect>
            <v:line id="_x0000_s1434" style="position:absolute" from="10427,1616" to="10427,2039" stroked="t" strokecolor="#5085c5" strokeweight="3.96pt">
              <v:stroke dashstyle="solid"/>
            </v:line>
            <v:rect id="_x0000_s1435" style="width:80;height:423;left:10387;position:absolute;top:1616" filled="f" stroked="t" strokecolor="#5085c5" strokeweight="0.75pt">
              <v:stroke dashstyle="solid"/>
            </v:rect>
            <v:line id="_x0000_s1436" style="position:absolute" from="10427,1211" to="10427,1616" stroked="t" strokecolor="gray" strokeweight="3.96pt">
              <v:stroke dashstyle="solid"/>
            </v:line>
            <v:rect id="_x0000_s1437" style="width:80;height:406;left:10387;position:absolute;top:1210" filled="f" stroked="t" strokecolor="gray" strokeweight="0.75pt">
              <v:stroke dashstyle="solid"/>
            </v:rect>
            <v:rect id="_x0000_s1438" style="width:80;height:113;left:10387;position:absolute;top:1098" filled="t" fillcolor="#c2d4eb" stroked="f">
              <v:fill type="solid"/>
            </v:rect>
            <v:rect id="_x0000_s1439" style="width:80;height:113;left:10387;position:absolute;top:1098" filled="f" stroked="t" strokecolor="#c2d4eb" strokeweight="0.75pt">
              <v:stroke dashstyle="solid"/>
            </v:rect>
            <v:line id="_x0000_s1440" style="position:absolute" from="10427,520" to="10427,1098" stroked="t" strokecolor="#545454" strokeweight="3.96pt">
              <v:stroke dashstyle="solid"/>
            </v:line>
            <v:rect id="_x0000_s1441" style="width:80;height:579;left:10387;position:absolute;top:519" filled="f" stroked="t" strokecolor="#545454" strokeweight="0.75pt">
              <v:stroke dashstyle="solid"/>
            </v:rect>
            <v:rect id="_x0000_s1442" style="width:77;height:18;left:10584;position:absolute;top:2048" filled="t" fillcolor="#004097" stroked="f">
              <v:fill type="solid"/>
            </v:rect>
            <v:rect id="_x0000_s1443" style="width:77;height:18;left:10584;position:absolute;top:2048" filled="f" stroked="t" strokecolor="#004097" strokeweight="0.75pt">
              <v:stroke dashstyle="solid"/>
            </v:rect>
            <v:rect id="_x0000_s1444" style="width:77;height:24;left:10584;position:absolute;top:2024" filled="t" fillcolor="silver" stroked="f">
              <v:fill type="solid"/>
            </v:rect>
            <v:rect id="_x0000_s1445" style="width:77;height:24;left:10584;position:absolute;top:2024" filled="f" stroked="t" strokecolor="silver" strokeweight="0.75pt">
              <v:stroke dashstyle="solid"/>
            </v:rect>
            <v:line id="_x0000_s1446" style="position:absolute" from="10622,1484" to="10622,2024" stroked="t" strokecolor="#5085c5" strokeweight="3.84pt">
              <v:stroke dashstyle="solid"/>
            </v:line>
            <v:rect id="_x0000_s1447" style="width:77;height:540;left:10584;position:absolute;top:1484" filled="f" stroked="t" strokecolor="#5085c5" strokeweight="0.75pt">
              <v:stroke dashstyle="solid"/>
            </v:rect>
            <v:line id="_x0000_s1448" style="position:absolute" from="10622,1187" to="10622,1484" stroked="t" strokecolor="gray" strokeweight="3.84pt">
              <v:stroke dashstyle="solid"/>
            </v:line>
            <v:rect id="_x0000_s1449" style="width:77;height:298;left:10584;position:absolute;top:1186" filled="f" stroked="t" strokecolor="gray" strokeweight="0.75pt">
              <v:stroke dashstyle="solid"/>
            </v:rect>
            <v:rect id="_x0000_s1450" style="width:77;height:120;left:10584;position:absolute;top:1066" filled="t" fillcolor="#c2d4eb" stroked="f">
              <v:fill type="solid"/>
            </v:rect>
            <v:rect id="_x0000_s1451" style="width:77;height:120;left:10584;position:absolute;top:1066" filled="f" stroked="t" strokecolor="#c2d4eb" strokeweight="0.75pt">
              <v:stroke dashstyle="solid"/>
            </v:rect>
            <v:line id="_x0000_s1452" style="position:absolute" from="10622,654" to="10622,1067" stroked="t" strokecolor="#545454" strokeweight="3.84pt">
              <v:stroke dashstyle="solid"/>
            </v:line>
            <v:rect id="_x0000_s1453" style="width:77;height:413;left:10584;position:absolute;top:654" filled="f" stroked="t" strokecolor="#545454" strokeweight="0.75pt">
              <v:stroke dashstyle="solid"/>
            </v:rect>
            <v:rect id="_x0000_s1454" style="width:80;height:33;left:10778;position:absolute;top:2034" filled="t" fillcolor="#004097" stroked="f">
              <v:fill type="solid"/>
            </v:rect>
            <v:rect id="_x0000_s1455" style="width:80;height:33;left:10778;position:absolute;top:2034" filled="f" stroked="t" strokecolor="#004097" strokeweight="0.75pt">
              <v:stroke dashstyle="solid"/>
            </v:rect>
            <v:rect id="_x0000_s1456" style="width:80;height:29;left:10778;position:absolute;top:2005" filled="t" fillcolor="silver" stroked="f">
              <v:fill type="solid"/>
            </v:rect>
            <v:rect id="_x0000_s1457" style="width:80;height:29;left:10778;position:absolute;top:2005" filled="f" stroked="t" strokecolor="silver" strokeweight="0.75pt">
              <v:stroke dashstyle="solid"/>
            </v:rect>
            <v:line id="_x0000_s1458" style="position:absolute" from="10818,1535" to="10818,2005" stroked="t" strokecolor="#5085c5" strokeweight="3.96pt">
              <v:stroke dashstyle="solid"/>
            </v:line>
            <v:rect id="_x0000_s1459" style="width:80;height:471;left:10778;position:absolute;top:1534" filled="f" stroked="t" strokecolor="#5085c5" strokeweight="0.75pt">
              <v:stroke dashstyle="solid"/>
            </v:rect>
            <v:line id="_x0000_s1460" style="position:absolute" from="10818,1189" to="10818,1535" stroked="t" strokecolor="gray" strokeweight="3.96pt">
              <v:stroke dashstyle="solid"/>
            </v:line>
            <v:rect id="_x0000_s1461" style="width:80;height:346;left:10778;position:absolute;top:1189" filled="f" stroked="t" strokecolor="gray" strokeweight="0.75pt">
              <v:stroke dashstyle="solid"/>
            </v:rect>
            <v:rect id="_x0000_s1462" style="width:80;height:77;left:10778;position:absolute;top:1112" filled="t" fillcolor="#c2d4eb" stroked="f">
              <v:fill type="solid"/>
            </v:rect>
            <v:rect id="_x0000_s1463" style="width:80;height:77;left:10778;position:absolute;top:1112" filled="f" stroked="t" strokecolor="#c2d4eb" strokeweight="0.75pt">
              <v:stroke dashstyle="solid"/>
            </v:rect>
            <v:line id="_x0000_s1464" style="position:absolute" from="10818,774" to="10818,1112" stroked="t" strokecolor="#545454" strokeweight="3.96pt">
              <v:stroke dashstyle="solid"/>
            </v:line>
            <v:rect id="_x0000_s1465" style="width:80;height:339;left:10778;position:absolute;top:774" filled="f" stroked="t" strokecolor="#545454" strokeweight="0.75pt">
              <v:stroke dashstyle="solid"/>
            </v:rect>
            <v:rect id="_x0000_s1466" style="width:77;height:21;left:10975;position:absolute;top:2046" filled="t" fillcolor="#004097" stroked="f">
              <v:fill type="solid"/>
            </v:rect>
            <v:rect id="_x0000_s1467" style="width:77;height:21;left:10975;position:absolute;top:2046" filled="f" stroked="t" strokecolor="#004097" strokeweight="0.75pt">
              <v:stroke dashstyle="solid"/>
            </v:rect>
            <v:rect id="_x0000_s1468" style="width:77;height:39;left:10975;position:absolute;top:2007" filled="t" fillcolor="silver" stroked="f">
              <v:fill type="solid"/>
            </v:rect>
            <v:rect id="_x0000_s1469" style="width:77;height:39;left:10975;position:absolute;top:2007" filled="f" stroked="t" strokecolor="silver" strokeweight="0.75pt">
              <v:stroke dashstyle="solid"/>
            </v:rect>
            <v:line id="_x0000_s1470" style="position:absolute" from="11014,1410" to="11014,2008" stroked="t" strokecolor="#5085c5" strokeweight="3.84pt">
              <v:stroke dashstyle="solid"/>
            </v:line>
            <v:rect id="_x0000_s1471" style="width:77;height:598;left:10975;position:absolute;top:1410" filled="f" stroked="t" strokecolor="#5085c5" strokeweight="0.75pt">
              <v:stroke dashstyle="solid"/>
            </v:rect>
            <v:line id="_x0000_s1472" style="position:absolute" from="11014,971" to="11014,1410" stroked="t" strokecolor="gray" strokeweight="3.84pt">
              <v:stroke dashstyle="solid"/>
            </v:line>
            <v:rect id="_x0000_s1473" style="width:77;height:440;left:10975;position:absolute;top:970" filled="f" stroked="t" strokecolor="gray" strokeweight="0.75pt">
              <v:stroke dashstyle="solid"/>
            </v:rect>
            <v:rect id="_x0000_s1474" style="width:77;height:132;left:10975;position:absolute;top:838" filled="t" fillcolor="#c2d4eb" stroked="f">
              <v:fill type="solid"/>
            </v:rect>
            <v:rect id="_x0000_s1475" style="width:77;height:132;left:10975;position:absolute;top:838" filled="f" stroked="t" strokecolor="#c2d4eb" strokeweight="0.75pt">
              <v:stroke dashstyle="solid"/>
            </v:rect>
            <v:line id="_x0000_s1476" style="position:absolute" from="11014,395" to="11014,839" stroked="t" strokecolor="#545454" strokeweight="3.84pt">
              <v:stroke dashstyle="solid"/>
            </v:line>
            <v:rect id="_x0000_s1477" style="width:77;height:444;left:10975;position:absolute;top:394" filled="f" stroked="t" strokecolor="#545454" strokeweight="0.75pt">
              <v:stroke dashstyle="solid"/>
            </v:rect>
            <v:shape id="_x0000_s1478" style="width:4501;height:54;left:6610;position:absolute;top:2012" coordorigin="6611,2013" coordsize="4501,54" path="m6611,2066l11112,2066m6611,2013l6611,2066m6806,2013l6806,2066m7001,2013l7001,2066m7198,2013l7198,2066m7394,2013l7394,2066m7589,2013l7589,2066m7786,2013l7786,2066m7980,2013l7980,2066m8177,2013l8177,2066m8371,2013l8371,2066m8568,2013l8568,2066m8762,2013l8762,2066m8959,2013l8959,2066m9154,2013l9154,2066m9350,2013l9350,2066m9547,2013l9547,2066m9742,2013l9742,2066m9938,2013l9938,2066m10133,2013l10133,2066m10330,2013l10330,2066m10524,2013l10524,2066m10721,2013l10721,2066m10915,2013l10915,2066m11112,2013l11112,2066e" filled="f" stroked="t" strokecolor="black" strokeweight="0.25pt">
              <v:stroke dashstyle="solid"/>
              <v:path arrowok="t"/>
            </v:shape>
          </v:group>
        </w:pict>
      </w:r>
      <w:r>
        <w:pict>
          <v:group id="_x0000_s1479" style="width:5.1pt;height:5.1pt;margin-top:-12.94pt;margin-left:343.27pt;mso-position-horizontal-relative:page;position:absolute;z-index:251679744" coordorigin="6865,-259" coordsize="102,102">
            <v:rect id="_x0000_s1480" style="width:87;height:87;left:6872;position:absolute;top:-252" filled="t" fillcolor="#545454" stroked="f">
              <v:fill type="solid"/>
            </v:rect>
            <v:rect id="_x0000_s1481" style="width:87;height:87;left:6872;position:absolute;top:-252" filled="f" stroked="t" strokecolor="#545454" strokeweight="0.75pt">
              <v:stroke dashstyle="solid"/>
            </v:rect>
          </v:group>
        </w:pict>
      </w:r>
      <w:r>
        <w:pict>
          <v:group id="_x0000_s1482" style="width:5.1pt;height:5.1pt;margin-top:-12.94pt;margin-left:375.73pt;mso-position-horizontal-relative:page;position:absolute;z-index:-251643904" coordorigin="7515,-259" coordsize="102,102">
            <v:rect id="_x0000_s1483" style="width:87;height:87;left:7522;position:absolute;top:-252" filled="t" fillcolor="#c2d4eb" stroked="f">
              <v:fill type="solid"/>
            </v:rect>
            <v:rect id="_x0000_s1484" style="width:87;height:87;left:7522;position:absolute;top:-252" filled="f" stroked="t" strokecolor="#c2d4eb" strokeweight="0.75pt">
              <v:stroke dashstyle="solid"/>
            </v:rect>
          </v:group>
        </w:pict>
      </w:r>
      <w:r>
        <w:pict>
          <v:group id="_x0000_s1485" style="width:5.1pt;height:5.1pt;margin-top:-12.94pt;margin-left:416.18pt;mso-position-horizontal-relative:page;position:absolute;z-index:-251642880" coordorigin="8324,-259" coordsize="102,102">
            <v:rect id="_x0000_s1486" style="width:87;height:87;left:8331;position:absolute;top:-252" filled="t" fillcolor="gray" stroked="f">
              <v:fill type="solid"/>
            </v:rect>
            <v:rect id="_x0000_s1487" style="width:87;height:87;left:8331;position:absolute;top:-252" filled="f" stroked="t" strokecolor="gray" strokeweight="0.75pt">
              <v:stroke dashstyle="solid"/>
            </v:rect>
          </v:group>
        </w:pict>
      </w:r>
      <w:r>
        <w:pict>
          <v:group id="_x0000_s1488" style="width:5.1pt;height:5.1pt;margin-top:-12.94pt;margin-left:448.64pt;mso-position-horizontal-relative:page;position:absolute;z-index:-251641856" coordorigin="8973,-259" coordsize="102,102">
            <v:rect id="_x0000_s1489" style="width:87;height:87;left:8980;position:absolute;top:-252" filled="t" fillcolor="#5085c5" stroked="f">
              <v:fill type="solid"/>
            </v:rect>
            <v:rect id="_x0000_s1490" style="width:87;height:87;left:8980;position:absolute;top:-252" filled="f" stroked="t" strokecolor="#5085c5" strokeweight="0.75pt">
              <v:stroke dashstyle="solid"/>
            </v:rect>
          </v:group>
        </w:pict>
      </w:r>
      <w:r>
        <w:pict>
          <v:group id="_x0000_s1491" style="width:5.1pt;height:5.1pt;margin-top:-12.94pt;margin-left:489.11pt;mso-position-horizontal-relative:page;position:absolute;z-index:-251640832" coordorigin="9782,-259" coordsize="102,102">
            <v:rect id="_x0000_s1492" style="width:87;height:87;left:9789;position:absolute;top:-252" filled="t" fillcolor="silver" stroked="f">
              <v:fill type="solid"/>
            </v:rect>
            <v:rect id="_x0000_s1493" style="width:87;height:87;left:9789;position:absolute;top:-252" filled="f" stroked="t" strokecolor="silver" strokeweight="0.75pt">
              <v:stroke dashstyle="solid"/>
            </v:rect>
          </v:group>
        </w:pict>
      </w:r>
      <w:r>
        <w:pict>
          <v:group id="_x0000_s1494" style="width:5.1pt;height:5.1pt;margin-top:-12.94pt;margin-left:529.57pt;mso-position-horizontal-relative:page;position:absolute;z-index:251680768" coordorigin="10591,-259" coordsize="102,102">
            <v:rect id="_x0000_s1495" style="width:87;height:87;left:10598;position:absolute;top:-252" filled="t" fillcolor="#004097" stroked="f">
              <v:fill type="solid"/>
            </v:rect>
            <v:rect id="_x0000_s1496" style="width:87;height:87;left:10598;position:absolute;top:-252" filled="f" stroked="t" strokecolor="#004097" strokeweight="0.75pt">
              <v:stroke dashstyle="solid"/>
            </v:rect>
          </v:group>
        </w:pict>
      </w:r>
      <w:r>
        <w:rPr>
          <w:rFonts w:ascii="Tahoma"/>
          <w:sz w:val="16"/>
        </w:rPr>
        <w:t>120%</w:t>
        <w:tab/>
      </w:r>
      <w:r>
        <w:rPr>
          <w:rFonts w:ascii="Tahoma"/>
          <w:position w:val="5"/>
          <w:sz w:val="16"/>
        </w:rPr>
        <w:t>12</w:t>
      </w:r>
    </w:p>
    <w:p>
      <w:pPr>
        <w:tabs>
          <w:tab w:val="left" w:pos="1194"/>
        </w:tabs>
        <w:spacing w:before="37" w:line="172" w:lineRule="auto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100%</w:t>
        <w:tab/>
      </w:r>
      <w:r>
        <w:rPr>
          <w:rFonts w:ascii="Tahoma"/>
          <w:position w:val="-6"/>
          <w:sz w:val="16"/>
        </w:rPr>
        <w:t>10</w:t>
      </w:r>
    </w:p>
    <w:p>
      <w:pPr>
        <w:spacing w:before="0" w:line="161" w:lineRule="exact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80%</w:t>
      </w:r>
    </w:p>
    <w:p>
      <w:pPr>
        <w:tabs>
          <w:tab w:val="left" w:pos="1281"/>
        </w:tabs>
        <w:spacing w:before="0" w:line="210" w:lineRule="exact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60%</w:t>
        <w:tab/>
      </w:r>
      <w:r>
        <w:rPr>
          <w:rFonts w:ascii="Tahoma"/>
          <w:position w:val="2"/>
          <w:sz w:val="16"/>
        </w:rPr>
        <w:t>8</w:t>
      </w:r>
    </w:p>
    <w:p>
      <w:pPr>
        <w:spacing w:before="13" w:line="150" w:lineRule="exact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40%</w:t>
      </w:r>
    </w:p>
    <w:p>
      <w:pPr>
        <w:tabs>
          <w:tab w:val="left" w:pos="1281"/>
        </w:tabs>
        <w:spacing w:before="0" w:line="250" w:lineRule="exact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20%</w:t>
        <w:tab/>
      </w:r>
      <w:r>
        <w:rPr>
          <w:rFonts w:ascii="Tahoma"/>
          <w:position w:val="10"/>
          <w:sz w:val="16"/>
        </w:rPr>
        <w:t>6</w:t>
      </w:r>
    </w:p>
    <w:p>
      <w:pPr>
        <w:tabs>
          <w:tab w:val="left" w:pos="1281"/>
        </w:tabs>
        <w:spacing w:before="12" w:line="210" w:lineRule="exact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position w:val="2"/>
          <w:sz w:val="16"/>
        </w:rPr>
        <w:t>0%</w:t>
        <w:tab/>
      </w:r>
      <w:r>
        <w:rPr>
          <w:rFonts w:ascii="Tahoma"/>
          <w:sz w:val="16"/>
        </w:rPr>
        <w:t>4</w:t>
      </w:r>
    </w:p>
    <w:p>
      <w:pPr>
        <w:spacing w:before="0" w:line="162" w:lineRule="exact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-20%</w:t>
      </w:r>
    </w:p>
    <w:p>
      <w:pPr>
        <w:tabs>
          <w:tab w:val="left" w:pos="1281"/>
        </w:tabs>
        <w:spacing w:before="0" w:line="235" w:lineRule="exact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-40%</w:t>
        <w:tab/>
      </w:r>
      <w:r>
        <w:rPr>
          <w:rFonts w:ascii="Tahoma"/>
          <w:position w:val="7"/>
          <w:sz w:val="16"/>
        </w:rPr>
        <w:t>2</w:t>
      </w:r>
    </w:p>
    <w:p>
      <w:pPr>
        <w:tabs>
          <w:tab w:val="left" w:pos="1281"/>
        </w:tabs>
        <w:spacing w:before="14"/>
        <w:ind w:left="278" w:right="0" w:firstLine="0"/>
        <w:jc w:val="left"/>
        <w:rPr>
          <w:rFonts w:ascii="Tahoma"/>
          <w:sz w:val="16"/>
        </w:rPr>
      </w:pPr>
      <w:r>
        <w:pict>
          <v:shape id="_x0000_s1497" type="#_x0000_t202" style="width:227.05pt;height:28.65pt;margin-top:12.79pt;margin-left:329.74pt;mso-position-horizontal-relative:page;position:absolute;z-index:251681792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202311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202310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202309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202308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202307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202306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202305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202304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202303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202302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202301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202212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202211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202210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202209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202208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202207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202206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202205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202204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202203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202202</w:t>
                  </w:r>
                </w:p>
                <w:p>
                  <w:pPr>
                    <w:spacing w:before="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202201</w:t>
                  </w:r>
                </w:p>
              </w:txbxContent>
            </v:textbox>
          </v:shape>
        </w:pict>
      </w:r>
      <w:r>
        <w:pict>
          <v:shape id="_x0000_s1498" type="#_x0000_t202" style="width:198.4pt;height:31.55pt;margin-top:10.1pt;margin-left:64.35pt;mso-position-horizontal-relative:page;position:absolute;z-index:251682816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2023-11</w:t>
                  </w:r>
                </w:p>
                <w:p>
                  <w:pPr>
                    <w:spacing w:before="146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2023-09</w:t>
                  </w:r>
                </w:p>
                <w:p>
                  <w:pPr>
                    <w:spacing w:before="146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2023-07</w:t>
                  </w:r>
                </w:p>
                <w:p>
                  <w:pPr>
                    <w:spacing w:before="146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2023-05</w:t>
                  </w:r>
                </w:p>
                <w:p>
                  <w:pPr>
                    <w:spacing w:before="146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2023-03</w:t>
                  </w:r>
                </w:p>
                <w:p>
                  <w:pPr>
                    <w:spacing w:before="147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2023-01</w:t>
                  </w:r>
                </w:p>
                <w:p>
                  <w:pPr>
                    <w:spacing w:before="146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2022-11</w:t>
                  </w:r>
                </w:p>
                <w:p>
                  <w:pPr>
                    <w:spacing w:before="147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2022-09</w:t>
                  </w:r>
                </w:p>
                <w:p>
                  <w:pPr>
                    <w:spacing w:before="146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2022-07</w:t>
                  </w:r>
                </w:p>
                <w:p>
                  <w:pPr>
                    <w:spacing w:before="146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2022-05</w:t>
                  </w:r>
                </w:p>
                <w:p>
                  <w:pPr>
                    <w:spacing w:before="146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2022-03</w:t>
                  </w:r>
                </w:p>
                <w:p>
                  <w:pPr>
                    <w:spacing w:before="147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2022-01</w:t>
                  </w:r>
                </w:p>
              </w:txbxContent>
            </v:textbox>
          </v:shape>
        </w:pict>
      </w:r>
      <w:r>
        <w:rPr>
          <w:rFonts w:ascii="Tahoma"/>
          <w:sz w:val="16"/>
        </w:rPr>
        <w:t>-60%</w:t>
        <w:tab/>
      </w:r>
      <w:r>
        <w:rPr>
          <w:rFonts w:ascii="Tahoma"/>
          <w:position w:val="-4"/>
          <w:sz w:val="16"/>
        </w:rPr>
        <w:t>0</w:t>
      </w:r>
    </w:p>
    <w:p>
      <w:pPr>
        <w:tabs>
          <w:tab w:val="left" w:pos="927"/>
          <w:tab w:val="left" w:pos="1736"/>
          <w:tab w:val="left" w:pos="2386"/>
          <w:tab w:val="left" w:pos="3195"/>
        </w:tabs>
        <w:spacing w:before="68"/>
        <w:ind w:left="278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欧洲</w:t>
        <w:tab/>
        <w:t>南美洲</w:t>
        <w:tab/>
        <w:t>非洲</w:t>
        <w:tab/>
        <w:t>东南亚</w:t>
        <w:tab/>
        <w:t>大洋</w:t>
      </w:r>
      <w:r>
        <w:rPr>
          <w:spacing w:val="-20"/>
          <w:sz w:val="16"/>
        </w:rPr>
        <w:t>洲</w:t>
      </w:r>
    </w:p>
    <w:p>
      <w:pPr>
        <w:spacing w:before="68"/>
        <w:ind w:left="278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北美洲</w:t>
      </w:r>
    </w:p>
    <w:p>
      <w:pPr>
        <w:spacing w:after="0"/>
        <w:jc w:val="left"/>
        <w:rPr>
          <w:sz w:val="16"/>
        </w:rPr>
        <w:sectPr>
          <w:headerReference w:type="default" r:id="rId20"/>
          <w:footerReference w:type="default" r:id="rId21"/>
          <w:type w:val="continuous"/>
          <w:pgSz w:w="11910" w:h="16840"/>
          <w:pgMar w:top="900" w:right="0" w:bottom="1060" w:left="540" w:header="708" w:footer="708"/>
          <w:pgNumType w:start="9"/>
          <w:cols w:num="5" w:space="708" w:equalWidth="0">
            <w:col w:w="669" w:space="807"/>
            <w:col w:w="2831" w:space="245"/>
            <w:col w:w="1410" w:space="216"/>
            <w:col w:w="3679" w:space="48"/>
            <w:col w:w="14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  <w:r>
        <w:pict>
          <v:shape id="_x0000_s1499" style="width:262.4pt;height:0.1pt;margin-top:13.17pt;margin-left:33.96pt;mso-position-horizontal-relative:page;mso-wrap-distance-left:0;mso-wrap-distance-right:0;position:absolute;z-index:-251632640" coordorigin="679,263" coordsize="5248,0" path="m679,263l5927,263e" filled="f" stroked="t" strokecolor="#004097" strokeweight="0.96pt">
            <v:stroke dashstyle="solid"/>
            <v:path arrowok="t"/>
            <w10:wrap type="topAndBottom"/>
          </v:shape>
        </w:pict>
      </w:r>
      <w:r>
        <w:pict>
          <v:shape id="_x0000_s1500" style="width:279.7pt;height:0.1pt;margin-top:13.17pt;margin-left:307.37pt;mso-position-horizontal-relative:page;mso-wrap-distance-left:0;mso-wrap-distance-right:0;position:absolute;z-index:-251631616" coordorigin="6147,263" coordsize="5594,0" path="m6147,263l11741,263e" filled="f" stroked="t" strokecolor="#004097" strokeweight="0.96pt">
            <v:stroke dashstyle="solid"/>
            <v:path arrowok="t"/>
            <w10:wrap type="topAndBottom"/>
          </v:shape>
        </w:pict>
      </w:r>
    </w:p>
    <w:p>
      <w:pPr>
        <w:tabs>
          <w:tab w:val="left" w:pos="5718"/>
        </w:tabs>
        <w:spacing w:before="0"/>
        <w:ind w:left="247" w:right="0" w:firstLine="0"/>
        <w:jc w:val="left"/>
        <w:rPr>
          <w:sz w:val="17"/>
        </w:rPr>
      </w:pPr>
      <w:r>
        <w:t xml:space="preserve">资料来源： ， </w:t>
        <w:tab/>
        <w:t xml:space="preserve">资料来源：海关总署， </w:t>
      </w:r>
    </w:p>
    <w:p>
      <w:pPr>
        <w:spacing w:after="0"/>
        <w:jc w:val="left"/>
        <w:rPr>
          <w:sz w:val="17"/>
        </w:rPr>
        <w:sectPr>
          <w:headerReference w:type="default" r:id="rId22"/>
          <w:footerReference w:type="default" r:id="rId23"/>
          <w:type w:val="continuous"/>
          <w:pgSz w:w="11910" w:h="16840"/>
          <w:pgMar w:top="900" w:right="0" w:bottom="1060" w:left="540" w:header="708" w:footer="708"/>
          <w:pgNumType w:start="10"/>
          <w:cols w:space="708"/>
        </w:sectPr>
      </w:pPr>
    </w:p>
    <w:p>
      <w:pPr>
        <w:pStyle w:val="Heading3"/>
        <w:numPr>
          <w:ilvl w:val="2"/>
          <w:numId w:val="11"/>
        </w:numPr>
        <w:tabs>
          <w:tab w:val="left" w:pos="3277"/>
        </w:tabs>
        <w:spacing w:before="29" w:after="0" w:line="240" w:lineRule="auto"/>
        <w:ind w:left="3277" w:right="0" w:hanging="587"/>
        <w:jc w:val="left"/>
      </w:pPr>
      <w:bookmarkStart w:id="3" w:name="_TOC_250014"/>
      <w:r>
        <w:rPr>
          <w:color w:val="004097"/>
          <w:spacing w:val="-1"/>
        </w:rPr>
        <w:t>变压器：变压器海关出口景气较高，</w:t>
      </w:r>
      <w:r>
        <w:rPr>
          <w:rFonts w:ascii="Tahoma" w:eastAsia="Tahoma"/>
          <w:color w:val="004097"/>
        </w:rPr>
        <w:t>2023</w:t>
      </w:r>
      <w:r>
        <w:rPr>
          <w:rFonts w:ascii="Tahoma" w:eastAsia="Tahoma"/>
          <w:color w:val="004097"/>
          <w:spacing w:val="-11"/>
        </w:rPr>
        <w:t xml:space="preserve"> </w:t>
      </w:r>
      <w:r>
        <w:rPr>
          <w:color w:val="004097"/>
          <w:spacing w:val="2"/>
        </w:rPr>
        <w:t xml:space="preserve">年 </w:t>
      </w:r>
      <w:r>
        <w:rPr>
          <w:rFonts w:ascii="Tahoma" w:eastAsia="Tahoma"/>
          <w:color w:val="004097"/>
        </w:rPr>
        <w:t>1-11</w:t>
      </w:r>
      <w:r>
        <w:rPr>
          <w:rFonts w:ascii="Tahoma" w:eastAsia="Tahoma"/>
          <w:color w:val="004097"/>
          <w:spacing w:val="-10"/>
        </w:rPr>
        <w:t xml:space="preserve"> </w:t>
      </w:r>
      <w:bookmarkEnd w:id="3"/>
      <w:r>
        <w:rPr>
          <w:color w:val="004097"/>
          <w:spacing w:val="-1"/>
        </w:rPr>
        <w:t>月欧美地区变压器需求高增</w:t>
      </w:r>
    </w:p>
    <w:p>
      <w:pPr>
        <w:spacing w:before="106" w:line="368" w:lineRule="exact"/>
        <w:ind w:left="2690" w:right="0" w:firstLine="0"/>
        <w:jc w:val="both"/>
        <w:rPr>
          <w:sz w:val="21"/>
        </w:rPr>
      </w:pPr>
      <w:r>
        <w:rPr>
          <w:rFonts w:ascii="Microsoft JhengHei" w:eastAsia="Microsoft JhengHei" w:hint="eastAsia"/>
          <w:b/>
          <w:sz w:val="21"/>
        </w:rPr>
        <w:t>欧美地区变压器需求高增。</w:t>
      </w:r>
      <w:r>
        <w:rPr>
          <w:sz w:val="21"/>
        </w:rPr>
        <w:t>据中国海关数据，</w:t>
      </w:r>
      <w:r>
        <w:rPr>
          <w:rFonts w:ascii="Tahoma" w:eastAsia="Tahoma"/>
          <w:sz w:val="20"/>
        </w:rPr>
        <w:t xml:space="preserve">2023 </w:t>
      </w:r>
      <w:r>
        <w:rPr>
          <w:sz w:val="20"/>
        </w:rPr>
        <w:t xml:space="preserve">年 </w:t>
      </w:r>
      <w:r>
        <w:rPr>
          <w:rFonts w:ascii="Tahoma" w:eastAsia="Tahoma"/>
          <w:sz w:val="21"/>
        </w:rPr>
        <w:t xml:space="preserve">1-11 </w:t>
      </w:r>
      <w:r>
        <w:rPr>
          <w:sz w:val="21"/>
        </w:rPr>
        <w:t>月欧美变压器出口持续高增！</w:t>
      </w:r>
    </w:p>
    <w:p>
      <w:pPr>
        <w:spacing w:before="0" w:line="251" w:lineRule="exact"/>
        <w:ind w:left="2690" w:right="0" w:firstLine="0"/>
        <w:jc w:val="both"/>
        <w:rPr>
          <w:sz w:val="21"/>
        </w:rPr>
      </w:pPr>
      <w:r>
        <w:rPr>
          <w:rFonts w:ascii="Tahoma" w:eastAsia="Tahoma"/>
          <w:sz w:val="20"/>
        </w:rPr>
        <w:t xml:space="preserve">2023 </w:t>
      </w:r>
      <w:r>
        <w:rPr>
          <w:sz w:val="20"/>
        </w:rPr>
        <w:t xml:space="preserve">年 </w:t>
      </w:r>
      <w:r>
        <w:rPr>
          <w:rFonts w:ascii="Tahoma" w:eastAsia="Tahoma"/>
          <w:sz w:val="21"/>
        </w:rPr>
        <w:t xml:space="preserve">11 </w:t>
      </w:r>
      <w:r>
        <w:rPr>
          <w:sz w:val="21"/>
        </w:rPr>
        <w:t xml:space="preserve">月变压器出口金额达 </w:t>
      </w:r>
      <w:r>
        <w:rPr>
          <w:rFonts w:ascii="Tahoma" w:eastAsia="Tahoma"/>
          <w:sz w:val="21"/>
        </w:rPr>
        <w:t xml:space="preserve">31.6 </w:t>
      </w:r>
      <w:r>
        <w:rPr>
          <w:sz w:val="21"/>
        </w:rPr>
        <w:t>亿元，同比</w:t>
      </w:r>
      <w:r>
        <w:rPr>
          <w:rFonts w:ascii="Tahoma" w:eastAsia="Tahoma"/>
          <w:sz w:val="21"/>
        </w:rPr>
        <w:t>-8%</w:t>
      </w:r>
      <w:r>
        <w:rPr>
          <w:sz w:val="21"/>
        </w:rPr>
        <w:t>，环比</w:t>
      </w:r>
      <w:r>
        <w:rPr>
          <w:rFonts w:ascii="Tahoma" w:eastAsia="Tahoma"/>
          <w:sz w:val="21"/>
        </w:rPr>
        <w:t>-3%</w:t>
      </w:r>
      <w:r>
        <w:rPr>
          <w:sz w:val="21"/>
        </w:rPr>
        <w:t>；</w:t>
      </w:r>
      <w:r>
        <w:rPr>
          <w:rFonts w:ascii="Tahoma" w:eastAsia="Tahoma"/>
          <w:sz w:val="20"/>
        </w:rPr>
        <w:t xml:space="preserve">2023 </w:t>
      </w:r>
      <w:r>
        <w:rPr>
          <w:sz w:val="20"/>
        </w:rPr>
        <w:t xml:space="preserve">年 </w:t>
      </w:r>
      <w:r>
        <w:rPr>
          <w:rFonts w:ascii="Tahoma" w:eastAsia="Tahoma"/>
          <w:sz w:val="21"/>
        </w:rPr>
        <w:t xml:space="preserve">1-11 </w:t>
      </w:r>
      <w:r>
        <w:rPr>
          <w:sz w:val="21"/>
        </w:rPr>
        <w:t>月变压</w:t>
      </w:r>
    </w:p>
    <w:p>
      <w:pPr>
        <w:pStyle w:val="BodyText"/>
        <w:spacing w:before="9" w:line="249" w:lineRule="auto"/>
        <w:ind w:left="2690" w:right="672"/>
        <w:jc w:val="both"/>
      </w:pPr>
      <w:r>
        <w:rPr>
          <w:spacing w:val="-5"/>
        </w:rPr>
        <w:t xml:space="preserve">器出口金额达 </w:t>
      </w:r>
      <w:r>
        <w:rPr>
          <w:rFonts w:ascii="Tahoma" w:eastAsia="Tahoma"/>
        </w:rPr>
        <w:t xml:space="preserve">358.6 </w:t>
      </w:r>
      <w:r>
        <w:rPr>
          <w:spacing w:val="-3"/>
        </w:rPr>
        <w:t>亿元，同比</w:t>
      </w:r>
      <w:r>
        <w:rPr>
          <w:rFonts w:ascii="Tahoma" w:eastAsia="Tahoma"/>
        </w:rPr>
        <w:t>+18%</w:t>
      </w:r>
      <w:r>
        <w:rPr>
          <w:spacing w:val="-3"/>
        </w:rPr>
        <w:t>。分地区看，</w:t>
      </w:r>
      <w:r>
        <w:rPr>
          <w:rFonts w:ascii="Tahoma" w:eastAsia="Tahoma"/>
          <w:sz w:val="20"/>
        </w:rPr>
        <w:t xml:space="preserve">2023 </w:t>
      </w:r>
      <w:r>
        <w:rPr>
          <w:spacing w:val="-12"/>
          <w:sz w:val="20"/>
        </w:rPr>
        <w:t xml:space="preserve">年 </w:t>
      </w:r>
      <w:r>
        <w:rPr>
          <w:rFonts w:ascii="Tahoma" w:eastAsia="Tahoma"/>
        </w:rPr>
        <w:t xml:space="preserve">11 </w:t>
      </w:r>
      <w:r>
        <w:rPr>
          <w:spacing w:val="-3"/>
        </w:rPr>
        <w:t>月出口前四大地区分别为欧洲</w:t>
      </w:r>
      <w:r>
        <w:rPr>
          <w:rFonts w:ascii="Tahoma" w:eastAsia="Tahoma"/>
          <w:spacing w:val="-3"/>
        </w:rPr>
        <w:t>/</w:t>
      </w:r>
      <w:r>
        <w:rPr>
          <w:spacing w:val="-3"/>
        </w:rPr>
        <w:t>东亚</w:t>
      </w:r>
      <w:r>
        <w:rPr>
          <w:rFonts w:ascii="Tahoma" w:eastAsia="Tahoma"/>
        </w:rPr>
        <w:t>/</w:t>
      </w:r>
      <w:r>
        <w:rPr>
          <w:spacing w:val="-1"/>
        </w:rPr>
        <w:t>东南亚</w:t>
      </w:r>
      <w:r>
        <w:rPr>
          <w:rFonts w:ascii="Tahoma" w:eastAsia="Tahoma"/>
        </w:rPr>
        <w:t>/</w:t>
      </w:r>
      <w:r>
        <w:rPr>
          <w:spacing w:val="-3"/>
        </w:rPr>
        <w:t xml:space="preserve">北美洲变压器出口金额较高分别达 </w:t>
      </w:r>
      <w:r>
        <w:rPr>
          <w:rFonts w:ascii="Tahoma" w:eastAsia="Tahoma"/>
        </w:rPr>
        <w:t xml:space="preserve">5.31/5.27/4.98/4.15 </w:t>
      </w:r>
      <w:r>
        <w:rPr>
          <w:spacing w:val="-1"/>
        </w:rPr>
        <w:t>亿元，环比</w:t>
      </w:r>
      <w:r>
        <w:rPr>
          <w:rFonts w:ascii="Tahoma" w:eastAsia="Tahoma"/>
          <w:spacing w:val="-1"/>
        </w:rPr>
        <w:t>-6%/-6%/-10%/-17%</w:t>
      </w:r>
      <w:r>
        <w:rPr>
          <w:spacing w:val="-2"/>
        </w:rPr>
        <w:t>，同比</w:t>
      </w:r>
      <w:r>
        <w:rPr>
          <w:rFonts w:ascii="Tahoma" w:eastAsia="Tahoma"/>
        </w:rPr>
        <w:t>+7%/-26%/-40%/-2%</w:t>
      </w:r>
      <w:r>
        <w:t>。</w:t>
      </w:r>
      <w:r>
        <w:rPr>
          <w:rFonts w:ascii="Tahoma" w:eastAsia="Tahoma"/>
          <w:sz w:val="20"/>
        </w:rPr>
        <w:t xml:space="preserve">2023 </w:t>
      </w:r>
      <w:r>
        <w:rPr>
          <w:spacing w:val="-10"/>
          <w:sz w:val="20"/>
        </w:rPr>
        <w:t xml:space="preserve">年 </w:t>
      </w:r>
      <w:r>
        <w:rPr>
          <w:rFonts w:ascii="Tahoma" w:eastAsia="Tahoma"/>
        </w:rPr>
        <w:t xml:space="preserve">1-11 </w:t>
      </w:r>
      <w:r>
        <w:rPr>
          <w:spacing w:val="-3"/>
        </w:rPr>
        <w:t>月出口前四大地</w:t>
      </w:r>
      <w:r>
        <w:rPr>
          <w:spacing w:val="-14"/>
        </w:rPr>
        <w:t xml:space="preserve">区 分 别 为 东 亚 </w:t>
      </w:r>
      <w:r>
        <w:rPr>
          <w:rFonts w:ascii="Tahoma" w:eastAsia="Tahoma"/>
        </w:rPr>
        <w:t xml:space="preserve">/ </w:t>
      </w:r>
      <w:r>
        <w:rPr>
          <w:spacing w:val="-13"/>
        </w:rPr>
        <w:t xml:space="preserve">东 南 亚 </w:t>
      </w:r>
      <w:r>
        <w:rPr>
          <w:rFonts w:ascii="Tahoma" w:eastAsia="Tahoma"/>
        </w:rPr>
        <w:t xml:space="preserve">/ </w:t>
      </w:r>
      <w:r>
        <w:rPr>
          <w:spacing w:val="18"/>
        </w:rPr>
        <w:t xml:space="preserve">欧洲 </w:t>
      </w:r>
      <w:r>
        <w:rPr>
          <w:rFonts w:ascii="Tahoma" w:eastAsia="Tahoma"/>
        </w:rPr>
        <w:t xml:space="preserve">/ </w:t>
      </w:r>
      <w:r>
        <w:rPr>
          <w:spacing w:val="-21"/>
        </w:rPr>
        <w:t>北 美 洲 变 压 器 出 口 金 额 较 高 分 别 达</w:t>
      </w:r>
      <w:r>
        <w:rPr>
          <w:rFonts w:ascii="Tahoma" w:eastAsia="Tahoma"/>
          <w:spacing w:val="-21"/>
        </w:rPr>
        <w:t xml:space="preserve">67.58/66.10/63.31/52.01 </w:t>
      </w:r>
      <w:r>
        <w:rPr>
          <w:spacing w:val="-2"/>
        </w:rPr>
        <w:t>亿元，同比</w:t>
      </w:r>
      <w:r>
        <w:rPr>
          <w:rFonts w:ascii="Tahoma" w:eastAsia="Tahoma"/>
        </w:rPr>
        <w:t>-10%/-1%/+44%/+24%</w:t>
      </w:r>
      <w:r>
        <w:t>。</w:t>
      </w:r>
    </w:p>
    <w:p>
      <w:pPr>
        <w:pStyle w:val="BodyText"/>
        <w:spacing w:before="3"/>
        <w:rPr>
          <w:sz w:val="25"/>
        </w:rPr>
      </w:pPr>
    </w:p>
    <w:p>
      <w:pPr>
        <w:spacing w:before="0"/>
        <w:ind w:left="2798" w:right="0" w:firstLine="0"/>
        <w:jc w:val="left"/>
        <w:rPr>
          <w:sz w:val="17"/>
        </w:rPr>
      </w:pPr>
      <w:r>
        <w:pict>
          <v:shape id="_x0000_s1501" style="width:399.8pt;height:0.1pt;margin-top:14.62pt;margin-left:161.54pt;mso-position-horizontal-relative:page;mso-wrap-distance-left:0;mso-wrap-distance-right:0;position:absolute;z-index:-251630592" coordorigin="3231,292" coordsize="7996,0" path="m3231,292l11227,292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6</w:t>
      </w:r>
      <w:r>
        <w:rPr>
          <w:color w:val="004097"/>
          <w:sz w:val="17"/>
        </w:rPr>
        <w:t>：变压器年度出口金额（亿元）</w:t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24"/>
          <w:footerReference w:type="default" r:id="rId25"/>
          <w:pgSz w:w="11910" w:h="16840"/>
          <w:pgMar w:top="900" w:right="0" w:bottom="1060" w:left="540" w:header="708" w:footer="708"/>
          <w:pgNumType w:start="11"/>
          <w:cols w:space="708"/>
        </w:sectPr>
      </w:pPr>
    </w:p>
    <w:p>
      <w:pPr>
        <w:pStyle w:val="BodyText"/>
        <w:rPr>
          <w:sz w:val="18"/>
        </w:rPr>
      </w:pPr>
    </w:p>
    <w:p>
      <w:pPr>
        <w:spacing w:before="142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z w:val="16"/>
        </w:rPr>
        <w:t>400</w:t>
      </w:r>
    </w:p>
    <w:p>
      <w:pPr>
        <w:spacing w:before="110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z w:val="16"/>
        </w:rPr>
        <w:t>350</w:t>
      </w:r>
    </w:p>
    <w:p>
      <w:pPr>
        <w:spacing w:before="111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z w:val="16"/>
        </w:rPr>
        <w:t>300</w:t>
      </w:r>
    </w:p>
    <w:p>
      <w:pPr>
        <w:spacing w:before="110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z w:val="16"/>
        </w:rPr>
        <w:t>250</w:t>
      </w:r>
    </w:p>
    <w:p>
      <w:pPr>
        <w:spacing w:before="111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z w:val="16"/>
        </w:rPr>
        <w:t>200</w:t>
      </w:r>
    </w:p>
    <w:p>
      <w:pPr>
        <w:spacing w:before="110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150</w:t>
      </w:r>
    </w:p>
    <w:p>
      <w:pPr>
        <w:spacing w:before="111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z w:val="16"/>
        </w:rPr>
        <w:t>100</w:t>
      </w:r>
    </w:p>
    <w:p>
      <w:pPr>
        <w:spacing w:before="110"/>
        <w:ind w:left="0" w:right="1" w:firstLine="0"/>
        <w:jc w:val="right"/>
        <w:rPr>
          <w:rFonts w:ascii="Tahoma"/>
          <w:sz w:val="16"/>
        </w:rPr>
      </w:pPr>
      <w:r>
        <w:rPr>
          <w:rFonts w:ascii="Tahoma"/>
          <w:spacing w:val="-3"/>
          <w:sz w:val="16"/>
        </w:rPr>
        <w:t>50</w:t>
      </w:r>
    </w:p>
    <w:p>
      <w:pPr>
        <w:spacing w:before="111"/>
        <w:ind w:left="0" w:right="1" w:firstLine="0"/>
        <w:jc w:val="right"/>
        <w:rPr>
          <w:rFonts w:ascii="Tahoma"/>
          <w:sz w:val="16"/>
        </w:rPr>
      </w:pPr>
      <w:r>
        <w:rPr>
          <w:rFonts w:ascii="Tahoma"/>
          <w:w w:val="100"/>
          <w:sz w:val="16"/>
        </w:rPr>
        <w:t>0</w:t>
      </w:r>
    </w:p>
    <w:p>
      <w:pPr>
        <w:tabs>
          <w:tab w:val="left" w:pos="3407"/>
        </w:tabs>
        <w:spacing w:before="91"/>
        <w:ind w:left="322" w:right="0" w:firstLine="0"/>
        <w:jc w:val="center"/>
        <w:rPr>
          <w:rFonts w:ascii="Tahoma" w:eastAsia="Tahoma"/>
          <w:sz w:val="16"/>
        </w:rPr>
      </w:pPr>
      <w:r>
        <w:br w:type="column"/>
      </w:r>
      <w:r>
        <w:rPr>
          <w:position w:val="1"/>
          <w:sz w:val="16"/>
        </w:rPr>
        <w:t>变压器</w:t>
      </w:r>
      <w:r>
        <w:rPr>
          <w:spacing w:val="-3"/>
          <w:position w:val="1"/>
          <w:sz w:val="16"/>
        </w:rPr>
        <w:t>年</w:t>
      </w:r>
      <w:r>
        <w:rPr>
          <w:position w:val="1"/>
          <w:sz w:val="16"/>
        </w:rPr>
        <w:t>度出</w:t>
      </w:r>
      <w:r>
        <w:rPr>
          <w:spacing w:val="-3"/>
          <w:position w:val="1"/>
          <w:sz w:val="16"/>
        </w:rPr>
        <w:t>口</w:t>
      </w:r>
      <w:r>
        <w:rPr>
          <w:position w:val="1"/>
          <w:sz w:val="16"/>
        </w:rPr>
        <w:t>金额</w:t>
        <w:tab/>
      </w:r>
      <w:r>
        <w:rPr>
          <w:rFonts w:ascii="Tahoma" w:eastAsia="Tahoma"/>
          <w:sz w:val="16"/>
        </w:rPr>
        <w:t>yoy</w:t>
      </w:r>
    </w:p>
    <w:p>
      <w:pPr>
        <w:pStyle w:val="BodyText"/>
        <w:spacing w:before="8"/>
        <w:rPr>
          <w:rFonts w:ascii="Tahoma"/>
          <w:sz w:val="14"/>
        </w:rPr>
      </w:pPr>
    </w:p>
    <w:p>
      <w:pPr>
        <w:pStyle w:val="BodyText"/>
        <w:ind w:left="104" w:right="-44"/>
        <w:rPr>
          <w:rFonts w:ascii="Tahoma"/>
          <w:sz w:val="20"/>
        </w:rPr>
      </w:pPr>
      <w:r>
        <w:rPr>
          <w:rFonts w:ascii="Tahoma"/>
          <w:sz w:val="20"/>
        </w:rPr>
        <w:pict>
          <v:group id="_x0000_i1502" style="width:330.05pt;height:122.55pt;mso-position-horizontal-relative:char;mso-position-vertical-relative:line" coordorigin="0,0" coordsize="6601,2451">
            <v:rect id="_x0000_s1503" style="width:296;height:1231;left:221;position:absolute;top:1200" filled="t" fillcolor="#004097" stroked="f">
              <v:fill type="solid"/>
            </v:rect>
            <v:rect id="_x0000_s1504" style="width:296;height:1231;left:221;position:absolute;top:1200" filled="f" stroked="t" strokecolor="#004097" strokeweight="2pt">
              <v:stroke dashstyle="solid"/>
            </v:rect>
            <v:rect id="_x0000_s1505" style="width:293;height:1243;left:955;position:absolute;top:1188" filled="t" fillcolor="#004097" stroked="f">
              <v:fill type="solid"/>
            </v:rect>
            <v:rect id="_x0000_s1506" style="width:293;height:1243;left:955;position:absolute;top:1188" filled="f" stroked="t" strokecolor="#004097" strokeweight="2pt">
              <v:stroke dashstyle="solid"/>
            </v:rect>
            <v:rect id="_x0000_s1507" style="width:293;height:1329;left:1687;position:absolute;top:1102" filled="t" fillcolor="#004097" stroked="f">
              <v:fill type="solid"/>
            </v:rect>
            <v:rect id="_x0000_s1508" style="width:293;height:1329;left:1687;position:absolute;top:1102" filled="f" stroked="t" strokecolor="#004097" strokeweight="2pt">
              <v:stroke dashstyle="solid"/>
            </v:rect>
            <v:rect id="_x0000_s1509" style="width:296;height:1411;left:2419;position:absolute;top:1020" filled="t" fillcolor="#004097" stroked="f">
              <v:fill type="solid"/>
            </v:rect>
            <v:rect id="_x0000_s1510" style="width:296;height:1411;left:2419;position:absolute;top:1020" filled="f" stroked="t" strokecolor="#004097" strokeweight="2pt">
              <v:stroke dashstyle="solid"/>
            </v:rect>
            <v:rect id="_x0000_s1511" style="width:293;height:1507;left:3154;position:absolute;top:924" filled="t" fillcolor="#004097" stroked="f">
              <v:fill type="solid"/>
            </v:rect>
            <v:rect id="_x0000_s1512" style="width:293;height:1507;left:3154;position:absolute;top:924" filled="f" stroked="t" strokecolor="#004097" strokeweight="2pt">
              <v:stroke dashstyle="solid"/>
            </v:rect>
            <v:rect id="_x0000_s1513" style="width:293;height:1490;left:3886;position:absolute;top:941" filled="t" fillcolor="#004097" stroked="f">
              <v:fill type="solid"/>
            </v:rect>
            <v:rect id="_x0000_s1514" style="width:293;height:1490;left:3886;position:absolute;top:941" filled="f" stroked="t" strokecolor="#004097" strokeweight="2pt">
              <v:stroke dashstyle="solid"/>
            </v:rect>
            <v:rect id="_x0000_s1515" style="width:293;height:1610;left:4620;position:absolute;top:821" filled="t" fillcolor="#004097" stroked="f">
              <v:fill type="solid"/>
            </v:rect>
            <v:rect id="_x0000_s1516" style="width:293;height:1610;left:4620;position:absolute;top:821" filled="f" stroked="t" strokecolor="#004097" strokeweight="2pt">
              <v:stroke dashstyle="solid"/>
            </v:rect>
            <v:rect id="_x0000_s1517" style="width:293;height:2037;left:5352;position:absolute;top:394" filled="t" fillcolor="#004097" stroked="f">
              <v:fill type="solid"/>
            </v:rect>
            <v:rect id="_x0000_s1518" style="width:293;height:2037;left:5352;position:absolute;top:394" filled="f" stroked="t" strokecolor="#004097" strokeweight="2pt">
              <v:stroke dashstyle="solid"/>
            </v:rect>
            <v:rect id="_x0000_s1519" style="width:293;height:2176;left:6084;position:absolute;top:254" filled="t" fillcolor="#004097" stroked="f">
              <v:fill type="solid"/>
            </v:rect>
            <v:rect id="_x0000_s1520" style="width:293;height:2176;left:6084;position:absolute;top:254" filled="f" stroked="t" strokecolor="#004097" strokeweight="2pt">
              <v:stroke dashstyle="solid"/>
            </v:rect>
            <v:line id="_x0000_s1521" style="position:absolute" from="6598,2431" to="6598,3" stroked="t" strokecolor="black" strokeweight="0.25pt">
              <v:stroke dashstyle="solid"/>
            </v:line>
            <v:line id="_x0000_s1522" style="position:absolute" from="6545,2431" to="6598,2431" stroked="t" strokecolor="black" strokeweight="0.25pt">
              <v:stroke dashstyle="solid"/>
            </v:line>
            <v:line id="_x0000_s1523" style="position:absolute" from="6545,2084" to="6598,2084" stroked="t" strokecolor="black" strokeweight="0.25pt">
              <v:stroke dashstyle="solid"/>
            </v:line>
            <v:line id="_x0000_s1524" style="position:absolute" from="6545,1738" to="6598,1738" stroked="t" strokecolor="black" strokeweight="0.25pt">
              <v:stroke dashstyle="solid"/>
            </v:line>
            <v:line id="_x0000_s1525" style="position:absolute" from="6545,1390" to="6598,1390" stroked="t" strokecolor="black" strokeweight="0.25pt">
              <v:stroke dashstyle="solid"/>
            </v:line>
            <v:line id="_x0000_s1526" style="position:absolute" from="6545,1042" to="6598,1042" stroked="t" strokecolor="black" strokeweight="0.25pt">
              <v:stroke dashstyle="solid"/>
            </v:line>
            <v:line id="_x0000_s1527" style="position:absolute" from="6545,697" to="6598,697" stroked="t" strokecolor="black" strokeweight="0.25pt">
              <v:stroke dashstyle="solid"/>
            </v:line>
            <v:line id="_x0000_s1528" style="position:absolute" from="6545,348" to="6598,348" stroked="t" strokecolor="black" strokeweight="0.25pt">
              <v:stroke dashstyle="solid"/>
            </v:line>
            <v:line id="_x0000_s1529" style="position:absolute" from="6545,3" to="6598,3" stroked="t" strokecolor="black" strokeweight="0.25pt">
              <v:stroke dashstyle="solid"/>
            </v:line>
            <v:line id="_x0000_s1530" style="position:absolute" from="3,2431" to="3,3" stroked="t" strokecolor="black" strokeweight="0.25pt">
              <v:stroke dashstyle="solid"/>
            </v:line>
            <v:line id="_x0000_s1531" style="position:absolute" from="3,2431" to="56,2431" stroked="t" strokecolor="black" strokeweight="0.25pt">
              <v:stroke dashstyle="solid"/>
            </v:line>
            <v:line id="_x0000_s1532" style="position:absolute" from="3,2127" to="56,2127" stroked="t" strokecolor="black" strokeweight="0.25pt">
              <v:stroke dashstyle="solid"/>
            </v:line>
            <v:line id="_x0000_s1533" style="position:absolute" from="3,1824" to="56,1824" stroked="t" strokecolor="black" strokeweight="0.25pt">
              <v:stroke dashstyle="solid"/>
            </v:line>
            <v:line id="_x0000_s1534" style="position:absolute" from="3,1520" to="56,1520" stroked="t" strokecolor="black" strokeweight="0.25pt">
              <v:stroke dashstyle="solid"/>
            </v:line>
            <v:line id="_x0000_s1535" style="position:absolute" from="3,1217" to="56,1217" stroked="t" strokecolor="black" strokeweight="0.25pt">
              <v:stroke dashstyle="solid"/>
            </v:line>
            <v:line id="_x0000_s1536" style="position:absolute" from="3,913" to="56,913" stroked="t" strokecolor="black" strokeweight="0.25pt">
              <v:stroke dashstyle="solid"/>
            </v:line>
            <v:line id="_x0000_s1537" style="position:absolute" from="3,610" to="56,610" stroked="t" strokecolor="black" strokeweight="0.25pt">
              <v:stroke dashstyle="solid"/>
            </v:line>
            <v:line id="_x0000_s1538" style="position:absolute" from="3,305" to="56,305" stroked="t" strokecolor="black" strokeweight="0.25pt">
              <v:stroke dashstyle="solid"/>
            </v:line>
            <v:line id="_x0000_s1539" style="position:absolute" from="3,3" to="56,3" stroked="t" strokecolor="black" strokeweight="0.25pt">
              <v:stroke dashstyle="solid"/>
            </v:line>
            <v:line id="_x0000_s1540" style="position:absolute" from="3,2431" to="6598,2431" stroked="t" strokecolor="black" strokeweight="0.25pt">
              <v:stroke dashstyle="solid"/>
            </v:line>
            <v:line id="_x0000_s1541" style="position:absolute" from="3,2378" to="3,2431" stroked="t" strokecolor="black" strokeweight="0.25pt">
              <v:stroke dashstyle="solid"/>
            </v:line>
            <v:line id="_x0000_s1542" style="position:absolute" from="735,2378" to="735,2431" stroked="t" strokecolor="black" strokeweight="0.25pt">
              <v:stroke dashstyle="solid"/>
            </v:line>
            <v:line id="_x0000_s1543" style="position:absolute" from="1469,2378" to="1469,2431" stroked="t" strokecolor="black" strokeweight="0.25pt">
              <v:stroke dashstyle="solid"/>
            </v:line>
            <v:line id="_x0000_s1544" style="position:absolute" from="2201,2378" to="2201,2431" stroked="t" strokecolor="black" strokeweight="0.25pt">
              <v:stroke dashstyle="solid"/>
            </v:line>
            <v:line id="_x0000_s1545" style="position:absolute" from="2934,2378" to="2934,2431" stroked="t" strokecolor="black" strokeweight="0.25pt">
              <v:stroke dashstyle="solid"/>
            </v:line>
            <v:line id="_x0000_s1546" style="position:absolute" from="3668,2378" to="3668,2431" stroked="t" strokecolor="black" strokeweight="0.25pt">
              <v:stroke dashstyle="solid"/>
            </v:line>
            <v:line id="_x0000_s1547" style="position:absolute" from="4400,2378" to="4400,2431" stroked="t" strokecolor="black" strokeweight="0.25pt">
              <v:stroke dashstyle="solid"/>
            </v:line>
            <v:line id="_x0000_s1548" style="position:absolute" from="5132,2378" to="5132,2431" stroked="t" strokecolor="black" strokeweight="0.25pt">
              <v:stroke dashstyle="solid"/>
            </v:line>
            <v:line id="_x0000_s1549" style="position:absolute" from="5866,2378" to="5866,2431" stroked="t" strokecolor="black" strokeweight="0.25pt">
              <v:stroke dashstyle="solid"/>
            </v:line>
            <v:line id="_x0000_s1550" style="position:absolute" from="6598,2378" to="6598,2431" stroked="t" strokecolor="black" strokeweight="0.25pt">
              <v:stroke dashstyle="solid"/>
            </v:line>
            <v:shape id="_x0000_s1551" style="width:5130;height:1915;left:1101;position:absolute;top:242" coordorigin="1102,243" coordsize="5130,1915" path="m1102,2012l1834,1609,2569,1654,3301,1611,4033,2158,4767,1532,5499,243,6232,807e" filled="f" stroked="t" strokecolor="silver" strokeweight="2pt">
              <v:stroke dashstyle="solid"/>
              <v:path arrowok="t"/>
            </v:shape>
            <w10:wrap type="none"/>
          </v:group>
        </w:pict>
      </w:r>
    </w:p>
    <w:p>
      <w:pPr>
        <w:tabs>
          <w:tab w:val="left" w:pos="1032"/>
          <w:tab w:val="left" w:pos="1765"/>
          <w:tab w:val="left" w:pos="2498"/>
          <w:tab w:val="left" w:pos="3231"/>
          <w:tab w:val="left" w:pos="3964"/>
          <w:tab w:val="left" w:pos="4697"/>
          <w:tab w:val="left" w:pos="5430"/>
        </w:tabs>
        <w:spacing w:before="65"/>
        <w:ind w:left="299" w:right="0" w:firstLine="0"/>
        <w:jc w:val="center"/>
        <w:rPr>
          <w:rFonts w:ascii="Tahoma"/>
          <w:sz w:val="16"/>
        </w:rPr>
      </w:pPr>
      <w:r>
        <w:pict>
          <v:group id="_x0000_s1552" style="width:21.2pt;height:6.35pt;margin-top:-140.36pt;margin-left:265.23pt;mso-position-horizontal-relative:page;position:absolute;z-index:251687936" coordorigin="5305,-2807" coordsize="424,127">
            <v:line id="_x0000_s1553" style="position:absolute" from="5325,-2744" to="5709,-2744" stroked="t" strokecolor="#004097" strokeweight="4.34pt">
              <v:stroke dashstyle="solid"/>
            </v:line>
            <v:rect id="_x0000_s1554" style="width:384;height:87;left:5324;position:absolute;top:-2788" filled="f" stroked="t" strokecolor="#004097" strokeweight="2pt">
              <v:stroke dashstyle="solid"/>
            </v:rect>
          </v:group>
        </w:pict>
      </w:r>
      <w:r>
        <w:pict>
          <v:line id="_x0000_s1555" style="mso-position-horizontal-relative:page;position:absolute;z-index:-251629568" from="420.45pt,-137.2pt" to="439.65pt,-137.2pt" stroked="t" strokecolor="silver" strokeweight="2pt">
            <v:stroke dashstyle="solid"/>
          </v:line>
        </w:pict>
      </w:r>
      <w:r>
        <w:rPr>
          <w:rFonts w:ascii="Tahoma"/>
          <w:sz w:val="16"/>
        </w:rPr>
        <w:t>2015</w:t>
        <w:tab/>
        <w:t>2016</w:t>
        <w:tab/>
        <w:t>2017</w:t>
        <w:tab/>
        <w:t>2018</w:t>
        <w:tab/>
        <w:t>2019</w:t>
        <w:tab/>
        <w:t>2020</w:t>
        <w:tab/>
        <w:t>2021</w:t>
        <w:tab/>
        <w:t>2022</w:t>
      </w:r>
      <w:r>
        <w:rPr>
          <w:rFonts w:ascii="Tahoma"/>
          <w:spacing w:val="7"/>
          <w:sz w:val="16"/>
        </w:rPr>
        <w:t xml:space="preserve"> </w:t>
      </w:r>
      <w:r>
        <w:rPr>
          <w:rFonts w:ascii="Tahoma"/>
          <w:spacing w:val="-3"/>
          <w:sz w:val="16"/>
        </w:rPr>
        <w:t>2023.1-11</w:t>
      </w:r>
    </w:p>
    <w:p>
      <w:pPr>
        <w:pStyle w:val="BodyText"/>
        <w:rPr>
          <w:rFonts w:ascii="Tahoma"/>
          <w:sz w:val="18"/>
        </w:rPr>
      </w:pPr>
      <w:r>
        <w:br w:type="column"/>
      </w:r>
    </w:p>
    <w:p>
      <w:pPr>
        <w:spacing w:before="155"/>
        <w:ind w:left="117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30%</w:t>
      </w:r>
    </w:p>
    <w:p>
      <w:pPr>
        <w:spacing w:before="154"/>
        <w:ind w:left="117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25%</w:t>
      </w:r>
    </w:p>
    <w:p>
      <w:pPr>
        <w:spacing w:before="154"/>
        <w:ind w:left="117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20%</w:t>
      </w:r>
    </w:p>
    <w:p>
      <w:pPr>
        <w:spacing w:before="154"/>
        <w:ind w:left="117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15%</w:t>
      </w:r>
    </w:p>
    <w:p>
      <w:pPr>
        <w:spacing w:before="153"/>
        <w:ind w:left="117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10%</w:t>
      </w:r>
    </w:p>
    <w:p>
      <w:pPr>
        <w:spacing w:before="154"/>
        <w:ind w:left="117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5%</w:t>
      </w:r>
    </w:p>
    <w:p>
      <w:pPr>
        <w:spacing w:before="154"/>
        <w:ind w:left="117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0%</w:t>
      </w:r>
    </w:p>
    <w:p>
      <w:pPr>
        <w:spacing w:before="154"/>
        <w:ind w:left="117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-5%</w:t>
      </w:r>
    </w:p>
    <w:p>
      <w:pPr>
        <w:spacing w:after="0"/>
        <w:jc w:val="left"/>
        <w:rPr>
          <w:rFonts w:ascii="Tahoma"/>
          <w:sz w:val="16"/>
        </w:rPr>
        <w:sectPr>
          <w:headerReference w:type="default" r:id="rId26"/>
          <w:footerReference w:type="default" r:id="rId27"/>
          <w:type w:val="continuous"/>
          <w:pgSz w:w="11910" w:h="16840"/>
          <w:pgMar w:top="900" w:right="0" w:bottom="1060" w:left="540" w:header="708" w:footer="708"/>
          <w:pgNumType w:start="12"/>
          <w:cols w:num="3" w:space="708" w:equalWidth="0">
            <w:col w:w="3326" w:space="40"/>
            <w:col w:w="6698" w:space="39"/>
            <w:col w:w="1267" w:space="0"/>
          </w:cols>
        </w:sectPr>
      </w:pPr>
    </w:p>
    <w:p>
      <w:pPr>
        <w:pStyle w:val="BodyText"/>
        <w:spacing w:before="11"/>
        <w:rPr>
          <w:rFonts w:ascii="Tahoma"/>
          <w:sz w:val="7"/>
        </w:rPr>
      </w:pPr>
    </w:p>
    <w:p>
      <w:pPr>
        <w:pStyle w:val="BodyText"/>
        <w:spacing w:line="20" w:lineRule="exact"/>
        <w:ind w:left="2680"/>
        <w:rPr>
          <w:rFonts w:ascii="Tahoma"/>
          <w:sz w:val="2"/>
        </w:rPr>
      </w:pPr>
      <w:r>
        <w:rPr>
          <w:rFonts w:ascii="Tahoma"/>
          <w:sz w:val="2"/>
        </w:rPr>
        <w:pict>
          <v:group id="_x0000_i1556" style="width:399.8pt;height:1pt;mso-position-horizontal-relative:char;mso-position-vertical-relative:line" coordorigin="0,0" coordsize="7996,20">
            <v:line id="_x0000_s1557" style="position:absolute" from="0,10" to="7996,10" stroked="t" strokecolor="#004097" strokeweight="0.96pt">
              <v:stroke dashstyle="solid"/>
            </v:line>
            <w10:wrap type="none"/>
          </v:group>
        </w:pict>
      </w:r>
    </w:p>
    <w:p>
      <w:pPr>
        <w:spacing w:before="0"/>
        <w:ind w:left="2798" w:right="0" w:firstLine="0"/>
        <w:jc w:val="left"/>
        <w:rPr>
          <w:sz w:val="17"/>
        </w:rPr>
      </w:pPr>
      <w:r>
        <w:t xml:space="preserve">资料来源：中国海关， 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</w:pPr>
    </w:p>
    <w:p>
      <w:pPr>
        <w:spacing w:before="100"/>
        <w:ind w:left="247" w:right="0" w:firstLine="0"/>
        <w:jc w:val="left"/>
        <w:rPr>
          <w:sz w:val="17"/>
        </w:rPr>
      </w:pPr>
      <w:r>
        <w:pict>
          <v:shape id="_x0000_s1558" style="width:537pt;height:0.1pt;margin-top:19.62pt;margin-left:33.96pt;mso-position-horizontal-relative:page;mso-wrap-distance-left:0;mso-wrap-distance-right:0;position:absolute;z-index:-251619328" coordorigin="679,392" coordsize="10740,0" path="m679,392l11419,392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7</w:t>
      </w:r>
      <w:r>
        <w:rPr>
          <w:color w:val="004097"/>
          <w:sz w:val="17"/>
        </w:rPr>
        <w:t>：变压器单月出口金额（亿元）</w:t>
      </w:r>
    </w:p>
    <w:p>
      <w:pPr>
        <w:pStyle w:val="BodyText"/>
        <w:spacing w:before="4"/>
        <w:rPr>
          <w:sz w:val="13"/>
        </w:rPr>
      </w:pPr>
    </w:p>
    <w:p>
      <w:pPr>
        <w:tabs>
          <w:tab w:val="left" w:pos="1257"/>
          <w:tab w:val="left" w:pos="2184"/>
          <w:tab w:val="left" w:pos="3111"/>
          <w:tab w:val="left" w:pos="4038"/>
          <w:tab w:val="left" w:pos="4965"/>
          <w:tab w:val="left" w:pos="5892"/>
          <w:tab w:val="left" w:pos="6819"/>
          <w:tab w:val="left" w:pos="7746"/>
        </w:tabs>
        <w:spacing w:before="101"/>
        <w:ind w:left="331" w:right="0" w:firstLine="0"/>
        <w:jc w:val="center"/>
        <w:rPr>
          <w:rFonts w:ascii="Tahoma"/>
          <w:sz w:val="16"/>
        </w:rPr>
      </w:pPr>
      <w:r>
        <w:pict>
          <v:line id="_x0000_s1559" style="mso-position-horizontal-relative:page;position:absolute;z-index:251700224" from="104.1pt,10.2pt" to="123.3pt,10.2pt" stroked="t" strokecolor="#004097" strokeweight="2pt">
            <v:stroke dashstyle="solid"/>
          </v:line>
        </w:pict>
      </w:r>
      <w:r>
        <w:pict>
          <v:line id="_x0000_s1560" style="mso-position-horizontal-relative:page;position:absolute;z-index:-251627520" from="150.4pt,10.2pt" to="169.6pt,10.2pt" stroked="t" strokecolor="silver" strokeweight="2pt">
            <v:stroke dashstyle="solid"/>
          </v:line>
        </w:pict>
      </w:r>
      <w:r>
        <w:pict>
          <v:line id="_x0000_s1561" style="mso-position-horizontal-relative:page;position:absolute;z-index:-251626496" from="196.75pt,10.2pt" to="215.95pt,10.2pt" stroked="t" strokecolor="#5085c5" strokeweight="2pt">
            <v:stroke dashstyle="solid"/>
          </v:line>
        </w:pict>
      </w:r>
      <w:r>
        <w:pict>
          <v:line id="_x0000_s1562" style="mso-position-horizontal-relative:page;position:absolute;z-index:-251625472" from="243.1pt,10.2pt" to="262.3pt,10.2pt" stroked="t" strokecolor="gray" strokeweight="2.25pt">
            <v:stroke dashstyle="solid"/>
          </v:line>
        </w:pict>
      </w:r>
      <w:r>
        <w:pict>
          <v:line id="_x0000_s1563" style="mso-position-horizontal-relative:page;position:absolute;z-index:-251624448" from="289.45pt,10.2pt" to="308.65pt,10.2pt" stroked="t" strokecolor="#c2d4eb" strokeweight="2.25pt">
            <v:stroke dashstyle="solid"/>
          </v:line>
        </w:pict>
      </w:r>
      <w:r>
        <w:pict>
          <v:line id="_x0000_s1564" style="mso-position-horizontal-relative:page;position:absolute;z-index:-251623424" from="335.75pt,10.2pt" to="354.95pt,10.2pt" stroked="t" strokecolor="#545454" strokeweight="2.25pt">
            <v:stroke dashstyle="solid"/>
          </v:line>
        </w:pict>
      </w:r>
      <w:r>
        <w:pict>
          <v:line id="_x0000_s1565" style="mso-position-horizontal-relative:page;position:absolute;z-index:-251622400" from="382.1pt,10.2pt" to="401.3pt,10.2pt" stroked="t" strokecolor="#0040a1" strokeweight="2.25pt">
            <v:stroke dashstyle="solid"/>
          </v:line>
        </w:pict>
      </w:r>
      <w:r>
        <w:pict>
          <v:line id="_x0000_s1566" style="mso-position-horizontal-relative:page;position:absolute;z-index:-251621376" from="428.45pt,10.2pt" to="447.65pt,10.2pt" stroked="t" strokecolor="gray" strokeweight="2.25pt">
            <v:stroke dashstyle="solid"/>
          </v:line>
        </w:pict>
      </w:r>
      <w:r>
        <w:pict>
          <v:line id="_x0000_s1567" style="mso-position-horizontal-relative:page;position:absolute;z-index:-251620352" from="474.75pt,10.2pt" to="493.95pt,10.2pt" stroked="t" strokecolor="#c00000" strokeweight="2.25pt">
            <v:stroke dashstyle="solid"/>
          </v:line>
        </w:pict>
      </w:r>
      <w:r>
        <w:rPr>
          <w:rFonts w:ascii="Tahoma"/>
          <w:sz w:val="16"/>
        </w:rPr>
        <w:t>2015</w:t>
        <w:tab/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  <w:t>2023</w:t>
      </w:r>
    </w:p>
    <w:p>
      <w:pPr>
        <w:pStyle w:val="BodyText"/>
        <w:spacing w:before="10"/>
        <w:rPr>
          <w:rFonts w:ascii="Tahoma"/>
          <w:sz w:val="11"/>
        </w:rPr>
      </w:pPr>
    </w:p>
    <w:p>
      <w:pPr>
        <w:spacing w:before="102"/>
        <w:ind w:left="741" w:right="0" w:firstLine="0"/>
        <w:jc w:val="left"/>
        <w:rPr>
          <w:rFonts w:ascii="Tahoma"/>
          <w:sz w:val="16"/>
        </w:rPr>
      </w:pPr>
      <w:r>
        <w:pict>
          <v:group id="_x0000_s1568" style="width:459.6pt;height:104pt;margin-top:10.13pt;margin-left:80.17pt;mso-position-horizontal-relative:page;position:absolute;z-index:251699200" coordorigin="1603,203" coordsize="9192,2080">
            <v:shape id="_x0000_s1569" style="width:9187;height:2075;left:1605;position:absolute;top:205" coordorigin="1606,205" coordsize="9187,2075" path="m1606,2280l1606,205m1606,2280l1659,2280m1606,2050l1659,2050m1606,1820l1659,1820m1606,1589l1659,1589m1606,1356l1659,1356m1606,1126l1659,1126m1606,896l1659,896m1606,665l1659,665m1606,435l1659,435m1606,205l1659,205m1606,2280l10792,2280m1606,2226l1606,2280m2371,2226l2371,2280m3137,2226l3137,2280m3902,2226l3902,2280m4668,2226l4668,2280m5434,2226l5434,2280m6199,2226l6199,2280m6965,2226l6965,2280m7730,2226l7730,2280m8496,2226l8496,2280m9262,2226l9262,2280m10027,2226l10027,2280m10792,2226l10792,2280e" filled="f" stroked="t" strokecolor="black" strokeweight="0.25pt">
              <v:stroke dashstyle="solid"/>
              <v:path arrowok="t"/>
            </v:shape>
            <v:shape id="_x0000_s1570" style="width:8421;height:233;left:1988;position:absolute;top:1374" coordorigin="1989,1375" coordsize="8421,233" path="m1989,1375l2755,1580,3521,1556,4284,1488,5050,1460,5815,1607,6581,1517,7346,1462,8112,1385,8878,1587,9643,1553,10409,1448e" filled="f" stroked="t" strokecolor="#004097" strokeweight="2pt">
              <v:stroke dashstyle="solid"/>
              <v:path arrowok="t"/>
            </v:shape>
            <v:shape id="_x0000_s1571" style="width:8421;height:448;left:1988;position:absolute;top:1312" coordorigin="1989,1312" coordsize="8421,448" path="m1989,1500l2755,1760,3521,1460,4284,1544,5050,1436,5815,1472,6581,1548,7346,1436,8112,1409,8878,1601,9643,1440,10409,1312e" filled="f" stroked="t" strokecolor="silver" strokeweight="2pt">
              <v:stroke dashstyle="solid"/>
              <v:path arrowok="t"/>
            </v:shape>
            <v:shape id="_x0000_s1572" style="width:8421;height:557;left:1988;position:absolute;top:1216" coordorigin="1989,1216" coordsize="8421,557" path="m1989,1409l2755,1773,3521,1380,4284,1424,5050,1510,5815,1421,6581,1467,7346,1356,8112,1419,8878,1592,9643,1304,10409,1216e" filled="f" stroked="t" strokecolor="#5085c5" strokeweight="2pt">
              <v:stroke dashstyle="solid"/>
              <v:path arrowok="t"/>
            </v:shape>
            <v:shape id="_x0000_s1573" style="width:8421;height:296;left:1988;position:absolute;top:1272" coordorigin="1989,1273" coordsize="8421,296" path="m1989,1412l2755,1568,3521,1472,4284,1452,5050,1378,5815,1337,6581,1273,7346,1400,8112,1318,8878,1433,9643,1316,10409,1289e" filled="f" stroked="t" strokecolor="gray" strokeweight="2.25pt">
              <v:stroke dashstyle="solid"/>
              <v:path arrowok="t"/>
            </v:shape>
            <v:shape id="_x0000_s1574" style="width:8421;height:672;left:1988;position:absolute;top:1021" coordorigin="1989,1021" coordsize="8421,672" path="m1989,1335l2755,1693,3521,1397,4284,1424,5050,1292,5815,1469,6581,1131,7346,1438,8112,1320,8878,1236,9643,1157,10409,1021e" filled="f" stroked="t" strokecolor="#c2d4eb" strokeweight="2.25pt">
              <v:stroke dashstyle="solid"/>
              <v:path arrowok="t"/>
            </v:shape>
            <v:shape id="_x0000_s1575" style="width:8421;height:888;left:1988;position:absolute;top:1102" coordorigin="1989,1102" coordsize="8421,888" path="m1989,1114l2755,1989,3521,1455,4284,1102,5050,1306,5815,1450,6581,1145,7346,1328,8112,1256,8878,1364,9643,1277,10409,1251e" filled="f" stroked="t" strokecolor="#545454" strokeweight="2.25pt">
              <v:stroke dashstyle="solid"/>
              <v:path arrowok="t"/>
            </v:shape>
            <v:shape id="_x0000_s1576" style="width:8421;height:602;left:1988;position:absolute;top:947" coordorigin="1989,947" coordsize="8421,602" path="m1989,1400l2755,1549,3521,1479,4284,1236,5050,1337,5815,1186,6581,1277,7346,1251,8112,1162,8878,1289,9643,1028,10409,947e" filled="f" stroked="t" strokecolor="#0040a1" strokeweight="2.25pt">
              <v:stroke dashstyle="solid"/>
              <v:path arrowok="t"/>
            </v:shape>
            <v:shape id="_x0000_s1577" style="width:8421;height:715;left:1988;position:absolute;top:686" coordorigin="1989,687" coordsize="8421,715" path="m1989,1078l2755,1402,3521,1275,4284,1164,5050,1104,5815,946,6581,821,7346,800,8112,862,8878,975,9643,687,10409,778e" filled="f" stroked="t" strokecolor="gray" strokeweight="2.25pt">
              <v:stroke dashstyle="solid"/>
              <v:path arrowok="t"/>
            </v:shape>
            <v:shape id="_x0000_s1578" style="width:7655;height:1003;left:1988;position:absolute;top:372" coordorigin="1989,372" coordsize="7655,1003" path="m1989,860l2755,1375,3521,857,4284,725,5050,728,5815,692,6581,660,7346,680,8112,372,8878,773,9644,821e" filled="f" stroked="t" strokecolor="#c00000" strokeweight="2.25pt">
              <v:stroke dashstyle="solid"/>
              <v:path arrowok="t"/>
            </v:shape>
          </v:group>
        </w:pict>
      </w:r>
      <w:r>
        <w:rPr>
          <w:rFonts w:ascii="Tahoma"/>
          <w:sz w:val="16"/>
        </w:rPr>
        <w:t>45</w:t>
      </w:r>
    </w:p>
    <w:p>
      <w:pPr>
        <w:spacing w:before="37"/>
        <w:ind w:left="741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40</w:t>
      </w:r>
    </w:p>
    <w:p>
      <w:pPr>
        <w:spacing w:before="38"/>
        <w:ind w:left="741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35</w:t>
      </w:r>
    </w:p>
    <w:p>
      <w:pPr>
        <w:spacing w:before="37"/>
        <w:ind w:left="741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30</w:t>
      </w:r>
    </w:p>
    <w:p>
      <w:pPr>
        <w:spacing w:before="38"/>
        <w:ind w:left="741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25</w:t>
      </w:r>
    </w:p>
    <w:p>
      <w:pPr>
        <w:spacing w:before="37"/>
        <w:ind w:left="741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20</w:t>
      </w:r>
    </w:p>
    <w:p>
      <w:pPr>
        <w:spacing w:before="37"/>
        <w:ind w:left="741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15</w:t>
      </w:r>
    </w:p>
    <w:p>
      <w:pPr>
        <w:spacing w:before="38"/>
        <w:ind w:left="741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10</w:t>
      </w:r>
    </w:p>
    <w:p>
      <w:pPr>
        <w:spacing w:before="37"/>
        <w:ind w:left="828" w:right="0" w:firstLine="0"/>
        <w:jc w:val="left"/>
        <w:rPr>
          <w:rFonts w:ascii="Tahoma"/>
          <w:sz w:val="16"/>
        </w:rPr>
      </w:pPr>
      <w:r>
        <w:rPr>
          <w:rFonts w:ascii="Tahoma"/>
          <w:w w:val="100"/>
          <w:sz w:val="16"/>
        </w:rPr>
        <w:t>5</w:t>
      </w:r>
    </w:p>
    <w:p>
      <w:pPr>
        <w:spacing w:before="38"/>
        <w:ind w:left="828" w:right="0" w:firstLine="0"/>
        <w:jc w:val="left"/>
        <w:rPr>
          <w:rFonts w:ascii="Tahoma"/>
          <w:sz w:val="16"/>
        </w:rPr>
      </w:pPr>
      <w:r>
        <w:rPr>
          <w:rFonts w:ascii="Tahoma"/>
          <w:w w:val="100"/>
          <w:sz w:val="16"/>
        </w:rPr>
        <w:t>0</w:t>
      </w:r>
    </w:p>
    <w:p>
      <w:pPr>
        <w:tabs>
          <w:tab w:val="left" w:pos="2088"/>
          <w:tab w:val="left" w:pos="2854"/>
          <w:tab w:val="left" w:pos="3620"/>
          <w:tab w:val="left" w:pos="4385"/>
          <w:tab w:val="left" w:pos="5151"/>
          <w:tab w:val="left" w:pos="5916"/>
          <w:tab w:val="left" w:pos="6682"/>
          <w:tab w:val="left" w:pos="7448"/>
          <w:tab w:val="left" w:pos="8168"/>
          <w:tab w:val="left" w:pos="8934"/>
          <w:tab w:val="left" w:pos="9699"/>
        </w:tabs>
        <w:spacing w:before="18"/>
        <w:ind w:left="1322" w:right="0" w:firstLine="0"/>
        <w:jc w:val="left"/>
        <w:rPr>
          <w:sz w:val="16"/>
        </w:rPr>
      </w:pPr>
      <w:r>
        <w:rPr>
          <w:rFonts w:ascii="Tahoma" w:eastAsia="Tahoma"/>
          <w:sz w:val="16"/>
        </w:rPr>
        <w:t>1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2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3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4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5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6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7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8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9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10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11</w:t>
      </w:r>
      <w:r>
        <w:rPr>
          <w:sz w:val="16"/>
        </w:rPr>
        <w:t>月</w:t>
        <w:tab/>
      </w:r>
      <w:r>
        <w:rPr>
          <w:rFonts w:ascii="Tahoma" w:eastAsia="Tahoma"/>
          <w:sz w:val="16"/>
        </w:rPr>
        <w:t>12</w:t>
      </w:r>
      <w:r>
        <w:rPr>
          <w:sz w:val="16"/>
        </w:rPr>
        <w:t>月</w:t>
      </w:r>
    </w:p>
    <w:p>
      <w:pPr>
        <w:pStyle w:val="BodyText"/>
        <w:spacing w:before="5"/>
        <w:rPr>
          <w:sz w:val="10"/>
        </w:rPr>
      </w:pPr>
      <w:r>
        <w:pict>
          <v:shape id="_x0000_s1579" style="width:537pt;height:0.1pt;margin-top:9.15pt;margin-left:33.96pt;mso-position-horizontal-relative:page;mso-wrap-distance-left:0;mso-wrap-distance-right:0;position:absolute;z-index:-251618304" coordorigin="679,183" coordsize="10740,0" path="m679,183l11419,183e" filled="f" stroked="t" strokecolor="#004097" strokeweight="0.96pt">
            <v:stroke dashstyle="solid"/>
            <v:path arrowok="t"/>
            <w10:wrap type="topAndBottom"/>
          </v:shape>
        </w:pict>
      </w:r>
    </w:p>
    <w:p>
      <w:pPr>
        <w:spacing w:before="0"/>
        <w:ind w:left="247" w:right="0" w:firstLine="0"/>
        <w:jc w:val="left"/>
        <w:rPr>
          <w:sz w:val="17"/>
        </w:rPr>
      </w:pPr>
      <w:r>
        <w:t xml:space="preserve">资料来源：中国海关，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Heading2"/>
        <w:numPr>
          <w:ilvl w:val="1"/>
          <w:numId w:val="11"/>
        </w:numPr>
        <w:tabs>
          <w:tab w:val="left" w:pos="3133"/>
        </w:tabs>
        <w:spacing w:before="21" w:after="0" w:line="240" w:lineRule="auto"/>
        <w:ind w:left="3132" w:right="0" w:hanging="443"/>
        <w:jc w:val="left"/>
      </w:pPr>
      <w:bookmarkStart w:id="4" w:name="_TOC_250013"/>
      <w:r>
        <w:rPr>
          <w:color w:val="004097"/>
        </w:rPr>
        <w:t>特高压产业链：</w:t>
      </w:r>
      <w:r>
        <w:rPr>
          <w:rFonts w:ascii="Tahoma" w:eastAsia="Tahoma"/>
          <w:color w:val="004097"/>
        </w:rPr>
        <w:t>2023</w:t>
      </w:r>
      <w:r>
        <w:rPr>
          <w:rFonts w:ascii="Tahoma" w:eastAsia="Tahoma"/>
          <w:color w:val="004097"/>
          <w:spacing w:val="-9"/>
        </w:rPr>
        <w:t xml:space="preserve"> </w:t>
      </w:r>
      <w:r>
        <w:rPr>
          <w:color w:val="004097"/>
        </w:rPr>
        <w:t xml:space="preserve">项目核准高峰，柔直技术有望从 </w:t>
      </w:r>
      <w:r>
        <w:rPr>
          <w:rFonts w:ascii="Tahoma" w:eastAsia="Tahoma"/>
          <w:color w:val="004097"/>
        </w:rPr>
        <w:t>0</w:t>
      </w:r>
      <w:r>
        <w:rPr>
          <w:rFonts w:ascii="Tahoma" w:eastAsia="Tahoma"/>
          <w:color w:val="004097"/>
          <w:spacing w:val="-9"/>
        </w:rPr>
        <w:t xml:space="preserve"> </w:t>
      </w:r>
      <w:r>
        <w:rPr>
          <w:color w:val="004097"/>
          <w:spacing w:val="1"/>
        </w:rPr>
        <w:t xml:space="preserve">至 </w:t>
      </w:r>
      <w:r>
        <w:rPr>
          <w:rFonts w:ascii="Tahoma" w:eastAsia="Tahoma"/>
          <w:color w:val="004097"/>
        </w:rPr>
        <w:t>1</w:t>
      </w:r>
      <w:r>
        <w:rPr>
          <w:rFonts w:ascii="Tahoma" w:eastAsia="Tahoma"/>
          <w:color w:val="004097"/>
          <w:spacing w:val="-11"/>
        </w:rPr>
        <w:t xml:space="preserve"> </w:t>
      </w:r>
      <w:bookmarkEnd w:id="4"/>
      <w:r>
        <w:rPr>
          <w:color w:val="004097"/>
        </w:rPr>
        <w:t>爆发增长</w:t>
      </w:r>
    </w:p>
    <w:p>
      <w:pPr>
        <w:spacing w:before="63" w:line="228" w:lineRule="auto"/>
        <w:ind w:left="2690" w:right="675" w:firstLine="0"/>
        <w:jc w:val="both"/>
        <w:rPr>
          <w:sz w:val="21"/>
        </w:rPr>
      </w:pPr>
      <w:r>
        <w:rPr>
          <w:rFonts w:ascii="Microsoft JhengHei" w:eastAsia="Microsoft JhengHei" w:hint="eastAsia"/>
          <w:b/>
          <w:spacing w:val="-2"/>
          <w:sz w:val="21"/>
        </w:rPr>
        <w:t>特高压发展核心推动看电网投资额，</w:t>
      </w:r>
      <w:r>
        <w:rPr>
          <w:rFonts w:ascii="Tahoma" w:eastAsia="Tahoma"/>
          <w:b/>
          <w:sz w:val="21"/>
        </w:rPr>
        <w:t>2023</w:t>
      </w:r>
      <w:r>
        <w:rPr>
          <w:rFonts w:ascii="Tahoma" w:eastAsia="Tahoma"/>
          <w:b/>
          <w:spacing w:val="27"/>
          <w:sz w:val="21"/>
        </w:rPr>
        <w:t xml:space="preserve"> </w:t>
      </w:r>
      <w:r>
        <w:rPr>
          <w:rFonts w:ascii="Microsoft JhengHei" w:eastAsia="Microsoft JhengHei" w:hint="eastAsia"/>
          <w:b/>
          <w:spacing w:val="19"/>
          <w:sz w:val="21"/>
        </w:rPr>
        <w:t xml:space="preserve">年 </w:t>
      </w:r>
      <w:r>
        <w:rPr>
          <w:rFonts w:ascii="Tahoma" w:eastAsia="Tahoma"/>
          <w:b/>
          <w:sz w:val="21"/>
        </w:rPr>
        <w:t>11</w:t>
      </w:r>
      <w:r>
        <w:rPr>
          <w:rFonts w:ascii="Tahoma" w:eastAsia="Tahoma"/>
          <w:b/>
          <w:spacing w:val="27"/>
          <w:sz w:val="21"/>
        </w:rPr>
        <w:t xml:space="preserve"> </w:t>
      </w:r>
      <w:r>
        <w:rPr>
          <w:rFonts w:ascii="Microsoft JhengHei" w:eastAsia="Microsoft JhengHei" w:hint="eastAsia"/>
          <w:b/>
          <w:spacing w:val="-2"/>
          <w:sz w:val="21"/>
        </w:rPr>
        <w:t>月电网投资额实现大幅增长。</w:t>
      </w:r>
      <w:r>
        <w:rPr>
          <w:spacing w:val="-2"/>
          <w:sz w:val="21"/>
        </w:rPr>
        <w:t>根据国</w:t>
      </w:r>
      <w:r>
        <w:rPr>
          <w:spacing w:val="-3"/>
          <w:sz w:val="21"/>
        </w:rPr>
        <w:t>家能源局数据，</w:t>
      </w:r>
      <w:r>
        <w:rPr>
          <w:rFonts w:ascii="Tahoma" w:eastAsia="Tahoma"/>
          <w:sz w:val="21"/>
        </w:rPr>
        <w:t>2023</w:t>
      </w:r>
      <w:r>
        <w:rPr>
          <w:rFonts w:ascii="Tahoma" w:eastAsia="Tahoma"/>
          <w:spacing w:val="-10"/>
          <w:sz w:val="21"/>
        </w:rPr>
        <w:t xml:space="preserve"> </w:t>
      </w:r>
      <w:r>
        <w:rPr>
          <w:spacing w:val="-23"/>
          <w:sz w:val="21"/>
        </w:rPr>
        <w:t xml:space="preserve">年 </w:t>
      </w:r>
      <w:r>
        <w:rPr>
          <w:rFonts w:ascii="Tahoma" w:eastAsia="Tahoma"/>
          <w:sz w:val="21"/>
        </w:rPr>
        <w:t>1-2</w:t>
      </w:r>
      <w:r>
        <w:rPr>
          <w:rFonts w:ascii="Tahoma" w:eastAsia="Tahoma"/>
          <w:spacing w:val="-10"/>
          <w:sz w:val="21"/>
        </w:rPr>
        <w:t xml:space="preserve"> </w:t>
      </w:r>
      <w:r>
        <w:rPr>
          <w:spacing w:val="-3"/>
          <w:sz w:val="21"/>
        </w:rPr>
        <w:t>月电网工程投资完成额同比</w:t>
      </w:r>
      <w:r>
        <w:rPr>
          <w:rFonts w:ascii="Tahoma" w:eastAsia="Tahoma"/>
          <w:sz w:val="21"/>
        </w:rPr>
        <w:t>+2%</w:t>
      </w:r>
      <w:r>
        <w:rPr>
          <w:sz w:val="21"/>
        </w:rPr>
        <w:t>；</w:t>
      </w:r>
      <w:r>
        <w:rPr>
          <w:rFonts w:ascii="Tahoma" w:eastAsia="Tahoma"/>
          <w:sz w:val="21"/>
        </w:rPr>
        <w:t>2023</w:t>
      </w:r>
      <w:r>
        <w:rPr>
          <w:rFonts w:ascii="Tahoma" w:eastAsia="Tahoma"/>
          <w:spacing w:val="-10"/>
          <w:sz w:val="21"/>
        </w:rPr>
        <w:t xml:space="preserve"> </w:t>
      </w:r>
      <w:r>
        <w:rPr>
          <w:spacing w:val="-23"/>
          <w:sz w:val="21"/>
        </w:rPr>
        <w:t xml:space="preserve">年 </w:t>
      </w:r>
      <w:r>
        <w:rPr>
          <w:rFonts w:ascii="Tahoma" w:eastAsia="Tahoma"/>
          <w:sz w:val="21"/>
        </w:rPr>
        <w:t>3-5</w:t>
      </w:r>
      <w:r>
        <w:rPr>
          <w:rFonts w:ascii="Tahoma" w:eastAsia="Tahoma"/>
          <w:spacing w:val="-13"/>
          <w:sz w:val="21"/>
        </w:rPr>
        <w:t xml:space="preserve"> </w:t>
      </w:r>
      <w:r>
        <w:rPr>
          <w:spacing w:val="-3"/>
          <w:sz w:val="21"/>
        </w:rPr>
        <w:t>月份大幅增长，分别同比</w:t>
      </w:r>
      <w:r>
        <w:rPr>
          <w:rFonts w:ascii="Tahoma" w:eastAsia="Tahoma"/>
          <w:sz w:val="21"/>
        </w:rPr>
        <w:t>+13%/+16%/+12%</w:t>
      </w:r>
      <w:r>
        <w:rPr>
          <w:sz w:val="21"/>
        </w:rPr>
        <w:t>；</w:t>
      </w:r>
      <w:r>
        <w:rPr>
          <w:rFonts w:ascii="Tahoma" w:eastAsia="Tahoma"/>
          <w:sz w:val="21"/>
        </w:rPr>
        <w:t>2023</w:t>
      </w:r>
      <w:r>
        <w:rPr>
          <w:rFonts w:ascii="Tahoma" w:eastAsia="Tahoma"/>
          <w:spacing w:val="-24"/>
          <w:sz w:val="21"/>
        </w:rPr>
        <w:t xml:space="preserve"> </w:t>
      </w:r>
      <w:r>
        <w:rPr>
          <w:spacing w:val="-30"/>
          <w:sz w:val="21"/>
        </w:rPr>
        <w:t xml:space="preserve">年 </w:t>
      </w:r>
      <w:r>
        <w:rPr>
          <w:rFonts w:ascii="Tahoma" w:eastAsia="Tahoma"/>
          <w:sz w:val="21"/>
        </w:rPr>
        <w:t>6</w:t>
      </w:r>
      <w:r>
        <w:rPr>
          <w:rFonts w:ascii="Tahoma" w:eastAsia="Tahoma"/>
          <w:spacing w:val="-22"/>
          <w:sz w:val="21"/>
        </w:rPr>
        <w:t xml:space="preserve"> </w:t>
      </w:r>
      <w:r>
        <w:rPr>
          <w:spacing w:val="-3"/>
          <w:sz w:val="21"/>
        </w:rPr>
        <w:t>月单月同比</w:t>
      </w:r>
      <w:r>
        <w:rPr>
          <w:rFonts w:ascii="Tahoma" w:eastAsia="Tahoma"/>
          <w:sz w:val="21"/>
        </w:rPr>
        <w:t>+2%</w:t>
      </w:r>
      <w:r>
        <w:rPr>
          <w:sz w:val="21"/>
        </w:rPr>
        <w:t>，</w:t>
      </w:r>
      <w:r>
        <w:rPr>
          <w:rFonts w:ascii="Tahoma" w:eastAsia="Tahoma"/>
          <w:sz w:val="21"/>
        </w:rPr>
        <w:t>2023</w:t>
      </w:r>
      <w:r>
        <w:rPr>
          <w:rFonts w:ascii="Tahoma" w:eastAsia="Tahoma"/>
          <w:spacing w:val="-25"/>
          <w:sz w:val="21"/>
        </w:rPr>
        <w:t xml:space="preserve"> </w:t>
      </w:r>
      <w:r>
        <w:rPr>
          <w:spacing w:val="-29"/>
          <w:sz w:val="21"/>
        </w:rPr>
        <w:t xml:space="preserve">年 </w:t>
      </w:r>
      <w:r>
        <w:rPr>
          <w:rFonts w:ascii="Tahoma" w:eastAsia="Tahoma"/>
          <w:sz w:val="21"/>
        </w:rPr>
        <w:t>6</w:t>
      </w:r>
      <w:r>
        <w:rPr>
          <w:rFonts w:ascii="Tahoma" w:eastAsia="Tahoma"/>
          <w:spacing w:val="-22"/>
          <w:sz w:val="21"/>
        </w:rPr>
        <w:t xml:space="preserve"> </w:t>
      </w:r>
      <w:r>
        <w:rPr>
          <w:spacing w:val="-3"/>
          <w:sz w:val="21"/>
        </w:rPr>
        <w:t>月为历年电</w:t>
      </w:r>
    </w:p>
    <w:p>
      <w:pPr>
        <w:pStyle w:val="BodyText"/>
        <w:spacing w:before="17" w:line="249" w:lineRule="auto"/>
        <w:ind w:left="2690" w:right="672"/>
        <w:jc w:val="both"/>
        <w:sectPr>
          <w:headerReference w:type="default" r:id="rId28"/>
          <w:footerReference w:type="default" r:id="rId29"/>
          <w:type w:val="continuous"/>
          <w:pgSz w:w="11910" w:h="16840"/>
          <w:pgMar w:top="900" w:right="0" w:bottom="1060" w:left="540" w:header="708" w:footer="708"/>
          <w:pgNumType w:start="13"/>
          <w:cols w:space="708"/>
        </w:sectPr>
      </w:pPr>
      <w:r>
        <w:rPr>
          <w:spacing w:val="-8"/>
        </w:rPr>
        <w:t xml:space="preserve">网投资高额月，单月达 </w:t>
      </w:r>
      <w:r>
        <w:rPr>
          <w:rFonts w:ascii="Tahoma" w:eastAsia="Tahoma"/>
        </w:rPr>
        <w:t>654</w:t>
      </w:r>
      <w:r>
        <w:rPr>
          <w:rFonts w:ascii="Tahoma" w:eastAsia="Tahoma"/>
          <w:spacing w:val="-21"/>
        </w:rPr>
        <w:t xml:space="preserve"> </w:t>
      </w:r>
      <w:r>
        <w:rPr>
          <w:spacing w:val="-2"/>
        </w:rPr>
        <w:t>亿元；</w:t>
      </w:r>
      <w:r>
        <w:rPr>
          <w:rFonts w:ascii="Tahoma" w:eastAsia="Tahoma"/>
        </w:rPr>
        <w:t>2023</w:t>
      </w:r>
      <w:r>
        <w:rPr>
          <w:rFonts w:ascii="Tahoma" w:eastAsia="Tahoma"/>
          <w:spacing w:val="-22"/>
        </w:rPr>
        <w:t xml:space="preserve"> </w:t>
      </w:r>
      <w:r>
        <w:rPr>
          <w:spacing w:val="-27"/>
        </w:rPr>
        <w:t xml:space="preserve">年 </w:t>
      </w:r>
      <w:r>
        <w:rPr>
          <w:rFonts w:ascii="Tahoma" w:eastAsia="Tahoma"/>
        </w:rPr>
        <w:t>7</w:t>
      </w:r>
      <w:r>
        <w:rPr>
          <w:rFonts w:ascii="Tahoma" w:eastAsia="Tahoma"/>
          <w:spacing w:val="-23"/>
        </w:rPr>
        <w:t xml:space="preserve"> </w:t>
      </w:r>
      <w:r>
        <w:rPr>
          <w:spacing w:val="-3"/>
        </w:rPr>
        <w:t>月同比</w:t>
      </w:r>
      <w:r>
        <w:rPr>
          <w:rFonts w:ascii="Tahoma" w:eastAsia="Tahoma"/>
        </w:rPr>
        <w:t>+25%</w:t>
      </w:r>
      <w:r>
        <w:t>；</w:t>
      </w:r>
      <w:r>
        <w:rPr>
          <w:rFonts w:ascii="Tahoma" w:eastAsia="Tahoma"/>
        </w:rPr>
        <w:t>2023</w:t>
      </w:r>
      <w:r>
        <w:rPr>
          <w:rFonts w:ascii="Tahoma" w:eastAsia="Tahoma"/>
          <w:spacing w:val="-22"/>
        </w:rPr>
        <w:t xml:space="preserve"> </w:t>
      </w:r>
      <w:r>
        <w:rPr>
          <w:spacing w:val="-27"/>
        </w:rPr>
        <w:t xml:space="preserve">年 </w:t>
      </w:r>
      <w:r>
        <w:rPr>
          <w:rFonts w:ascii="Tahoma" w:eastAsia="Tahoma"/>
        </w:rPr>
        <w:t>8</w:t>
      </w:r>
      <w:r>
        <w:rPr>
          <w:rFonts w:ascii="Tahoma" w:eastAsia="Tahoma"/>
          <w:spacing w:val="-21"/>
        </w:rPr>
        <w:t xml:space="preserve"> </w:t>
      </w:r>
      <w:r>
        <w:rPr>
          <w:spacing w:val="-2"/>
        </w:rPr>
        <w:t>月同比</w:t>
      </w:r>
      <w:r>
        <w:rPr>
          <w:rFonts w:ascii="Tahoma" w:eastAsia="Tahoma"/>
        </w:rPr>
        <w:t>-46%</w:t>
      </w:r>
      <w:r>
        <w:rPr>
          <w:spacing w:val="-2"/>
        </w:rPr>
        <w:t>，主</w:t>
      </w:r>
      <w:r>
        <w:rPr>
          <w:spacing w:val="-3"/>
        </w:rPr>
        <w:t>要系台风等自然天气影响；</w:t>
      </w:r>
      <w:r>
        <w:rPr>
          <w:rFonts w:ascii="Tahoma" w:eastAsia="Tahoma"/>
        </w:rPr>
        <w:t>2023</w:t>
      </w:r>
      <w:r>
        <w:rPr>
          <w:rFonts w:ascii="Tahoma" w:eastAsia="Tahoma"/>
          <w:spacing w:val="-28"/>
        </w:rPr>
        <w:t xml:space="preserve"> </w:t>
      </w:r>
      <w:r>
        <w:rPr>
          <w:spacing w:val="-30"/>
        </w:rPr>
        <w:t xml:space="preserve">年 </w:t>
      </w:r>
      <w:r>
        <w:rPr>
          <w:rFonts w:ascii="Tahoma" w:eastAsia="Tahoma"/>
        </w:rPr>
        <w:t>9/10</w:t>
      </w:r>
      <w:r>
        <w:rPr>
          <w:rFonts w:ascii="Tahoma" w:eastAsia="Tahoma"/>
          <w:spacing w:val="-28"/>
        </w:rPr>
        <w:t xml:space="preserve"> </w:t>
      </w:r>
      <w:r>
        <w:rPr>
          <w:spacing w:val="-3"/>
        </w:rPr>
        <w:t>月再次恢复增长，同比</w:t>
      </w:r>
      <w:r>
        <w:rPr>
          <w:rFonts w:ascii="Tahoma" w:eastAsia="Tahoma"/>
        </w:rPr>
        <w:t>+20%/+24%</w:t>
      </w:r>
      <w:r>
        <w:t>。</w:t>
      </w:r>
      <w:r>
        <w:rPr>
          <w:rFonts w:ascii="Tahoma" w:eastAsia="Tahoma"/>
        </w:rPr>
        <w:t>2023</w:t>
      </w:r>
      <w:r>
        <w:rPr>
          <w:rFonts w:ascii="Tahoma" w:eastAsia="Tahoma"/>
          <w:spacing w:val="-26"/>
        </w:rPr>
        <w:t xml:space="preserve"> </w:t>
      </w:r>
      <w:r>
        <w:t>年</w:t>
      </w:r>
      <w:r>
        <w:rPr>
          <w:rFonts w:ascii="Tahoma" w:eastAsia="Tahoma"/>
        </w:rPr>
        <w:t>11</w:t>
      </w:r>
      <w:r>
        <w:rPr>
          <w:rFonts w:ascii="Tahoma" w:eastAsia="Tahoma"/>
          <w:spacing w:val="-25"/>
        </w:rPr>
        <w:t xml:space="preserve"> </w:t>
      </w:r>
      <w:r>
        <w:rPr>
          <w:spacing w:val="-2"/>
        </w:rPr>
        <w:t>月同比</w:t>
      </w:r>
      <w:r>
        <w:rPr>
          <w:rFonts w:ascii="Tahoma" w:eastAsia="Tahoma"/>
        </w:rPr>
        <w:t>+4%</w:t>
      </w:r>
      <w:r>
        <w:rPr>
          <w:spacing w:val="-13"/>
        </w:rPr>
        <w:t xml:space="preserve">，主要是 </w:t>
      </w:r>
      <w:r>
        <w:rPr>
          <w:rFonts w:ascii="Tahoma" w:eastAsia="Tahoma"/>
        </w:rPr>
        <w:t>2023</w:t>
      </w:r>
      <w:r>
        <w:rPr>
          <w:rFonts w:ascii="Tahoma" w:eastAsia="Tahoma"/>
          <w:spacing w:val="-24"/>
        </w:rPr>
        <w:t xml:space="preserve"> </w:t>
      </w:r>
      <w:r>
        <w:rPr>
          <w:spacing w:val="-29"/>
        </w:rPr>
        <w:t xml:space="preserve">年 </w:t>
      </w:r>
      <w:r>
        <w:rPr>
          <w:rFonts w:ascii="Tahoma" w:eastAsia="Tahoma"/>
        </w:rPr>
        <w:t>11-12</w:t>
      </w:r>
      <w:r>
        <w:rPr>
          <w:rFonts w:ascii="Tahoma" w:eastAsia="Tahoma"/>
          <w:spacing w:val="-26"/>
        </w:rPr>
        <w:t xml:space="preserve"> </w:t>
      </w:r>
      <w:r>
        <w:rPr>
          <w:spacing w:val="-7"/>
        </w:rPr>
        <w:t xml:space="preserve">月再次恢复增长，投资金额达 </w:t>
      </w:r>
      <w:r>
        <w:rPr>
          <w:rFonts w:ascii="Tahoma" w:eastAsia="Tahoma"/>
        </w:rPr>
        <w:t>727</w:t>
      </w:r>
      <w:r>
        <w:rPr>
          <w:rFonts w:ascii="Tahoma" w:eastAsia="Tahoma"/>
          <w:spacing w:val="-26"/>
        </w:rPr>
        <w:t xml:space="preserve"> </w:t>
      </w:r>
      <w:r>
        <w:rPr>
          <w:spacing w:val="-3"/>
        </w:rPr>
        <w:t>亿元。从全年</w:t>
      </w:r>
    </w:p>
    <w:p>
      <w:pPr>
        <w:pStyle w:val="BodyText"/>
        <w:spacing w:before="1"/>
        <w:ind w:left="2690"/>
        <w:jc w:val="both"/>
      </w:pPr>
      <w:r>
        <w:t xml:space="preserve">投资额看，国网年初电网投资额预期达 </w:t>
      </w:r>
      <w:r>
        <w:rPr>
          <w:rFonts w:ascii="Tahoma" w:eastAsia="Tahoma"/>
        </w:rPr>
        <w:t xml:space="preserve">5200 </w:t>
      </w:r>
      <w:r>
        <w:t>亿元，实现度高且有望超预期发展。</w:t>
      </w:r>
    </w:p>
    <w:p>
      <w:pPr>
        <w:spacing w:after="0"/>
        <w:jc w:val="both"/>
        <w:sectPr>
          <w:headerReference w:type="default" r:id="rId30"/>
          <w:footerReference w:type="default" r:id="rId31"/>
          <w:type w:val="nextPage"/>
          <w:pgSz w:w="11910" w:h="16840"/>
          <w:pgMar w:top="900" w:right="0" w:bottom="1060" w:left="540" w:header="708" w:footer="708"/>
          <w:pgNumType w:start="14"/>
          <w:cols w:space="708"/>
          <w:titlePg w:val="0"/>
        </w:sectPr>
      </w:pPr>
    </w:p>
    <w:p>
      <w:pPr>
        <w:spacing w:before="114" w:line="230" w:lineRule="auto"/>
        <w:ind w:left="247" w:right="16" w:firstLine="0"/>
        <w:jc w:val="left"/>
        <w:rPr>
          <w:sz w:val="17"/>
        </w:rPr>
      </w:pPr>
      <w:r>
        <w:pict>
          <v:line id="_x0000_s1580" style="mso-position-horizontal-relative:page;position:absolute;z-index:251701248" from="33.95pt,27.05pt" to="295.95pt,27.05pt" stroked="t" strokecolor="#004097" strokeweight="0.96pt">
            <v:stroke dashstyle="solid"/>
          </v:line>
        </w:pict>
      </w:r>
      <w:r>
        <w:rPr>
          <w:color w:val="004097"/>
          <w:spacing w:val="-16"/>
          <w:w w:val="95"/>
          <w:sz w:val="17"/>
        </w:rPr>
        <w:t xml:space="preserve">图表 </w:t>
      </w:r>
      <w:r>
        <w:rPr>
          <w:rFonts w:ascii="Tahoma" w:eastAsia="Tahoma"/>
          <w:i/>
          <w:color w:val="004097"/>
          <w:w w:val="95"/>
          <w:sz w:val="17"/>
        </w:rPr>
        <w:t>8</w:t>
      </w:r>
      <w:r>
        <w:rPr>
          <w:color w:val="004097"/>
          <w:spacing w:val="-14"/>
          <w:w w:val="95"/>
          <w:sz w:val="17"/>
        </w:rPr>
        <w:t xml:space="preserve">：中国 </w:t>
      </w:r>
      <w:r>
        <w:rPr>
          <w:rFonts w:ascii="Tahoma" w:eastAsia="Tahoma"/>
          <w:i/>
          <w:color w:val="004097"/>
          <w:w w:val="95"/>
          <w:sz w:val="17"/>
        </w:rPr>
        <w:t xml:space="preserve">2008 </w:t>
      </w:r>
      <w:r>
        <w:rPr>
          <w:color w:val="004097"/>
          <w:spacing w:val="-24"/>
          <w:w w:val="95"/>
          <w:sz w:val="17"/>
        </w:rPr>
        <w:t xml:space="preserve">至 </w:t>
      </w:r>
      <w:r>
        <w:rPr>
          <w:rFonts w:ascii="Tahoma" w:eastAsia="Tahoma"/>
          <w:i/>
          <w:color w:val="004097"/>
          <w:w w:val="95"/>
          <w:sz w:val="17"/>
        </w:rPr>
        <w:t xml:space="preserve">2023 </w:t>
      </w:r>
      <w:r>
        <w:rPr>
          <w:color w:val="004097"/>
          <w:spacing w:val="-24"/>
          <w:w w:val="95"/>
          <w:sz w:val="17"/>
        </w:rPr>
        <w:t xml:space="preserve">年 </w:t>
      </w:r>
      <w:r>
        <w:rPr>
          <w:rFonts w:ascii="Tahoma" w:eastAsia="Tahoma"/>
          <w:i/>
          <w:color w:val="004097"/>
          <w:w w:val="95"/>
          <w:sz w:val="17"/>
        </w:rPr>
        <w:t xml:space="preserve">1-11 </w:t>
      </w:r>
      <w:r>
        <w:rPr>
          <w:color w:val="004097"/>
          <w:spacing w:val="-3"/>
          <w:w w:val="95"/>
          <w:sz w:val="17"/>
        </w:rPr>
        <w:t>月电网基本建设投资完成额</w:t>
      </w:r>
      <w:r>
        <w:rPr>
          <w:color w:val="004097"/>
          <w:w w:val="95"/>
          <w:sz w:val="17"/>
        </w:rPr>
        <w:t>（亿</w:t>
      </w:r>
      <w:r>
        <w:rPr>
          <w:color w:val="004097"/>
          <w:sz w:val="17"/>
        </w:rPr>
        <w:t>元）</w:t>
      </w:r>
    </w:p>
    <w:p>
      <w:pPr>
        <w:spacing w:before="114" w:line="230" w:lineRule="auto"/>
        <w:ind w:left="247" w:right="538" w:firstLine="0"/>
        <w:jc w:val="left"/>
        <w:rPr>
          <w:sz w:val="17"/>
        </w:rPr>
      </w:pPr>
      <w:r>
        <w:br w:type="column"/>
      </w:r>
      <w:r>
        <w:rPr>
          <w:color w:val="004097"/>
          <w:spacing w:val="-18"/>
          <w:w w:val="95"/>
          <w:sz w:val="17"/>
        </w:rPr>
        <w:t xml:space="preserve">图表 </w:t>
      </w:r>
      <w:r>
        <w:rPr>
          <w:rFonts w:ascii="Tahoma" w:eastAsia="Tahoma"/>
          <w:i/>
          <w:color w:val="004097"/>
          <w:w w:val="95"/>
          <w:sz w:val="17"/>
        </w:rPr>
        <w:t>9</w:t>
      </w:r>
      <w:r>
        <w:rPr>
          <w:color w:val="004097"/>
          <w:spacing w:val="-14"/>
          <w:w w:val="95"/>
          <w:sz w:val="17"/>
        </w:rPr>
        <w:t xml:space="preserve">：中国 </w:t>
      </w:r>
      <w:r>
        <w:rPr>
          <w:rFonts w:ascii="Tahoma" w:eastAsia="Tahoma"/>
          <w:i/>
          <w:color w:val="004097"/>
          <w:w w:val="95"/>
          <w:sz w:val="17"/>
        </w:rPr>
        <w:t xml:space="preserve">2018 </w:t>
      </w:r>
      <w:r>
        <w:rPr>
          <w:color w:val="004097"/>
          <w:spacing w:val="-25"/>
          <w:w w:val="95"/>
          <w:sz w:val="17"/>
        </w:rPr>
        <w:t xml:space="preserve">至 </w:t>
      </w:r>
      <w:r>
        <w:rPr>
          <w:rFonts w:ascii="Tahoma" w:eastAsia="Tahoma"/>
          <w:i/>
          <w:color w:val="004097"/>
          <w:w w:val="95"/>
          <w:sz w:val="17"/>
        </w:rPr>
        <w:t xml:space="preserve">2023 </w:t>
      </w:r>
      <w:r>
        <w:rPr>
          <w:color w:val="004097"/>
          <w:spacing w:val="-25"/>
          <w:w w:val="95"/>
          <w:sz w:val="17"/>
        </w:rPr>
        <w:t xml:space="preserve">年 </w:t>
      </w:r>
      <w:r>
        <w:rPr>
          <w:rFonts w:ascii="Tahoma" w:eastAsia="Tahoma"/>
          <w:i/>
          <w:color w:val="004097"/>
          <w:w w:val="95"/>
          <w:sz w:val="17"/>
        </w:rPr>
        <w:t xml:space="preserve">1-11 </w:t>
      </w:r>
      <w:r>
        <w:rPr>
          <w:color w:val="004097"/>
          <w:spacing w:val="-3"/>
          <w:w w:val="95"/>
          <w:sz w:val="17"/>
        </w:rPr>
        <w:t>月单月电网基本建设投资完成额</w:t>
      </w:r>
      <w:r>
        <w:rPr>
          <w:color w:val="004097"/>
          <w:w w:val="95"/>
          <w:sz w:val="17"/>
        </w:rPr>
        <w:t>（亿</w:t>
      </w:r>
      <w:r>
        <w:rPr>
          <w:color w:val="004097"/>
          <w:sz w:val="17"/>
        </w:rPr>
        <w:t>元）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id="_x0000_i1581" style="width:262.05pt;height:1pt;mso-position-horizontal-relative:char;mso-position-vertical-relative:line" coordorigin="0,0" coordsize="5241,20">
            <v:line id="_x0000_s1582" style="position:absolute" from="0,10" to="5241,10" stroked="t" strokecolor="#004097" strokeweight="0.96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headerReference w:type="default" r:id="rId32"/>
          <w:footerReference w:type="default" r:id="rId33"/>
          <w:pgSz w:w="11910" w:h="16840"/>
          <w:pgMar w:top="900" w:right="0" w:bottom="1060" w:left="540" w:header="708" w:footer="708"/>
          <w:pgNumType w:start="15"/>
          <w:cols w:num="2" w:space="708" w:equalWidth="0">
            <w:col w:w="5026" w:space="477"/>
            <w:col w:w="5867" w:space="0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6"/>
        <w:rPr>
          <w:sz w:val="20"/>
        </w:rPr>
      </w:pPr>
    </w:p>
    <w:p>
      <w:pPr>
        <w:spacing w:before="0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14000</w:t>
      </w:r>
    </w:p>
    <w:p>
      <w:pPr>
        <w:spacing w:before="76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12000</w:t>
      </w:r>
    </w:p>
    <w:p>
      <w:pPr>
        <w:spacing w:before="76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10000</w:t>
      </w:r>
    </w:p>
    <w:p>
      <w:pPr>
        <w:spacing w:before="76"/>
        <w:ind w:left="0" w:right="39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8000</w:t>
      </w:r>
    </w:p>
    <w:p>
      <w:pPr>
        <w:spacing w:before="76"/>
        <w:ind w:left="0" w:right="39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6000</w:t>
      </w:r>
    </w:p>
    <w:p>
      <w:pPr>
        <w:spacing w:before="75"/>
        <w:ind w:left="0" w:right="39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4000</w:t>
      </w:r>
    </w:p>
    <w:p>
      <w:pPr>
        <w:spacing w:before="77"/>
        <w:ind w:left="0" w:right="39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2000</w:t>
      </w:r>
    </w:p>
    <w:p>
      <w:pPr>
        <w:spacing w:before="75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w w:val="100"/>
          <w:sz w:val="16"/>
        </w:rPr>
        <w:t>0</w:t>
      </w:r>
    </w:p>
    <w:p>
      <w:pPr>
        <w:pStyle w:val="BodyText"/>
        <w:spacing w:before="5"/>
        <w:rPr>
          <w:rFonts w:ascii="Tahoma"/>
          <w:sz w:val="11"/>
        </w:rPr>
      </w:pPr>
      <w:r>
        <w:br w:type="column"/>
      </w:r>
    </w:p>
    <w:p>
      <w:pPr>
        <w:tabs>
          <w:tab w:val="left" w:pos="2255"/>
        </w:tabs>
        <w:spacing w:before="0"/>
        <w:ind w:left="309" w:right="0" w:firstLine="0"/>
        <w:jc w:val="left"/>
        <w:rPr>
          <w:sz w:val="12"/>
        </w:rPr>
      </w:pPr>
      <w:r>
        <w:rPr>
          <w:sz w:val="12"/>
        </w:rPr>
        <w:t>投资总额</w:t>
        <w:tab/>
        <w:t>电网基本建设投资完成</w:t>
      </w:r>
      <w:r>
        <w:rPr>
          <w:spacing w:val="-20"/>
          <w:sz w:val="12"/>
        </w:rPr>
        <w:t>额</w:t>
      </w:r>
    </w:p>
    <w:p>
      <w:pPr>
        <w:tabs>
          <w:tab w:val="left" w:pos="2255"/>
        </w:tabs>
        <w:spacing w:before="29"/>
        <w:ind w:left="309" w:right="0" w:firstLine="0"/>
        <w:jc w:val="left"/>
        <w:rPr>
          <w:rFonts w:ascii="Tahoma" w:eastAsia="Tahoma"/>
          <w:sz w:val="12"/>
        </w:rPr>
      </w:pPr>
      <w:r>
        <w:pict>
          <v:group id="_x0000_s1583" style="width:21.2pt;height:5.3pt;margin-top:-6.12pt;margin-left:69.58pt;mso-position-horizontal-relative:page;position:absolute;z-index:251709440" coordorigin="1392,-122" coordsize="424,106">
            <v:line id="_x0000_s1584" style="position:absolute" from="1412,-70" to="1796,-70" stroked="t" strokecolor="#004097" strokeweight="3.26pt">
              <v:stroke dashstyle="solid"/>
            </v:line>
            <v:rect id="_x0000_s1585" style="width:384;height:66;left:1411;position:absolute;top:-103" filled="f" stroked="t" strokecolor="#004097" strokeweight="2pt">
              <v:stroke dashstyle="solid"/>
            </v:rect>
          </v:group>
        </w:pict>
      </w:r>
      <w:r>
        <w:pict>
          <v:group id="_x0000_s1586" style="width:21.2pt;height:5.3pt;margin-top:-6.12pt;margin-left:166.89pt;mso-position-horizontal-relative:page;position:absolute;z-index:-251614208" coordorigin="3338,-122" coordsize="424,106">
            <v:line id="_x0000_s1587" style="position:absolute" from="3358,-70" to="3742,-70" stroked="t" strokecolor="#7e7e7e" strokeweight="3.26pt">
              <v:stroke dashstyle="solid"/>
            </v:line>
            <v:rect id="_x0000_s1588" style="width:384;height:66;left:3357;position:absolute;top:-103" filled="f" stroked="t" strokecolor="#7e7e7e" strokeweight="2pt">
              <v:stroke dashstyle="solid"/>
            </v:rect>
          </v:group>
        </w:pict>
      </w:r>
      <w:r>
        <w:pict>
          <v:line id="_x0000_s1589" style="mso-position-horizontal-relative:page;position:absolute;z-index:251710464" from="70.6pt,5.85pt" to="89.8pt,5.85pt" stroked="t" strokecolor="#c00000" strokeweight="2pt">
            <v:stroke dashstyle="solid"/>
          </v:line>
        </w:pict>
      </w:r>
      <w:r>
        <w:pict>
          <v:line id="_x0000_s1590" style="mso-position-horizontal-relative:page;position:absolute;z-index:-251613184" from="167.9pt,5.85pt" to="187.1pt,5.85pt" stroked="t" strokecolor="#9dc3e6" strokeweight="2pt">
            <v:stroke dashstyle="solid"/>
          </v:line>
        </w:pict>
      </w:r>
      <w:r>
        <w:rPr>
          <w:position w:val="1"/>
          <w:sz w:val="12"/>
        </w:rPr>
        <w:t>电网占比</w:t>
        <w:tab/>
      </w:r>
      <w:r>
        <w:rPr>
          <w:rFonts w:ascii="Tahoma" w:eastAsia="Tahoma"/>
          <w:sz w:val="12"/>
        </w:rPr>
        <w:t>yoy</w:t>
      </w:r>
    </w:p>
    <w:p>
      <w:pPr>
        <w:pStyle w:val="BodyText"/>
        <w:rPr>
          <w:rFonts w:ascii="Tahoma"/>
          <w:sz w:val="18"/>
        </w:rPr>
      </w:pPr>
      <w:r>
        <w:br w:type="column"/>
      </w:r>
    </w:p>
    <w:p>
      <w:pPr>
        <w:pStyle w:val="BodyText"/>
        <w:spacing w:before="10"/>
        <w:rPr>
          <w:rFonts w:ascii="Tahoma"/>
          <w:sz w:val="22"/>
        </w:rPr>
      </w:pPr>
    </w:p>
    <w:p>
      <w:pPr>
        <w:spacing w:before="0" w:line="191" w:lineRule="exact"/>
        <w:ind w:left="169" w:right="0" w:firstLine="0"/>
        <w:jc w:val="left"/>
        <w:rPr>
          <w:rFonts w:ascii="Tahoma"/>
          <w:sz w:val="16"/>
        </w:rPr>
      </w:pPr>
      <w:r>
        <w:pict>
          <v:group id="_x0000_s1591" style="width:186.55pt;height:95.3pt;margin-top:5.06pt;margin-left:71.67pt;mso-position-horizontal-relative:page;position:absolute;z-index:251708416" coordorigin="1433,101" coordsize="3731,1906">
            <v:line id="_x0000_s1592" style="position:absolute" from="1531,988" to="1531,1987" stroked="t" strokecolor="#004097" strokeweight="3.84pt">
              <v:stroke dashstyle="solid"/>
            </v:line>
            <v:rect id="_x0000_s1593" style="width:77;height:999;left:1492;position:absolute;top:988" filled="f" stroked="t" strokecolor="#004097" strokeweight="2pt">
              <v:stroke dashstyle="solid"/>
            </v:rect>
            <v:line id="_x0000_s1594" style="position:absolute" from="1607,1524" to="1607,1987" stroked="t" strokecolor="#7e7e7e" strokeweight="3.72pt">
              <v:stroke dashstyle="solid"/>
            </v:line>
            <v:rect id="_x0000_s1595" style="width:75;height:463;left:1569;position:absolute;top:1523" filled="f" stroked="t" strokecolor="#7e7e7e" strokeweight="2pt">
              <v:stroke dashstyle="solid"/>
            </v:rect>
            <v:shape id="_x0000_s1596" style="width:54;height:1883;left:1435;position:absolute;top:103" coordorigin="1436,104" coordsize="54,1883" path="m1436,1987l1436,104m1436,1987l1489,1987m1436,1718l1489,1718m1436,1449l1489,1449m1436,1180l1489,1180m1436,912l1489,912m1436,640l1489,640m1436,372l1489,372m1436,104l1489,104e" filled="f" stroked="t" strokecolor="black" strokeweight="0.25pt">
              <v:stroke dashstyle="solid"/>
              <v:path arrowok="t"/>
            </v:shape>
            <v:line id="_x0000_s1597" style="position:absolute" from="1798,962" to="1798,1987" stroked="t" strokecolor="#004097" strokeweight="3.84pt">
              <v:stroke dashstyle="solid"/>
            </v:line>
            <v:rect id="_x0000_s1598" style="width:77;height:1025;left:1759;position:absolute;top:962" filled="f" stroked="t" strokecolor="#004097" strokeweight="2pt">
              <v:stroke dashstyle="solid"/>
            </v:rect>
            <v:line id="_x0000_s1599" style="position:absolute" from="1873,1490" to="1873,1987" stroked="t" strokecolor="#7e7e7e" strokeweight="3.72pt">
              <v:stroke dashstyle="solid"/>
            </v:line>
            <v:rect id="_x0000_s1600" style="width:75;height:497;left:1836;position:absolute;top:1490" filled="f" stroked="t" strokecolor="#7e7e7e" strokeweight="2pt">
              <v:stroke dashstyle="solid"/>
            </v:rect>
            <v:line id="_x0000_s1601" style="position:absolute" from="2063,993" to="2063,1987" stroked="t" strokecolor="#004097" strokeweight="3.72pt">
              <v:stroke dashstyle="solid"/>
            </v:line>
            <v:rect id="_x0000_s1602" style="width:75;height:994;left:2025;position:absolute;top:993" filled="f" stroked="t" strokecolor="#004097" strokeweight="2pt">
              <v:stroke dashstyle="solid"/>
            </v:rect>
            <v:line id="_x0000_s1603" style="position:absolute" from="2138,1495" to="2138,1987" stroked="t" strokecolor="#7e7e7e" strokeweight="3.84pt">
              <v:stroke dashstyle="solid"/>
            </v:line>
            <v:rect id="_x0000_s1604" style="width:77;height:492;left:2100;position:absolute;top:1494" filled="f" stroked="t" strokecolor="#7e7e7e" strokeweight="2pt">
              <v:stroke dashstyle="solid"/>
            </v:rect>
            <v:line id="_x0000_s1605" style="position:absolute" from="2329,948" to="2329,1987" stroked="t" strokecolor="#004097" strokeweight="3.72pt">
              <v:stroke dashstyle="solid"/>
            </v:line>
            <v:rect id="_x0000_s1606" style="width:75;height:1039;left:2292;position:absolute;top:947" filled="f" stroked="t" strokecolor="#004097" strokeweight="2pt">
              <v:stroke dashstyle="solid"/>
            </v:rect>
            <v:line id="_x0000_s1607" style="position:absolute" from="2405,1464" to="2405,1987" stroked="t" strokecolor="#7e7e7e" strokeweight="3.84pt">
              <v:stroke dashstyle="solid"/>
            </v:line>
            <v:rect id="_x0000_s1608" style="width:77;height:523;left:2366;position:absolute;top:1463" filled="f" stroked="t" strokecolor="#7e7e7e" strokeweight="2pt">
              <v:stroke dashstyle="solid"/>
            </v:rect>
            <v:line id="_x0000_s1609" style="position:absolute" from="2596,938" to="2596,1987" stroked="t" strokecolor="#004097" strokeweight="3.72pt">
              <v:stroke dashstyle="solid"/>
            </v:line>
            <v:rect id="_x0000_s1610" style="width:75;height:1049;left:2558;position:absolute;top:938" filled="f" stroked="t" strokecolor="#004097" strokeweight="2pt">
              <v:stroke dashstyle="solid"/>
            </v:rect>
            <v:line id="_x0000_s1611" style="position:absolute" from="2671,1432" to="2671,1987" stroked="t" strokecolor="#7e7e7e" strokeweight="3.84pt">
              <v:stroke dashstyle="solid"/>
            </v:line>
            <v:rect id="_x0000_s1612" style="width:77;height:555;left:2632;position:absolute;top:1432" filled="f" stroked="t" strokecolor="#7e7e7e" strokeweight="2pt">
              <v:stroke dashstyle="solid"/>
            </v:rect>
            <v:line id="_x0000_s1613" style="position:absolute" from="2861,832" to="2861,1987" stroked="t" strokecolor="#004097" strokeweight="3.84pt">
              <v:stroke dashstyle="solid"/>
            </v:line>
            <v:rect id="_x0000_s1614" style="width:77;height:1155;left:2822;position:absolute;top:832" filled="f" stroked="t" strokecolor="#004097" strokeweight="2pt">
              <v:stroke dashstyle="solid"/>
            </v:rect>
            <v:line id="_x0000_s1615" style="position:absolute" from="2938,1363" to="2938,1987" stroked="t" strokecolor="#7e7e7e" strokeweight="3.84pt">
              <v:stroke dashstyle="solid"/>
            </v:line>
            <v:rect id="_x0000_s1616" style="width:77;height:624;left:2899;position:absolute;top:1362" filled="f" stroked="t" strokecolor="#7e7e7e" strokeweight="2pt">
              <v:stroke dashstyle="solid"/>
            </v:rect>
            <v:line id="_x0000_s1617" style="position:absolute" from="3127,796" to="3127,1987" stroked="t" strokecolor="#004097" strokeweight="3.84pt">
              <v:stroke dashstyle="solid"/>
            </v:line>
            <v:rect id="_x0000_s1618" style="width:77;height:1191;left:3088;position:absolute;top:796" filled="f" stroked="t" strokecolor="#004097" strokeweight="2pt">
              <v:stroke dashstyle="solid"/>
            </v:rect>
            <v:line id="_x0000_s1619" style="position:absolute" from="3204,1257" to="3204,1987" stroked="t" strokecolor="#7e7e7e" strokeweight="3.84pt">
              <v:stroke dashstyle="solid"/>
            </v:line>
            <v:rect id="_x0000_s1620" style="width:77;height:730;left:3165;position:absolute;top:1257" filled="f" stroked="t" strokecolor="#7e7e7e" strokeweight="2pt">
              <v:stroke dashstyle="solid"/>
            </v:rect>
            <v:line id="_x0000_s1621" style="position:absolute" from="3394,878" to="3394,1987" stroked="t" strokecolor="#004097" strokeweight="3.84pt">
              <v:stroke dashstyle="solid"/>
            </v:line>
            <v:rect id="_x0000_s1622" style="width:77;height:1109;left:3355;position:absolute;top:878" filled="f" stroked="t" strokecolor="#004097" strokeweight="2pt">
              <v:stroke dashstyle="solid"/>
            </v:rect>
            <v:line id="_x0000_s1623" style="position:absolute" from="3470,1269" to="3470,1987" stroked="t" strokecolor="#7e7e7e" strokeweight="3.84pt">
              <v:stroke dashstyle="solid"/>
            </v:line>
            <v:rect id="_x0000_s1624" style="width:77;height:718;left:3432;position:absolute;top:1269" filled="f" stroked="t" strokecolor="#7e7e7e" strokeweight="2pt">
              <v:stroke dashstyle="solid"/>
            </v:rect>
            <v:line id="_x0000_s1625" style="position:absolute" from="3660,897" to="3660,1987" stroked="t" strokecolor="#004097" strokeweight="3.84pt">
              <v:stroke dashstyle="solid"/>
            </v:line>
            <v:rect id="_x0000_s1626" style="width:77;height:1090;left:3621;position:absolute;top:897" filled="f" stroked="t" strokecolor="#004097" strokeweight="2pt">
              <v:stroke dashstyle="solid"/>
            </v:rect>
            <v:line id="_x0000_s1627" style="position:absolute" from="3736,1264" to="3736,1987" stroked="t" strokecolor="#7e7e7e" strokeweight="3.72pt">
              <v:stroke dashstyle="solid"/>
            </v:line>
            <v:rect id="_x0000_s1628" style="width:75;height:723;left:3698;position:absolute;top:1264" filled="f" stroked="t" strokecolor="#7e7e7e" strokeweight="2pt">
              <v:stroke dashstyle="solid"/>
            </v:rect>
            <v:line id="_x0000_s1629" style="position:absolute" from="3926,765" to="3926,1987" stroked="t" strokecolor="#004097" strokeweight="3.84pt">
              <v:stroke dashstyle="solid"/>
            </v:line>
            <v:rect id="_x0000_s1630" style="width:77;height:1222;left:3888;position:absolute;top:765" filled="f" stroked="t" strokecolor="#004097" strokeweight="2pt">
              <v:stroke dashstyle="solid"/>
            </v:rect>
            <v:line id="_x0000_s1631" style="position:absolute" from="4002,1312" to="4002,1987" stroked="t" strokecolor="#7e7e7e" strokeweight="3.72pt">
              <v:stroke dashstyle="solid"/>
            </v:line>
            <v:rect id="_x0000_s1632" style="width:75;height:675;left:3964;position:absolute;top:1312" filled="f" stroked="t" strokecolor="#7e7e7e" strokeweight="2pt">
              <v:stroke dashstyle="solid"/>
            </v:rect>
            <v:line id="_x0000_s1633" style="position:absolute" from="4192,616" to="4192,1987" stroked="t" strokecolor="#004097" strokeweight="3.72pt">
              <v:stroke dashstyle="solid"/>
            </v:line>
            <v:rect id="_x0000_s1634" style="width:75;height:1371;left:4154;position:absolute;top:616" filled="f" stroked="t" strokecolor="#004097" strokeweight="2pt">
              <v:stroke dashstyle="solid"/>
            </v:rect>
            <v:line id="_x0000_s1635" style="position:absolute" from="4267,1356" to="4267,1987" stroked="t" strokecolor="#7e7e7e" strokeweight="3.84pt">
              <v:stroke dashstyle="solid"/>
            </v:line>
            <v:rect id="_x0000_s1636" style="width:77;height:631;left:4228;position:absolute;top:1355" filled="f" stroked="t" strokecolor="#7e7e7e" strokeweight="2pt">
              <v:stroke dashstyle="solid"/>
            </v:rect>
            <v:line id="_x0000_s1637" style="position:absolute" from="4458,535" to="4458,1987" stroked="t" strokecolor="#004097" strokeweight="3.72pt">
              <v:stroke dashstyle="solid"/>
            </v:line>
            <v:rect id="_x0000_s1638" style="width:75;height:1452;left:4420;position:absolute;top:534" filled="f" stroked="t" strokecolor="#004097" strokeweight="2pt">
              <v:stroke dashstyle="solid"/>
            </v:rect>
            <v:line id="_x0000_s1639" style="position:absolute" from="4534,1320" to="4534,1987" stroked="t" strokecolor="#7e7e7e" strokeweight="3.84pt">
              <v:stroke dashstyle="solid"/>
            </v:line>
            <v:rect id="_x0000_s1640" style="width:77;height:667;left:4495;position:absolute;top:1319" filled="f" stroked="t" strokecolor="#7e7e7e" strokeweight="2pt">
              <v:stroke dashstyle="solid"/>
            </v:rect>
            <v:line id="_x0000_s1641" style="position:absolute" from="4724,309" to="4724,1987" stroked="t" strokecolor="#004097" strokeweight="3.72pt">
              <v:stroke dashstyle="solid"/>
            </v:line>
            <v:rect id="_x0000_s1642" style="width:75;height:1678;left:4687;position:absolute;top:309" filled="f" stroked="t" strokecolor="#004097" strokeweight="2pt">
              <v:stroke dashstyle="solid"/>
            </v:rect>
            <v:line id="_x0000_s1643" style="position:absolute" from="4800,1312" to="4800,1987" stroked="t" strokecolor="#7e7e7e" strokeweight="3.84pt">
              <v:stroke dashstyle="solid"/>
            </v:line>
            <v:rect id="_x0000_s1644" style="width:77;height:675;left:4761;position:absolute;top:1312" filled="f" stroked="t" strokecolor="#7e7e7e" strokeweight="2pt">
              <v:stroke dashstyle="solid"/>
            </v:rect>
            <v:line id="_x0000_s1645" style="position:absolute" from="4990,350" to="4990,1987" stroked="t" strokecolor="#004097" strokeweight="3.84pt">
              <v:stroke dashstyle="solid"/>
            </v:line>
            <v:rect id="_x0000_s1646" style="width:77;height:1637;left:4951;position:absolute;top:350" filled="f" stroked="t" strokecolor="#004097" strokeweight="2pt">
              <v:stroke dashstyle="solid"/>
            </v:rect>
            <v:line id="_x0000_s1647" style="position:absolute" from="5066,1387" to="5066,1987" stroked="t" strokecolor="#7e7e7e" strokeweight="3.84pt">
              <v:stroke dashstyle="solid"/>
            </v:line>
            <v:rect id="_x0000_s1648" style="width:77;height:600;left:5028;position:absolute;top:1386" filled="f" stroked="t" strokecolor="#7e7e7e" strokeweight="2pt">
              <v:stroke dashstyle="solid"/>
            </v:rect>
            <v:shape id="_x0000_s1649" style="width:3726;height:1883;left:1435;position:absolute;top:103" coordorigin="1436,104" coordsize="3726,1883" path="m5161,1987l5161,104m5108,1987l5161,1987m5108,1797l5161,1797m5108,1610l5161,1610m5108,1423l5161,1423m5108,1233l5161,1233m5108,1046l5161,1046m5108,856l5161,856m5108,669l5161,669m5108,480l5161,480m5108,292l5161,292m5108,104l5161,104m1436,1987l5161,1987m1436,1933l1436,1987m1702,1933l1702,1987m1968,1933l1968,1987m2234,1933l2234,1987m2501,1933l2501,1987m2767,1933l2767,1987m3034,1933l3034,1987m3298,1933l3298,1987m3564,1933l3564,1987m3830,1933l3830,1987m4097,1933l4097,1987m4363,1933l4363,1987m4630,1933l4630,1987m4896,1933l4896,1987m5161,1933l5161,1987e" filled="f" stroked="t" strokecolor="black" strokeweight="0.25pt">
              <v:stroke dashstyle="solid"/>
              <v:path arrowok="t"/>
            </v:shape>
            <v:shape id="_x0000_s1650" style="width:3460;height:561;left:1568;position:absolute;top:360" coordorigin="1569,360" coordsize="3460,561" path="m1569,734l1836,698,2100,676,2366,662,2633,616,2899,590,3166,453,3432,391,3698,360,3965,571,4229,741,4495,746,4762,854,5028,920e" filled="f" stroked="t" strokecolor="#c00000" strokeweight="2pt">
              <v:stroke dashstyle="solid"/>
              <v:path arrowok="t"/>
            </v:shape>
            <v:shape id="_x0000_s1651" style="width:3460;height:539;left:1568;position:absolute;top:1288" coordorigin="1569,1289" coordsize="3460,539" path="m1569,1827l1836,1480,2100,1622,2366,1490,2633,1502,2899,1372,3166,1289,3432,1641,3698,1598,3965,1737,4229,1728,4495,1509,4762,1586,5028,1500e" filled="f" stroked="t" strokecolor="#9dc3e6" strokeweight="2pt">
              <v:stroke dashstyle="solid"/>
              <v:path arrowok="t"/>
            </v:shape>
          </v:group>
        </w:pict>
      </w:r>
      <w:r>
        <w:rPr>
          <w:rFonts w:ascii="Tahoma"/>
          <w:sz w:val="16"/>
        </w:rPr>
        <w:t>80%</w:t>
      </w:r>
    </w:p>
    <w:p>
      <w:pPr>
        <w:spacing w:before="0" w:line="188" w:lineRule="exact"/>
        <w:ind w:left="16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70%</w:t>
      </w:r>
    </w:p>
    <w:p>
      <w:pPr>
        <w:spacing w:before="0" w:line="188" w:lineRule="exact"/>
        <w:ind w:left="16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60%</w:t>
      </w:r>
    </w:p>
    <w:p>
      <w:pPr>
        <w:spacing w:before="0" w:line="188" w:lineRule="exact"/>
        <w:ind w:left="16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50%</w:t>
      </w:r>
    </w:p>
    <w:p>
      <w:pPr>
        <w:spacing w:before="0" w:line="188" w:lineRule="exact"/>
        <w:ind w:left="16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40%</w:t>
      </w:r>
    </w:p>
    <w:p>
      <w:pPr>
        <w:spacing w:before="0" w:line="188" w:lineRule="exact"/>
        <w:ind w:left="16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30%</w:t>
      </w:r>
    </w:p>
    <w:p>
      <w:pPr>
        <w:spacing w:before="0" w:line="188" w:lineRule="exact"/>
        <w:ind w:left="16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20%</w:t>
      </w:r>
    </w:p>
    <w:p>
      <w:pPr>
        <w:spacing w:before="0" w:line="188" w:lineRule="exact"/>
        <w:ind w:left="16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10%</w:t>
      </w:r>
    </w:p>
    <w:p>
      <w:pPr>
        <w:spacing w:before="0" w:line="188" w:lineRule="exact"/>
        <w:ind w:left="16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0%</w:t>
      </w:r>
    </w:p>
    <w:p>
      <w:pPr>
        <w:spacing w:before="0" w:line="188" w:lineRule="exact"/>
        <w:ind w:left="16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-10%</w:t>
      </w:r>
    </w:p>
    <w:p>
      <w:pPr>
        <w:spacing w:before="0" w:line="191" w:lineRule="exact"/>
        <w:ind w:left="169" w:right="0" w:firstLine="0"/>
        <w:jc w:val="left"/>
        <w:rPr>
          <w:rFonts w:ascii="Tahoma"/>
          <w:sz w:val="16"/>
        </w:rPr>
      </w:pPr>
      <w:r>
        <w:pict>
          <v:shape id="_x0000_s1652" type="#_x0000_t202" style="width:184.75pt;height:38.4pt;margin-top:9.23pt;margin-left:72.7pt;mso-position-horizontal-relative:page;position:absolute;z-index:251713536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2023.1-11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2022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2021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2020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2019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2018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2017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2016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2015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2014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2013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2012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2011</w:t>
                  </w:r>
                </w:p>
                <w:p>
                  <w:pPr>
                    <w:spacing w:before="73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2010</w:t>
                  </w:r>
                </w:p>
              </w:txbxContent>
            </v:textbox>
          </v:shape>
        </w:pict>
      </w:r>
      <w:r>
        <w:rPr>
          <w:rFonts w:ascii="Tahoma"/>
          <w:sz w:val="16"/>
        </w:rPr>
        <w:t>-20%</w:t>
      </w:r>
    </w:p>
    <w:p>
      <w:pPr>
        <w:pStyle w:val="BodyText"/>
        <w:rPr>
          <w:rFonts w:ascii="Tahoma"/>
          <w:sz w:val="18"/>
        </w:rPr>
      </w:pPr>
      <w:r>
        <w:br w:type="column"/>
      </w:r>
    </w:p>
    <w:p>
      <w:pPr>
        <w:pStyle w:val="BodyText"/>
        <w:rPr>
          <w:rFonts w:ascii="Tahoma"/>
          <w:sz w:val="18"/>
        </w:rPr>
      </w:pPr>
    </w:p>
    <w:p>
      <w:pPr>
        <w:pStyle w:val="BodyText"/>
        <w:rPr>
          <w:rFonts w:ascii="Tahoma"/>
          <w:sz w:val="18"/>
        </w:rPr>
      </w:pPr>
    </w:p>
    <w:p>
      <w:pPr>
        <w:spacing w:before="145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1000</w:t>
      </w:r>
    </w:p>
    <w:p>
      <w:pPr>
        <w:spacing w:before="9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900</w:t>
      </w:r>
    </w:p>
    <w:p>
      <w:pPr>
        <w:spacing w:before="8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800</w:t>
      </w:r>
    </w:p>
    <w:p>
      <w:pPr>
        <w:spacing w:before="9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700</w:t>
      </w:r>
    </w:p>
    <w:p>
      <w:pPr>
        <w:spacing w:before="8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600</w:t>
      </w:r>
    </w:p>
    <w:p>
      <w:pPr>
        <w:spacing w:before="9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500</w:t>
      </w:r>
    </w:p>
    <w:p>
      <w:pPr>
        <w:spacing w:before="9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400</w:t>
      </w:r>
    </w:p>
    <w:p>
      <w:pPr>
        <w:spacing w:before="8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300</w:t>
      </w:r>
    </w:p>
    <w:p>
      <w:pPr>
        <w:spacing w:before="9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200</w:t>
      </w:r>
    </w:p>
    <w:p>
      <w:pPr>
        <w:spacing w:before="8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100</w:t>
      </w:r>
    </w:p>
    <w:p>
      <w:pPr>
        <w:spacing w:before="9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w w:val="100"/>
          <w:sz w:val="16"/>
        </w:rPr>
        <w:t>0</w:t>
      </w:r>
    </w:p>
    <w:p>
      <w:pPr>
        <w:pStyle w:val="BodyText"/>
        <w:spacing w:before="6"/>
        <w:rPr>
          <w:rFonts w:ascii="Tahoma"/>
          <w:sz w:val="19"/>
        </w:rPr>
      </w:pPr>
      <w:r>
        <w:br w:type="column"/>
      </w:r>
    </w:p>
    <w:p>
      <w:pPr>
        <w:tabs>
          <w:tab w:val="left" w:pos="1601"/>
          <w:tab w:val="left" w:pos="2893"/>
        </w:tabs>
        <w:spacing w:before="0"/>
        <w:ind w:left="309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2018</w:t>
        <w:tab/>
        <w:t>2019</w:t>
        <w:tab/>
        <w:t>2020</w:t>
      </w:r>
    </w:p>
    <w:p>
      <w:pPr>
        <w:tabs>
          <w:tab w:val="left" w:pos="1601"/>
          <w:tab w:val="left" w:pos="2893"/>
        </w:tabs>
        <w:spacing w:before="54"/>
        <w:ind w:left="309" w:right="0" w:firstLine="0"/>
        <w:jc w:val="left"/>
        <w:rPr>
          <w:rFonts w:ascii="Tahoma"/>
          <w:sz w:val="16"/>
        </w:rPr>
      </w:pPr>
      <w:r>
        <w:pict>
          <v:line id="_x0000_s1653" style="mso-position-horizontal-relative:page;position:absolute;z-index:251711488" from="357.55pt,-4.5pt" to="376.75pt,-4.5pt" stroked="t" strokecolor="#004097" strokeweight="2pt">
            <v:stroke dashstyle="solid"/>
          </v:line>
        </w:pict>
      </w:r>
      <w:r>
        <w:pict>
          <v:line id="_x0000_s1654" style="mso-position-horizontal-relative:page;position:absolute;z-index:-251612160" from="422.15pt,-4.5pt" to="441.35pt,-4.5pt" stroked="t" strokecolor="silver" strokeweight="2pt">
            <v:stroke dashstyle="solid"/>
          </v:line>
        </w:pict>
      </w:r>
      <w:r>
        <w:pict>
          <v:line id="_x0000_s1655" style="mso-position-horizontal-relative:page;position:absolute;z-index:-251611136" from="486.75pt,-4.5pt" to="505.95pt,-4.5pt" stroked="t" strokecolor="#5085c5" strokeweight="2pt">
            <v:stroke dashstyle="solid"/>
          </v:line>
        </w:pict>
      </w:r>
      <w:r>
        <w:pict>
          <v:line id="_x0000_s1656" style="mso-position-horizontal-relative:page;position:absolute;z-index:251712512" from="357.55pt,7.9pt" to="376.75pt,7.9pt" stroked="t" strokecolor="gray" strokeweight="2.25pt">
            <v:stroke dashstyle="solid"/>
          </v:line>
        </w:pict>
      </w:r>
      <w:r>
        <w:pict>
          <v:line id="_x0000_s1657" style="mso-position-horizontal-relative:page;position:absolute;z-index:-251610112" from="422.15pt,7.9pt" to="441.35pt,7.9pt" stroked="t" strokecolor="#c2d4eb" strokeweight="2.25pt">
            <v:stroke dashstyle="solid"/>
          </v:line>
        </w:pict>
      </w:r>
      <w:r>
        <w:pict>
          <v:line id="_x0000_s1658" style="mso-position-horizontal-relative:page;position:absolute;z-index:-251609088" from="486.75pt,7.9pt" to="505.95pt,7.9pt" stroked="t" strokecolor="#c00000" strokeweight="2.25pt">
            <v:stroke dashstyle="solid"/>
          </v:line>
        </w:pict>
      </w:r>
      <w:r>
        <w:rPr>
          <w:rFonts w:ascii="Tahoma"/>
          <w:sz w:val="16"/>
        </w:rPr>
        <w:t>2021</w:t>
        <w:tab/>
        <w:t>2022</w:t>
        <w:tab/>
        <w:t>2023</w:t>
      </w:r>
    </w:p>
    <w:p>
      <w:pPr>
        <w:spacing w:after="0"/>
        <w:jc w:val="left"/>
        <w:rPr>
          <w:rFonts w:ascii="Tahoma"/>
          <w:sz w:val="16"/>
        </w:rPr>
        <w:sectPr>
          <w:headerReference w:type="default" r:id="rId34"/>
          <w:footerReference w:type="default" r:id="rId35"/>
          <w:type w:val="continuous"/>
          <w:pgSz w:w="11910" w:h="16840"/>
          <w:pgMar w:top="900" w:right="0" w:bottom="1060" w:left="540" w:header="708" w:footer="708"/>
          <w:pgNumType w:start="16"/>
          <w:cols w:num="5" w:space="708" w:equalWidth="0">
            <w:col w:w="788" w:space="199"/>
            <w:col w:w="3576" w:space="39"/>
            <w:col w:w="599" w:space="363"/>
            <w:col w:w="700" w:space="463"/>
            <w:col w:w="4643" w:space="0"/>
          </w:cols>
        </w:sectPr>
      </w:pPr>
    </w:p>
    <w:p>
      <w:pPr>
        <w:tabs>
          <w:tab w:val="left" w:pos="7219"/>
          <w:tab w:val="left" w:pos="7590"/>
          <w:tab w:val="left" w:pos="7960"/>
        </w:tabs>
        <w:spacing w:before="83" w:line="175" w:lineRule="exact"/>
        <w:ind w:left="6849" w:right="0" w:firstLine="0"/>
        <w:jc w:val="left"/>
        <w:rPr>
          <w:sz w:val="16"/>
        </w:rPr>
      </w:pPr>
      <w:r>
        <w:pict>
          <v:group id="_x0000_s1659" style="width:203.95pt;height:101.1pt;margin-top:-105.45pt;margin-left:345.48pt;mso-position-horizontal-relative:page;position:absolute;z-index:251720704" coordorigin="6910,-2109" coordsize="4079,2022">
            <v:shape id="_x0000_s1660" style="width:4074;height:2017;left:6912;position:absolute;top:-2107" coordorigin="6912,-2106" coordsize="4074,2017" path="m6912,-90l6912,-2106m6912,-90l6965,-90m6912,-292l6965,-292m6912,-494l6965,-494m6912,-695l6965,-695m6912,-897l6965,-897m6912,-1098l6965,-1098m6912,-1300l6965,-1300m6912,-1502l6965,-1502m6912,-1703l6965,-1703m6912,-1905l6965,-1905m6912,-2106l6965,-2106m6912,-90l10986,-90m6912,-143l6912,-90m7282,-143l7282,-90m7654,-143l7654,-90m8023,-143l8023,-90m8393,-143l8393,-90m8765,-143l8765,-90m9134,-143l9134,-90m9504,-143l9504,-90m9874,-143l9874,-90m10246,-143l10246,-90m10615,-143l10615,-90m10986,-143l10986,-90e" filled="f" stroked="t" strokecolor="black" strokeweight="0.25pt">
              <v:stroke dashstyle="solid"/>
              <v:path arrowok="t"/>
            </v:shape>
            <v:shape id="_x0000_s1661" style="width:3704;height:1198;left:7097;position:absolute;top:-1828" coordorigin="7097,-1828" coordsize="3704,1198" path="m7097,-630l7466,-875,7838,-767,8208,-938,8578,-1343,8950,-717,9319,-1010,9689,-1240,10061,-978,10430,-1494,10800,-1828e" filled="f" stroked="t" strokecolor="#004097" strokeweight="2pt">
              <v:stroke dashstyle="solid"/>
              <v:path arrowok="t"/>
            </v:shape>
            <v:shape id="_x0000_s1662" style="width:3704;height:1315;left:7097;position:absolute;top:-1897" coordorigin="7097,-1897" coordsize="3704,1315" path="m7097,-582l7466,-609,7838,-698,8208,-803,8578,-1072,8950,-849,9319,-810,9689,-1250,10061,-1022,10430,-1504,10800,-1897e" filled="f" stroked="t" strokecolor="silver" strokeweight="2pt">
              <v:stroke dashstyle="solid"/>
              <v:path arrowok="t"/>
            </v:shape>
            <v:shape id="_x0000_s1663" style="width:3704;height:1249;left:7097;position:absolute;top:-1617" coordorigin="7097,-1616" coordsize="3704,1249" path="m7097,-368l7466,-546,7838,-705,8208,-1026,8578,-1144,8950,-887,9319,-748,9689,-1139,10061,-1041,10430,-1242,10800,-1616e" filled="f" stroked="t" strokecolor="#5085c5" strokeweight="2pt">
              <v:stroke dashstyle="solid"/>
              <v:path arrowok="t"/>
            </v:shape>
            <v:shape id="_x0000_s1664" style="width:3704;height:1255;left:7097;position:absolute;top:-1802" coordorigin="7097,-1802" coordsize="3704,1255" path="m7097,-547l7466,-722,7838,-719,8208,-842,8578,-1115,8950,-686,9319,-856,9689,-1062,10061,-1132,10430,-1490,10800,-1802e" filled="f" stroked="t" strokecolor="gray" strokeweight="2.25pt">
              <v:stroke dashstyle="solid"/>
              <v:path arrowok="t"/>
            </v:shape>
            <v:shape id="_x0000_s1665" style="width:3704;height:1071;left:7097;position:absolute;top:-1709" coordorigin="7097,-1709" coordsize="3704,1071" path="m7097,-722l7466,-712,7838,-638,8208,-837,8578,-1384,8950,-762,9319,-952,9689,-1072,10061,-810,10430,-1497,10800,-1709e" filled="f" stroked="t" strokecolor="#c2d4eb" strokeweight="2.25pt">
              <v:stroke dashstyle="solid"/>
              <v:path arrowok="t"/>
            </v:shape>
            <v:shape id="_x0000_s1666" style="width:3333;height:999;left:7097;position:absolute;top:-1556" coordorigin="7097,-1556" coordsize="3333,999" path="m7097,-734l7466,-794,7838,-726,8208,-928,8578,-1408,8950,-935,9319,-558,9689,-1264,10061,-986,10430,-1556e" filled="f" stroked="t" strokecolor="#c00000" strokeweight="2.25pt">
              <v:stroke dashstyle="solid"/>
              <v:path arrowok="t"/>
            </v:shape>
          </v:group>
        </w:pict>
      </w:r>
      <w:r>
        <w:pict>
          <v:shape id="_x0000_s1667" type="#_x0000_t202" style="width:11.75pt;height:6.4pt;margin-top:-0.19pt;margin-left:423.27pt;mso-position-horizontal-relative:page;position:absolute;z-index:-251599872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w w:val="100"/>
                      <w:sz w:val="16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668" type="#_x0000_t202" style="width:11.75pt;height:6.4pt;margin-top:-0.19pt;margin-left:404.74pt;mso-position-horizontal-relative:page;position:absolute;z-index:-251598848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w w:val="100"/>
                      <w:sz w:val="16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669" type="#_x0000_t202" style="width:11.75pt;height:6.4pt;margin-top:-0.19pt;margin-left:386.24pt;mso-position-horizontal-relative:page;position:absolute;z-index:-251597824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w w:val="100"/>
                      <w:sz w:val="16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670" type="#_x0000_t202" style="width:11.75pt;height:6.4pt;margin-top:-0.19pt;margin-left:367.71pt;mso-position-horizontal-relative:page;position:absolute;z-index:-251596800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w w:val="100"/>
                      <w:sz w:val="16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671" type="#_x0000_t202" style="width:11.75pt;height:13.75pt;margin-top:-0.29pt;margin-left:349.18pt;mso-position-horizontal-relative:page;position:absolute;z-index:251721728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1-2</w:t>
                  </w:r>
                </w:p>
              </w:txbxContent>
            </v:textbox>
          </v:shape>
        </w:pict>
      </w:r>
      <w:r>
        <w:rPr>
          <w:sz w:val="16"/>
        </w:rPr>
        <w:t>月</w:t>
        <w:tab/>
        <w:t>月</w:t>
        <w:tab/>
        <w:t>月</w:t>
        <w:tab/>
      </w:r>
      <w:r>
        <w:rPr>
          <w:spacing w:val="-20"/>
          <w:sz w:val="16"/>
        </w:rPr>
        <w:t>月</w:t>
      </w:r>
    </w:p>
    <w:p>
      <w:pPr>
        <w:spacing w:before="0" w:line="175" w:lineRule="exact"/>
        <w:ind w:left="6479" w:right="0" w:firstLine="0"/>
        <w:jc w:val="left"/>
        <w:rPr>
          <w:sz w:val="16"/>
        </w:rPr>
      </w:pPr>
      <w:r>
        <w:rPr>
          <w:w w:val="100"/>
          <w:sz w:val="16"/>
        </w:rPr>
        <w:t>月</w:t>
      </w:r>
    </w:p>
    <w:p>
      <w:pPr>
        <w:tabs>
          <w:tab w:val="left" w:pos="539"/>
          <w:tab w:val="left" w:pos="910"/>
        </w:tabs>
        <w:spacing w:before="83"/>
        <w:ind w:left="169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月</w:t>
        <w:tab/>
        <w:t>月</w:t>
        <w:tab/>
      </w:r>
      <w:r>
        <w:rPr>
          <w:spacing w:val="-20"/>
          <w:sz w:val="16"/>
        </w:rPr>
        <w:t>月</w:t>
      </w:r>
    </w:p>
    <w:p>
      <w:pPr>
        <w:pStyle w:val="BodyText"/>
        <w:spacing w:before="3"/>
        <w:rPr>
          <w:sz w:val="13"/>
        </w:rPr>
      </w:pPr>
      <w:r>
        <w:br w:type="column"/>
      </w:r>
    </w:p>
    <w:p>
      <w:pPr>
        <w:tabs>
          <w:tab w:val="left" w:pos="539"/>
          <w:tab w:val="left" w:pos="910"/>
        </w:tabs>
        <w:spacing w:before="0"/>
        <w:ind w:left="169" w:right="0" w:firstLine="0"/>
        <w:jc w:val="left"/>
        <w:rPr>
          <w:sz w:val="16"/>
        </w:rPr>
      </w:pPr>
      <w:r>
        <w:pict>
          <v:shape id="_x0000_s1672" type="#_x0000_t202" style="width:30.25pt;height:10.9pt;margin-top:-8.79pt;margin-left:515.86pt;mso-position-horizontal-relative:page;position:absolute;z-index:-251601920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12</w:t>
                  </w:r>
                </w:p>
                <w:p>
                  <w:pPr>
                    <w:pStyle w:val="BodyText"/>
                    <w:spacing w:before="8"/>
                    <w:rPr>
                      <w:rFonts w:ascii="Tahoma"/>
                      <w:sz w:val="14"/>
                    </w:rPr>
                  </w:pP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11</w:t>
                  </w:r>
                </w:p>
              </w:txbxContent>
            </v:textbox>
          </v:shape>
        </w:pict>
      </w:r>
      <w:r>
        <w:pict>
          <v:shape id="_x0000_s1673" type="#_x0000_t202" style="width:30.25pt;height:6.4pt;margin-top:-8.69pt;margin-left:441.8pt;mso-position-horizontal-relative:page;position:absolute;z-index:-251600896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w w:val="100"/>
                      <w:sz w:val="16"/>
                    </w:rPr>
                    <w:t>8</w:t>
                  </w:r>
                </w:p>
                <w:p>
                  <w:pPr>
                    <w:pStyle w:val="BodyText"/>
                    <w:spacing w:before="7"/>
                    <w:rPr>
                      <w:rFonts w:ascii="Tahoma"/>
                      <w:sz w:val="14"/>
                    </w:rPr>
                  </w:pP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w w:val="100"/>
                      <w:sz w:val="16"/>
                    </w:rPr>
                    <w:t>7</w:t>
                  </w:r>
                </w:p>
              </w:txbxContent>
            </v:textbox>
          </v:shape>
        </w:pict>
      </w:r>
      <w:r>
        <w:rPr>
          <w:sz w:val="16"/>
        </w:rPr>
        <w:t>月</w:t>
        <w:tab/>
        <w:t>月</w:t>
        <w:tab/>
        <w:t>月</w:t>
      </w:r>
    </w:p>
    <w:p>
      <w:pPr>
        <w:spacing w:after="0"/>
        <w:jc w:val="left"/>
        <w:rPr>
          <w:sz w:val="16"/>
        </w:rPr>
        <w:sectPr>
          <w:headerReference w:type="default" r:id="rId36"/>
          <w:footerReference w:type="default" r:id="rId37"/>
          <w:type w:val="continuous"/>
          <w:pgSz w:w="11910" w:h="16840"/>
          <w:pgMar w:top="900" w:right="0" w:bottom="1060" w:left="540" w:header="708" w:footer="708"/>
          <w:pgNumType w:start="17"/>
          <w:cols w:num="3" w:space="708" w:equalWidth="0">
            <w:col w:w="8122" w:space="40"/>
            <w:col w:w="1072" w:space="39"/>
            <w:col w:w="2097" w:space="0"/>
          </w:cols>
        </w:sectPr>
      </w:pPr>
    </w:p>
    <w:p>
      <w:pPr>
        <w:pStyle w:val="BodyText"/>
        <w:spacing w:before="2"/>
        <w:rPr>
          <w:sz w:val="6"/>
        </w:rPr>
      </w:pPr>
    </w:p>
    <w:p>
      <w:pPr>
        <w:tabs>
          <w:tab w:val="left" w:pos="5628"/>
        </w:tabs>
        <w:spacing w:line="20" w:lineRule="exact"/>
        <w:ind w:left="129" w:right="0" w:firstLine="0"/>
        <w:rPr>
          <w:sz w:val="2"/>
        </w:rPr>
      </w:pPr>
      <w:r>
        <w:pict>
          <v:shape id="_x0000_s1674" type="#_x0000_t202" style="width:30.25pt;height:10.9pt;margin-top:-25.89pt;margin-left:478.83pt;mso-position-horizontal-relative:page;position:absolute;z-index:-251593728" filled="f" stroked="f">
            <v:textbox style="layout-flow:vertical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sz w:val="16"/>
                    </w:rPr>
                    <w:t>10</w:t>
                  </w:r>
                </w:p>
                <w:p>
                  <w:pPr>
                    <w:pStyle w:val="BodyText"/>
                    <w:spacing w:before="8"/>
                    <w:rPr>
                      <w:rFonts w:ascii="Tahoma"/>
                      <w:sz w:val="14"/>
                    </w:rPr>
                  </w:pPr>
                </w:p>
                <w:p>
                  <w:pPr>
                    <w:spacing w:before="0"/>
                    <w:ind w:left="21" w:right="0" w:firstLine="0"/>
                    <w:jc w:val="left"/>
                    <w:rPr>
                      <w:rFonts w:ascii="Tahoma"/>
                      <w:sz w:val="16"/>
                    </w:rPr>
                  </w:pPr>
                  <w:r>
                    <w:rPr>
                      <w:rFonts w:ascii="Tahoma"/>
                      <w:w w:val="100"/>
                      <w:sz w:val="16"/>
                    </w:rPr>
                    <w:t>9</w:t>
                  </w:r>
                </w:p>
              </w:txbxContent>
            </v:textbox>
          </v:shape>
        </w:pict>
      </w:r>
      <w:r>
        <w:rPr>
          <w:sz w:val="2"/>
        </w:rPr>
        <w:pict>
          <v:group id="_x0000_i1675" style="width:262.05pt;height:1pt;mso-position-horizontal-relative:char;mso-position-vertical-relative:line" coordorigin="0,0" coordsize="5241,20">
            <v:line id="_x0000_s1676" style="position:absolute" from="0,10" to="5240,10" stroked="t" strokecolor="#004097" strokeweight="0.96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677" style="width:262.05pt;height:1pt;mso-position-horizontal-relative:char;mso-position-vertical-relative:line" coordorigin="0,0" coordsize="5241,20">
            <v:line id="_x0000_s1678" style="position:absolute" from="0,10" to="5241,10" stroked="t" strokecolor="#004097" strokeweight="0.96pt">
              <v:stroke dashstyle="solid"/>
            </v:line>
            <w10:wrap type="none"/>
          </v:group>
        </w:pict>
      </w:r>
    </w:p>
    <w:p>
      <w:pPr>
        <w:tabs>
          <w:tab w:val="left" w:pos="5749"/>
        </w:tabs>
        <w:spacing w:before="0"/>
        <w:ind w:left="247" w:right="0" w:firstLine="0"/>
        <w:jc w:val="left"/>
        <w:rPr>
          <w:sz w:val="17"/>
        </w:rPr>
      </w:pPr>
      <w:r>
        <w:t xml:space="preserve">资料来源： ， </w:t>
        <w:tab/>
        <w:t xml:space="preserve">资料来源： ， </w:t>
      </w:r>
    </w:p>
    <w:p>
      <w:pPr>
        <w:pStyle w:val="BodyText"/>
        <w:spacing w:before="7"/>
        <w:rPr>
          <w:sz w:val="16"/>
        </w:rPr>
      </w:pPr>
    </w:p>
    <w:p>
      <w:pPr>
        <w:spacing w:before="63" w:line="213" w:lineRule="auto"/>
        <w:ind w:left="2690" w:right="613" w:firstLine="0"/>
        <w:jc w:val="left"/>
        <w:rPr>
          <w:sz w:val="21"/>
        </w:rPr>
      </w:pPr>
      <w:r>
        <w:rPr>
          <w:rFonts w:ascii="Microsoft JhengHei" w:eastAsia="Microsoft JhengHei" w:hAnsi="Microsoft JhengHei" w:hint="eastAsia"/>
          <w:b/>
          <w:sz w:val="21"/>
        </w:rPr>
        <w:t xml:space="preserve">特高压建设历经 </w:t>
      </w:r>
      <w:r>
        <w:rPr>
          <w:rFonts w:ascii="Tahoma" w:eastAsia="Tahoma" w:hAnsi="Tahoma"/>
          <w:b/>
          <w:sz w:val="21"/>
        </w:rPr>
        <w:t xml:space="preserve">1 </w:t>
      </w:r>
      <w:r>
        <w:rPr>
          <w:rFonts w:ascii="Microsoft JhengHei" w:eastAsia="Microsoft JhengHei" w:hAnsi="Microsoft JhengHei" w:hint="eastAsia"/>
          <w:b/>
          <w:sz w:val="21"/>
        </w:rPr>
        <w:t>个试验阶段</w:t>
      </w:r>
      <w:r>
        <w:rPr>
          <w:rFonts w:ascii="Tahoma" w:eastAsia="Tahoma" w:hAnsi="Tahoma"/>
          <w:b/>
          <w:sz w:val="21"/>
        </w:rPr>
        <w:t xml:space="preserve">+4 </w:t>
      </w:r>
      <w:r>
        <w:rPr>
          <w:rFonts w:ascii="Microsoft JhengHei" w:eastAsia="Microsoft JhengHei" w:hAnsi="Microsoft JhengHei" w:hint="eastAsia"/>
          <w:b/>
          <w:sz w:val="21"/>
        </w:rPr>
        <w:t>轮周期，现已投运“</w:t>
      </w:r>
      <w:r>
        <w:rPr>
          <w:rFonts w:ascii="Tahoma" w:eastAsia="Tahoma" w:hAnsi="Tahoma"/>
          <w:b/>
          <w:sz w:val="21"/>
        </w:rPr>
        <w:t xml:space="preserve">20 </w:t>
      </w:r>
      <w:r>
        <w:rPr>
          <w:rFonts w:ascii="Microsoft JhengHei" w:eastAsia="Microsoft JhengHei" w:hAnsi="Microsoft JhengHei" w:hint="eastAsia"/>
          <w:b/>
          <w:sz w:val="21"/>
        </w:rPr>
        <w:t xml:space="preserve">直 </w:t>
      </w:r>
      <w:r>
        <w:rPr>
          <w:rFonts w:ascii="Tahoma" w:eastAsia="Tahoma" w:hAnsi="Tahoma"/>
          <w:b/>
          <w:sz w:val="21"/>
        </w:rPr>
        <w:t xml:space="preserve">17 </w:t>
      </w:r>
      <w:r>
        <w:rPr>
          <w:rFonts w:ascii="Microsoft JhengHei" w:eastAsia="Microsoft JhengHei" w:hAnsi="Microsoft JhengHei" w:hint="eastAsia"/>
          <w:b/>
          <w:sz w:val="21"/>
        </w:rPr>
        <w:t>交”。</w:t>
      </w:r>
      <w:r>
        <w:rPr>
          <w:sz w:val="21"/>
        </w:rPr>
        <w:t xml:space="preserve">截至目前，据我们统计，我国共有 </w:t>
      </w:r>
      <w:r>
        <w:rPr>
          <w:rFonts w:ascii="Tahoma" w:eastAsia="Tahoma" w:hAnsi="Tahoma"/>
          <w:sz w:val="21"/>
        </w:rPr>
        <w:t xml:space="preserve">37 </w:t>
      </w:r>
      <w:r>
        <w:rPr>
          <w:sz w:val="21"/>
        </w:rPr>
        <w:t>条“</w:t>
      </w:r>
      <w:r>
        <w:rPr>
          <w:rFonts w:ascii="Tahoma" w:eastAsia="Tahoma" w:hAnsi="Tahoma"/>
          <w:sz w:val="21"/>
        </w:rPr>
        <w:t xml:space="preserve">20 </w:t>
      </w:r>
      <w:r>
        <w:rPr>
          <w:sz w:val="21"/>
        </w:rPr>
        <w:t xml:space="preserve">直 </w:t>
      </w:r>
      <w:r>
        <w:rPr>
          <w:rFonts w:ascii="Tahoma" w:eastAsia="Tahoma" w:hAnsi="Tahoma"/>
          <w:sz w:val="21"/>
        </w:rPr>
        <w:t xml:space="preserve">17 </w:t>
      </w:r>
      <w:r>
        <w:rPr>
          <w:sz w:val="21"/>
        </w:rPr>
        <w:t>交”特高压输电线路建成投运，已经初步形成“西</w:t>
      </w:r>
    </w:p>
    <w:p>
      <w:pPr>
        <w:pStyle w:val="BodyText"/>
        <w:spacing w:before="17" w:line="247" w:lineRule="auto"/>
        <w:ind w:left="2690" w:right="608"/>
      </w:pPr>
      <w:r>
        <w:t xml:space="preserve">电东送、北电南供”的局面，跨省跨区输电能力超过了 </w:t>
      </w:r>
      <w:r>
        <w:rPr>
          <w:rFonts w:ascii="Tahoma" w:eastAsia="Tahoma" w:hAnsi="Tahoma"/>
        </w:rPr>
        <w:t xml:space="preserve">3 </w:t>
      </w:r>
      <w:r>
        <w:t xml:space="preserve">亿千瓦。从整体发展看，特高压发展历程可分为 </w:t>
      </w:r>
      <w:r>
        <w:rPr>
          <w:rFonts w:ascii="Tahoma" w:eastAsia="Tahoma" w:hAnsi="Tahoma"/>
        </w:rPr>
        <w:t xml:space="preserve">1 </w:t>
      </w:r>
      <w:r>
        <w:t>轮试验、</w:t>
      </w:r>
      <w:r>
        <w:rPr>
          <w:rFonts w:ascii="Tahoma" w:eastAsia="Tahoma" w:hAnsi="Tahoma"/>
        </w:rPr>
        <w:t xml:space="preserve">4 </w:t>
      </w:r>
      <w:r>
        <w:t>轮周期。</w:t>
      </w:r>
    </w:p>
    <w:p>
      <w:pPr>
        <w:pStyle w:val="ListParagraph"/>
        <w:numPr>
          <w:ilvl w:val="2"/>
          <w:numId w:val="12"/>
        </w:numPr>
        <w:tabs>
          <w:tab w:val="left" w:pos="3132"/>
          <w:tab w:val="left" w:pos="3133"/>
        </w:tabs>
        <w:spacing w:before="0" w:after="0" w:line="304" w:lineRule="exact"/>
        <w:ind w:left="3132" w:right="0" w:hanging="443"/>
        <w:jc w:val="left"/>
        <w:rPr>
          <w:rFonts w:ascii="Tahoma" w:eastAsia="Tahoma" w:hAnsi="Tahoma"/>
          <w:sz w:val="21"/>
        </w:rPr>
      </w:pPr>
      <w:r>
        <w:rPr>
          <w:rFonts w:ascii="Microsoft JhengHei" w:eastAsia="Microsoft JhengHei" w:hAnsi="Microsoft JhengHei" w:hint="eastAsia"/>
          <w:b/>
          <w:sz w:val="21"/>
        </w:rPr>
        <w:t>试验阶段：</w:t>
      </w:r>
      <w:r>
        <w:rPr>
          <w:rFonts w:ascii="Tahoma" w:eastAsia="Tahoma" w:hAnsi="Tahoma"/>
          <w:sz w:val="21"/>
        </w:rPr>
        <w:t>2006</w:t>
      </w:r>
      <w:r>
        <w:rPr>
          <w:rFonts w:ascii="Tahoma" w:eastAsia="Tahoma" w:hAnsi="Tahoma"/>
          <w:spacing w:val="15"/>
          <w:sz w:val="21"/>
        </w:rPr>
        <w:t xml:space="preserve"> </w:t>
      </w:r>
      <w:r>
        <w:rPr>
          <w:spacing w:val="-8"/>
          <w:sz w:val="21"/>
        </w:rPr>
        <w:t xml:space="preserve">年 </w:t>
      </w:r>
      <w:r>
        <w:rPr>
          <w:rFonts w:ascii="Tahoma" w:eastAsia="Tahoma" w:hAnsi="Tahoma"/>
          <w:sz w:val="21"/>
        </w:rPr>
        <w:t>8</w:t>
      </w:r>
      <w:r>
        <w:rPr>
          <w:rFonts w:ascii="Tahoma" w:eastAsia="Tahoma" w:hAnsi="Tahoma"/>
          <w:spacing w:val="18"/>
          <w:sz w:val="21"/>
        </w:rPr>
        <w:t xml:space="preserve"> </w:t>
      </w:r>
      <w:r>
        <w:rPr>
          <w:spacing w:val="-3"/>
          <w:sz w:val="21"/>
        </w:rPr>
        <w:t>月，国家发改委批复中国首条特高压工程“</w:t>
      </w:r>
      <w:r>
        <w:rPr>
          <w:rFonts w:ascii="Tahoma" w:eastAsia="Tahoma" w:hAnsi="Tahoma"/>
          <w:sz w:val="21"/>
        </w:rPr>
        <w:t>1000kV</w:t>
      </w:r>
      <w:r>
        <w:rPr>
          <w:rFonts w:ascii="Tahoma" w:eastAsia="Tahoma" w:hAnsi="Tahoma"/>
          <w:spacing w:val="16"/>
          <w:sz w:val="21"/>
        </w:rPr>
        <w:t xml:space="preserve"> </w:t>
      </w:r>
      <w:r>
        <w:rPr>
          <w:spacing w:val="-2"/>
          <w:sz w:val="21"/>
        </w:rPr>
        <w:t>晋东南</w:t>
      </w:r>
      <w:r>
        <w:rPr>
          <w:rFonts w:ascii="Tahoma" w:eastAsia="Tahoma" w:hAnsi="Tahoma"/>
          <w:sz w:val="21"/>
        </w:rPr>
        <w:t>-</w:t>
      </w:r>
    </w:p>
    <w:p>
      <w:pPr>
        <w:pStyle w:val="BodyText"/>
        <w:spacing w:line="251" w:lineRule="exact"/>
        <w:ind w:left="3132"/>
      </w:pPr>
      <w:r>
        <w:rPr>
          <w:w w:val="100"/>
        </w:rPr>
        <w:t>南阳</w:t>
      </w:r>
      <w:r>
        <w:rPr>
          <w:rFonts w:ascii="Tahoma" w:eastAsia="Tahoma" w:hAnsi="Tahoma"/>
          <w:w w:val="100"/>
        </w:rPr>
        <w:t>-</w:t>
      </w:r>
      <w:r>
        <w:rPr>
          <w:spacing w:val="-11"/>
          <w:w w:val="100"/>
        </w:rPr>
        <w:t>荆门特高压交流试验示范工程”，开启了我国特高压发展建设的试验探索阶段</w:t>
      </w:r>
    </w:p>
    <w:p>
      <w:pPr>
        <w:pStyle w:val="BodyText"/>
        <w:spacing w:before="9" w:line="240" w:lineRule="exact"/>
        <w:ind w:left="3132"/>
      </w:pPr>
      <w:r>
        <w:rPr>
          <w:rFonts w:ascii="Tahoma" w:eastAsia="Tahoma"/>
        </w:rPr>
        <w:t xml:space="preserve">2006-2010 </w:t>
      </w:r>
      <w:r>
        <w:t>年共核准开工一交三直。</w:t>
      </w:r>
    </w:p>
    <w:p>
      <w:pPr>
        <w:pStyle w:val="ListParagraph"/>
        <w:numPr>
          <w:ilvl w:val="2"/>
          <w:numId w:val="12"/>
        </w:numPr>
        <w:tabs>
          <w:tab w:val="left" w:pos="3132"/>
          <w:tab w:val="left" w:pos="3133"/>
        </w:tabs>
        <w:spacing w:before="2" w:after="0" w:line="213" w:lineRule="auto"/>
        <w:ind w:left="3132" w:right="675" w:hanging="442"/>
        <w:jc w:val="left"/>
        <w:rPr>
          <w:sz w:val="21"/>
        </w:rPr>
      </w:pPr>
      <w:r>
        <w:rPr>
          <w:rFonts w:ascii="Microsoft JhengHei" w:eastAsia="Microsoft JhengHei" w:hAnsi="Microsoft JhengHei" w:hint="eastAsia"/>
          <w:b/>
          <w:spacing w:val="1"/>
          <w:w w:val="100"/>
          <w:sz w:val="21"/>
        </w:rPr>
        <w:t>第一轮建设高峰</w:t>
      </w:r>
      <w:r>
        <w:rPr>
          <w:rFonts w:ascii="Microsoft JhengHei" w:eastAsia="Microsoft JhengHei" w:hAnsi="Microsoft JhengHei" w:hint="eastAsia"/>
          <w:b/>
          <w:spacing w:val="2"/>
          <w:w w:val="100"/>
          <w:sz w:val="21"/>
        </w:rPr>
        <w:t>（</w:t>
      </w:r>
      <w:r>
        <w:rPr>
          <w:rFonts w:ascii="Tahoma" w:eastAsia="Tahoma" w:hAnsi="Tahoma"/>
          <w:b/>
          <w:spacing w:val="-3"/>
          <w:w w:val="100"/>
          <w:sz w:val="21"/>
        </w:rPr>
        <w:t>2</w:t>
      </w:r>
      <w:r>
        <w:rPr>
          <w:rFonts w:ascii="Tahoma" w:eastAsia="Tahoma" w:hAnsi="Tahoma"/>
          <w:b/>
          <w:w w:val="100"/>
          <w:sz w:val="21"/>
        </w:rPr>
        <w:t>01</w:t>
      </w:r>
      <w:r>
        <w:rPr>
          <w:rFonts w:ascii="Tahoma" w:eastAsia="Tahoma" w:hAnsi="Tahoma"/>
          <w:b/>
          <w:spacing w:val="-3"/>
          <w:w w:val="100"/>
          <w:sz w:val="21"/>
        </w:rPr>
        <w:t>1-</w:t>
      </w:r>
      <w:r>
        <w:rPr>
          <w:rFonts w:ascii="Tahoma" w:eastAsia="Tahoma" w:hAnsi="Tahoma"/>
          <w:b/>
          <w:spacing w:val="-1"/>
          <w:w w:val="100"/>
          <w:sz w:val="21"/>
        </w:rPr>
        <w:t>201</w:t>
      </w:r>
      <w:r>
        <w:rPr>
          <w:rFonts w:ascii="Tahoma" w:eastAsia="Tahoma" w:hAnsi="Tahoma"/>
          <w:b/>
          <w:w w:val="100"/>
          <w:sz w:val="21"/>
        </w:rPr>
        <w:t>3</w:t>
      </w:r>
      <w:r>
        <w:rPr>
          <w:rFonts w:ascii="Microsoft JhengHei" w:eastAsia="Microsoft JhengHei" w:hAnsi="Microsoft JhengHei" w:hint="eastAsia"/>
          <w:b/>
          <w:spacing w:val="-104"/>
          <w:w w:val="100"/>
          <w:sz w:val="21"/>
        </w:rPr>
        <w:t>）</w:t>
      </w:r>
      <w:r>
        <w:rPr>
          <w:rFonts w:ascii="Microsoft JhengHei" w:eastAsia="Microsoft JhengHei" w:hAnsi="Microsoft JhengHei" w:hint="eastAsia"/>
          <w:b/>
          <w:spacing w:val="2"/>
          <w:w w:val="100"/>
          <w:sz w:val="21"/>
        </w:rPr>
        <w:t>：</w:t>
      </w:r>
      <w:r>
        <w:rPr>
          <w:rFonts w:ascii="Tahoma" w:eastAsia="Tahoma" w:hAnsi="Tahoma"/>
          <w:spacing w:val="-1"/>
          <w:w w:val="100"/>
          <w:sz w:val="21"/>
        </w:rPr>
        <w:t>2</w:t>
      </w:r>
      <w:r>
        <w:rPr>
          <w:rFonts w:ascii="Tahoma" w:eastAsia="Tahoma" w:hAnsi="Tahoma"/>
          <w:w w:val="100"/>
          <w:sz w:val="21"/>
        </w:rPr>
        <w:t>0</w:t>
      </w:r>
      <w:r>
        <w:rPr>
          <w:rFonts w:ascii="Tahoma" w:eastAsia="Tahoma" w:hAnsi="Tahoma"/>
          <w:spacing w:val="-3"/>
          <w:w w:val="100"/>
          <w:sz w:val="21"/>
        </w:rPr>
        <w:t>1</w:t>
      </w:r>
      <w:r>
        <w:rPr>
          <w:rFonts w:ascii="Tahoma" w:eastAsia="Tahoma" w:hAnsi="Tahoma"/>
          <w:w w:val="100"/>
          <w:sz w:val="21"/>
        </w:rPr>
        <w:t>1</w:t>
      </w:r>
      <w:r>
        <w:rPr>
          <w:rFonts w:ascii="Tahoma" w:eastAsia="Tahoma" w:hAnsi="Tahoma"/>
          <w:spacing w:val="27"/>
          <w:sz w:val="21"/>
        </w:rPr>
        <w:t xml:space="preserve"> </w:t>
      </w:r>
      <w:r>
        <w:rPr>
          <w:w w:val="100"/>
          <w:sz w:val="21"/>
        </w:rPr>
        <w:t>年以特高压电网为骨干网架，各级电网协</w:t>
      </w:r>
      <w:r>
        <w:rPr>
          <w:spacing w:val="-3"/>
          <w:sz w:val="21"/>
        </w:rPr>
        <w:t>调发展的坚强智能电网建设周期开启，</w:t>
      </w:r>
      <w:r>
        <w:rPr>
          <w:rFonts w:ascii="Tahoma" w:eastAsia="Tahoma" w:hAnsi="Tahoma"/>
          <w:sz w:val="21"/>
        </w:rPr>
        <w:t>2011-2013</w:t>
      </w:r>
      <w:r>
        <w:rPr>
          <w:rFonts w:ascii="Tahoma" w:eastAsia="Tahoma" w:hAnsi="Tahoma"/>
          <w:spacing w:val="6"/>
          <w:sz w:val="21"/>
        </w:rPr>
        <w:t xml:space="preserve"> </w:t>
      </w:r>
      <w:r>
        <w:rPr>
          <w:spacing w:val="-3"/>
          <w:sz w:val="21"/>
        </w:rPr>
        <w:t>为特高压第一轮建设高峰，此期</w:t>
      </w:r>
    </w:p>
    <w:p>
      <w:pPr>
        <w:pStyle w:val="BodyText"/>
        <w:spacing w:before="15" w:line="240" w:lineRule="exact"/>
        <w:ind w:left="3132"/>
      </w:pPr>
      <w:r>
        <w:t>间核准并开工建设“两交三直。</w:t>
      </w:r>
    </w:p>
    <w:p>
      <w:pPr>
        <w:pStyle w:val="ListParagraph"/>
        <w:numPr>
          <w:ilvl w:val="2"/>
          <w:numId w:val="12"/>
        </w:numPr>
        <w:tabs>
          <w:tab w:val="left" w:pos="3132"/>
          <w:tab w:val="left" w:pos="3133"/>
        </w:tabs>
        <w:spacing w:before="2" w:after="0" w:line="213" w:lineRule="auto"/>
        <w:ind w:left="3132" w:right="675" w:hanging="442"/>
        <w:jc w:val="left"/>
        <w:rPr>
          <w:sz w:val="21"/>
        </w:rPr>
      </w:pPr>
      <w:r>
        <w:rPr>
          <w:rFonts w:ascii="Microsoft JhengHei" w:eastAsia="Microsoft JhengHei" w:hAnsi="Microsoft JhengHei" w:hint="eastAsia"/>
          <w:b/>
          <w:spacing w:val="1"/>
          <w:w w:val="100"/>
          <w:sz w:val="21"/>
        </w:rPr>
        <w:t>第二轮建设高峰</w:t>
      </w:r>
      <w:r>
        <w:rPr>
          <w:rFonts w:ascii="Microsoft JhengHei" w:eastAsia="Microsoft JhengHei" w:hAnsi="Microsoft JhengHei" w:hint="eastAsia"/>
          <w:b/>
          <w:spacing w:val="2"/>
          <w:w w:val="100"/>
          <w:sz w:val="21"/>
        </w:rPr>
        <w:t>（</w:t>
      </w:r>
      <w:r>
        <w:rPr>
          <w:rFonts w:ascii="Tahoma" w:eastAsia="Tahoma" w:hAnsi="Tahoma"/>
          <w:b/>
          <w:spacing w:val="-3"/>
          <w:w w:val="100"/>
          <w:sz w:val="21"/>
        </w:rPr>
        <w:t>2</w:t>
      </w:r>
      <w:r>
        <w:rPr>
          <w:rFonts w:ascii="Tahoma" w:eastAsia="Tahoma" w:hAnsi="Tahoma"/>
          <w:b/>
          <w:w w:val="100"/>
          <w:sz w:val="21"/>
        </w:rPr>
        <w:t>01</w:t>
      </w:r>
      <w:r>
        <w:rPr>
          <w:rFonts w:ascii="Tahoma" w:eastAsia="Tahoma" w:hAnsi="Tahoma"/>
          <w:b/>
          <w:spacing w:val="-3"/>
          <w:w w:val="100"/>
          <w:sz w:val="21"/>
        </w:rPr>
        <w:t>4-</w:t>
      </w:r>
      <w:r>
        <w:rPr>
          <w:rFonts w:ascii="Tahoma" w:eastAsia="Tahoma" w:hAnsi="Tahoma"/>
          <w:b/>
          <w:spacing w:val="-1"/>
          <w:w w:val="100"/>
          <w:sz w:val="21"/>
        </w:rPr>
        <w:t>201</w:t>
      </w:r>
      <w:r>
        <w:rPr>
          <w:rFonts w:ascii="Tahoma" w:eastAsia="Tahoma" w:hAnsi="Tahoma"/>
          <w:b/>
          <w:w w:val="100"/>
          <w:sz w:val="21"/>
        </w:rPr>
        <w:t>7</w:t>
      </w:r>
      <w:r>
        <w:rPr>
          <w:rFonts w:ascii="Microsoft JhengHei" w:eastAsia="Microsoft JhengHei" w:hAnsi="Microsoft JhengHei" w:hint="eastAsia"/>
          <w:b/>
          <w:spacing w:val="-104"/>
          <w:w w:val="100"/>
          <w:sz w:val="21"/>
        </w:rPr>
        <w:t>）</w:t>
      </w:r>
      <w:r>
        <w:rPr>
          <w:rFonts w:ascii="Microsoft JhengHei" w:eastAsia="Microsoft JhengHei" w:hAnsi="Microsoft JhengHei" w:hint="eastAsia"/>
          <w:b/>
          <w:spacing w:val="2"/>
          <w:w w:val="100"/>
          <w:sz w:val="21"/>
        </w:rPr>
        <w:t>：</w:t>
      </w:r>
      <w:r>
        <w:rPr>
          <w:rFonts w:ascii="Tahoma" w:eastAsia="Tahoma" w:hAnsi="Tahoma"/>
          <w:w w:val="100"/>
          <w:sz w:val="21"/>
        </w:rPr>
        <w:t>20</w:t>
      </w:r>
      <w:r>
        <w:rPr>
          <w:rFonts w:ascii="Tahoma" w:eastAsia="Tahoma" w:hAnsi="Tahoma"/>
          <w:spacing w:val="-3"/>
          <w:w w:val="100"/>
          <w:sz w:val="21"/>
        </w:rPr>
        <w:t>1</w:t>
      </w:r>
      <w:r>
        <w:rPr>
          <w:rFonts w:ascii="Tahoma" w:eastAsia="Tahoma" w:hAnsi="Tahoma"/>
          <w:w w:val="100"/>
          <w:sz w:val="21"/>
        </w:rPr>
        <w:t>4</w:t>
      </w:r>
      <w:r>
        <w:rPr>
          <w:rFonts w:ascii="Tahoma" w:eastAsia="Tahoma" w:hAnsi="Tahoma"/>
          <w:spacing w:val="27"/>
          <w:sz w:val="21"/>
        </w:rPr>
        <w:t xml:space="preserve"> </w:t>
      </w:r>
      <w:r>
        <w:rPr>
          <w:w w:val="100"/>
          <w:sz w:val="21"/>
        </w:rPr>
        <w:t>年为缓解中、东部电力供应紧张及减少东</w:t>
      </w:r>
      <w:r>
        <w:rPr>
          <w:sz w:val="21"/>
        </w:rPr>
        <w:t>中部地区煤电装机以改善中、东部地区的大气环境，国家能源局围绕《大气污染</w:t>
      </w:r>
    </w:p>
    <w:p>
      <w:pPr>
        <w:pStyle w:val="BodyText"/>
        <w:spacing w:before="15" w:line="249" w:lineRule="auto"/>
        <w:ind w:left="3132" w:right="665"/>
      </w:pPr>
      <w:r>
        <w:t>防治行动计划》集中批复一揽子输电通道项目“小路条”核准并开工建设“八交八直”。</w:t>
      </w:r>
    </w:p>
    <w:p>
      <w:pPr>
        <w:pStyle w:val="ListParagraph"/>
        <w:numPr>
          <w:ilvl w:val="2"/>
          <w:numId w:val="12"/>
        </w:numPr>
        <w:tabs>
          <w:tab w:val="left" w:pos="441"/>
          <w:tab w:val="left" w:pos="442"/>
        </w:tabs>
        <w:spacing w:before="0" w:after="0" w:line="300" w:lineRule="exact"/>
        <w:ind w:left="3132" w:right="677" w:hanging="3133"/>
        <w:jc w:val="right"/>
        <w:rPr>
          <w:sz w:val="21"/>
        </w:rPr>
      </w:pPr>
      <w:r>
        <w:rPr>
          <w:rFonts w:ascii="Microsoft JhengHei" w:eastAsia="Microsoft JhengHei" w:hAnsi="Microsoft JhengHei" w:hint="eastAsia"/>
          <w:b/>
          <w:spacing w:val="1"/>
          <w:w w:val="100"/>
          <w:sz w:val="21"/>
        </w:rPr>
        <w:t>第三轮建设高峰</w:t>
      </w:r>
      <w:r>
        <w:rPr>
          <w:rFonts w:ascii="Microsoft JhengHei" w:eastAsia="Microsoft JhengHei" w:hAnsi="Microsoft JhengHei" w:hint="eastAsia"/>
          <w:b/>
          <w:spacing w:val="2"/>
          <w:w w:val="100"/>
          <w:sz w:val="21"/>
        </w:rPr>
        <w:t>（</w:t>
      </w:r>
      <w:r>
        <w:rPr>
          <w:rFonts w:ascii="Tahoma" w:eastAsia="Tahoma" w:hAnsi="Tahoma"/>
          <w:b/>
          <w:spacing w:val="-3"/>
          <w:w w:val="100"/>
          <w:sz w:val="21"/>
        </w:rPr>
        <w:t>2</w:t>
      </w:r>
      <w:r>
        <w:rPr>
          <w:rFonts w:ascii="Tahoma" w:eastAsia="Tahoma" w:hAnsi="Tahoma"/>
          <w:b/>
          <w:w w:val="100"/>
          <w:sz w:val="21"/>
        </w:rPr>
        <w:t>01</w:t>
      </w:r>
      <w:r>
        <w:rPr>
          <w:rFonts w:ascii="Tahoma" w:eastAsia="Tahoma" w:hAnsi="Tahoma"/>
          <w:b/>
          <w:spacing w:val="-3"/>
          <w:w w:val="100"/>
          <w:sz w:val="21"/>
        </w:rPr>
        <w:t>8-</w:t>
      </w:r>
      <w:r>
        <w:rPr>
          <w:rFonts w:ascii="Tahoma" w:eastAsia="Tahoma" w:hAnsi="Tahoma"/>
          <w:b/>
          <w:spacing w:val="-1"/>
          <w:w w:val="100"/>
          <w:sz w:val="21"/>
        </w:rPr>
        <w:t>202</w:t>
      </w:r>
      <w:r>
        <w:rPr>
          <w:rFonts w:ascii="Tahoma" w:eastAsia="Tahoma" w:hAnsi="Tahoma"/>
          <w:b/>
          <w:w w:val="100"/>
          <w:sz w:val="21"/>
        </w:rPr>
        <w:t>2</w:t>
      </w:r>
      <w:r>
        <w:rPr>
          <w:rFonts w:ascii="Microsoft JhengHei" w:eastAsia="Microsoft JhengHei" w:hAnsi="Microsoft JhengHei" w:hint="eastAsia"/>
          <w:b/>
          <w:spacing w:val="-104"/>
          <w:w w:val="100"/>
          <w:sz w:val="21"/>
        </w:rPr>
        <w:t>）</w:t>
      </w:r>
      <w:r>
        <w:rPr>
          <w:rFonts w:ascii="Microsoft JhengHei" w:eastAsia="Microsoft JhengHei" w:hAnsi="Microsoft JhengHei" w:hint="eastAsia"/>
          <w:b/>
          <w:spacing w:val="2"/>
          <w:w w:val="100"/>
          <w:sz w:val="21"/>
        </w:rPr>
        <w:t>：</w:t>
      </w:r>
      <w:r>
        <w:rPr>
          <w:rFonts w:ascii="Tahoma" w:eastAsia="Tahoma" w:hAnsi="Tahoma"/>
          <w:w w:val="100"/>
          <w:sz w:val="21"/>
        </w:rPr>
        <w:t>20</w:t>
      </w:r>
      <w:r>
        <w:rPr>
          <w:rFonts w:ascii="Tahoma" w:eastAsia="Tahoma" w:hAnsi="Tahoma"/>
          <w:spacing w:val="-3"/>
          <w:w w:val="100"/>
          <w:sz w:val="21"/>
        </w:rPr>
        <w:t>1</w:t>
      </w:r>
      <w:r>
        <w:rPr>
          <w:rFonts w:ascii="Tahoma" w:eastAsia="Tahoma" w:hAnsi="Tahoma"/>
          <w:w w:val="100"/>
          <w:sz w:val="21"/>
        </w:rPr>
        <w:t>8</w:t>
      </w:r>
      <w:r>
        <w:rPr>
          <w:rFonts w:ascii="Tahoma" w:eastAsia="Tahoma" w:hAnsi="Tahoma"/>
          <w:spacing w:val="27"/>
          <w:sz w:val="21"/>
        </w:rPr>
        <w:t xml:space="preserve"> </w:t>
      </w:r>
      <w:r>
        <w:rPr>
          <w:w w:val="100"/>
          <w:sz w:val="21"/>
        </w:rPr>
        <w:t>年国家能源局印发《关于加快推进一批输</w:t>
      </w:r>
    </w:p>
    <w:p>
      <w:pPr>
        <w:pStyle w:val="BodyText"/>
        <w:spacing w:line="250" w:lineRule="exact"/>
        <w:ind w:right="672"/>
        <w:jc w:val="right"/>
      </w:pPr>
      <w:r>
        <w:rPr>
          <w:spacing w:val="-10"/>
        </w:rPr>
        <w:t>变电重点工程规划建设工作的通知》，规划“七交五直”</w:t>
      </w:r>
      <w:r>
        <w:rPr>
          <w:rFonts w:ascii="Tahoma" w:eastAsia="Tahoma" w:hAnsi="Tahoma"/>
        </w:rPr>
        <w:t>12</w:t>
      </w:r>
      <w:r>
        <w:rPr>
          <w:rFonts w:ascii="Tahoma" w:eastAsia="Tahoma" w:hAnsi="Tahoma"/>
          <w:spacing w:val="52"/>
        </w:rPr>
        <w:t xml:space="preserve"> </w:t>
      </w:r>
      <w:r>
        <w:rPr>
          <w:spacing w:val="-3"/>
        </w:rPr>
        <w:t>条线路，目的核心在于</w:t>
      </w:r>
    </w:p>
    <w:p>
      <w:pPr>
        <w:pStyle w:val="BodyText"/>
        <w:spacing w:before="11" w:line="240" w:lineRule="exact"/>
        <w:ind w:left="3132"/>
      </w:pPr>
      <w:r>
        <w:t>消纳西部地区富余的可再生能源。</w:t>
      </w:r>
    </w:p>
    <w:p>
      <w:pPr>
        <w:pStyle w:val="ListParagraph"/>
        <w:numPr>
          <w:ilvl w:val="2"/>
          <w:numId w:val="12"/>
        </w:numPr>
        <w:tabs>
          <w:tab w:val="left" w:pos="3133"/>
        </w:tabs>
        <w:spacing w:before="5" w:after="0" w:line="211" w:lineRule="auto"/>
        <w:ind w:left="3132" w:right="672" w:hanging="442"/>
        <w:jc w:val="both"/>
        <w:rPr>
          <w:sz w:val="21"/>
        </w:rPr>
      </w:pPr>
      <w:r>
        <w:rPr>
          <w:rFonts w:ascii="Microsoft JhengHei" w:eastAsia="Microsoft JhengHei" w:hAnsi="Microsoft JhengHei" w:hint="eastAsia"/>
          <w:b/>
          <w:w w:val="100"/>
          <w:sz w:val="21"/>
        </w:rPr>
        <w:t>新一轮建设高峰（</w:t>
      </w:r>
      <w:r>
        <w:rPr>
          <w:rFonts w:ascii="Tahoma" w:eastAsia="Tahoma" w:hAnsi="Tahoma"/>
          <w:b/>
          <w:spacing w:val="-3"/>
          <w:w w:val="100"/>
          <w:sz w:val="21"/>
        </w:rPr>
        <w:t>2</w:t>
      </w:r>
      <w:r>
        <w:rPr>
          <w:rFonts w:ascii="Tahoma" w:eastAsia="Tahoma" w:hAnsi="Tahoma"/>
          <w:b/>
          <w:w w:val="100"/>
          <w:sz w:val="21"/>
        </w:rPr>
        <w:t>0</w:t>
      </w:r>
      <w:r>
        <w:rPr>
          <w:rFonts w:ascii="Tahoma" w:eastAsia="Tahoma" w:hAnsi="Tahoma"/>
          <w:b/>
          <w:spacing w:val="-1"/>
          <w:w w:val="100"/>
          <w:sz w:val="21"/>
        </w:rPr>
        <w:t>2</w:t>
      </w:r>
      <w:r>
        <w:rPr>
          <w:rFonts w:ascii="Tahoma" w:eastAsia="Tahoma" w:hAnsi="Tahoma"/>
          <w:b/>
          <w:w w:val="100"/>
          <w:sz w:val="21"/>
        </w:rPr>
        <w:t>3</w:t>
      </w:r>
      <w:r>
        <w:rPr>
          <w:rFonts w:ascii="Tahoma" w:eastAsia="Tahoma" w:hAnsi="Tahoma"/>
          <w:b/>
          <w:spacing w:val="12"/>
          <w:sz w:val="21"/>
        </w:rPr>
        <w:t xml:space="preserve"> </w:t>
      </w:r>
      <w:r>
        <w:rPr>
          <w:rFonts w:ascii="Microsoft JhengHei" w:eastAsia="Microsoft JhengHei" w:hAnsi="Microsoft JhengHei" w:hint="eastAsia"/>
          <w:b/>
          <w:w w:val="100"/>
          <w:sz w:val="21"/>
        </w:rPr>
        <w:t>开启</w:t>
      </w:r>
      <w:r>
        <w:rPr>
          <w:rFonts w:ascii="Microsoft JhengHei" w:eastAsia="Microsoft JhengHei" w:hAnsi="Microsoft JhengHei" w:hint="eastAsia"/>
          <w:b/>
          <w:spacing w:val="-106"/>
          <w:w w:val="100"/>
          <w:sz w:val="21"/>
        </w:rPr>
        <w:t>）</w:t>
      </w:r>
      <w:r>
        <w:rPr>
          <w:rFonts w:ascii="Microsoft JhengHei" w:eastAsia="Microsoft JhengHei" w:hAnsi="Microsoft JhengHei" w:hint="eastAsia"/>
          <w:b/>
          <w:w w:val="100"/>
          <w:sz w:val="21"/>
        </w:rPr>
        <w:t>：</w:t>
      </w:r>
      <w:r>
        <w:rPr>
          <w:rFonts w:ascii="Tahoma" w:eastAsia="Tahoma" w:hAnsi="Tahoma"/>
          <w:spacing w:val="-1"/>
          <w:w w:val="100"/>
          <w:sz w:val="21"/>
        </w:rPr>
        <w:t>202</w:t>
      </w:r>
      <w:r>
        <w:rPr>
          <w:rFonts w:ascii="Tahoma" w:eastAsia="Tahoma" w:hAnsi="Tahoma"/>
          <w:w w:val="100"/>
          <w:sz w:val="21"/>
        </w:rPr>
        <w:t>2</w:t>
      </w:r>
      <w:r>
        <w:rPr>
          <w:rFonts w:ascii="Tahoma" w:eastAsia="Tahoma" w:hAnsi="Tahoma"/>
          <w:spacing w:val="1"/>
          <w:sz w:val="21"/>
        </w:rPr>
        <w:t xml:space="preserve"> </w:t>
      </w:r>
      <w:r>
        <w:rPr>
          <w:spacing w:val="-3"/>
          <w:w w:val="100"/>
          <w:sz w:val="21"/>
        </w:rPr>
        <w:t>年国家电网在重大项目建设推进会议表示，</w:t>
      </w:r>
      <w:r>
        <w:rPr>
          <w:sz w:val="21"/>
        </w:rPr>
        <w:t>将再开工建设“四交四直”特高压工程，加快推进“一交五直”等特高压工程前</w:t>
      </w:r>
    </w:p>
    <w:p>
      <w:pPr>
        <w:pStyle w:val="BodyText"/>
        <w:spacing w:before="18" w:line="249" w:lineRule="auto"/>
        <w:ind w:left="3132" w:right="672"/>
        <w:jc w:val="both"/>
      </w:pPr>
      <w:r>
        <w:rPr>
          <w:spacing w:val="-3"/>
          <w:w w:val="100"/>
        </w:rPr>
        <w:t>期工作；以及十四五期间特高压规划“</w:t>
      </w:r>
      <w:r>
        <w:rPr>
          <w:rFonts w:ascii="Tahoma" w:eastAsia="Tahoma" w:hAnsi="Tahoma"/>
          <w:spacing w:val="-1"/>
          <w:w w:val="100"/>
        </w:rPr>
        <w:t>2</w:t>
      </w:r>
      <w:r>
        <w:rPr>
          <w:rFonts w:ascii="Tahoma" w:eastAsia="Tahoma" w:hAnsi="Tahoma"/>
          <w:w w:val="100"/>
        </w:rPr>
        <w:t>4</w:t>
      </w:r>
      <w:r>
        <w:rPr>
          <w:rFonts w:ascii="Tahoma" w:eastAsia="Tahoma" w:hAnsi="Tahoma"/>
          <w:spacing w:val="-6"/>
        </w:rPr>
        <w:t xml:space="preserve"> </w:t>
      </w:r>
      <w:r>
        <w:rPr>
          <w:w w:val="100"/>
        </w:rPr>
        <w:t>交</w:t>
      </w:r>
      <w:r>
        <w:rPr>
          <w:spacing w:val="-36"/>
        </w:rPr>
        <w:t xml:space="preserve"> </w:t>
      </w:r>
      <w:r>
        <w:rPr>
          <w:rFonts w:ascii="Tahoma" w:eastAsia="Tahoma" w:hAnsi="Tahoma"/>
          <w:spacing w:val="-1"/>
          <w:w w:val="100"/>
        </w:rPr>
        <w:t>1</w:t>
      </w:r>
      <w:r>
        <w:rPr>
          <w:rFonts w:ascii="Tahoma" w:eastAsia="Tahoma" w:hAnsi="Tahoma"/>
          <w:w w:val="100"/>
        </w:rPr>
        <w:t>4</w:t>
      </w:r>
      <w:r>
        <w:rPr>
          <w:rFonts w:ascii="Tahoma" w:eastAsia="Tahoma" w:hAnsi="Tahoma"/>
          <w:spacing w:val="-6"/>
        </w:rPr>
        <w:t xml:space="preserve"> </w:t>
      </w:r>
      <w:r>
        <w:rPr>
          <w:spacing w:val="-27"/>
          <w:w w:val="100"/>
        </w:rPr>
        <w:t>直”，但</w:t>
      </w:r>
      <w:r>
        <w:rPr>
          <w:spacing w:val="-35"/>
        </w:rPr>
        <w:t xml:space="preserve"> </w:t>
      </w:r>
      <w:r>
        <w:rPr>
          <w:rFonts w:ascii="Tahoma" w:eastAsia="Tahoma" w:hAnsi="Tahoma"/>
          <w:w w:val="100"/>
        </w:rPr>
        <w:t>20</w:t>
      </w:r>
      <w:r>
        <w:rPr>
          <w:rFonts w:ascii="Tahoma" w:eastAsia="Tahoma" w:hAnsi="Tahoma"/>
          <w:spacing w:val="-3"/>
          <w:w w:val="100"/>
        </w:rPr>
        <w:t>2</w:t>
      </w:r>
      <w:r>
        <w:rPr>
          <w:rFonts w:ascii="Tahoma" w:eastAsia="Tahoma" w:hAnsi="Tahoma"/>
          <w:spacing w:val="-1"/>
          <w:w w:val="100"/>
        </w:rPr>
        <w:t>1</w:t>
      </w:r>
      <w:r>
        <w:rPr>
          <w:rFonts w:ascii="Tahoma" w:eastAsia="Tahoma" w:hAnsi="Tahoma"/>
          <w:w w:val="100"/>
        </w:rPr>
        <w:t>-2</w:t>
      </w:r>
      <w:r>
        <w:rPr>
          <w:rFonts w:ascii="Tahoma" w:eastAsia="Tahoma" w:hAnsi="Tahoma"/>
          <w:spacing w:val="-3"/>
          <w:w w:val="100"/>
        </w:rPr>
        <w:t>0</w:t>
      </w:r>
      <w:r>
        <w:rPr>
          <w:rFonts w:ascii="Tahoma" w:eastAsia="Tahoma" w:hAnsi="Tahoma"/>
          <w:w w:val="100"/>
        </w:rPr>
        <w:t>22</w:t>
      </w:r>
      <w:r>
        <w:rPr>
          <w:rFonts w:ascii="Tahoma" w:eastAsia="Tahoma" w:hAnsi="Tahoma"/>
          <w:spacing w:val="-4"/>
        </w:rPr>
        <w:t xml:space="preserve"> </w:t>
      </w:r>
      <w:r>
        <w:rPr>
          <w:spacing w:val="-3"/>
          <w:w w:val="100"/>
        </w:rPr>
        <w:t>年因疫情原因</w:t>
      </w:r>
      <w:r>
        <w:rPr>
          <w:spacing w:val="-3"/>
        </w:rPr>
        <w:t xml:space="preserve">导致发展延迟，仅开工核准 </w:t>
      </w:r>
      <w:r>
        <w:rPr>
          <w:rFonts w:ascii="Tahoma" w:eastAsia="Tahoma" w:hAnsi="Tahoma"/>
        </w:rPr>
        <w:t>4</w:t>
      </w:r>
      <w:r>
        <w:rPr>
          <w:rFonts w:ascii="Tahoma" w:eastAsia="Tahoma" w:hAnsi="Tahoma"/>
          <w:spacing w:val="29"/>
        </w:rPr>
        <w:t xml:space="preserve"> </w:t>
      </w:r>
      <w:r>
        <w:rPr>
          <w:spacing w:val="-3"/>
        </w:rPr>
        <w:t>条，整体特高压建设进度后移。</w:t>
      </w:r>
      <w:r>
        <w:rPr>
          <w:rFonts w:ascii="Tahoma" w:eastAsia="Tahoma" w:hAnsi="Tahoma"/>
        </w:rPr>
        <w:t>2023</w:t>
      </w:r>
      <w:r>
        <w:rPr>
          <w:rFonts w:ascii="Tahoma" w:eastAsia="Tahoma" w:hAnsi="Tahoma"/>
          <w:spacing w:val="30"/>
        </w:rPr>
        <w:t xml:space="preserve"> </w:t>
      </w:r>
      <w:r>
        <w:rPr>
          <w:spacing w:val="-3"/>
        </w:rPr>
        <w:t>年国网计划核</w:t>
      </w:r>
      <w:r>
        <w:rPr>
          <w:spacing w:val="-26"/>
        </w:rPr>
        <w:t xml:space="preserve">准 </w:t>
      </w:r>
      <w:r>
        <w:rPr>
          <w:rFonts w:ascii="Tahoma" w:eastAsia="Tahoma" w:hAnsi="Tahoma"/>
        </w:rPr>
        <w:t>5</w:t>
      </w:r>
      <w:r>
        <w:rPr>
          <w:rFonts w:ascii="Tahoma" w:eastAsia="Tahoma" w:hAnsi="Tahoma"/>
          <w:spacing w:val="-18"/>
        </w:rPr>
        <w:t xml:space="preserve"> </w:t>
      </w:r>
      <w:r>
        <w:rPr>
          <w:spacing w:val="-25"/>
        </w:rPr>
        <w:t xml:space="preserve">直 </w:t>
      </w:r>
      <w:r>
        <w:rPr>
          <w:rFonts w:ascii="Tahoma" w:eastAsia="Tahoma" w:hAnsi="Tahoma"/>
        </w:rPr>
        <w:t>2</w:t>
      </w:r>
      <w:r>
        <w:rPr>
          <w:rFonts w:ascii="Tahoma" w:eastAsia="Tahoma" w:hAnsi="Tahoma"/>
          <w:spacing w:val="-21"/>
        </w:rPr>
        <w:t xml:space="preserve"> </w:t>
      </w:r>
      <w:r>
        <w:rPr>
          <w:spacing w:val="-12"/>
        </w:rPr>
        <w:t xml:space="preserve">交、开工 </w:t>
      </w:r>
      <w:r>
        <w:rPr>
          <w:rFonts w:ascii="Tahoma" w:eastAsia="Tahoma" w:hAnsi="Tahoma"/>
        </w:rPr>
        <w:t>6</w:t>
      </w:r>
      <w:r>
        <w:rPr>
          <w:rFonts w:ascii="Tahoma" w:eastAsia="Tahoma" w:hAnsi="Tahoma"/>
          <w:spacing w:val="-21"/>
        </w:rPr>
        <w:t xml:space="preserve"> </w:t>
      </w:r>
      <w:r>
        <w:rPr>
          <w:spacing w:val="-25"/>
        </w:rPr>
        <w:t xml:space="preserve">直 </w:t>
      </w:r>
      <w:r>
        <w:rPr>
          <w:rFonts w:ascii="Tahoma" w:eastAsia="Tahoma" w:hAnsi="Tahoma"/>
        </w:rPr>
        <w:t>2</w:t>
      </w:r>
      <w:r>
        <w:rPr>
          <w:rFonts w:ascii="Tahoma" w:eastAsia="Tahoma" w:hAnsi="Tahoma"/>
          <w:spacing w:val="-20"/>
        </w:rPr>
        <w:t xml:space="preserve"> </w:t>
      </w:r>
      <w:r>
        <w:rPr>
          <w:spacing w:val="-3"/>
        </w:rPr>
        <w:t>交，开启特高压新一轮建设高峰；目的核心在于消纳西部地区富余的可再生能源。</w:t>
      </w:r>
    </w:p>
    <w:p>
      <w:pPr>
        <w:spacing w:after="0" w:line="249" w:lineRule="auto"/>
        <w:jc w:val="both"/>
        <w:sectPr>
          <w:headerReference w:type="default" r:id="rId38"/>
          <w:footerReference w:type="default" r:id="rId39"/>
          <w:type w:val="continuous"/>
          <w:pgSz w:w="11910" w:h="16840"/>
          <w:pgMar w:top="900" w:right="0" w:bottom="1060" w:left="540" w:header="708" w:footer="708"/>
          <w:pgNumType w:start="18"/>
          <w:cols w:space="708"/>
        </w:sectPr>
      </w:pPr>
    </w:p>
    <w:p>
      <w:pPr>
        <w:spacing w:before="174"/>
        <w:ind w:left="2798" w:right="0" w:firstLine="0"/>
        <w:jc w:val="left"/>
        <w:rPr>
          <w:sz w:val="17"/>
        </w:rPr>
      </w:pPr>
      <w:r>
        <w:pict>
          <v:group id="_x0000_s1679" style="width:399.7pt;height:248pt;margin-top:22.84pt;margin-left:161.54pt;mso-position-horizontal-relative:page;mso-wrap-distance-left:0;mso-wrap-distance-right:0;position:absolute;z-index:-251592704" coordorigin="3231,457" coordsize="7994,4960">
            <v:line id="_x0000_s1680" style="position:absolute" from="3231,466" to="11224,466" stroked="t" strokecolor="#004097" strokeweight="0.96pt">
              <v:stroke dashstyle="solid"/>
            </v:line>
            <v:line id="_x0000_s1681" style="position:absolute" from="3231,5407" to="11224,5407" stroked="t" strokecolor="#004097" strokeweight="0.96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682" type="#_x0000_t75" style="width:6656;height:4909;left:3888;position:absolute;top:477" stroked="f">
              <v:imagedata r:id="rId40" o:title=""/>
            </v:shape>
            <w10:wrap type="topAndBottom"/>
          </v:group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10</w:t>
      </w:r>
      <w:r>
        <w:rPr>
          <w:color w:val="004097"/>
          <w:sz w:val="17"/>
        </w:rPr>
        <w:t>：特高压发展历程</w:t>
      </w:r>
    </w:p>
    <w:p>
      <w:pPr>
        <w:spacing w:before="0" w:line="146" w:lineRule="exact"/>
        <w:ind w:left="2798" w:right="0" w:firstLine="0"/>
        <w:jc w:val="left"/>
        <w:rPr>
          <w:sz w:val="17"/>
        </w:rPr>
      </w:pPr>
      <w:r>
        <w:rPr>
          <w:color w:val="004097"/>
          <w:sz w:val="17"/>
        </w:rPr>
        <w:t>资料来源：国务院国有资产监督管理委员会，国务院新闻办公室，国家能源局江苏监管办公室，中国南方电</w:t>
      </w:r>
    </w:p>
    <w:p>
      <w:pPr>
        <w:spacing w:before="10" w:line="199" w:lineRule="auto"/>
        <w:ind w:left="2798" w:right="783" w:firstLine="0"/>
        <w:jc w:val="left"/>
        <w:rPr>
          <w:sz w:val="17"/>
        </w:rPr>
      </w:pPr>
      <w:r>
        <w:t>网，中国政府网，人民网，赛迪顾问，北极星输配电网，华夏时报，中国能源报，公开资料 ， 。</w:t>
      </w:r>
    </w:p>
    <w:p>
      <w:pPr>
        <w:pStyle w:val="BodyText"/>
        <w:spacing w:before="1"/>
        <w:rPr>
          <w:sz w:val="17"/>
        </w:rPr>
      </w:pPr>
    </w:p>
    <w:p>
      <w:pPr>
        <w:spacing w:before="32" w:line="368" w:lineRule="exact"/>
        <w:ind w:left="2690" w:right="0" w:firstLine="0"/>
        <w:jc w:val="left"/>
        <w:rPr>
          <w:sz w:val="21"/>
        </w:rPr>
      </w:pPr>
      <w:r>
        <w:rPr>
          <w:rFonts w:ascii="Tahoma" w:eastAsia="Tahoma"/>
          <w:b/>
          <w:sz w:val="21"/>
        </w:rPr>
        <w:t>2023</w:t>
      </w:r>
      <w:r>
        <w:rPr>
          <w:rFonts w:ascii="Tahoma" w:eastAsia="Tahoma"/>
          <w:b/>
          <w:spacing w:val="32"/>
          <w:sz w:val="21"/>
        </w:rPr>
        <w:t xml:space="preserve"> </w:t>
      </w:r>
      <w:r>
        <w:rPr>
          <w:rFonts w:ascii="Microsoft JhengHei" w:eastAsia="Microsoft JhengHei" w:hint="eastAsia"/>
          <w:b/>
          <w:spacing w:val="1"/>
          <w:sz w:val="21"/>
        </w:rPr>
        <w:t xml:space="preserve">年特高压迎来新一轮建设高峰，实际核准 </w:t>
      </w:r>
      <w:r>
        <w:rPr>
          <w:rFonts w:ascii="Tahoma" w:eastAsia="Tahoma"/>
          <w:b/>
          <w:sz w:val="21"/>
        </w:rPr>
        <w:t>4</w:t>
      </w:r>
      <w:r>
        <w:rPr>
          <w:rFonts w:ascii="Tahoma" w:eastAsia="Tahoma"/>
          <w:b/>
          <w:spacing w:val="31"/>
          <w:sz w:val="21"/>
        </w:rPr>
        <w:t xml:space="preserve"> </w:t>
      </w:r>
      <w:r>
        <w:rPr>
          <w:rFonts w:ascii="Microsoft JhengHei" w:eastAsia="Microsoft JhengHei" w:hint="eastAsia"/>
          <w:b/>
          <w:sz w:val="21"/>
        </w:rPr>
        <w:t>条直流。</w:t>
      </w:r>
      <w:r>
        <w:rPr>
          <w:rFonts w:ascii="Tahoma" w:eastAsia="Tahoma"/>
          <w:sz w:val="21"/>
        </w:rPr>
        <w:t>2023</w:t>
      </w:r>
      <w:r>
        <w:rPr>
          <w:rFonts w:ascii="Tahoma" w:eastAsia="Tahoma"/>
          <w:spacing w:val="17"/>
          <w:sz w:val="21"/>
        </w:rPr>
        <w:t xml:space="preserve"> </w:t>
      </w:r>
      <w:r>
        <w:rPr>
          <w:spacing w:val="-3"/>
          <w:sz w:val="21"/>
        </w:rPr>
        <w:t>年国内总计核准陇东</w:t>
      </w:r>
    </w:p>
    <w:p>
      <w:pPr>
        <w:pStyle w:val="BodyText"/>
        <w:spacing w:line="251" w:lineRule="exact"/>
        <w:ind w:left="2690"/>
      </w:pPr>
      <w:r>
        <w:rPr>
          <w:rFonts w:ascii="Tahoma" w:eastAsia="Tahoma" w:hAnsi="Tahoma"/>
        </w:rPr>
        <w:t>—</w:t>
      </w:r>
      <w:r>
        <w:rPr>
          <w:spacing w:val="-3"/>
        </w:rPr>
        <w:t>山东、金上</w:t>
      </w:r>
      <w:r>
        <w:rPr>
          <w:rFonts w:ascii="Tahoma" w:eastAsia="Tahoma" w:hAnsi="Tahoma"/>
          <w:spacing w:val="-3"/>
        </w:rPr>
        <w:t>—</w:t>
      </w:r>
      <w:r>
        <w:rPr>
          <w:spacing w:val="-3"/>
        </w:rPr>
        <w:t>湖北、宁夏</w:t>
      </w:r>
      <w:r>
        <w:rPr>
          <w:rFonts w:ascii="Tahoma" w:eastAsia="Tahoma" w:hAnsi="Tahoma"/>
        </w:rPr>
        <w:t>—</w:t>
      </w:r>
      <w:r>
        <w:rPr>
          <w:spacing w:val="-3"/>
        </w:rPr>
        <w:t>湖南、哈密</w:t>
      </w:r>
      <w:r>
        <w:rPr>
          <w:rFonts w:ascii="Tahoma" w:eastAsia="Tahoma" w:hAnsi="Tahoma"/>
        </w:rPr>
        <w:t>—</w:t>
      </w:r>
      <w:r>
        <w:rPr>
          <w:spacing w:val="3"/>
        </w:rPr>
        <w:t xml:space="preserve">重庆 </w:t>
      </w:r>
      <w:r>
        <w:rPr>
          <w:rFonts w:ascii="Tahoma" w:eastAsia="Tahoma" w:hAnsi="Tahoma"/>
        </w:rPr>
        <w:t>4</w:t>
      </w:r>
      <w:r>
        <w:rPr>
          <w:rFonts w:ascii="Tahoma" w:eastAsia="Tahoma" w:hAnsi="Tahoma"/>
          <w:spacing w:val="37"/>
        </w:rPr>
        <w:t xml:space="preserve"> </w:t>
      </w:r>
      <w:r>
        <w:rPr>
          <w:spacing w:val="-3"/>
        </w:rPr>
        <w:t>条直流特高压并均陆续开工建设，目</w:t>
      </w:r>
    </w:p>
    <w:p>
      <w:pPr>
        <w:pStyle w:val="BodyText"/>
        <w:spacing w:before="12" w:line="247" w:lineRule="auto"/>
        <w:ind w:left="2690" w:right="680"/>
      </w:pPr>
      <w:r>
        <w:rPr>
          <w:spacing w:val="-1"/>
        </w:rPr>
        <w:t>前藏东南</w:t>
      </w:r>
      <w:r>
        <w:rPr>
          <w:rFonts w:ascii="Tahoma" w:eastAsia="Tahoma" w:hAnsi="Tahoma"/>
          <w:spacing w:val="-3"/>
        </w:rPr>
        <w:t>—</w:t>
      </w:r>
      <w:r>
        <w:rPr>
          <w:spacing w:val="-3"/>
        </w:rPr>
        <w:t>粤港澳、陕北</w:t>
      </w:r>
      <w:r>
        <w:rPr>
          <w:rFonts w:ascii="Tahoma" w:eastAsia="Tahoma" w:hAnsi="Tahoma"/>
          <w:spacing w:val="-3"/>
        </w:rPr>
        <w:t>-</w:t>
      </w:r>
      <w:r>
        <w:rPr>
          <w:spacing w:val="-13"/>
        </w:rPr>
        <w:t xml:space="preserve">安徽 </w:t>
      </w:r>
      <w:r>
        <w:rPr>
          <w:rFonts w:ascii="Tahoma" w:eastAsia="Tahoma" w:hAnsi="Tahoma"/>
        </w:rPr>
        <w:t xml:space="preserve">2 </w:t>
      </w:r>
      <w:r>
        <w:rPr>
          <w:spacing w:val="-5"/>
        </w:rPr>
        <w:t xml:space="preserve">条直流特高压均已经进入环评阶段，有望在 </w:t>
      </w:r>
      <w:r>
        <w:rPr>
          <w:rFonts w:ascii="Tahoma" w:eastAsia="Tahoma" w:hAnsi="Tahoma"/>
        </w:rPr>
        <w:t xml:space="preserve">2024 </w:t>
      </w:r>
      <w:r>
        <w:rPr>
          <w:spacing w:val="-3"/>
        </w:rPr>
        <w:t>年率先开启核准并开工。</w:t>
      </w:r>
    </w:p>
    <w:p>
      <w:pPr>
        <w:pStyle w:val="BodyText"/>
        <w:spacing w:before="8"/>
        <w:rPr>
          <w:sz w:val="25"/>
        </w:rPr>
      </w:pPr>
    </w:p>
    <w:p>
      <w:pPr>
        <w:spacing w:before="0"/>
        <w:ind w:left="247" w:right="0" w:firstLine="0"/>
        <w:jc w:val="left"/>
        <w:rPr>
          <w:sz w:val="17"/>
        </w:rPr>
      </w:pPr>
      <w:r>
        <w:pict>
          <v:shape id="_x0000_s1683" style="width:538.1pt;height:0.1pt;margin-top:14.62pt;margin-left:33.96pt;mso-position-horizontal-relative:page;mso-wrap-distance-left:0;mso-wrap-distance-right:0;position:absolute;z-index:-251591680" coordorigin="679,292" coordsize="10762,0" path="m679,292l11441,292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11</w:t>
      </w:r>
      <w:r>
        <w:rPr>
          <w:color w:val="004097"/>
          <w:sz w:val="17"/>
        </w:rPr>
        <w:t>：我给现已规划特高压项目最新进展</w:t>
      </w:r>
    </w:p>
    <w:p>
      <w:pPr>
        <w:pStyle w:val="BodyText"/>
        <w:spacing w:before="5"/>
        <w:rPr>
          <w:sz w:val="5"/>
        </w:rPr>
      </w:pPr>
    </w:p>
    <w:tbl>
      <w:tblPr>
        <w:tblStyle w:val="TableNormal0"/>
        <w:tblW w:w="0" w:type="auto"/>
        <w:jc w:val="left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1"/>
        <w:gridCol w:w="711"/>
        <w:gridCol w:w="687"/>
        <w:gridCol w:w="1194"/>
        <w:gridCol w:w="1033"/>
        <w:gridCol w:w="1033"/>
        <w:gridCol w:w="1361"/>
        <w:gridCol w:w="2581"/>
      </w:tblGrid>
      <w:tr>
        <w:tblPrEx>
          <w:tblW w:w="0" w:type="auto"/>
          <w:jc w:val="left"/>
          <w:tblInd w:w="25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  <w:shd w:val="clear" w:color="auto" w:fill="004097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color w:val="FFFFFF"/>
                <w:w w:val="105"/>
                <w:sz w:val="13"/>
              </w:rPr>
              <w:t>路线</w:t>
            </w:r>
          </w:p>
        </w:tc>
        <w:tc>
          <w:tcPr>
            <w:tcW w:w="711" w:type="dxa"/>
            <w:shd w:val="clear" w:color="auto" w:fill="004097"/>
          </w:tcPr>
          <w:p>
            <w:pPr>
              <w:pStyle w:val="TableParagraph"/>
              <w:spacing w:before="10" w:line="133" w:lineRule="exact"/>
              <w:ind w:left="82"/>
              <w:jc w:val="left"/>
              <w:rPr>
                <w:sz w:val="13"/>
              </w:rPr>
            </w:pPr>
            <w:r>
              <w:rPr>
                <w:color w:val="FFFFFF"/>
                <w:w w:val="105"/>
                <w:sz w:val="13"/>
              </w:rPr>
              <w:t>电压等级</w:t>
            </w:r>
          </w:p>
        </w:tc>
        <w:tc>
          <w:tcPr>
            <w:tcW w:w="687" w:type="dxa"/>
            <w:shd w:val="clear" w:color="auto" w:fill="004097"/>
          </w:tcPr>
          <w:p>
            <w:pPr>
              <w:pStyle w:val="TableParagraph"/>
              <w:spacing w:before="10" w:line="133" w:lineRule="exact"/>
              <w:ind w:left="46" w:right="29"/>
              <w:rPr>
                <w:rFonts w:ascii="Tahoma" w:eastAsia="Tahoma"/>
                <w:sz w:val="13"/>
              </w:rPr>
            </w:pPr>
            <w:r>
              <w:rPr>
                <w:color w:val="FFFFFF"/>
                <w:w w:val="105"/>
                <w:sz w:val="13"/>
              </w:rPr>
              <w:t>长度</w:t>
            </w:r>
            <w:r>
              <w:rPr>
                <w:rFonts w:ascii="Tahoma" w:eastAsia="Tahoma"/>
                <w:color w:val="FFFFFF"/>
                <w:w w:val="105"/>
                <w:sz w:val="13"/>
              </w:rPr>
              <w:t>(km)</w:t>
            </w:r>
          </w:p>
        </w:tc>
        <w:tc>
          <w:tcPr>
            <w:tcW w:w="1194" w:type="dxa"/>
            <w:shd w:val="clear" w:color="auto" w:fill="004097"/>
          </w:tcPr>
          <w:p>
            <w:pPr>
              <w:pStyle w:val="TableParagraph"/>
              <w:spacing w:before="10" w:line="133" w:lineRule="exact"/>
              <w:ind w:left="98" w:right="89"/>
              <w:rPr>
                <w:sz w:val="13"/>
              </w:rPr>
            </w:pPr>
            <w:r>
              <w:rPr>
                <w:color w:val="FFFFFF"/>
                <w:w w:val="105"/>
                <w:sz w:val="13"/>
              </w:rPr>
              <w:t>投资额（亿元）</w:t>
            </w:r>
          </w:p>
        </w:tc>
        <w:tc>
          <w:tcPr>
            <w:tcW w:w="1033" w:type="dxa"/>
            <w:shd w:val="clear" w:color="auto" w:fill="004097"/>
          </w:tcPr>
          <w:p>
            <w:pPr>
              <w:pStyle w:val="TableParagraph"/>
              <w:spacing w:before="10" w:line="133" w:lineRule="exact"/>
              <w:ind w:left="74" w:right="63"/>
              <w:rPr>
                <w:sz w:val="13"/>
              </w:rPr>
            </w:pPr>
            <w:r>
              <w:rPr>
                <w:color w:val="FFFFFF"/>
                <w:w w:val="105"/>
                <w:sz w:val="13"/>
              </w:rPr>
              <w:t>核准时间</w:t>
            </w:r>
          </w:p>
        </w:tc>
        <w:tc>
          <w:tcPr>
            <w:tcW w:w="1033" w:type="dxa"/>
            <w:shd w:val="clear" w:color="auto" w:fill="004097"/>
          </w:tcPr>
          <w:p>
            <w:pPr>
              <w:pStyle w:val="TableParagraph"/>
              <w:spacing w:before="10" w:line="133" w:lineRule="exact"/>
              <w:ind w:left="74" w:right="62"/>
              <w:rPr>
                <w:sz w:val="13"/>
              </w:rPr>
            </w:pPr>
            <w:r>
              <w:rPr>
                <w:color w:val="FFFFFF"/>
                <w:w w:val="105"/>
                <w:sz w:val="13"/>
              </w:rPr>
              <w:t>开工时间</w:t>
            </w:r>
          </w:p>
        </w:tc>
        <w:tc>
          <w:tcPr>
            <w:tcW w:w="1361" w:type="dxa"/>
            <w:shd w:val="clear" w:color="auto" w:fill="004097"/>
          </w:tcPr>
          <w:p>
            <w:pPr>
              <w:pStyle w:val="TableParagraph"/>
              <w:spacing w:before="10" w:line="133" w:lineRule="exact"/>
              <w:ind w:left="106" w:right="86"/>
              <w:rPr>
                <w:sz w:val="13"/>
              </w:rPr>
            </w:pPr>
            <w:r>
              <w:rPr>
                <w:color w:val="FFFFFF"/>
                <w:w w:val="105"/>
                <w:sz w:val="13"/>
              </w:rPr>
              <w:t>投运时间</w:t>
            </w:r>
          </w:p>
        </w:tc>
        <w:tc>
          <w:tcPr>
            <w:tcW w:w="2581" w:type="dxa"/>
            <w:shd w:val="clear" w:color="auto" w:fill="004097"/>
          </w:tcPr>
          <w:p>
            <w:pPr>
              <w:pStyle w:val="TableParagraph"/>
              <w:spacing w:before="10" w:line="133" w:lineRule="exact"/>
              <w:ind w:left="212" w:right="196"/>
              <w:rPr>
                <w:sz w:val="13"/>
              </w:rPr>
            </w:pPr>
            <w:r>
              <w:rPr>
                <w:color w:val="FFFFFF"/>
                <w:w w:val="105"/>
                <w:sz w:val="13"/>
              </w:rPr>
              <w:t>最新进展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0531" w:type="dxa"/>
            <w:gridSpan w:val="8"/>
            <w:shd w:val="clear" w:color="auto" w:fill="F1F1F1"/>
          </w:tcPr>
          <w:p>
            <w:pPr>
              <w:pStyle w:val="TableParagraph"/>
              <w:spacing w:before="10" w:line="133" w:lineRule="exact"/>
              <w:ind w:left="4976" w:right="4959"/>
              <w:rPr>
                <w:sz w:val="13"/>
              </w:rPr>
            </w:pPr>
            <w:r>
              <w:rPr>
                <w:w w:val="105"/>
                <w:sz w:val="13"/>
              </w:rPr>
              <w:t>直流输电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金上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湖北</w:t>
            </w:r>
          </w:p>
        </w:tc>
        <w:tc>
          <w:tcPr>
            <w:tcW w:w="711" w:type="dxa"/>
          </w:tcPr>
          <w:p>
            <w:pPr>
              <w:pStyle w:val="TableParagraph"/>
              <w:spacing w:before="4" w:line="139" w:lineRule="exact"/>
              <w:ind w:left="125"/>
              <w:jc w:val="left"/>
              <w:rPr>
                <w:rFonts w:ascii="Tahoma" w:hAnsi="Tahoma"/>
                <w:sz w:val="13"/>
              </w:rPr>
            </w:pPr>
            <w:r>
              <w:rPr>
                <w:rFonts w:ascii="Tahoma" w:hAnsi="Tahoma"/>
                <w:w w:val="105"/>
                <w:sz w:val="13"/>
              </w:rPr>
              <w:t>±800kv</w:t>
            </w:r>
          </w:p>
        </w:tc>
        <w:tc>
          <w:tcPr>
            <w:tcW w:w="687" w:type="dxa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1784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 w:line="139" w:lineRule="exact"/>
              <w:ind w:left="98" w:right="8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334</w:t>
            </w: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spacing w:before="4" w:line="139" w:lineRule="exact"/>
              <w:ind w:left="74" w:right="62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2023/2</w:t>
            </w:r>
          </w:p>
        </w:tc>
        <w:tc>
          <w:tcPr>
            <w:tcW w:w="1361" w:type="dxa"/>
          </w:tcPr>
          <w:p>
            <w:pPr>
              <w:pStyle w:val="TableParagraph"/>
              <w:spacing w:before="10" w:line="133" w:lineRule="exact"/>
              <w:ind w:left="106" w:right="86"/>
              <w:rPr>
                <w:sz w:val="13"/>
              </w:rPr>
            </w:pPr>
            <w:r>
              <w:rPr>
                <w:rFonts w:ascii="Tahoma" w:eastAsia="Tahoma"/>
                <w:w w:val="105"/>
                <w:sz w:val="13"/>
              </w:rPr>
              <w:t>2025</w:t>
            </w:r>
            <w:r>
              <w:rPr>
                <w:w w:val="105"/>
                <w:sz w:val="13"/>
              </w:rPr>
              <w:t>（预计）</w:t>
            </w:r>
          </w:p>
        </w:tc>
        <w:tc>
          <w:tcPr>
            <w:tcW w:w="2581" w:type="dxa"/>
          </w:tcPr>
          <w:p>
            <w:pPr>
              <w:pStyle w:val="TableParagraph"/>
              <w:spacing w:before="10" w:line="133" w:lineRule="exact"/>
              <w:ind w:left="212" w:right="197"/>
              <w:rPr>
                <w:sz w:val="13"/>
              </w:rPr>
            </w:pPr>
            <w:r>
              <w:rPr>
                <w:w w:val="105"/>
                <w:sz w:val="13"/>
              </w:rPr>
              <w:t>（川</w:t>
            </w:r>
            <w:r>
              <w:rPr>
                <w:rFonts w:ascii="Tahoma" w:eastAsia="Tahoma"/>
                <w:w w:val="105"/>
                <w:sz w:val="13"/>
              </w:rPr>
              <w:t>2</w:t>
            </w:r>
            <w:r>
              <w:rPr>
                <w:w w:val="105"/>
                <w:sz w:val="13"/>
              </w:rPr>
              <w:t>标）已完成所有基础浇筑工作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陇东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山东</w:t>
            </w:r>
          </w:p>
        </w:tc>
        <w:tc>
          <w:tcPr>
            <w:tcW w:w="711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125"/>
              <w:jc w:val="left"/>
              <w:rPr>
                <w:rFonts w:ascii="Tahoma" w:hAnsi="Tahoma"/>
                <w:sz w:val="13"/>
              </w:rPr>
            </w:pPr>
            <w:r>
              <w:rPr>
                <w:rFonts w:ascii="Tahoma" w:hAnsi="Tahoma"/>
                <w:w w:val="105"/>
                <w:sz w:val="13"/>
              </w:rPr>
              <w:t>±800kv</w:t>
            </w:r>
          </w:p>
        </w:tc>
        <w:tc>
          <w:tcPr>
            <w:tcW w:w="687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44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937.9</w:t>
            </w:r>
          </w:p>
        </w:tc>
        <w:tc>
          <w:tcPr>
            <w:tcW w:w="1194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98" w:right="83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206.6</w:t>
            </w: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73" w:right="63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2023/2</w:t>
            </w: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74" w:right="62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2023/3</w:t>
            </w:r>
          </w:p>
        </w:tc>
        <w:tc>
          <w:tcPr>
            <w:tcW w:w="1361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8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211" w:right="197"/>
              <w:rPr>
                <w:sz w:val="13"/>
              </w:rPr>
            </w:pPr>
            <w:r>
              <w:rPr>
                <w:w w:val="105"/>
                <w:sz w:val="13"/>
              </w:rPr>
              <w:t>甘肃段铁塔组立首基试点圆满完成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哈密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重庆</w:t>
            </w:r>
          </w:p>
        </w:tc>
        <w:tc>
          <w:tcPr>
            <w:tcW w:w="711" w:type="dxa"/>
          </w:tcPr>
          <w:p>
            <w:pPr>
              <w:pStyle w:val="TableParagraph"/>
              <w:spacing w:before="4" w:line="139" w:lineRule="exact"/>
              <w:ind w:left="125"/>
              <w:jc w:val="left"/>
              <w:rPr>
                <w:rFonts w:ascii="Tahoma" w:hAnsi="Tahoma"/>
                <w:sz w:val="13"/>
              </w:rPr>
            </w:pPr>
            <w:r>
              <w:rPr>
                <w:rFonts w:ascii="Tahoma" w:hAnsi="Tahoma"/>
                <w:w w:val="105"/>
                <w:sz w:val="13"/>
              </w:rPr>
              <w:t>±800kv</w:t>
            </w:r>
          </w:p>
        </w:tc>
        <w:tc>
          <w:tcPr>
            <w:tcW w:w="687" w:type="dxa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2300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 w:line="139" w:lineRule="exact"/>
              <w:ind w:left="98" w:right="8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288</w:t>
            </w: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6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10" w:line="133" w:lineRule="exact"/>
              <w:ind w:left="211" w:right="197"/>
              <w:rPr>
                <w:sz w:val="13"/>
              </w:rPr>
            </w:pPr>
            <w:r>
              <w:rPr>
                <w:w w:val="105"/>
                <w:sz w:val="13"/>
              </w:rPr>
              <w:t>甘肃段开展首次质量监督检查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宁夏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湖南</w:t>
            </w:r>
          </w:p>
        </w:tc>
        <w:tc>
          <w:tcPr>
            <w:tcW w:w="711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125"/>
              <w:jc w:val="left"/>
              <w:rPr>
                <w:rFonts w:ascii="Tahoma" w:hAnsi="Tahoma"/>
                <w:sz w:val="13"/>
              </w:rPr>
            </w:pPr>
            <w:r>
              <w:rPr>
                <w:rFonts w:ascii="Tahoma" w:hAnsi="Tahoma"/>
                <w:w w:val="105"/>
                <w:sz w:val="13"/>
              </w:rPr>
              <w:t>±800kv</w:t>
            </w:r>
          </w:p>
        </w:tc>
        <w:tc>
          <w:tcPr>
            <w:tcW w:w="687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1619</w:t>
            </w:r>
          </w:p>
        </w:tc>
        <w:tc>
          <w:tcPr>
            <w:tcW w:w="1194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98" w:right="82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274.82</w:t>
            </w: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73" w:right="63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2023/5</w:t>
            </w: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74" w:right="62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2023/6</w:t>
            </w:r>
          </w:p>
        </w:tc>
        <w:tc>
          <w:tcPr>
            <w:tcW w:w="136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106" w:right="86"/>
              <w:rPr>
                <w:sz w:val="13"/>
              </w:rPr>
            </w:pPr>
            <w:r>
              <w:rPr>
                <w:rFonts w:ascii="Tahoma" w:eastAsia="Tahoma"/>
                <w:w w:val="105"/>
                <w:sz w:val="13"/>
              </w:rPr>
              <w:t>2025</w:t>
            </w:r>
            <w:r>
              <w:rPr>
                <w:w w:val="105"/>
                <w:sz w:val="13"/>
              </w:rPr>
              <w:t>（预计）</w:t>
            </w:r>
          </w:p>
        </w:tc>
        <w:tc>
          <w:tcPr>
            <w:tcW w:w="258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212" w:right="197"/>
              <w:rPr>
                <w:sz w:val="13"/>
              </w:rPr>
            </w:pPr>
            <w:r>
              <w:rPr>
                <w:w w:val="105"/>
                <w:sz w:val="13"/>
              </w:rPr>
              <w:t>全面建设阶段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藏东南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粤港澳</w:t>
            </w:r>
          </w:p>
        </w:tc>
        <w:tc>
          <w:tcPr>
            <w:tcW w:w="711" w:type="dxa"/>
          </w:tcPr>
          <w:p>
            <w:pPr>
              <w:pStyle w:val="TableParagraph"/>
              <w:spacing w:before="3" w:line="139" w:lineRule="exact"/>
              <w:ind w:left="125"/>
              <w:jc w:val="left"/>
              <w:rPr>
                <w:rFonts w:ascii="Tahoma" w:hAnsi="Tahoma"/>
                <w:sz w:val="13"/>
              </w:rPr>
            </w:pPr>
            <w:r>
              <w:rPr>
                <w:rFonts w:ascii="Tahoma" w:hAnsi="Tahoma"/>
                <w:w w:val="105"/>
                <w:sz w:val="13"/>
              </w:rPr>
              <w:t>±800kv</w:t>
            </w:r>
          </w:p>
        </w:tc>
        <w:tc>
          <w:tcPr>
            <w:tcW w:w="687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6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10" w:line="133" w:lineRule="exact"/>
              <w:ind w:left="212" w:right="197"/>
              <w:rPr>
                <w:sz w:val="13"/>
              </w:rPr>
            </w:pPr>
            <w:r>
              <w:rPr>
                <w:rFonts w:ascii="Tahoma" w:eastAsia="Tahoma"/>
                <w:w w:val="105"/>
                <w:sz w:val="13"/>
              </w:rPr>
              <w:t>2023</w:t>
            </w:r>
            <w:r>
              <w:rPr>
                <w:w w:val="105"/>
                <w:sz w:val="13"/>
              </w:rPr>
              <w:t>年</w:t>
            </w:r>
            <w:r>
              <w:rPr>
                <w:rFonts w:ascii="Tahoma" w:eastAsia="Tahoma"/>
                <w:w w:val="105"/>
                <w:sz w:val="13"/>
              </w:rPr>
              <w:t>5</w:t>
            </w:r>
            <w:r>
              <w:rPr>
                <w:w w:val="105"/>
                <w:sz w:val="13"/>
              </w:rPr>
              <w:t>月环评公示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甘肃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浙江</w:t>
            </w:r>
          </w:p>
        </w:tc>
        <w:tc>
          <w:tcPr>
            <w:tcW w:w="711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125"/>
              <w:jc w:val="left"/>
              <w:rPr>
                <w:rFonts w:ascii="Tahoma" w:hAnsi="Tahoma"/>
                <w:sz w:val="13"/>
              </w:rPr>
            </w:pPr>
            <w:r>
              <w:rPr>
                <w:rFonts w:ascii="Tahoma" w:hAnsi="Tahoma"/>
                <w:w w:val="105"/>
                <w:sz w:val="13"/>
              </w:rPr>
              <w:t>±800kv</w:t>
            </w:r>
          </w:p>
        </w:tc>
        <w:tc>
          <w:tcPr>
            <w:tcW w:w="687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4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61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8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212" w:right="197"/>
              <w:rPr>
                <w:sz w:val="13"/>
              </w:rPr>
            </w:pPr>
            <w:r>
              <w:rPr>
                <w:w w:val="105"/>
                <w:sz w:val="13"/>
              </w:rPr>
              <w:t>开启项目前期工作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陕西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河南</w:t>
            </w:r>
          </w:p>
        </w:tc>
        <w:tc>
          <w:tcPr>
            <w:tcW w:w="711" w:type="dxa"/>
          </w:tcPr>
          <w:p>
            <w:pPr>
              <w:pStyle w:val="TableParagraph"/>
              <w:spacing w:before="4" w:line="139" w:lineRule="exact"/>
              <w:ind w:left="125"/>
              <w:jc w:val="left"/>
              <w:rPr>
                <w:rFonts w:ascii="Tahoma" w:hAnsi="Tahoma"/>
                <w:sz w:val="13"/>
              </w:rPr>
            </w:pPr>
            <w:r>
              <w:rPr>
                <w:rFonts w:ascii="Tahoma" w:hAnsi="Tahoma"/>
                <w:w w:val="105"/>
                <w:sz w:val="13"/>
              </w:rPr>
              <w:t>±800kv</w:t>
            </w:r>
          </w:p>
        </w:tc>
        <w:tc>
          <w:tcPr>
            <w:tcW w:w="687" w:type="dxa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765</w:t>
            </w:r>
          </w:p>
        </w:tc>
        <w:tc>
          <w:tcPr>
            <w:tcW w:w="119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61" w:type="dxa"/>
          </w:tcPr>
          <w:p>
            <w:pPr>
              <w:pStyle w:val="TableParagraph"/>
              <w:spacing w:before="10" w:line="133" w:lineRule="exact"/>
              <w:ind w:left="106" w:right="86"/>
              <w:rPr>
                <w:sz w:val="13"/>
              </w:rPr>
            </w:pPr>
            <w:r>
              <w:rPr>
                <w:rFonts w:ascii="Tahoma" w:eastAsia="Tahoma"/>
                <w:w w:val="105"/>
                <w:sz w:val="13"/>
              </w:rPr>
              <w:t>2025</w:t>
            </w:r>
            <w:r>
              <w:rPr>
                <w:w w:val="105"/>
                <w:sz w:val="13"/>
              </w:rPr>
              <w:t>（预计）</w:t>
            </w:r>
          </w:p>
        </w:tc>
        <w:tc>
          <w:tcPr>
            <w:tcW w:w="2581" w:type="dxa"/>
          </w:tcPr>
          <w:p>
            <w:pPr>
              <w:pStyle w:val="TableParagraph"/>
              <w:spacing w:before="10" w:line="133" w:lineRule="exact"/>
              <w:ind w:left="212" w:right="197"/>
              <w:rPr>
                <w:sz w:val="13"/>
              </w:rPr>
            </w:pPr>
            <w:r>
              <w:rPr>
                <w:rFonts w:ascii="Tahoma" w:eastAsia="Tahoma"/>
                <w:w w:val="105"/>
                <w:sz w:val="13"/>
              </w:rPr>
              <w:t>23</w:t>
            </w:r>
            <w:r>
              <w:rPr>
                <w:w w:val="105"/>
                <w:sz w:val="13"/>
              </w:rPr>
              <w:t>年</w:t>
            </w:r>
            <w:r>
              <w:rPr>
                <w:rFonts w:ascii="Tahoma" w:eastAsia="Tahoma"/>
                <w:w w:val="105"/>
                <w:sz w:val="13"/>
              </w:rPr>
              <w:t>5</w:t>
            </w:r>
            <w:r>
              <w:rPr>
                <w:w w:val="105"/>
                <w:sz w:val="13"/>
              </w:rPr>
              <w:t>月可研工作启动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陕北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安徽</w:t>
            </w:r>
          </w:p>
        </w:tc>
        <w:tc>
          <w:tcPr>
            <w:tcW w:w="711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125"/>
              <w:jc w:val="left"/>
              <w:rPr>
                <w:rFonts w:ascii="Tahoma" w:hAnsi="Tahoma"/>
                <w:sz w:val="13"/>
              </w:rPr>
            </w:pPr>
            <w:r>
              <w:rPr>
                <w:rFonts w:ascii="Tahoma" w:hAnsi="Tahoma"/>
                <w:w w:val="105"/>
                <w:sz w:val="13"/>
              </w:rPr>
              <w:t>±800kv</w:t>
            </w:r>
          </w:p>
        </w:tc>
        <w:tc>
          <w:tcPr>
            <w:tcW w:w="687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1063</w:t>
            </w:r>
          </w:p>
        </w:tc>
        <w:tc>
          <w:tcPr>
            <w:tcW w:w="1194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61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8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212" w:right="196"/>
              <w:rPr>
                <w:sz w:val="13"/>
              </w:rPr>
            </w:pPr>
            <w:r>
              <w:rPr>
                <w:w w:val="105"/>
                <w:sz w:val="13"/>
              </w:rPr>
              <w:t>环评公示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蒙西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京津冀</w:t>
            </w:r>
          </w:p>
        </w:tc>
        <w:tc>
          <w:tcPr>
            <w:tcW w:w="71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687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spacing w:before="10" w:line="133" w:lineRule="exact"/>
              <w:ind w:left="74" w:right="63"/>
              <w:rPr>
                <w:sz w:val="13"/>
              </w:rPr>
            </w:pPr>
            <w:r>
              <w:rPr>
                <w:rFonts w:ascii="Tahoma" w:eastAsia="Tahoma"/>
                <w:w w:val="105"/>
                <w:sz w:val="13"/>
              </w:rPr>
              <w:t>2023</w:t>
            </w:r>
            <w:r>
              <w:rPr>
                <w:w w:val="105"/>
                <w:sz w:val="13"/>
              </w:rPr>
              <w:t>（预计）</w:t>
            </w:r>
          </w:p>
        </w:tc>
        <w:tc>
          <w:tcPr>
            <w:tcW w:w="1033" w:type="dxa"/>
          </w:tcPr>
          <w:p>
            <w:pPr>
              <w:pStyle w:val="TableParagraph"/>
              <w:spacing w:before="10" w:line="133" w:lineRule="exact"/>
              <w:ind w:left="74" w:right="62"/>
              <w:rPr>
                <w:sz w:val="13"/>
              </w:rPr>
            </w:pPr>
            <w:r>
              <w:rPr>
                <w:rFonts w:ascii="Tahoma" w:eastAsia="Tahoma"/>
                <w:w w:val="105"/>
                <w:sz w:val="13"/>
              </w:rPr>
              <w:t>2023</w:t>
            </w:r>
            <w:r>
              <w:rPr>
                <w:w w:val="105"/>
                <w:sz w:val="13"/>
              </w:rPr>
              <w:t>（预计）</w:t>
            </w:r>
          </w:p>
        </w:tc>
        <w:tc>
          <w:tcPr>
            <w:tcW w:w="136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0531" w:type="dxa"/>
            <w:gridSpan w:val="8"/>
            <w:shd w:val="clear" w:color="auto" w:fill="F1F1F1"/>
          </w:tcPr>
          <w:p>
            <w:pPr>
              <w:pStyle w:val="TableParagraph"/>
              <w:spacing w:before="10" w:line="133" w:lineRule="exact"/>
              <w:ind w:left="4976" w:right="4959"/>
              <w:rPr>
                <w:sz w:val="13"/>
              </w:rPr>
            </w:pPr>
            <w:r>
              <w:rPr>
                <w:w w:val="105"/>
                <w:sz w:val="13"/>
              </w:rPr>
              <w:t>交流输电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驻马店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武汉</w:t>
            </w:r>
          </w:p>
        </w:tc>
        <w:tc>
          <w:tcPr>
            <w:tcW w:w="711" w:type="dxa"/>
          </w:tcPr>
          <w:p>
            <w:pPr>
              <w:pStyle w:val="TableParagraph"/>
              <w:spacing w:before="4" w:line="139" w:lineRule="exact"/>
              <w:ind w:left="137"/>
              <w:jc w:val="left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1000kv</w:t>
            </w:r>
          </w:p>
        </w:tc>
        <w:tc>
          <w:tcPr>
            <w:tcW w:w="687" w:type="dxa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287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 w:line="139" w:lineRule="exact"/>
              <w:ind w:left="98" w:right="88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38</w:t>
            </w: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spacing w:before="4" w:line="139" w:lineRule="exact"/>
              <w:ind w:left="74" w:right="62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2022/3</w:t>
            </w:r>
          </w:p>
        </w:tc>
        <w:tc>
          <w:tcPr>
            <w:tcW w:w="1361" w:type="dxa"/>
          </w:tcPr>
          <w:p>
            <w:pPr>
              <w:pStyle w:val="TableParagraph"/>
              <w:spacing w:before="4" w:line="139" w:lineRule="exact"/>
              <w:ind w:left="106" w:right="85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2023/11</w:t>
            </w:r>
          </w:p>
        </w:tc>
        <w:tc>
          <w:tcPr>
            <w:tcW w:w="2581" w:type="dxa"/>
          </w:tcPr>
          <w:p>
            <w:pPr>
              <w:pStyle w:val="TableParagraph"/>
              <w:spacing w:before="10" w:line="133" w:lineRule="exact"/>
              <w:ind w:left="212" w:right="196"/>
              <w:rPr>
                <w:sz w:val="13"/>
              </w:rPr>
            </w:pPr>
            <w:r>
              <w:rPr>
                <w:w w:val="105"/>
                <w:sz w:val="13"/>
              </w:rPr>
              <w:t>竣工投产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福州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厦门</w:t>
            </w:r>
          </w:p>
        </w:tc>
        <w:tc>
          <w:tcPr>
            <w:tcW w:w="711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137"/>
              <w:jc w:val="left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1000kv</w:t>
            </w:r>
          </w:p>
        </w:tc>
        <w:tc>
          <w:tcPr>
            <w:tcW w:w="687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238</w:t>
            </w:r>
          </w:p>
        </w:tc>
        <w:tc>
          <w:tcPr>
            <w:tcW w:w="1194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98" w:right="88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71</w:t>
            </w: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74" w:right="62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2022/3</w:t>
            </w:r>
          </w:p>
        </w:tc>
        <w:tc>
          <w:tcPr>
            <w:tcW w:w="1361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106" w:right="85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2023/12</w:t>
            </w:r>
          </w:p>
        </w:tc>
        <w:tc>
          <w:tcPr>
            <w:tcW w:w="258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212" w:right="196"/>
              <w:rPr>
                <w:sz w:val="13"/>
              </w:rPr>
            </w:pPr>
            <w:r>
              <w:rPr>
                <w:w w:val="105"/>
                <w:sz w:val="13"/>
              </w:rPr>
              <w:t>投运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武汉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南昌</w:t>
            </w:r>
          </w:p>
        </w:tc>
        <w:tc>
          <w:tcPr>
            <w:tcW w:w="711" w:type="dxa"/>
          </w:tcPr>
          <w:p>
            <w:pPr>
              <w:pStyle w:val="TableParagraph"/>
              <w:spacing w:before="4" w:line="139" w:lineRule="exact"/>
              <w:ind w:left="137"/>
              <w:jc w:val="left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1000kv</w:t>
            </w:r>
          </w:p>
        </w:tc>
        <w:tc>
          <w:tcPr>
            <w:tcW w:w="687" w:type="dxa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926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 w:line="139" w:lineRule="exact"/>
              <w:ind w:left="98" w:right="88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91</w:t>
            </w:r>
          </w:p>
        </w:tc>
        <w:tc>
          <w:tcPr>
            <w:tcW w:w="1033" w:type="dxa"/>
          </w:tcPr>
          <w:p>
            <w:pPr>
              <w:pStyle w:val="TableParagraph"/>
              <w:spacing w:before="4" w:line="139" w:lineRule="exact"/>
              <w:ind w:left="74" w:right="63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2022</w:t>
            </w:r>
          </w:p>
        </w:tc>
        <w:tc>
          <w:tcPr>
            <w:tcW w:w="1033" w:type="dxa"/>
          </w:tcPr>
          <w:p>
            <w:pPr>
              <w:pStyle w:val="TableParagraph"/>
              <w:spacing w:before="4" w:line="139" w:lineRule="exact"/>
              <w:ind w:left="74" w:right="62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2022/9</w:t>
            </w:r>
          </w:p>
        </w:tc>
        <w:tc>
          <w:tcPr>
            <w:tcW w:w="1361" w:type="dxa"/>
          </w:tcPr>
          <w:p>
            <w:pPr>
              <w:pStyle w:val="TableParagraph"/>
              <w:spacing w:before="10" w:line="133" w:lineRule="exact"/>
              <w:ind w:left="106" w:right="86"/>
              <w:rPr>
                <w:sz w:val="13"/>
              </w:rPr>
            </w:pPr>
            <w:r>
              <w:rPr>
                <w:rFonts w:ascii="Tahoma" w:eastAsia="Tahoma"/>
                <w:w w:val="105"/>
                <w:sz w:val="13"/>
              </w:rPr>
              <w:t>2023</w:t>
            </w:r>
            <w:r>
              <w:rPr>
                <w:w w:val="105"/>
                <w:sz w:val="13"/>
              </w:rPr>
              <w:t>年底（预计）</w:t>
            </w:r>
          </w:p>
        </w:tc>
        <w:tc>
          <w:tcPr>
            <w:tcW w:w="2581" w:type="dxa"/>
          </w:tcPr>
          <w:p>
            <w:pPr>
              <w:pStyle w:val="TableParagraph"/>
              <w:spacing w:before="10" w:line="133" w:lineRule="exact"/>
              <w:ind w:left="212" w:right="196"/>
              <w:rPr>
                <w:sz w:val="13"/>
              </w:rPr>
            </w:pPr>
            <w:r>
              <w:rPr>
                <w:w w:val="105"/>
                <w:sz w:val="13"/>
              </w:rPr>
              <w:t>建设阶段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张北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胜利</w:t>
            </w:r>
          </w:p>
        </w:tc>
        <w:tc>
          <w:tcPr>
            <w:tcW w:w="711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137"/>
              <w:jc w:val="left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1000kv</w:t>
            </w:r>
          </w:p>
        </w:tc>
        <w:tc>
          <w:tcPr>
            <w:tcW w:w="687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366</w:t>
            </w:r>
          </w:p>
        </w:tc>
        <w:tc>
          <w:tcPr>
            <w:tcW w:w="1194" w:type="dxa"/>
            <w:shd w:val="clear" w:color="auto" w:fill="F1F1F1"/>
          </w:tcPr>
          <w:p>
            <w:pPr>
              <w:pStyle w:val="TableParagraph"/>
              <w:spacing w:before="4" w:line="139" w:lineRule="exact"/>
              <w:ind w:left="98" w:right="88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64</w:t>
            </w: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6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106" w:right="86"/>
              <w:rPr>
                <w:sz w:val="13"/>
              </w:rPr>
            </w:pPr>
            <w:r>
              <w:rPr>
                <w:w w:val="105"/>
                <w:sz w:val="13"/>
              </w:rPr>
              <w:t>冀北段实现贯通</w:t>
            </w:r>
          </w:p>
        </w:tc>
        <w:tc>
          <w:tcPr>
            <w:tcW w:w="2581" w:type="dxa"/>
            <w:shd w:val="clear" w:color="auto" w:fill="F1F1F1"/>
          </w:tcPr>
          <w:p>
            <w:pPr>
              <w:pStyle w:val="TableParagraph"/>
              <w:spacing w:before="10" w:line="133" w:lineRule="exact"/>
              <w:ind w:left="212" w:right="196"/>
              <w:rPr>
                <w:sz w:val="13"/>
              </w:rPr>
            </w:pPr>
            <w:r>
              <w:rPr>
                <w:w w:val="105"/>
                <w:sz w:val="13"/>
              </w:rPr>
              <w:t>建设阶段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3"/>
          <w:jc w:val="left"/>
        </w:trPr>
        <w:tc>
          <w:tcPr>
            <w:tcW w:w="1931" w:type="dxa"/>
          </w:tcPr>
          <w:p>
            <w:pPr>
              <w:pStyle w:val="TableParagraph"/>
              <w:spacing w:before="10" w:line="133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川渝特高压</w:t>
            </w:r>
          </w:p>
        </w:tc>
        <w:tc>
          <w:tcPr>
            <w:tcW w:w="711" w:type="dxa"/>
          </w:tcPr>
          <w:p>
            <w:pPr>
              <w:pStyle w:val="TableParagraph"/>
              <w:spacing w:before="4" w:line="139" w:lineRule="exact"/>
              <w:ind w:left="137"/>
              <w:jc w:val="left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1000kv</w:t>
            </w:r>
          </w:p>
        </w:tc>
        <w:tc>
          <w:tcPr>
            <w:tcW w:w="687" w:type="dxa"/>
          </w:tcPr>
          <w:p>
            <w:pPr>
              <w:pStyle w:val="TableParagraph"/>
              <w:spacing w:before="4" w:line="139" w:lineRule="exact"/>
              <w:ind w:left="38" w:right="2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658</w:t>
            </w:r>
          </w:p>
        </w:tc>
        <w:tc>
          <w:tcPr>
            <w:tcW w:w="1194" w:type="dxa"/>
          </w:tcPr>
          <w:p>
            <w:pPr>
              <w:pStyle w:val="TableParagraph"/>
              <w:spacing w:before="4" w:line="139" w:lineRule="exact"/>
              <w:ind w:left="98" w:right="89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288</w:t>
            </w: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36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10" w:line="133" w:lineRule="exact"/>
              <w:ind w:left="212" w:right="196"/>
              <w:rPr>
                <w:sz w:val="13"/>
              </w:rPr>
            </w:pPr>
            <w:r>
              <w:rPr>
                <w:w w:val="105"/>
                <w:sz w:val="13"/>
              </w:rPr>
              <w:t>建设阶段</w:t>
            </w:r>
          </w:p>
        </w:tc>
      </w:tr>
      <w:tr>
        <w:tblPrEx>
          <w:tblW w:w="0" w:type="auto"/>
          <w:jc w:val="left"/>
          <w:tblInd w:w="2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6"/>
          <w:jc w:val="left"/>
        </w:trPr>
        <w:tc>
          <w:tcPr>
            <w:tcW w:w="1931" w:type="dxa"/>
            <w:shd w:val="clear" w:color="auto" w:fill="F1F1F1"/>
          </w:tcPr>
          <w:p>
            <w:pPr>
              <w:pStyle w:val="TableParagraph"/>
              <w:spacing w:before="10" w:line="136" w:lineRule="exact"/>
              <w:ind w:left="189" w:right="177"/>
              <w:rPr>
                <w:sz w:val="13"/>
              </w:rPr>
            </w:pPr>
            <w:r>
              <w:rPr>
                <w:w w:val="105"/>
                <w:sz w:val="13"/>
              </w:rPr>
              <w:t>大同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怀来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北京北</w:t>
            </w:r>
            <w:r>
              <w:rPr>
                <w:rFonts w:ascii="Tahoma" w:eastAsia="Tahoma"/>
                <w:w w:val="105"/>
                <w:sz w:val="13"/>
              </w:rPr>
              <w:t>-</w:t>
            </w:r>
            <w:r>
              <w:rPr>
                <w:w w:val="105"/>
                <w:sz w:val="13"/>
              </w:rPr>
              <w:t>天津南</w:t>
            </w:r>
          </w:p>
        </w:tc>
        <w:tc>
          <w:tcPr>
            <w:tcW w:w="711" w:type="dxa"/>
            <w:shd w:val="clear" w:color="auto" w:fill="F1F1F1"/>
          </w:tcPr>
          <w:p>
            <w:pPr>
              <w:pStyle w:val="TableParagraph"/>
              <w:spacing w:before="4" w:line="142" w:lineRule="exact"/>
              <w:ind w:left="137"/>
              <w:jc w:val="left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1000kv</w:t>
            </w:r>
          </w:p>
        </w:tc>
        <w:tc>
          <w:tcPr>
            <w:tcW w:w="687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194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33" w:type="dxa"/>
            <w:shd w:val="clear" w:color="auto" w:fill="F1F1F1"/>
          </w:tcPr>
          <w:p>
            <w:pPr>
              <w:pStyle w:val="TableParagraph"/>
              <w:spacing w:before="4" w:line="142" w:lineRule="exact"/>
              <w:ind w:left="74" w:right="62"/>
              <w:rPr>
                <w:rFonts w:ascii="Tahoma"/>
                <w:sz w:val="13"/>
              </w:rPr>
            </w:pPr>
            <w:r>
              <w:rPr>
                <w:rFonts w:ascii="Tahoma"/>
                <w:w w:val="105"/>
                <w:sz w:val="13"/>
              </w:rPr>
              <w:t>2022/9</w:t>
            </w:r>
          </w:p>
        </w:tc>
        <w:tc>
          <w:tcPr>
            <w:tcW w:w="1361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81" w:type="dxa"/>
            <w:shd w:val="clear" w:color="auto" w:fill="F1F1F1"/>
          </w:tcPr>
          <w:p>
            <w:pPr>
              <w:pStyle w:val="TableParagraph"/>
              <w:spacing w:before="10" w:line="136" w:lineRule="exact"/>
              <w:ind w:left="212" w:right="197"/>
              <w:rPr>
                <w:sz w:val="13"/>
              </w:rPr>
            </w:pPr>
            <w:r>
              <w:rPr>
                <w:rFonts w:ascii="Tahoma" w:eastAsia="Tahoma"/>
                <w:w w:val="105"/>
                <w:sz w:val="13"/>
              </w:rPr>
              <w:t>2023</w:t>
            </w:r>
            <w:r>
              <w:rPr>
                <w:w w:val="105"/>
                <w:sz w:val="13"/>
              </w:rPr>
              <w:t>年</w:t>
            </w:r>
            <w:r>
              <w:rPr>
                <w:rFonts w:ascii="Tahoma" w:eastAsia="Tahoma"/>
                <w:w w:val="105"/>
                <w:sz w:val="13"/>
              </w:rPr>
              <w:t>1</w:t>
            </w:r>
            <w:r>
              <w:rPr>
                <w:w w:val="105"/>
                <w:sz w:val="13"/>
              </w:rPr>
              <w:t>月可研工作启动</w:t>
            </w:r>
          </w:p>
        </w:tc>
      </w:tr>
    </w:tbl>
    <w:p>
      <w:pPr>
        <w:pStyle w:val="BodyText"/>
        <w:spacing w:before="7"/>
        <w:rPr>
          <w:sz w:val="7"/>
        </w:rPr>
      </w:pPr>
    </w:p>
    <w:p>
      <w:pPr>
        <w:pStyle w:val="BodyText"/>
        <w:spacing w:line="20" w:lineRule="exact"/>
        <w:ind w:left="129"/>
        <w:rPr>
          <w:sz w:val="2"/>
        </w:rPr>
      </w:pPr>
      <w:r>
        <w:rPr>
          <w:sz w:val="2"/>
        </w:rPr>
        <w:pict>
          <v:group id="_x0000_i1684" style="width:538.1pt;height:1pt;mso-position-horizontal-relative:char;mso-position-vertical-relative:line" coordorigin="0,0" coordsize="10762,20">
            <v:line id="_x0000_s1685" style="position:absolute" from="0,10" to="10762,10" stroked="t" strokecolor="#004097" strokeweight="0.96pt">
              <v:stroke dashstyle="solid"/>
            </v:line>
            <w10:wrap type="none"/>
          </v:group>
        </w:pict>
      </w:r>
    </w:p>
    <w:p>
      <w:pPr>
        <w:spacing w:before="0"/>
        <w:ind w:left="247" w:right="0" w:firstLine="0"/>
        <w:jc w:val="left"/>
        <w:rPr>
          <w:sz w:val="17"/>
        </w:rPr>
      </w:pPr>
      <w:r>
        <w:t xml:space="preserve">资料来源：北极星输配电网， </w:t>
      </w:r>
    </w:p>
    <w:p>
      <w:pPr>
        <w:pStyle w:val="BodyText"/>
        <w:spacing w:before="11"/>
        <w:rPr>
          <w:sz w:val="18"/>
        </w:rPr>
      </w:pPr>
    </w:p>
    <w:p>
      <w:pPr>
        <w:spacing w:before="13" w:line="230" w:lineRule="auto"/>
        <w:ind w:left="2690" w:right="467" w:firstLine="0"/>
        <w:jc w:val="left"/>
        <w:rPr>
          <w:sz w:val="21"/>
        </w:rPr>
      </w:pPr>
      <w:r>
        <w:rPr>
          <w:rFonts w:ascii="Microsoft JhengHei" w:eastAsia="Microsoft JhengHei" w:hint="eastAsia"/>
          <w:b/>
          <w:spacing w:val="4"/>
          <w:sz w:val="21"/>
        </w:rPr>
        <w:t>特高压核心设备进入壁垒高，市场份额高度集中，各环节公司份额稳定。</w:t>
      </w:r>
      <w:r>
        <w:rPr>
          <w:sz w:val="21"/>
        </w:rPr>
        <w:t>特高压直流、</w:t>
      </w:r>
      <w:r>
        <w:rPr>
          <w:spacing w:val="-3"/>
          <w:sz w:val="21"/>
        </w:rPr>
        <w:t>交流设备生产技术壁垒高，符合生产的企业主要集中在市场头部企业。特高压关系整个 电力系统的安全，目前具有投标资格企业少，各环节公司份额稳定。</w:t>
      </w:r>
    </w:p>
    <w:p>
      <w:pPr>
        <w:spacing w:after="0" w:line="230" w:lineRule="auto"/>
        <w:jc w:val="left"/>
        <w:rPr>
          <w:sz w:val="21"/>
        </w:rPr>
        <w:sectPr>
          <w:headerReference w:type="default" r:id="rId41"/>
          <w:footerReference w:type="default" r:id="rId42"/>
          <w:pgSz w:w="11910" w:h="16840"/>
          <w:pgMar w:top="900" w:right="0" w:bottom="1060" w:left="540" w:header="708" w:footer="708"/>
          <w:pgNumType w:start="19"/>
          <w:cols w:space="708"/>
        </w:sectPr>
      </w:pPr>
    </w:p>
    <w:p>
      <w:pPr>
        <w:pStyle w:val="Heading1"/>
      </w:pPr>
      <w:bookmarkStart w:id="5" w:name="_TOC_250012"/>
      <w:bookmarkEnd w:id="5"/>
      <w:r>
        <w:rPr>
          <w:color w:val="004097"/>
        </w:rPr>
        <w:t>二、配用电出海：优选具备海外渠道优势的企业</w:t>
      </w:r>
    </w:p>
    <w:p>
      <w:pPr>
        <w:pStyle w:val="BodyText"/>
        <w:spacing w:before="2"/>
        <w:rPr>
          <w:rFonts w:ascii="Microsoft JhengHei"/>
          <w:b/>
          <w:sz w:val="25"/>
        </w:rPr>
      </w:pPr>
    </w:p>
    <w:p>
      <w:pPr>
        <w:pStyle w:val="Heading2"/>
        <w:numPr>
          <w:ilvl w:val="1"/>
          <w:numId w:val="10"/>
        </w:numPr>
        <w:tabs>
          <w:tab w:val="left" w:pos="3133"/>
        </w:tabs>
        <w:spacing w:before="0" w:after="0" w:line="377" w:lineRule="exact"/>
        <w:ind w:left="3132" w:right="0" w:hanging="443"/>
        <w:jc w:val="left"/>
      </w:pPr>
      <w:r>
        <w:rPr>
          <w:color w:val="004097"/>
        </w:rPr>
        <w:t>电表行业空间：欧洲电网升级草案有望进一步催化电表出口需求，预计</w:t>
      </w:r>
    </w:p>
    <w:p>
      <w:pPr>
        <w:spacing w:before="0" w:line="377" w:lineRule="exact"/>
        <w:ind w:left="2690" w:right="0" w:firstLine="0"/>
        <w:jc w:val="left"/>
        <w:rPr>
          <w:rFonts w:ascii="Tahoma" w:eastAsia="Tahoma"/>
          <w:b/>
          <w:sz w:val="24"/>
        </w:rPr>
      </w:pPr>
      <w:r>
        <w:rPr>
          <w:rFonts w:ascii="Tahoma" w:eastAsia="Tahoma"/>
          <w:b/>
          <w:color w:val="004097"/>
          <w:sz w:val="24"/>
        </w:rPr>
        <w:t xml:space="preserve">2023-25 </w:t>
      </w:r>
      <w:r>
        <w:rPr>
          <w:rFonts w:ascii="Microsoft JhengHei" w:eastAsia="Microsoft JhengHei" w:hint="eastAsia"/>
          <w:b/>
          <w:color w:val="004097"/>
          <w:sz w:val="24"/>
        </w:rPr>
        <w:t xml:space="preserve">年亚非拉电表出口 </w:t>
      </w:r>
      <w:r>
        <w:rPr>
          <w:rFonts w:ascii="Tahoma" w:eastAsia="Tahoma"/>
          <w:b/>
          <w:color w:val="004097"/>
          <w:sz w:val="24"/>
        </w:rPr>
        <w:t xml:space="preserve">CAGR </w:t>
      </w:r>
      <w:r>
        <w:rPr>
          <w:rFonts w:ascii="Microsoft JhengHei" w:eastAsia="Microsoft JhengHei" w:hint="eastAsia"/>
          <w:b/>
          <w:color w:val="004097"/>
          <w:sz w:val="24"/>
        </w:rPr>
        <w:t xml:space="preserve">达 </w:t>
      </w:r>
      <w:r>
        <w:rPr>
          <w:rFonts w:ascii="Tahoma" w:eastAsia="Tahoma"/>
          <w:b/>
          <w:color w:val="004097"/>
          <w:sz w:val="24"/>
        </w:rPr>
        <w:t>30%+</w:t>
      </w:r>
    </w:p>
    <w:p>
      <w:pPr>
        <w:spacing w:before="64" w:line="228" w:lineRule="auto"/>
        <w:ind w:left="2690" w:right="672" w:firstLine="0"/>
        <w:jc w:val="both"/>
        <w:rPr>
          <w:sz w:val="21"/>
        </w:rPr>
      </w:pPr>
      <w:r>
        <w:rPr>
          <w:rFonts w:ascii="Microsoft JhengHei" w:eastAsia="Microsoft JhengHei" w:hAnsi="Microsoft JhengHei" w:hint="eastAsia"/>
          <w:b/>
          <w:spacing w:val="4"/>
          <w:sz w:val="21"/>
        </w:rPr>
        <w:t>智能电表为用电环节重要终端设备，用电环节占电网智能化投资比例最高。</w:t>
      </w:r>
      <w:r>
        <w:rPr>
          <w:spacing w:val="4"/>
          <w:sz w:val="21"/>
        </w:rPr>
        <w:t>为进一步</w:t>
      </w:r>
      <w:r>
        <w:rPr>
          <w:spacing w:val="-3"/>
          <w:sz w:val="21"/>
        </w:rPr>
        <w:t>优化资源大范围配置能力以及提升电网智能化水平，</w:t>
      </w:r>
      <w:r>
        <w:rPr>
          <w:rFonts w:ascii="Tahoma" w:eastAsia="Tahoma" w:hAnsi="Tahoma"/>
          <w:sz w:val="21"/>
        </w:rPr>
        <w:t>2010</w:t>
      </w:r>
      <w:r>
        <w:rPr>
          <w:rFonts w:ascii="Tahoma" w:eastAsia="Tahoma" w:hAnsi="Tahoma"/>
          <w:spacing w:val="35"/>
          <w:sz w:val="21"/>
        </w:rPr>
        <w:t xml:space="preserve"> </w:t>
      </w:r>
      <w:r>
        <w:rPr>
          <w:spacing w:val="5"/>
          <w:sz w:val="21"/>
        </w:rPr>
        <w:t xml:space="preserve">年 </w:t>
      </w:r>
      <w:r>
        <w:rPr>
          <w:rFonts w:ascii="Tahoma" w:eastAsia="Tahoma" w:hAnsi="Tahoma"/>
          <w:sz w:val="21"/>
        </w:rPr>
        <w:t>9</w:t>
      </w:r>
      <w:r>
        <w:rPr>
          <w:rFonts w:ascii="Tahoma" w:eastAsia="Tahoma" w:hAnsi="Tahoma"/>
          <w:spacing w:val="32"/>
          <w:sz w:val="21"/>
        </w:rPr>
        <w:t xml:space="preserve"> </w:t>
      </w:r>
      <w:r>
        <w:rPr>
          <w:spacing w:val="-3"/>
          <w:sz w:val="21"/>
        </w:rPr>
        <w:t>月国家电网发布《国家</w:t>
      </w:r>
      <w:r>
        <w:rPr>
          <w:spacing w:val="-8"/>
          <w:sz w:val="21"/>
        </w:rPr>
        <w:t>电网公司“十二五”电网智能化规划》，正式启动国内智能电网的建设。据国家电网公</w:t>
      </w:r>
    </w:p>
    <w:p>
      <w:pPr>
        <w:pStyle w:val="BodyText"/>
        <w:spacing w:before="17"/>
        <w:ind w:left="2690"/>
      </w:pPr>
      <w:r>
        <w:rPr>
          <w:spacing w:val="6"/>
        </w:rPr>
        <w:t>布的《国家电网智能化规划总报告》，智能电网建设分为三个阶段：规划试点阶段</w:t>
      </w:r>
    </w:p>
    <w:p>
      <w:pPr>
        <w:pStyle w:val="BodyText"/>
        <w:spacing w:before="9" w:line="249" w:lineRule="auto"/>
        <w:ind w:left="2690" w:right="672"/>
        <w:jc w:val="both"/>
      </w:pPr>
      <w:r>
        <w:rPr>
          <w:w w:val="100"/>
        </w:rPr>
        <w:t>（</w:t>
      </w:r>
      <w:r>
        <w:rPr>
          <w:rFonts w:ascii="Tahoma" w:eastAsia="Tahoma"/>
          <w:spacing w:val="-1"/>
          <w:w w:val="100"/>
        </w:rPr>
        <w:t>200</w:t>
      </w:r>
      <w:r>
        <w:rPr>
          <w:rFonts w:ascii="Tahoma" w:eastAsia="Tahoma"/>
          <w:spacing w:val="-2"/>
          <w:w w:val="100"/>
        </w:rPr>
        <w:t>9</w:t>
      </w:r>
      <w:r>
        <w:rPr>
          <w:rFonts w:ascii="Tahoma" w:eastAsia="Tahoma"/>
          <w:w w:val="100"/>
        </w:rPr>
        <w:t>-20</w:t>
      </w:r>
      <w:r>
        <w:rPr>
          <w:rFonts w:ascii="Tahoma" w:eastAsia="Tahoma"/>
          <w:spacing w:val="-3"/>
          <w:w w:val="100"/>
        </w:rPr>
        <w:t>1</w:t>
      </w:r>
      <w:r>
        <w:rPr>
          <w:rFonts w:ascii="Tahoma" w:eastAsia="Tahoma"/>
          <w:w w:val="100"/>
        </w:rPr>
        <w:t>0</w:t>
      </w:r>
      <w:r>
        <w:rPr>
          <w:rFonts w:ascii="Tahoma" w:eastAsia="Tahoma"/>
        </w:rPr>
        <w:t xml:space="preserve"> </w:t>
      </w:r>
      <w:r>
        <w:rPr>
          <w:w w:val="100"/>
        </w:rPr>
        <w:t>年</w:t>
      </w:r>
      <w:r>
        <w:rPr>
          <w:spacing w:val="-106"/>
          <w:w w:val="100"/>
        </w:rPr>
        <w:t>）</w:t>
      </w:r>
      <w:r>
        <w:rPr>
          <w:spacing w:val="-3"/>
          <w:w w:val="100"/>
        </w:rPr>
        <w:t>、全面建设阶段</w:t>
      </w:r>
      <w:r>
        <w:rPr>
          <w:w w:val="100"/>
        </w:rPr>
        <w:t>（</w:t>
      </w:r>
      <w:r>
        <w:rPr>
          <w:rFonts w:ascii="Tahoma" w:eastAsia="Tahoma"/>
          <w:w w:val="100"/>
        </w:rPr>
        <w:t>2</w:t>
      </w:r>
      <w:r>
        <w:rPr>
          <w:rFonts w:ascii="Tahoma" w:eastAsia="Tahoma"/>
          <w:spacing w:val="-3"/>
          <w:w w:val="100"/>
        </w:rPr>
        <w:t>0</w:t>
      </w:r>
      <w:r>
        <w:rPr>
          <w:rFonts w:ascii="Tahoma" w:eastAsia="Tahoma"/>
          <w:w w:val="100"/>
        </w:rPr>
        <w:t>1</w:t>
      </w:r>
      <w:r>
        <w:rPr>
          <w:rFonts w:ascii="Tahoma" w:eastAsia="Tahoma"/>
          <w:spacing w:val="-1"/>
          <w:w w:val="100"/>
        </w:rPr>
        <w:t>1</w:t>
      </w:r>
      <w:r>
        <w:rPr>
          <w:rFonts w:ascii="Tahoma" w:eastAsia="Tahoma"/>
          <w:w w:val="100"/>
        </w:rPr>
        <w:t>-</w:t>
      </w:r>
      <w:r>
        <w:rPr>
          <w:rFonts w:ascii="Tahoma" w:eastAsia="Tahoma"/>
          <w:spacing w:val="-3"/>
          <w:w w:val="100"/>
        </w:rPr>
        <w:t>2</w:t>
      </w:r>
      <w:r>
        <w:rPr>
          <w:rFonts w:ascii="Tahoma" w:eastAsia="Tahoma"/>
          <w:w w:val="100"/>
        </w:rPr>
        <w:t>015</w:t>
      </w:r>
      <w:r>
        <w:rPr>
          <w:rFonts w:ascii="Tahoma" w:eastAsia="Tahoma"/>
        </w:rPr>
        <w:t xml:space="preserve"> </w:t>
      </w:r>
      <w:r>
        <w:rPr>
          <w:w w:val="100"/>
        </w:rPr>
        <w:t>年</w:t>
      </w:r>
      <w:r>
        <w:rPr>
          <w:spacing w:val="-3"/>
          <w:w w:val="100"/>
        </w:rPr>
        <w:t>）和引领提升阶段</w:t>
      </w:r>
      <w:r>
        <w:rPr>
          <w:w w:val="100"/>
        </w:rPr>
        <w:t>（</w:t>
      </w:r>
      <w:r>
        <w:rPr>
          <w:rFonts w:ascii="Tahoma" w:eastAsia="Tahoma"/>
          <w:w w:val="100"/>
        </w:rPr>
        <w:t>2</w:t>
      </w:r>
      <w:r>
        <w:rPr>
          <w:rFonts w:ascii="Tahoma" w:eastAsia="Tahoma"/>
          <w:spacing w:val="-3"/>
          <w:w w:val="100"/>
        </w:rPr>
        <w:t>0</w:t>
      </w:r>
      <w:r>
        <w:rPr>
          <w:rFonts w:ascii="Tahoma" w:eastAsia="Tahoma"/>
          <w:w w:val="100"/>
        </w:rPr>
        <w:t>1</w:t>
      </w:r>
      <w:r>
        <w:rPr>
          <w:rFonts w:ascii="Tahoma" w:eastAsia="Tahoma"/>
          <w:spacing w:val="-1"/>
          <w:w w:val="100"/>
        </w:rPr>
        <w:t>6</w:t>
      </w:r>
      <w:r>
        <w:rPr>
          <w:rFonts w:ascii="Tahoma" w:eastAsia="Tahoma"/>
          <w:w w:val="100"/>
        </w:rPr>
        <w:t>-</w:t>
      </w:r>
      <w:r>
        <w:rPr>
          <w:rFonts w:ascii="Tahoma" w:eastAsia="Tahoma"/>
          <w:spacing w:val="-3"/>
          <w:w w:val="100"/>
        </w:rPr>
        <w:t>20</w:t>
      </w:r>
      <w:r>
        <w:rPr>
          <w:rFonts w:ascii="Tahoma" w:eastAsia="Tahoma"/>
          <w:w w:val="100"/>
        </w:rPr>
        <w:t>20</w:t>
      </w:r>
      <w:r>
        <w:rPr>
          <w:rFonts w:ascii="Tahoma" w:eastAsia="Tahoma"/>
        </w:rPr>
        <w:t xml:space="preserve"> </w:t>
      </w:r>
      <w:r>
        <w:rPr>
          <w:spacing w:val="-3"/>
          <w:w w:val="100"/>
        </w:rPr>
        <w:t>年</w:t>
      </w:r>
      <w:r>
        <w:rPr>
          <w:spacing w:val="-106"/>
          <w:w w:val="100"/>
        </w:rPr>
        <w:t>）</w:t>
      </w:r>
      <w:r>
        <w:rPr>
          <w:w w:val="100"/>
        </w:rPr>
        <w:t>，</w:t>
      </w:r>
      <w:r>
        <w:rPr>
          <w:spacing w:val="-4"/>
        </w:rPr>
        <w:t xml:space="preserve">三个阶段电网智能化投资合计约为 </w:t>
      </w:r>
      <w:r>
        <w:rPr>
          <w:rFonts w:ascii="Tahoma" w:eastAsia="Tahoma"/>
        </w:rPr>
        <w:t xml:space="preserve">3,841 </w:t>
      </w:r>
      <w:r>
        <w:rPr>
          <w:spacing w:val="-4"/>
        </w:rPr>
        <w:t xml:space="preserve">亿元，占电网总投资比例为 </w:t>
      </w:r>
      <w:r>
        <w:rPr>
          <w:rFonts w:ascii="Tahoma" w:eastAsia="Tahoma"/>
        </w:rPr>
        <w:t>11.13%</w:t>
      </w:r>
      <w:r>
        <w:rPr>
          <w:spacing w:val="-1"/>
        </w:rPr>
        <w:t>，其中用电环节占智能化投资比例最高，为</w:t>
      </w:r>
      <w:r>
        <w:rPr>
          <w:rFonts w:ascii="Tahoma" w:eastAsia="Tahoma"/>
        </w:rPr>
        <w:t>30.8%</w:t>
      </w:r>
      <w:r>
        <w:rPr>
          <w:spacing w:val="-3"/>
        </w:rPr>
        <w:t>，重点发展的关键设备包括电力用户用电信息</w:t>
      </w:r>
      <w:r>
        <w:rPr>
          <w:spacing w:val="-2"/>
        </w:rPr>
        <w:t>采集专用芯片、采集终端、主站系统、智能电表等；其次是配电环节占比</w:t>
      </w:r>
      <w:r>
        <w:rPr>
          <w:rFonts w:ascii="Tahoma" w:eastAsia="Tahoma"/>
        </w:rPr>
        <w:t>23.2%</w:t>
      </w:r>
      <w:r>
        <w:rPr>
          <w:spacing w:val="-2"/>
        </w:rPr>
        <w:t>、变电</w:t>
      </w:r>
      <w:r>
        <w:rPr>
          <w:spacing w:val="-13"/>
        </w:rPr>
        <w:t xml:space="preserve">环节占比 </w:t>
      </w:r>
      <w:r>
        <w:rPr>
          <w:rFonts w:ascii="Tahoma" w:eastAsia="Tahoma"/>
        </w:rPr>
        <w:t>19.5%</w:t>
      </w:r>
      <w:r>
        <w:t>。</w:t>
      </w:r>
    </w:p>
    <w:p>
      <w:pPr>
        <w:pStyle w:val="BodyText"/>
        <w:spacing w:before="3"/>
        <w:rPr>
          <w:sz w:val="25"/>
        </w:rPr>
      </w:pPr>
    </w:p>
    <w:p>
      <w:pPr>
        <w:spacing w:before="0"/>
        <w:ind w:left="2798" w:right="0" w:firstLine="0"/>
        <w:jc w:val="left"/>
        <w:rPr>
          <w:sz w:val="17"/>
        </w:rPr>
      </w:pPr>
      <w:r>
        <w:pict>
          <v:shape id="_x0000_s1686" style="width:399.8pt;height:0.1pt;margin-top:14.62pt;margin-left:161.54pt;mso-position-horizontal-relative:page;mso-wrap-distance-left:0;mso-wrap-distance-right:0;position:absolute;z-index:-251589632" coordorigin="3231,292" coordsize="7996,0" path="m3231,292l11227,292e" filled="f" stroked="t" strokecolor="#004097" strokeweight="0.96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2195250</wp:posOffset>
            </wp:positionH>
            <wp:positionV relativeFrom="paragraph">
              <wp:posOffset>305044</wp:posOffset>
            </wp:positionV>
            <wp:extent cx="4919423" cy="1630584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9423" cy="163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687" style="width:399.8pt;height:0.1pt;margin-top:159.96pt;margin-left:161.54pt;mso-position-horizontal-relative:page;mso-wrap-distance-left:0;mso-wrap-distance-right:0;position:absolute;z-index:-251588608" coordorigin="3231,3199" coordsize="7996,0" path="m3231,3199l11227,3199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12</w:t>
      </w:r>
      <w:r>
        <w:rPr>
          <w:color w:val="004097"/>
          <w:sz w:val="17"/>
        </w:rPr>
        <w:t>：国家电网各环节智能化投资（亿元；</w:t>
      </w:r>
      <w:r>
        <w:rPr>
          <w:rFonts w:ascii="Tahoma" w:eastAsia="Tahoma"/>
          <w:i/>
          <w:color w:val="004097"/>
          <w:sz w:val="17"/>
        </w:rPr>
        <w:t>%</w:t>
      </w:r>
      <w:r>
        <w:rPr>
          <w:color w:val="004097"/>
          <w:sz w:val="17"/>
        </w:rPr>
        <w:t>）</w: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before="8"/>
        <w:rPr>
          <w:sz w:val="5"/>
        </w:rPr>
      </w:pPr>
    </w:p>
    <w:p>
      <w:pPr>
        <w:spacing w:before="0"/>
        <w:ind w:left="2798" w:right="0" w:firstLine="0"/>
        <w:jc w:val="left"/>
        <w:rPr>
          <w:sz w:val="17"/>
        </w:rPr>
      </w:pPr>
      <w:r>
        <w:t xml:space="preserve">资料来源：煜邦电力招股书，《国家电网智能化规划总报告》， </w:t>
      </w:r>
    </w:p>
    <w:p>
      <w:pPr>
        <w:pStyle w:val="BodyText"/>
        <w:spacing w:before="2"/>
        <w:rPr>
          <w:sz w:val="18"/>
        </w:rPr>
      </w:pPr>
    </w:p>
    <w:p>
      <w:pPr>
        <w:pStyle w:val="Heading3"/>
        <w:numPr>
          <w:ilvl w:val="2"/>
          <w:numId w:val="12"/>
        </w:numPr>
        <w:tabs>
          <w:tab w:val="left" w:pos="3132"/>
          <w:tab w:val="left" w:pos="3133"/>
        </w:tabs>
        <w:spacing w:before="11" w:after="0" w:line="240" w:lineRule="auto"/>
        <w:ind w:left="3132" w:right="0" w:hanging="443"/>
        <w:jc w:val="left"/>
      </w:pPr>
      <w:r>
        <w:t>短期维度</w:t>
      </w:r>
    </w:p>
    <w:p>
      <w:pPr>
        <w:pStyle w:val="BodyText"/>
        <w:spacing w:before="7"/>
        <w:rPr>
          <w:rFonts w:ascii="Microsoft JhengHei"/>
          <w:b/>
          <w:sz w:val="11"/>
        </w:rPr>
      </w:pPr>
    </w:p>
    <w:p>
      <w:pPr>
        <w:spacing w:before="0" w:line="211" w:lineRule="auto"/>
        <w:ind w:left="2690" w:right="672" w:firstLine="0"/>
        <w:jc w:val="both"/>
        <w:rPr>
          <w:sz w:val="21"/>
        </w:rPr>
      </w:pPr>
      <w:r>
        <w:rPr>
          <w:rFonts w:ascii="Microsoft JhengHei" w:eastAsia="Microsoft JhengHei" w:hint="eastAsia"/>
          <w:b/>
          <w:spacing w:val="-3"/>
          <w:sz w:val="21"/>
        </w:rPr>
        <w:t>近期，欧盟发布扩大欧洲电网投资草案，预计催化智能电表需求。</w:t>
      </w:r>
      <w:r>
        <w:rPr>
          <w:rFonts w:ascii="Tahoma" w:eastAsia="Tahoma"/>
          <w:sz w:val="21"/>
        </w:rPr>
        <w:t>2023</w:t>
      </w:r>
      <w:r>
        <w:rPr>
          <w:rFonts w:ascii="Tahoma" w:eastAsia="Tahoma"/>
          <w:spacing w:val="-35"/>
          <w:sz w:val="21"/>
        </w:rPr>
        <w:t xml:space="preserve"> </w:t>
      </w:r>
      <w:r>
        <w:rPr>
          <w:spacing w:val="26"/>
          <w:sz w:val="21"/>
        </w:rPr>
        <w:t>年</w:t>
      </w:r>
      <w:r>
        <w:rPr>
          <w:rFonts w:ascii="Tahoma" w:eastAsia="Tahoma"/>
          <w:sz w:val="21"/>
        </w:rPr>
        <w:t>11</w:t>
      </w:r>
      <w:r>
        <w:rPr>
          <w:rFonts w:ascii="Tahoma" w:eastAsia="Tahoma"/>
          <w:spacing w:val="-34"/>
          <w:sz w:val="21"/>
        </w:rPr>
        <w:t xml:space="preserve"> </w:t>
      </w:r>
      <w:r>
        <w:rPr>
          <w:spacing w:val="26"/>
          <w:sz w:val="21"/>
        </w:rPr>
        <w:t>月</w:t>
      </w:r>
      <w:r>
        <w:rPr>
          <w:rFonts w:ascii="Tahoma" w:eastAsia="Tahoma"/>
          <w:sz w:val="21"/>
        </w:rPr>
        <w:t>28</w:t>
      </w:r>
      <w:r>
        <w:rPr>
          <w:rFonts w:ascii="Tahoma" w:eastAsia="Tahoma"/>
          <w:spacing w:val="-35"/>
          <w:sz w:val="21"/>
        </w:rPr>
        <w:t xml:space="preserve"> </w:t>
      </w:r>
      <w:r>
        <w:rPr>
          <w:sz w:val="21"/>
        </w:rPr>
        <w:t xml:space="preserve">日， </w:t>
      </w:r>
      <w:r>
        <w:rPr>
          <w:spacing w:val="-6"/>
          <w:sz w:val="21"/>
        </w:rPr>
        <w:t xml:space="preserve">欧盟委员会发布一份扩大欧洲电网投资的草案，预计至 </w:t>
      </w:r>
      <w:r>
        <w:rPr>
          <w:rFonts w:ascii="Tahoma" w:eastAsia="Tahoma"/>
          <w:sz w:val="21"/>
        </w:rPr>
        <w:t>2030</w:t>
      </w:r>
      <w:r>
        <w:rPr>
          <w:rFonts w:ascii="Tahoma" w:eastAsia="Tahoma"/>
          <w:spacing w:val="-27"/>
          <w:sz w:val="21"/>
        </w:rPr>
        <w:t xml:space="preserve"> </w:t>
      </w:r>
      <w:r>
        <w:rPr>
          <w:spacing w:val="-10"/>
          <w:sz w:val="21"/>
        </w:rPr>
        <w:t xml:space="preserve">年欧洲将累计投资 </w:t>
      </w:r>
      <w:r>
        <w:rPr>
          <w:rFonts w:ascii="Tahoma" w:eastAsia="Tahoma"/>
          <w:sz w:val="21"/>
        </w:rPr>
        <w:t>5840</w:t>
      </w:r>
      <w:r>
        <w:rPr>
          <w:rFonts w:ascii="Tahoma" w:eastAsia="Tahoma"/>
          <w:spacing w:val="-26"/>
          <w:sz w:val="21"/>
        </w:rPr>
        <w:t xml:space="preserve"> </w:t>
      </w:r>
      <w:r>
        <w:rPr>
          <w:sz w:val="21"/>
        </w:rPr>
        <w:t>亿</w:t>
      </w:r>
    </w:p>
    <w:p>
      <w:pPr>
        <w:pStyle w:val="BodyText"/>
        <w:spacing w:before="18" w:line="249" w:lineRule="auto"/>
        <w:ind w:left="2690" w:right="672"/>
        <w:jc w:val="both"/>
      </w:pPr>
      <w:r>
        <w:t>欧元（</w:t>
      </w:r>
      <w:r>
        <w:rPr>
          <w:spacing w:val="10"/>
        </w:rPr>
        <w:t xml:space="preserve">约 </w:t>
      </w:r>
      <w:r>
        <w:rPr>
          <w:rFonts w:ascii="Tahoma" w:eastAsia="Tahoma"/>
        </w:rPr>
        <w:t xml:space="preserve">4.55 </w:t>
      </w:r>
      <w:r>
        <w:t>万亿人民币）</w:t>
      </w:r>
      <w:r>
        <w:rPr>
          <w:spacing w:val="-1"/>
        </w:rPr>
        <w:t>用于升级电网，以应对新能源占比的不断提升以及节碳减</w:t>
      </w:r>
      <w:r>
        <w:rPr>
          <w:spacing w:val="-3"/>
        </w:rPr>
        <w:t>排。过往年份来看，</w:t>
      </w:r>
      <w:r>
        <w:rPr>
          <w:rFonts w:ascii="Tahoma" w:eastAsia="Tahoma"/>
        </w:rPr>
        <w:t xml:space="preserve">2011~2019 </w:t>
      </w:r>
      <w:r>
        <w:rPr>
          <w:spacing w:val="-5"/>
        </w:rPr>
        <w:t xml:space="preserve">年欧洲电网年均投资额约 </w:t>
      </w:r>
      <w:r>
        <w:rPr>
          <w:rFonts w:ascii="Tahoma" w:eastAsia="Tahoma"/>
        </w:rPr>
        <w:t xml:space="preserve">220~230 </w:t>
      </w:r>
      <w:r>
        <w:rPr>
          <w:spacing w:val="-3"/>
        </w:rPr>
        <w:t>亿欧元，欧洲电网投资文件发布后，</w:t>
      </w:r>
      <w:r>
        <w:rPr>
          <w:rFonts w:ascii="Tahoma" w:eastAsia="Tahoma"/>
        </w:rPr>
        <w:t xml:space="preserve">2020-2030 </w:t>
      </w:r>
      <w:r>
        <w:rPr>
          <w:spacing w:val="-3"/>
        </w:rPr>
        <w:t xml:space="preserve">年电网年均投资额预计同增 </w:t>
      </w:r>
      <w:r>
        <w:rPr>
          <w:rFonts w:ascii="Tahoma" w:eastAsia="Tahoma"/>
        </w:rPr>
        <w:t>50%~70%</w:t>
      </w:r>
      <w:r>
        <w:rPr>
          <w:spacing w:val="-1"/>
        </w:rPr>
        <w:t xml:space="preserve">至 </w:t>
      </w:r>
      <w:r>
        <w:rPr>
          <w:rFonts w:ascii="Tahoma" w:eastAsia="Tahoma"/>
        </w:rPr>
        <w:t xml:space="preserve">300-350 </w:t>
      </w:r>
      <w:r>
        <w:rPr>
          <w:spacing w:val="-3"/>
        </w:rPr>
        <w:t>亿欧</w:t>
      </w:r>
      <w:r>
        <w:rPr>
          <w:spacing w:val="-1"/>
        </w:rPr>
        <w:t>元。其中，</w:t>
      </w:r>
      <w:r>
        <w:rPr>
          <w:rFonts w:ascii="Tahoma" w:eastAsia="Tahoma"/>
        </w:rPr>
        <w:t xml:space="preserve">2020-2030 </w:t>
      </w:r>
      <w:r>
        <w:rPr>
          <w:spacing w:val="-7"/>
        </w:rPr>
        <w:t xml:space="preserve">年智能电表预计累计投资 </w:t>
      </w:r>
      <w:r>
        <w:rPr>
          <w:rFonts w:ascii="Tahoma" w:eastAsia="Tahoma"/>
        </w:rPr>
        <w:t xml:space="preserve">375~425 </w:t>
      </w:r>
      <w:r>
        <w:rPr>
          <w:spacing w:val="-3"/>
        </w:rPr>
        <w:t>亿欧元</w:t>
      </w:r>
      <w:r>
        <w:t>（</w:t>
      </w:r>
      <w:r>
        <w:rPr>
          <w:spacing w:val="-23"/>
        </w:rPr>
        <w:t xml:space="preserve">约 </w:t>
      </w:r>
      <w:r>
        <w:rPr>
          <w:rFonts w:ascii="Tahoma" w:eastAsia="Tahoma"/>
        </w:rPr>
        <w:t xml:space="preserve">2922~3311 </w:t>
      </w:r>
      <w:r>
        <w:t>亿人</w:t>
      </w:r>
      <w:r>
        <w:rPr>
          <w:w w:val="100"/>
        </w:rPr>
        <w:t>民币</w:t>
      </w:r>
      <w:r>
        <w:rPr>
          <w:spacing w:val="-108"/>
          <w:w w:val="100"/>
        </w:rPr>
        <w:t>）</w:t>
      </w:r>
      <w:r>
        <w:rPr>
          <w:spacing w:val="-3"/>
          <w:w w:val="100"/>
        </w:rPr>
        <w:t>，折合年均投资额约</w:t>
      </w:r>
      <w:r>
        <w:rPr>
          <w:spacing w:val="-3"/>
        </w:rPr>
        <w:t xml:space="preserve"> </w:t>
      </w:r>
      <w:r>
        <w:rPr>
          <w:rFonts w:ascii="Tahoma" w:eastAsia="Tahoma"/>
          <w:w w:val="100"/>
        </w:rPr>
        <w:t>3</w:t>
      </w:r>
      <w:r>
        <w:rPr>
          <w:rFonts w:ascii="Tahoma" w:eastAsia="Tahoma"/>
          <w:spacing w:val="-18"/>
          <w:w w:val="100"/>
        </w:rPr>
        <w:t>7</w:t>
      </w:r>
      <w:r>
        <w:rPr>
          <w:rFonts w:ascii="Tahoma" w:eastAsia="Tahoma"/>
          <w:w w:val="100"/>
        </w:rPr>
        <w:t>.</w:t>
      </w:r>
      <w:r>
        <w:rPr>
          <w:rFonts w:ascii="Tahoma" w:eastAsia="Tahoma"/>
          <w:spacing w:val="-3"/>
          <w:w w:val="100"/>
        </w:rPr>
        <w:t>5</w:t>
      </w:r>
      <w:r>
        <w:rPr>
          <w:rFonts w:ascii="Tahoma" w:eastAsia="Tahoma"/>
          <w:w w:val="100"/>
        </w:rPr>
        <w:t>~4</w:t>
      </w:r>
      <w:r>
        <w:rPr>
          <w:rFonts w:ascii="Tahoma" w:eastAsia="Tahoma"/>
          <w:spacing w:val="-3"/>
          <w:w w:val="100"/>
        </w:rPr>
        <w:t>2</w:t>
      </w:r>
      <w:r>
        <w:rPr>
          <w:rFonts w:ascii="Tahoma" w:eastAsia="Tahoma"/>
          <w:w w:val="100"/>
        </w:rPr>
        <w:t>.5</w:t>
      </w:r>
      <w:r>
        <w:rPr>
          <w:rFonts w:ascii="Tahoma" w:eastAsia="Tahoma"/>
        </w:rPr>
        <w:t xml:space="preserve"> </w:t>
      </w:r>
      <w:r>
        <w:rPr>
          <w:spacing w:val="-2"/>
          <w:w w:val="100"/>
        </w:rPr>
        <w:t>亿欧元</w:t>
      </w:r>
      <w:r>
        <w:rPr>
          <w:spacing w:val="-3"/>
          <w:w w:val="100"/>
        </w:rPr>
        <w:t>（</w:t>
      </w:r>
      <w:r>
        <w:rPr>
          <w:w w:val="100"/>
        </w:rPr>
        <w:t>约</w:t>
      </w:r>
      <w:r>
        <w:rPr>
          <w:spacing w:val="-55"/>
        </w:rPr>
        <w:t xml:space="preserve"> </w:t>
      </w:r>
      <w:r>
        <w:rPr>
          <w:rFonts w:ascii="Tahoma" w:eastAsia="Tahoma"/>
          <w:w w:val="100"/>
        </w:rPr>
        <w:t>292.</w:t>
      </w:r>
      <w:r>
        <w:rPr>
          <w:rFonts w:ascii="Tahoma" w:eastAsia="Tahoma"/>
          <w:spacing w:val="-3"/>
          <w:w w:val="100"/>
        </w:rPr>
        <w:t>2</w:t>
      </w:r>
      <w:r>
        <w:rPr>
          <w:rFonts w:ascii="Tahoma" w:eastAsia="Tahoma"/>
          <w:w w:val="100"/>
        </w:rPr>
        <w:t>~33</w:t>
      </w:r>
      <w:r>
        <w:rPr>
          <w:rFonts w:ascii="Tahoma" w:eastAsia="Tahoma"/>
          <w:spacing w:val="-3"/>
          <w:w w:val="100"/>
        </w:rPr>
        <w:t>1</w:t>
      </w:r>
      <w:r>
        <w:rPr>
          <w:rFonts w:ascii="Tahoma" w:eastAsia="Tahoma"/>
          <w:w w:val="100"/>
        </w:rPr>
        <w:t>.1</w:t>
      </w:r>
      <w:r>
        <w:rPr>
          <w:rFonts w:ascii="Tahoma" w:eastAsia="Tahoma"/>
        </w:rPr>
        <w:t xml:space="preserve"> </w:t>
      </w:r>
      <w:r>
        <w:rPr>
          <w:spacing w:val="-3"/>
          <w:w w:val="100"/>
        </w:rPr>
        <w:t>亿人民币</w:t>
      </w:r>
      <w:r>
        <w:rPr>
          <w:spacing w:val="-106"/>
          <w:w w:val="100"/>
        </w:rPr>
        <w:t>）</w:t>
      </w:r>
      <w:r>
        <w:rPr>
          <w:w w:val="100"/>
        </w:rPr>
        <w:t>。</w:t>
      </w:r>
    </w:p>
    <w:p>
      <w:pPr>
        <w:spacing w:after="0" w:line="249" w:lineRule="auto"/>
        <w:jc w:val="both"/>
        <w:sectPr>
          <w:headerReference w:type="default" r:id="rId44"/>
          <w:footerReference w:type="default" r:id="rId45"/>
          <w:pgSz w:w="11910" w:h="16840"/>
          <w:pgMar w:top="900" w:right="0" w:bottom="1060" w:left="540" w:header="708" w:footer="708"/>
          <w:pgNumType w:start="20"/>
          <w:cols w:space="708"/>
        </w:sectPr>
      </w:pPr>
    </w:p>
    <w:p>
      <w:pPr>
        <w:spacing w:before="174"/>
        <w:ind w:left="2798" w:right="0" w:firstLine="0"/>
        <w:jc w:val="left"/>
        <w:rPr>
          <w:sz w:val="17"/>
        </w:rPr>
      </w:pPr>
      <w:r>
        <w:pict>
          <v:shape id="_x0000_s1688" style="width:399.8pt;height:0.1pt;margin-top:23.32pt;margin-left:161.54pt;mso-position-horizontal-relative:page;mso-wrap-distance-left:0;mso-wrap-distance-right:0;position:absolute;z-index:-251587584" coordorigin="3231,466" coordsize="7996,0" path="m3231,466l11227,466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13</w:t>
      </w:r>
      <w:r>
        <w:rPr>
          <w:color w:val="004097"/>
          <w:sz w:val="17"/>
        </w:rPr>
        <w:t>：</w:t>
      </w:r>
      <w:r>
        <w:rPr>
          <w:rFonts w:ascii="Tahoma" w:eastAsia="Tahoma"/>
          <w:i/>
          <w:color w:val="004097"/>
          <w:sz w:val="17"/>
        </w:rPr>
        <w:t xml:space="preserve">2020-2030 </w:t>
      </w:r>
      <w:r>
        <w:rPr>
          <w:color w:val="004097"/>
          <w:sz w:val="17"/>
        </w:rPr>
        <w:t>年欧洲电网升级分类型累计投资额（十亿欧元）</w:t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2911"/>
        <w:rPr>
          <w:sz w:val="20"/>
        </w:rPr>
      </w:pPr>
      <w:r>
        <w:rPr>
          <w:sz w:val="20"/>
        </w:rPr>
        <w:drawing>
          <wp:inline distT="0" distB="0" distL="0" distR="0">
            <wp:extent cx="4780201" cy="1972532"/>
            <wp:effectExtent l="0" t="0" r="0" b="0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jpe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0201" cy="197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5"/>
        </w:rPr>
      </w:pPr>
      <w:r>
        <w:pict>
          <v:shape id="_x0000_s1689" style="width:399.8pt;height:0.1pt;margin-top:6.18pt;margin-left:161.54pt;mso-position-horizontal-relative:page;mso-wrap-distance-left:0;mso-wrap-distance-right:0;position:absolute;z-index:-251586560" coordorigin="3231,124" coordsize="7996,0" path="m3231,124l11227,124e" filled="f" stroked="t" strokecolor="#004097" strokeweight="0.96pt">
            <v:stroke dashstyle="solid"/>
            <v:path arrowok="t"/>
            <w10:wrap type="topAndBottom"/>
          </v:shape>
        </w:pict>
      </w:r>
    </w:p>
    <w:p>
      <w:pPr>
        <w:spacing w:before="0"/>
        <w:ind w:left="2798" w:right="0" w:firstLine="0"/>
        <w:jc w:val="left"/>
        <w:rPr>
          <w:sz w:val="17"/>
        </w:rPr>
      </w:pPr>
      <w:r>
        <w:t xml:space="preserve">资料来源：德勤， </w:t>
      </w:r>
    </w:p>
    <w:p>
      <w:pPr>
        <w:pStyle w:val="BodyText"/>
        <w:spacing w:before="5"/>
        <w:rPr>
          <w:sz w:val="18"/>
        </w:rPr>
      </w:pPr>
    </w:p>
    <w:p>
      <w:pPr>
        <w:pStyle w:val="Heading3"/>
        <w:numPr>
          <w:ilvl w:val="2"/>
          <w:numId w:val="12"/>
        </w:numPr>
        <w:tabs>
          <w:tab w:val="left" w:pos="3132"/>
          <w:tab w:val="left" w:pos="3133"/>
        </w:tabs>
        <w:spacing w:before="11" w:after="0" w:line="240" w:lineRule="auto"/>
        <w:ind w:left="3132" w:right="0" w:hanging="443"/>
        <w:jc w:val="left"/>
      </w:pPr>
      <w:r>
        <w:t>长期维度</w:t>
      </w:r>
    </w:p>
    <w:p>
      <w:pPr>
        <w:pStyle w:val="BodyText"/>
        <w:spacing w:before="8"/>
        <w:rPr>
          <w:rFonts w:ascii="Microsoft JhengHei"/>
          <w:b/>
          <w:sz w:val="12"/>
        </w:rPr>
      </w:pPr>
    </w:p>
    <w:p>
      <w:pPr>
        <w:spacing w:before="0" w:line="192" w:lineRule="auto"/>
        <w:ind w:left="2690" w:right="425" w:firstLine="0"/>
        <w:jc w:val="left"/>
        <w:rPr>
          <w:sz w:val="21"/>
        </w:rPr>
      </w:pPr>
      <w:r>
        <w:rPr>
          <w:rFonts w:ascii="Microsoft JhengHei" w:eastAsia="Microsoft JhengHei" w:hint="eastAsia"/>
          <w:b/>
          <w:spacing w:val="16"/>
          <w:sz w:val="21"/>
        </w:rPr>
        <w:t xml:space="preserve">预计 </w:t>
      </w:r>
      <w:r>
        <w:rPr>
          <w:rFonts w:ascii="Tahoma" w:eastAsia="Tahoma"/>
          <w:b/>
          <w:sz w:val="21"/>
        </w:rPr>
        <w:t xml:space="preserve">2023-2025 </w:t>
      </w:r>
      <w:r>
        <w:rPr>
          <w:rFonts w:ascii="Microsoft JhengHei" w:eastAsia="Microsoft JhengHei" w:hint="eastAsia"/>
          <w:b/>
          <w:sz w:val="21"/>
        </w:rPr>
        <w:t xml:space="preserve">年，欧美、亚非拉智能电表新增安装规模 </w:t>
      </w:r>
      <w:r>
        <w:rPr>
          <w:rFonts w:ascii="Tahoma" w:eastAsia="Tahoma"/>
          <w:b/>
          <w:sz w:val="21"/>
        </w:rPr>
        <w:t xml:space="preserve">CAGR </w:t>
      </w:r>
      <w:r>
        <w:rPr>
          <w:rFonts w:ascii="Tahoma" w:eastAsia="Tahoma"/>
          <w:b/>
          <w:spacing w:val="-3"/>
          <w:sz w:val="21"/>
        </w:rPr>
        <w:t>5%</w:t>
      </w:r>
      <w:r>
        <w:rPr>
          <w:rFonts w:ascii="Microsoft JhengHei" w:eastAsia="Microsoft JhengHei" w:hint="eastAsia"/>
          <w:b/>
          <w:spacing w:val="-2"/>
          <w:sz w:val="21"/>
        </w:rPr>
        <w:t>左右</w:t>
      </w:r>
      <w:r>
        <w:rPr>
          <w:rFonts w:ascii="Tahoma" w:eastAsia="Tahoma"/>
          <w:b/>
          <w:sz w:val="21"/>
        </w:rPr>
        <w:t>/30%</w:t>
      </w:r>
      <w:r>
        <w:rPr>
          <w:rFonts w:ascii="Microsoft JhengHei" w:eastAsia="Microsoft JhengHei" w:hint="eastAsia"/>
          <w:b/>
          <w:sz w:val="21"/>
        </w:rPr>
        <w:t>以上</w:t>
      </w:r>
      <w:r>
        <w:rPr>
          <w:spacing w:val="-5"/>
          <w:sz w:val="21"/>
        </w:rPr>
        <w:t xml:space="preserve">。以各国人口总数为基础，假设发达国家户均人口 </w:t>
      </w:r>
      <w:r>
        <w:rPr>
          <w:rFonts w:ascii="Tahoma" w:eastAsia="Tahoma"/>
          <w:sz w:val="21"/>
        </w:rPr>
        <w:t xml:space="preserve">2.6 </w:t>
      </w:r>
      <w:r>
        <w:rPr>
          <w:spacing w:val="-6"/>
          <w:sz w:val="21"/>
        </w:rPr>
        <w:t xml:space="preserve">人，发展中国家户均人口 </w:t>
      </w:r>
      <w:r>
        <w:rPr>
          <w:rFonts w:ascii="Tahoma" w:eastAsia="Tahoma"/>
          <w:sz w:val="21"/>
        </w:rPr>
        <w:t xml:space="preserve">3 </w:t>
      </w:r>
      <w:r>
        <w:rPr>
          <w:spacing w:val="-3"/>
          <w:sz w:val="21"/>
        </w:rPr>
        <w:t>人， 测算各地区家庭户数。目前亚非拉渗透率较低，</w:t>
      </w:r>
      <w:r>
        <w:rPr>
          <w:rFonts w:ascii="Tahoma" w:eastAsia="Tahoma"/>
          <w:sz w:val="21"/>
        </w:rPr>
        <w:t xml:space="preserve">2022 </w:t>
      </w:r>
      <w:r>
        <w:rPr>
          <w:spacing w:val="-7"/>
          <w:sz w:val="21"/>
        </w:rPr>
        <w:t xml:space="preserve">年拉美智能电表渗透率仅 </w:t>
      </w:r>
      <w:r>
        <w:rPr>
          <w:rFonts w:ascii="Tahoma" w:eastAsia="Tahoma"/>
          <w:sz w:val="21"/>
        </w:rPr>
        <w:t>6.2%</w:t>
      </w:r>
      <w:r>
        <w:rPr>
          <w:sz w:val="21"/>
        </w:rPr>
        <w:t>。</w:t>
      </w:r>
    </w:p>
    <w:p>
      <w:pPr>
        <w:pStyle w:val="BodyText"/>
        <w:spacing w:before="21" w:line="249" w:lineRule="auto"/>
        <w:ind w:left="2690" w:right="398"/>
      </w:pPr>
      <w:r>
        <w:t xml:space="preserve">预计 </w:t>
      </w:r>
      <w:r>
        <w:rPr>
          <w:rFonts w:ascii="Tahoma" w:eastAsia="Tahoma"/>
        </w:rPr>
        <w:t xml:space="preserve">2023-2025 </w:t>
      </w:r>
      <w:r>
        <w:t xml:space="preserve">年，欧美智能电表新增安装规模 </w:t>
      </w:r>
      <w:r>
        <w:rPr>
          <w:rFonts w:ascii="Tahoma" w:eastAsia="Tahoma"/>
        </w:rPr>
        <w:t>CAGR 5%</w:t>
      </w:r>
      <w:r>
        <w:t>左右，亚非拉地区增速较高， 安装规模</w:t>
      </w:r>
      <w:r>
        <w:rPr>
          <w:rFonts w:ascii="Tahoma" w:eastAsia="Tahoma"/>
        </w:rPr>
        <w:t xml:space="preserve">CAGR </w:t>
      </w:r>
      <w:r>
        <w:t xml:space="preserve">有望达 </w:t>
      </w:r>
      <w:r>
        <w:rPr>
          <w:rFonts w:ascii="Tahoma" w:eastAsia="Tahoma"/>
        </w:rPr>
        <w:t>30%</w:t>
      </w:r>
      <w:r>
        <w:t>以上，海外智能电表安装规模空间广阔。</w:t>
      </w:r>
    </w:p>
    <w:p>
      <w:pPr>
        <w:pStyle w:val="Heading3"/>
        <w:numPr>
          <w:ilvl w:val="2"/>
          <w:numId w:val="12"/>
        </w:numPr>
        <w:tabs>
          <w:tab w:val="left" w:pos="3132"/>
          <w:tab w:val="left" w:pos="3133"/>
        </w:tabs>
        <w:spacing w:before="210" w:after="0" w:line="368" w:lineRule="exact"/>
        <w:ind w:left="3132" w:right="0" w:hanging="443"/>
        <w:jc w:val="left"/>
      </w:pPr>
      <w:r>
        <w:t>美国：</w:t>
      </w:r>
    </w:p>
    <w:p>
      <w:pPr>
        <w:pStyle w:val="ListParagraph"/>
        <w:numPr>
          <w:ilvl w:val="0"/>
          <w:numId w:val="9"/>
        </w:numPr>
        <w:tabs>
          <w:tab w:val="left" w:pos="3019"/>
        </w:tabs>
        <w:spacing w:before="0" w:after="0" w:line="251" w:lineRule="exact"/>
        <w:ind w:left="3018" w:right="0" w:hanging="329"/>
        <w:jc w:val="left"/>
        <w:rPr>
          <w:sz w:val="21"/>
        </w:rPr>
      </w:pPr>
      <w:r>
        <w:rPr>
          <w:spacing w:val="-9"/>
          <w:sz w:val="21"/>
        </w:rPr>
        <w:t xml:space="preserve">假设 </w:t>
      </w:r>
      <w:r>
        <w:rPr>
          <w:rFonts w:ascii="Tahoma" w:eastAsia="Tahoma"/>
          <w:sz w:val="21"/>
        </w:rPr>
        <w:t>2023-2025</w:t>
      </w:r>
      <w:r>
        <w:rPr>
          <w:rFonts w:ascii="Tahoma" w:eastAsia="Tahoma"/>
          <w:spacing w:val="5"/>
          <w:sz w:val="21"/>
        </w:rPr>
        <w:t xml:space="preserve"> </w:t>
      </w:r>
      <w:r>
        <w:rPr>
          <w:spacing w:val="-5"/>
          <w:sz w:val="21"/>
        </w:rPr>
        <w:t xml:space="preserve">年美国人口增速、家庭户数增速与 </w:t>
      </w:r>
      <w:r>
        <w:rPr>
          <w:rFonts w:ascii="Tahoma" w:eastAsia="Tahoma"/>
          <w:sz w:val="21"/>
        </w:rPr>
        <w:t>2022</w:t>
      </w:r>
      <w:r>
        <w:rPr>
          <w:rFonts w:ascii="Tahoma" w:eastAsia="Tahoma"/>
          <w:spacing w:val="7"/>
          <w:sz w:val="21"/>
        </w:rPr>
        <w:t xml:space="preserve"> </w:t>
      </w:r>
      <w:r>
        <w:rPr>
          <w:spacing w:val="-6"/>
          <w:sz w:val="21"/>
        </w:rPr>
        <w:t xml:space="preserve">年持平，户均人口 </w:t>
      </w:r>
      <w:r>
        <w:rPr>
          <w:rFonts w:ascii="Tahoma" w:eastAsia="Tahoma"/>
          <w:sz w:val="21"/>
        </w:rPr>
        <w:t>2.6</w:t>
      </w:r>
      <w:r>
        <w:rPr>
          <w:rFonts w:ascii="Tahoma" w:eastAsia="Tahoma"/>
          <w:spacing w:val="7"/>
          <w:sz w:val="21"/>
        </w:rPr>
        <w:t xml:space="preserve"> </w:t>
      </w:r>
      <w:r>
        <w:rPr>
          <w:sz w:val="21"/>
        </w:rPr>
        <w:t>人</w:t>
      </w:r>
    </w:p>
    <w:p>
      <w:pPr>
        <w:pStyle w:val="BodyText"/>
        <w:spacing w:before="10"/>
        <w:ind w:left="2690"/>
      </w:pPr>
      <w:r>
        <w:rPr>
          <w:w w:val="100"/>
        </w:rPr>
        <w:t>（</w:t>
      </w:r>
      <w:r>
        <w:rPr>
          <w:rFonts w:ascii="Tahoma" w:eastAsia="Tahoma"/>
          <w:spacing w:val="-1"/>
          <w:w w:val="100"/>
        </w:rPr>
        <w:t>202</w:t>
      </w:r>
      <w:r>
        <w:rPr>
          <w:rFonts w:ascii="Tahoma" w:eastAsia="Tahoma"/>
          <w:w w:val="100"/>
        </w:rPr>
        <w:t>0</w:t>
      </w:r>
      <w:r>
        <w:rPr>
          <w:rFonts w:ascii="Tahoma" w:eastAsia="Tahoma"/>
          <w:spacing w:val="-20"/>
        </w:rPr>
        <w:t xml:space="preserve"> </w:t>
      </w:r>
      <w:r>
        <w:rPr>
          <w:spacing w:val="-3"/>
          <w:w w:val="100"/>
        </w:rPr>
        <w:t>年口径</w:t>
      </w:r>
      <w:r>
        <w:rPr>
          <w:spacing w:val="-106"/>
          <w:w w:val="100"/>
        </w:rPr>
        <w:t>）</w:t>
      </w:r>
      <w:r>
        <w:rPr>
          <w:w w:val="100"/>
        </w:rPr>
        <w:t>；</w:t>
      </w:r>
    </w:p>
    <w:p>
      <w:pPr>
        <w:pStyle w:val="ListParagraph"/>
        <w:numPr>
          <w:ilvl w:val="0"/>
          <w:numId w:val="9"/>
        </w:numPr>
        <w:tabs>
          <w:tab w:val="left" w:pos="3022"/>
        </w:tabs>
        <w:spacing w:before="11" w:after="0" w:line="249" w:lineRule="auto"/>
        <w:ind w:left="2690" w:right="686" w:firstLine="0"/>
        <w:jc w:val="left"/>
        <w:rPr>
          <w:sz w:val="21"/>
        </w:rPr>
      </w:pPr>
      <w:r>
        <w:rPr>
          <w:spacing w:val="-1"/>
          <w:sz w:val="21"/>
        </w:rPr>
        <w:t>假设电表安装规模由新增需求和替换需求构成，新增需求按现有渗透率水平每年提</w:t>
      </w:r>
      <w:r>
        <w:rPr>
          <w:spacing w:val="-27"/>
          <w:sz w:val="21"/>
        </w:rPr>
        <w:t xml:space="preserve">升 </w:t>
      </w:r>
      <w:r>
        <w:rPr>
          <w:rFonts w:ascii="Tahoma" w:eastAsia="Tahoma"/>
          <w:sz w:val="21"/>
        </w:rPr>
        <w:t>3pct</w:t>
      </w:r>
      <w:r>
        <w:rPr>
          <w:rFonts w:ascii="Tahoma" w:eastAsia="Tahoma"/>
          <w:spacing w:val="-20"/>
          <w:sz w:val="21"/>
        </w:rPr>
        <w:t xml:space="preserve"> </w:t>
      </w:r>
      <w:r>
        <w:rPr>
          <w:spacing w:val="-6"/>
          <w:sz w:val="21"/>
        </w:rPr>
        <w:t xml:space="preserve">计算，更新需求按每年更新现有累计电表规模的 </w:t>
      </w:r>
      <w:r>
        <w:rPr>
          <w:rFonts w:ascii="Tahoma" w:eastAsia="Tahoma"/>
          <w:spacing w:val="-2"/>
          <w:sz w:val="21"/>
        </w:rPr>
        <w:t>10%</w:t>
      </w:r>
      <w:r>
        <w:rPr>
          <w:spacing w:val="-2"/>
          <w:sz w:val="21"/>
        </w:rPr>
        <w:t>计算；</w:t>
      </w:r>
    </w:p>
    <w:p>
      <w:pPr>
        <w:pStyle w:val="BodyText"/>
        <w:spacing w:line="269" w:lineRule="exact"/>
        <w:ind w:left="2690"/>
      </w:pPr>
      <w:r>
        <w:rPr>
          <w:rFonts w:ascii="Tahoma" w:eastAsia="Tahoma"/>
        </w:rPr>
        <w:t xml:space="preserve">3 </w:t>
      </w:r>
      <w:r>
        <w:t xml:space="preserve">） 预 计 </w:t>
      </w:r>
      <w:r>
        <w:rPr>
          <w:rFonts w:ascii="Tahoma" w:eastAsia="Tahoma"/>
        </w:rPr>
        <w:t xml:space="preserve">2023-2025 </w:t>
      </w:r>
      <w:r>
        <w:t xml:space="preserve">年 美 国 智 能 电 表 新 增 </w:t>
      </w:r>
      <w:r>
        <w:rPr>
          <w:rFonts w:ascii="Tahoma" w:eastAsia="Tahoma"/>
        </w:rPr>
        <w:t xml:space="preserve">1729/1829/1930 </w:t>
      </w:r>
      <w:r>
        <w:t>万 只 ， 同 增</w:t>
      </w:r>
    </w:p>
    <w:p>
      <w:pPr>
        <w:pStyle w:val="BodyText"/>
        <w:spacing w:before="12"/>
        <w:ind w:left="2690"/>
      </w:pPr>
      <w:r>
        <w:rPr>
          <w:rFonts w:ascii="Tahoma" w:eastAsia="Tahoma"/>
        </w:rPr>
        <w:t>6.1%/5.8%/5.5%</w:t>
      </w:r>
      <w:r>
        <w:t>。</w:t>
      </w:r>
    </w:p>
    <w:p>
      <w:pPr>
        <w:pStyle w:val="BodyText"/>
        <w:spacing w:before="3"/>
        <w:rPr>
          <w:sz w:val="17"/>
        </w:rPr>
      </w:pPr>
    </w:p>
    <w:p>
      <w:pPr>
        <w:pStyle w:val="Heading3"/>
        <w:numPr>
          <w:ilvl w:val="2"/>
          <w:numId w:val="12"/>
        </w:numPr>
        <w:tabs>
          <w:tab w:val="left" w:pos="3132"/>
          <w:tab w:val="left" w:pos="3133"/>
        </w:tabs>
        <w:spacing w:before="0" w:after="0" w:line="368" w:lineRule="exact"/>
        <w:ind w:left="3132" w:right="0" w:hanging="443"/>
        <w:jc w:val="left"/>
      </w:pPr>
      <w:r>
        <w:t>欧洲：</w:t>
      </w:r>
    </w:p>
    <w:p>
      <w:pPr>
        <w:pStyle w:val="ListParagraph"/>
        <w:numPr>
          <w:ilvl w:val="0"/>
          <w:numId w:val="8"/>
        </w:numPr>
        <w:tabs>
          <w:tab w:val="left" w:pos="3034"/>
        </w:tabs>
        <w:spacing w:before="0" w:after="0" w:line="251" w:lineRule="exact"/>
        <w:ind w:left="3033" w:right="0" w:hanging="344"/>
        <w:jc w:val="left"/>
        <w:rPr>
          <w:sz w:val="21"/>
        </w:rPr>
      </w:pPr>
      <w:r>
        <w:rPr>
          <w:spacing w:val="5"/>
          <w:sz w:val="21"/>
        </w:rPr>
        <w:t>假设英国、法国、德国为欧洲主要智能电表市场，合计占据欧洲电表市场份额约</w:t>
      </w:r>
    </w:p>
    <w:p>
      <w:pPr>
        <w:pStyle w:val="BodyText"/>
        <w:spacing w:before="12" w:line="247" w:lineRule="auto"/>
        <w:ind w:left="2690" w:right="619"/>
      </w:pPr>
      <w:r>
        <w:rPr>
          <w:rFonts w:ascii="Tahoma" w:eastAsia="Tahoma"/>
        </w:rPr>
        <w:t>85%</w:t>
      </w:r>
      <w:r>
        <w:t>。</w:t>
      </w:r>
      <w:r>
        <w:rPr>
          <w:rFonts w:ascii="Tahoma" w:eastAsia="Tahoma"/>
        </w:rPr>
        <w:t xml:space="preserve">2023-2025 </w:t>
      </w:r>
      <w:r>
        <w:rPr>
          <w:spacing w:val="-1"/>
        </w:rPr>
        <w:t>年欧洲人口增速、家庭户数增速与</w:t>
      </w:r>
      <w:r>
        <w:rPr>
          <w:rFonts w:ascii="Tahoma" w:eastAsia="Tahoma"/>
        </w:rPr>
        <w:t xml:space="preserve">2022 </w:t>
      </w:r>
      <w:r>
        <w:rPr>
          <w:spacing w:val="1"/>
        </w:rPr>
        <w:t>年持平，户均人口</w:t>
      </w:r>
      <w:r>
        <w:rPr>
          <w:rFonts w:ascii="Tahoma" w:eastAsia="Tahoma"/>
        </w:rPr>
        <w:t xml:space="preserve">2.6 </w:t>
      </w:r>
      <w:r>
        <w:t>人</w:t>
      </w:r>
      <w:r>
        <w:rPr>
          <w:spacing w:val="-3"/>
        </w:rPr>
        <w:t>（</w:t>
      </w:r>
      <w:r>
        <w:t>参</w:t>
      </w:r>
      <w:r>
        <w:rPr>
          <w:w w:val="100"/>
        </w:rPr>
        <w:t>考</w:t>
      </w:r>
      <w:r>
        <w:rPr>
          <w:spacing w:val="-53"/>
        </w:rPr>
        <w:t xml:space="preserve"> </w:t>
      </w:r>
      <w:r>
        <w:rPr>
          <w:rFonts w:ascii="Tahoma" w:eastAsia="Tahoma"/>
          <w:spacing w:val="-1"/>
          <w:w w:val="100"/>
        </w:rPr>
        <w:t>202</w:t>
      </w:r>
      <w:r>
        <w:rPr>
          <w:rFonts w:ascii="Tahoma" w:eastAsia="Tahoma"/>
          <w:w w:val="100"/>
        </w:rPr>
        <w:t>0</w:t>
      </w:r>
      <w:r>
        <w:rPr>
          <w:rFonts w:ascii="Tahoma" w:eastAsia="Tahoma"/>
        </w:rPr>
        <w:t xml:space="preserve"> </w:t>
      </w:r>
      <w:r>
        <w:rPr>
          <w:spacing w:val="-3"/>
          <w:w w:val="100"/>
        </w:rPr>
        <w:t>年美国户均人数口径</w:t>
      </w:r>
      <w:r>
        <w:rPr>
          <w:spacing w:val="-106"/>
          <w:w w:val="100"/>
        </w:rPr>
        <w:t>）</w:t>
      </w:r>
      <w:r>
        <w:rPr>
          <w:w w:val="100"/>
        </w:rPr>
        <w:t>；</w:t>
      </w:r>
    </w:p>
    <w:p>
      <w:pPr>
        <w:pStyle w:val="ListParagraph"/>
        <w:numPr>
          <w:ilvl w:val="0"/>
          <w:numId w:val="8"/>
        </w:numPr>
        <w:tabs>
          <w:tab w:val="left" w:pos="3022"/>
        </w:tabs>
        <w:spacing w:before="4" w:after="0" w:line="249" w:lineRule="auto"/>
        <w:ind w:left="2690" w:right="686" w:firstLine="0"/>
        <w:jc w:val="left"/>
        <w:rPr>
          <w:sz w:val="21"/>
        </w:rPr>
      </w:pPr>
      <w:r>
        <w:rPr>
          <w:spacing w:val="-1"/>
          <w:sz w:val="21"/>
        </w:rPr>
        <w:t>假设电表安装规模由新增需求和替换需求构成，新增需求按现有渗透率水平每年提</w:t>
      </w:r>
      <w:r>
        <w:rPr>
          <w:spacing w:val="-27"/>
          <w:sz w:val="21"/>
        </w:rPr>
        <w:t xml:space="preserve">升 </w:t>
      </w:r>
      <w:r>
        <w:rPr>
          <w:rFonts w:ascii="Tahoma" w:eastAsia="Tahoma"/>
          <w:sz w:val="21"/>
        </w:rPr>
        <w:t>3.5pct</w:t>
      </w:r>
      <w:r>
        <w:rPr>
          <w:rFonts w:ascii="Tahoma" w:eastAsia="Tahoma"/>
          <w:spacing w:val="-20"/>
          <w:sz w:val="21"/>
        </w:rPr>
        <w:t xml:space="preserve"> </w:t>
      </w:r>
      <w:r>
        <w:rPr>
          <w:spacing w:val="-6"/>
          <w:sz w:val="21"/>
        </w:rPr>
        <w:t xml:space="preserve">计算，更新需求按每年更新现有累计电表规模的 </w:t>
      </w:r>
      <w:r>
        <w:rPr>
          <w:rFonts w:ascii="Tahoma" w:eastAsia="Tahoma"/>
          <w:sz w:val="21"/>
        </w:rPr>
        <w:t>4%</w:t>
      </w:r>
      <w:r>
        <w:rPr>
          <w:spacing w:val="-2"/>
          <w:sz w:val="21"/>
        </w:rPr>
        <w:t>计算；</w:t>
      </w:r>
    </w:p>
    <w:p>
      <w:pPr>
        <w:pStyle w:val="BodyText"/>
        <w:spacing w:line="269" w:lineRule="exact"/>
        <w:ind w:left="2690"/>
      </w:pPr>
      <w:r>
        <w:rPr>
          <w:rFonts w:ascii="Tahoma" w:eastAsia="Tahoma"/>
        </w:rPr>
        <w:t>3</w:t>
      </w:r>
      <w:r>
        <w:t xml:space="preserve">）预计 </w:t>
      </w:r>
      <w:r>
        <w:rPr>
          <w:rFonts w:ascii="Tahoma" w:eastAsia="Tahoma"/>
        </w:rPr>
        <w:t xml:space="preserve">2023-2025 </w:t>
      </w:r>
      <w:r>
        <w:t xml:space="preserve">年欧洲智能电表新增 </w:t>
      </w:r>
      <w:r>
        <w:rPr>
          <w:rFonts w:ascii="Tahoma" w:eastAsia="Tahoma"/>
        </w:rPr>
        <w:t xml:space="preserve">680/716/753 </w:t>
      </w:r>
      <w:r>
        <w:t xml:space="preserve">万只，同增 </w:t>
      </w:r>
      <w:r>
        <w:rPr>
          <w:rFonts w:ascii="Tahoma" w:eastAsia="Tahoma"/>
        </w:rPr>
        <w:t>5.5%/5.3%/5.1%</w:t>
      </w:r>
      <w:r>
        <w:t>。</w:t>
      </w:r>
    </w:p>
    <w:p>
      <w:pPr>
        <w:pStyle w:val="BodyText"/>
        <w:spacing w:before="6"/>
        <w:rPr>
          <w:sz w:val="17"/>
        </w:rPr>
      </w:pPr>
    </w:p>
    <w:p>
      <w:pPr>
        <w:pStyle w:val="Heading3"/>
        <w:numPr>
          <w:ilvl w:val="2"/>
          <w:numId w:val="12"/>
        </w:numPr>
        <w:tabs>
          <w:tab w:val="left" w:pos="3132"/>
          <w:tab w:val="left" w:pos="3133"/>
        </w:tabs>
        <w:spacing w:before="0" w:after="0" w:line="367" w:lineRule="exact"/>
        <w:ind w:left="3132" w:right="0" w:hanging="443"/>
        <w:jc w:val="left"/>
      </w:pPr>
      <w:r>
        <w:t>东南亚：</w:t>
      </w:r>
    </w:p>
    <w:p>
      <w:pPr>
        <w:pStyle w:val="ListParagraph"/>
        <w:numPr>
          <w:ilvl w:val="0"/>
          <w:numId w:val="7"/>
        </w:numPr>
        <w:tabs>
          <w:tab w:val="left" w:pos="3022"/>
        </w:tabs>
        <w:spacing w:before="0" w:after="0" w:line="250" w:lineRule="exact"/>
        <w:ind w:left="3021" w:right="0" w:hanging="332"/>
        <w:jc w:val="left"/>
        <w:rPr>
          <w:sz w:val="21"/>
        </w:rPr>
      </w:pPr>
      <w:r>
        <w:rPr>
          <w:sz w:val="21"/>
        </w:rPr>
        <w:t>假设马来西亚、印度尼西亚、泰国为东南亚主要智能电表市场，合计占据东南亚电</w:t>
      </w:r>
    </w:p>
    <w:p>
      <w:pPr>
        <w:pStyle w:val="BodyText"/>
        <w:spacing w:before="11"/>
        <w:ind w:left="2690"/>
      </w:pPr>
      <w:r>
        <w:t xml:space="preserve">表市场份额约 </w:t>
      </w:r>
      <w:r>
        <w:rPr>
          <w:rFonts w:ascii="Tahoma" w:eastAsia="Tahoma"/>
        </w:rPr>
        <w:t>60%</w:t>
      </w:r>
      <w:r>
        <w:t xml:space="preserve">。假设 </w:t>
      </w:r>
      <w:r>
        <w:rPr>
          <w:rFonts w:ascii="Tahoma" w:eastAsia="Tahoma"/>
        </w:rPr>
        <w:t xml:space="preserve">2023-2025 </w:t>
      </w:r>
      <w:r>
        <w:t xml:space="preserve">年东南亚人口增速、家庭户数增速与 </w:t>
      </w:r>
      <w:r>
        <w:rPr>
          <w:rFonts w:ascii="Tahoma" w:eastAsia="Tahoma"/>
        </w:rPr>
        <w:t xml:space="preserve">2022 </w:t>
      </w:r>
      <w:r>
        <w:t>年持</w:t>
      </w:r>
    </w:p>
    <w:p>
      <w:pPr>
        <w:pStyle w:val="BodyText"/>
        <w:spacing w:before="12"/>
        <w:ind w:left="2690"/>
      </w:pPr>
      <w:r>
        <w:t xml:space="preserve">平，户均人口约 </w:t>
      </w:r>
      <w:r>
        <w:rPr>
          <w:rFonts w:ascii="Tahoma" w:eastAsia="Tahoma"/>
        </w:rPr>
        <w:t xml:space="preserve">3 </w:t>
      </w:r>
      <w:r>
        <w:t>人；</w:t>
      </w:r>
    </w:p>
    <w:p>
      <w:pPr>
        <w:pStyle w:val="ListParagraph"/>
        <w:numPr>
          <w:ilvl w:val="0"/>
          <w:numId w:val="7"/>
        </w:numPr>
        <w:tabs>
          <w:tab w:val="left" w:pos="3019"/>
        </w:tabs>
        <w:spacing w:before="9" w:after="0" w:line="249" w:lineRule="auto"/>
        <w:ind w:left="2690" w:right="674" w:firstLine="0"/>
        <w:jc w:val="left"/>
        <w:rPr>
          <w:sz w:val="21"/>
        </w:rPr>
      </w:pPr>
      <w:r>
        <w:rPr>
          <w:spacing w:val="-7"/>
          <w:sz w:val="21"/>
        </w:rPr>
        <w:t xml:space="preserve">假设东南亚地区截至 </w:t>
      </w:r>
      <w:r>
        <w:rPr>
          <w:rFonts w:ascii="Tahoma" w:eastAsia="Tahoma"/>
          <w:sz w:val="21"/>
        </w:rPr>
        <w:t>2021</w:t>
      </w:r>
      <w:r>
        <w:rPr>
          <w:rFonts w:ascii="Tahoma" w:eastAsia="Tahoma"/>
          <w:spacing w:val="-4"/>
          <w:sz w:val="21"/>
        </w:rPr>
        <w:t xml:space="preserve"> </w:t>
      </w:r>
      <w:r>
        <w:rPr>
          <w:spacing w:val="-6"/>
          <w:sz w:val="21"/>
        </w:rPr>
        <w:t xml:space="preserve">年智能电表安装规模占亚太地区的 </w:t>
      </w:r>
      <w:r>
        <w:rPr>
          <w:rFonts w:ascii="Tahoma" w:eastAsia="Tahoma"/>
          <w:sz w:val="21"/>
        </w:rPr>
        <w:t>4%</w:t>
      </w:r>
      <w:r>
        <w:rPr>
          <w:spacing w:val="-3"/>
          <w:sz w:val="21"/>
        </w:rPr>
        <w:t>，后续东南亚智能</w:t>
      </w:r>
      <w:r>
        <w:rPr>
          <w:spacing w:val="-8"/>
          <w:sz w:val="21"/>
        </w:rPr>
        <w:t xml:space="preserve">电表渗透率每年提升 </w:t>
      </w:r>
      <w:r>
        <w:rPr>
          <w:rFonts w:ascii="Tahoma" w:eastAsia="Tahoma"/>
          <w:sz w:val="21"/>
        </w:rPr>
        <w:t>3-9pct</w:t>
      </w:r>
      <w:r>
        <w:rPr>
          <w:spacing w:val="-3"/>
          <w:sz w:val="21"/>
        </w:rPr>
        <w:t>，暂不考虑替换需求；</w:t>
      </w:r>
    </w:p>
    <w:p>
      <w:pPr>
        <w:pStyle w:val="BodyText"/>
        <w:spacing w:before="2"/>
        <w:ind w:left="2690"/>
      </w:pPr>
      <w:r>
        <w:rPr>
          <w:rFonts w:ascii="Tahoma" w:eastAsia="Tahoma"/>
        </w:rPr>
        <w:t xml:space="preserve">3 </w:t>
      </w:r>
      <w:r>
        <w:rPr>
          <w:spacing w:val="64"/>
        </w:rPr>
        <w:t>）</w:t>
      </w:r>
      <w:r>
        <w:rPr>
          <w:spacing w:val="42"/>
        </w:rPr>
        <w:t xml:space="preserve">预计 </w:t>
      </w:r>
      <w:r>
        <w:rPr>
          <w:rFonts w:ascii="Tahoma" w:eastAsia="Tahoma"/>
        </w:rPr>
        <w:t xml:space="preserve">2023-2025 </w:t>
      </w:r>
      <w:r>
        <w:rPr>
          <w:spacing w:val="-19"/>
        </w:rPr>
        <w:t xml:space="preserve">年 东 南 亚 智 能 电 表 新 增 </w:t>
      </w:r>
      <w:r>
        <w:rPr>
          <w:rFonts w:ascii="Tahoma" w:eastAsia="Tahoma"/>
        </w:rPr>
        <w:t xml:space="preserve">885/1181/1572 </w:t>
      </w:r>
      <w:r>
        <w:rPr>
          <w:spacing w:val="-20"/>
        </w:rPr>
        <w:t>万 只 ， 同 增</w:t>
      </w:r>
    </w:p>
    <w:p>
      <w:pPr>
        <w:pStyle w:val="BodyText"/>
        <w:spacing w:before="9"/>
        <w:ind w:left="2690"/>
      </w:pPr>
      <w:r>
        <w:rPr>
          <w:rFonts w:ascii="Tahoma" w:eastAsia="Tahoma"/>
        </w:rPr>
        <w:t>34.1%/33.4%/33.1%</w:t>
      </w:r>
      <w:r>
        <w:t>。</w:t>
      </w:r>
    </w:p>
    <w:p>
      <w:pPr>
        <w:spacing w:after="0"/>
        <w:sectPr>
          <w:headerReference w:type="default" r:id="rId47"/>
          <w:footerReference w:type="default" r:id="rId48"/>
          <w:pgSz w:w="11910" w:h="16840"/>
          <w:pgMar w:top="900" w:right="0" w:bottom="1060" w:left="540" w:header="708" w:footer="708"/>
          <w:pgNumType w:start="21"/>
          <w:cols w:space="708"/>
        </w:sectPr>
      </w:pPr>
    </w:p>
    <w:p>
      <w:pPr>
        <w:pStyle w:val="Heading3"/>
        <w:numPr>
          <w:ilvl w:val="2"/>
          <w:numId w:val="12"/>
        </w:numPr>
        <w:tabs>
          <w:tab w:val="left" w:pos="3132"/>
          <w:tab w:val="left" w:pos="3133"/>
        </w:tabs>
        <w:spacing w:before="63" w:after="0" w:line="368" w:lineRule="exact"/>
        <w:ind w:left="3132" w:right="0" w:hanging="443"/>
        <w:jc w:val="left"/>
      </w:pPr>
      <w:r>
        <w:t>沙特：</w:t>
      </w:r>
    </w:p>
    <w:p>
      <w:pPr>
        <w:pStyle w:val="ListParagraph"/>
        <w:numPr>
          <w:ilvl w:val="0"/>
          <w:numId w:val="6"/>
        </w:numPr>
        <w:tabs>
          <w:tab w:val="left" w:pos="3019"/>
        </w:tabs>
        <w:spacing w:before="0" w:after="0" w:line="251" w:lineRule="exact"/>
        <w:ind w:left="3018" w:right="0" w:hanging="329"/>
        <w:jc w:val="both"/>
        <w:rPr>
          <w:sz w:val="21"/>
        </w:rPr>
      </w:pPr>
      <w:r>
        <w:rPr>
          <w:spacing w:val="18"/>
          <w:sz w:val="21"/>
        </w:rPr>
        <w:t>假设</w:t>
      </w:r>
      <w:r>
        <w:rPr>
          <w:rFonts w:ascii="Tahoma" w:eastAsia="Tahoma"/>
          <w:sz w:val="21"/>
        </w:rPr>
        <w:t>2023-2025</w:t>
      </w:r>
      <w:r>
        <w:rPr>
          <w:rFonts w:ascii="Tahoma" w:eastAsia="Tahoma"/>
          <w:spacing w:val="-29"/>
          <w:sz w:val="21"/>
        </w:rPr>
        <w:t xml:space="preserve"> </w:t>
      </w:r>
      <w:r>
        <w:rPr>
          <w:spacing w:val="-7"/>
          <w:sz w:val="21"/>
        </w:rPr>
        <w:t xml:space="preserve">年沙特人口增速、家庭户数增速与 </w:t>
      </w:r>
      <w:r>
        <w:rPr>
          <w:rFonts w:ascii="Tahoma" w:eastAsia="Tahoma"/>
          <w:sz w:val="21"/>
        </w:rPr>
        <w:t>2022</w:t>
      </w:r>
      <w:r>
        <w:rPr>
          <w:rFonts w:ascii="Tahoma" w:eastAsia="Tahoma"/>
          <w:spacing w:val="-32"/>
          <w:sz w:val="21"/>
        </w:rPr>
        <w:t xml:space="preserve"> </w:t>
      </w:r>
      <w:r>
        <w:rPr>
          <w:spacing w:val="-10"/>
          <w:sz w:val="21"/>
        </w:rPr>
        <w:t xml:space="preserve">年持平，户均人口约 </w:t>
      </w:r>
      <w:r>
        <w:rPr>
          <w:rFonts w:ascii="Tahoma" w:eastAsia="Tahoma"/>
          <w:sz w:val="21"/>
        </w:rPr>
        <w:t>3</w:t>
      </w:r>
      <w:r>
        <w:rPr>
          <w:rFonts w:ascii="Tahoma" w:eastAsia="Tahoma"/>
          <w:spacing w:val="-28"/>
          <w:sz w:val="21"/>
        </w:rPr>
        <w:t xml:space="preserve"> </w:t>
      </w:r>
      <w:r>
        <w:rPr>
          <w:spacing w:val="-3"/>
          <w:sz w:val="21"/>
        </w:rPr>
        <w:t>人；</w:t>
      </w:r>
    </w:p>
    <w:p>
      <w:pPr>
        <w:pStyle w:val="ListParagraph"/>
        <w:numPr>
          <w:ilvl w:val="0"/>
          <w:numId w:val="6"/>
        </w:numPr>
        <w:tabs>
          <w:tab w:val="left" w:pos="3019"/>
        </w:tabs>
        <w:spacing w:before="9" w:after="0" w:line="249" w:lineRule="auto"/>
        <w:ind w:left="2690" w:right="674" w:firstLine="0"/>
        <w:jc w:val="both"/>
        <w:rPr>
          <w:sz w:val="21"/>
        </w:rPr>
      </w:pPr>
      <w:r>
        <w:rPr>
          <w:spacing w:val="-9"/>
          <w:sz w:val="21"/>
        </w:rPr>
        <w:t xml:space="preserve">考虑到沙特 </w:t>
      </w:r>
      <w:r>
        <w:rPr>
          <w:rFonts w:ascii="Tahoma" w:eastAsia="Tahoma"/>
          <w:sz w:val="21"/>
        </w:rPr>
        <w:t>2020</w:t>
      </w:r>
      <w:r>
        <w:rPr>
          <w:rFonts w:ascii="Tahoma" w:eastAsia="Tahoma"/>
          <w:spacing w:val="-6"/>
          <w:sz w:val="21"/>
        </w:rPr>
        <w:t xml:space="preserve"> </w:t>
      </w:r>
      <w:r>
        <w:rPr>
          <w:spacing w:val="-8"/>
          <w:sz w:val="21"/>
        </w:rPr>
        <w:t xml:space="preserve">年集中招标 </w:t>
      </w:r>
      <w:r>
        <w:rPr>
          <w:rFonts w:ascii="Tahoma" w:eastAsia="Tahoma"/>
          <w:sz w:val="21"/>
        </w:rPr>
        <w:t>1000</w:t>
      </w:r>
      <w:r>
        <w:rPr>
          <w:rFonts w:ascii="Tahoma" w:eastAsia="Tahoma"/>
          <w:spacing w:val="-6"/>
          <w:sz w:val="21"/>
        </w:rPr>
        <w:t xml:space="preserve"> </w:t>
      </w:r>
      <w:r>
        <w:rPr>
          <w:spacing w:val="-7"/>
          <w:sz w:val="21"/>
        </w:rPr>
        <w:t xml:space="preserve">万只电表，并于 </w:t>
      </w:r>
      <w:r>
        <w:rPr>
          <w:rFonts w:ascii="Tahoma" w:eastAsia="Tahoma"/>
          <w:sz w:val="21"/>
        </w:rPr>
        <w:t>2021</w:t>
      </w:r>
      <w:r>
        <w:rPr>
          <w:rFonts w:ascii="Tahoma" w:eastAsia="Tahoma"/>
          <w:spacing w:val="-2"/>
          <w:sz w:val="21"/>
        </w:rPr>
        <w:t xml:space="preserve"> </w:t>
      </w:r>
      <w:r>
        <w:rPr>
          <w:spacing w:val="-19"/>
          <w:sz w:val="21"/>
        </w:rPr>
        <w:t xml:space="preserve">年 </w:t>
      </w:r>
      <w:r>
        <w:rPr>
          <w:rFonts w:ascii="Tahoma" w:eastAsia="Tahoma"/>
          <w:sz w:val="21"/>
        </w:rPr>
        <w:t>3</w:t>
      </w:r>
      <w:r>
        <w:rPr>
          <w:rFonts w:ascii="Tahoma" w:eastAsia="Tahoma"/>
          <w:spacing w:val="-2"/>
          <w:sz w:val="21"/>
        </w:rPr>
        <w:t xml:space="preserve"> </w:t>
      </w:r>
      <w:r>
        <w:rPr>
          <w:spacing w:val="-3"/>
          <w:sz w:val="21"/>
        </w:rPr>
        <w:t>月安装完成，按智能电表数量</w:t>
      </w:r>
      <w:r>
        <w:rPr>
          <w:rFonts w:ascii="Tahoma" w:eastAsia="Tahoma"/>
          <w:sz w:val="21"/>
        </w:rPr>
        <w:t>/</w:t>
      </w:r>
      <w:r>
        <w:rPr>
          <w:spacing w:val="-3"/>
          <w:sz w:val="21"/>
        </w:rPr>
        <w:t>家庭户数折算，</w:t>
      </w:r>
      <w:r>
        <w:rPr>
          <w:rFonts w:ascii="Tahoma" w:eastAsia="Tahoma"/>
          <w:sz w:val="21"/>
        </w:rPr>
        <w:t>2021</w:t>
      </w:r>
      <w:r>
        <w:rPr>
          <w:rFonts w:ascii="Tahoma" w:eastAsia="Tahoma"/>
          <w:spacing w:val="-13"/>
          <w:sz w:val="21"/>
        </w:rPr>
        <w:t xml:space="preserve"> </w:t>
      </w:r>
      <w:r>
        <w:rPr>
          <w:spacing w:val="-6"/>
          <w:sz w:val="21"/>
        </w:rPr>
        <w:t xml:space="preserve">年沙特地区智能电表渗透率约 </w:t>
      </w:r>
      <w:r>
        <w:rPr>
          <w:rFonts w:ascii="Tahoma" w:eastAsia="Tahoma"/>
          <w:sz w:val="21"/>
        </w:rPr>
        <w:t>83%</w:t>
      </w:r>
      <w:r>
        <w:rPr>
          <w:spacing w:val="-3"/>
          <w:sz w:val="21"/>
        </w:rPr>
        <w:t>。假设后续年份渗透</w:t>
      </w:r>
      <w:r>
        <w:rPr>
          <w:spacing w:val="-20"/>
          <w:sz w:val="21"/>
        </w:rPr>
        <w:t xml:space="preserve">率按 </w:t>
      </w:r>
      <w:r>
        <w:rPr>
          <w:rFonts w:ascii="Tahoma" w:eastAsia="Tahoma"/>
          <w:sz w:val="21"/>
        </w:rPr>
        <w:t>2%</w:t>
      </w:r>
      <w:r>
        <w:rPr>
          <w:spacing w:val="-3"/>
          <w:sz w:val="21"/>
        </w:rPr>
        <w:t>左右提升。由于智能电表发展较初期，暂不考虑替换需求；</w:t>
      </w:r>
    </w:p>
    <w:p>
      <w:pPr>
        <w:pStyle w:val="BodyText"/>
        <w:ind w:left="2690"/>
      </w:pPr>
      <w:r>
        <w:rPr>
          <w:rFonts w:ascii="Tahoma" w:eastAsia="Tahoma"/>
        </w:rPr>
        <w:t>3</w:t>
      </w:r>
      <w:r>
        <w:t xml:space="preserve">）测预计 </w:t>
      </w:r>
      <w:r>
        <w:rPr>
          <w:rFonts w:ascii="Tahoma" w:eastAsia="Tahoma"/>
        </w:rPr>
        <w:t xml:space="preserve">2023-2025 </w:t>
      </w:r>
      <w:r>
        <w:t xml:space="preserve">年沙特智能电表新增 </w:t>
      </w:r>
      <w:r>
        <w:rPr>
          <w:rFonts w:ascii="Tahoma" w:eastAsia="Tahoma"/>
        </w:rPr>
        <w:t xml:space="preserve">39/40/41 </w:t>
      </w:r>
      <w:r>
        <w:t xml:space="preserve">万只，同增 </w:t>
      </w:r>
      <w:r>
        <w:rPr>
          <w:rFonts w:ascii="Tahoma" w:eastAsia="Tahoma"/>
        </w:rPr>
        <w:t>2.1%/2.1%/2.1%</w:t>
      </w:r>
      <w:r>
        <w:t>。</w:t>
      </w:r>
    </w:p>
    <w:p>
      <w:pPr>
        <w:pStyle w:val="BodyText"/>
        <w:spacing w:before="6"/>
        <w:rPr>
          <w:sz w:val="17"/>
        </w:rPr>
      </w:pPr>
    </w:p>
    <w:p>
      <w:pPr>
        <w:pStyle w:val="Heading3"/>
        <w:numPr>
          <w:ilvl w:val="2"/>
          <w:numId w:val="12"/>
        </w:numPr>
        <w:tabs>
          <w:tab w:val="left" w:pos="3132"/>
          <w:tab w:val="left" w:pos="3133"/>
        </w:tabs>
        <w:spacing w:before="0" w:after="0" w:line="367" w:lineRule="exact"/>
        <w:ind w:left="3132" w:right="0" w:hanging="443"/>
        <w:jc w:val="left"/>
      </w:pPr>
      <w:r>
        <w:t>拉美：</w:t>
      </w:r>
    </w:p>
    <w:p>
      <w:pPr>
        <w:pStyle w:val="ListParagraph"/>
        <w:numPr>
          <w:ilvl w:val="0"/>
          <w:numId w:val="5"/>
        </w:numPr>
        <w:tabs>
          <w:tab w:val="left" w:pos="3042"/>
        </w:tabs>
        <w:spacing w:before="0" w:after="0" w:line="250" w:lineRule="exact"/>
        <w:ind w:left="3041" w:right="0" w:hanging="352"/>
        <w:jc w:val="left"/>
        <w:rPr>
          <w:sz w:val="21"/>
        </w:rPr>
      </w:pPr>
      <w:r>
        <w:rPr>
          <w:spacing w:val="8"/>
          <w:sz w:val="21"/>
        </w:rPr>
        <w:t xml:space="preserve">假设巴西为拉美地区主要智能电表市场，占比欧洲电表市场份额约 </w:t>
      </w:r>
      <w:r>
        <w:rPr>
          <w:rFonts w:ascii="Tahoma" w:eastAsia="Tahoma"/>
          <w:spacing w:val="3"/>
          <w:sz w:val="21"/>
        </w:rPr>
        <w:t>40%</w:t>
      </w:r>
      <w:r>
        <w:rPr>
          <w:spacing w:val="6"/>
          <w:sz w:val="21"/>
        </w:rPr>
        <w:t>。假设</w:t>
      </w:r>
    </w:p>
    <w:p>
      <w:pPr>
        <w:pStyle w:val="BodyText"/>
        <w:spacing w:before="11"/>
        <w:ind w:left="2690"/>
      </w:pPr>
      <w:r>
        <w:rPr>
          <w:rFonts w:ascii="Tahoma" w:eastAsia="Tahoma"/>
        </w:rPr>
        <w:t xml:space="preserve">2023-2025 </w:t>
      </w:r>
      <w:r>
        <w:t xml:space="preserve">年拉美人口增速、家庭户数增速与 </w:t>
      </w:r>
      <w:r>
        <w:rPr>
          <w:rFonts w:ascii="Tahoma" w:eastAsia="Tahoma"/>
        </w:rPr>
        <w:t xml:space="preserve">2022 </w:t>
      </w:r>
      <w:r>
        <w:t xml:space="preserve">年持平，户均人口约 </w:t>
      </w:r>
      <w:r>
        <w:rPr>
          <w:rFonts w:ascii="Tahoma" w:eastAsia="Tahoma"/>
        </w:rPr>
        <w:t xml:space="preserve">3 </w:t>
      </w:r>
      <w:r>
        <w:t>人；</w:t>
      </w:r>
    </w:p>
    <w:p>
      <w:pPr>
        <w:pStyle w:val="ListParagraph"/>
        <w:numPr>
          <w:ilvl w:val="0"/>
          <w:numId w:val="5"/>
        </w:numPr>
        <w:tabs>
          <w:tab w:val="left" w:pos="3019"/>
        </w:tabs>
        <w:spacing w:before="12" w:after="0" w:line="247" w:lineRule="auto"/>
        <w:ind w:left="2690" w:right="675" w:firstLine="0"/>
        <w:jc w:val="left"/>
        <w:rPr>
          <w:sz w:val="21"/>
        </w:rPr>
      </w:pPr>
      <w:r>
        <w:rPr>
          <w:spacing w:val="-25"/>
          <w:sz w:val="21"/>
        </w:rPr>
        <w:t xml:space="preserve">据 </w:t>
      </w:r>
      <w:r>
        <w:rPr>
          <w:rFonts w:ascii="Tahoma" w:eastAsia="Tahoma"/>
          <w:sz w:val="21"/>
        </w:rPr>
        <w:t>Breg</w:t>
      </w:r>
      <w:r>
        <w:rPr>
          <w:rFonts w:ascii="Tahoma" w:eastAsia="Tahoma"/>
          <w:spacing w:val="39"/>
          <w:sz w:val="21"/>
        </w:rPr>
        <w:t xml:space="preserve"> </w:t>
      </w:r>
      <w:r>
        <w:rPr>
          <w:rFonts w:ascii="Tahoma" w:eastAsia="Tahoma"/>
          <w:sz w:val="21"/>
        </w:rPr>
        <w:t>Insights</w:t>
      </w:r>
      <w:r>
        <w:rPr>
          <w:spacing w:val="-14"/>
          <w:sz w:val="21"/>
        </w:rPr>
        <w:t xml:space="preserve">，拉美 </w:t>
      </w:r>
      <w:r>
        <w:rPr>
          <w:rFonts w:ascii="Tahoma" w:eastAsia="Tahoma"/>
          <w:sz w:val="21"/>
        </w:rPr>
        <w:t>2022</w:t>
      </w:r>
      <w:r>
        <w:rPr>
          <w:rFonts w:ascii="Tahoma" w:eastAsia="Tahoma"/>
          <w:spacing w:val="-16"/>
          <w:sz w:val="21"/>
        </w:rPr>
        <w:t xml:space="preserve"> </w:t>
      </w:r>
      <w:r>
        <w:rPr>
          <w:spacing w:val="-8"/>
          <w:sz w:val="21"/>
        </w:rPr>
        <w:t xml:space="preserve">年智能电表渗透率仅 </w:t>
      </w:r>
      <w:r>
        <w:rPr>
          <w:rFonts w:ascii="Tahoma" w:eastAsia="Tahoma"/>
          <w:sz w:val="21"/>
        </w:rPr>
        <w:t>6.2%</w:t>
      </w:r>
      <w:r>
        <w:rPr>
          <w:spacing w:val="-3"/>
          <w:sz w:val="21"/>
        </w:rPr>
        <w:t>，假设后续拉美智能电表渗</w:t>
      </w:r>
      <w:r>
        <w:rPr>
          <w:spacing w:val="-10"/>
          <w:sz w:val="21"/>
        </w:rPr>
        <w:t xml:space="preserve">透率每年提升 </w:t>
      </w:r>
      <w:r>
        <w:rPr>
          <w:rFonts w:ascii="Tahoma" w:eastAsia="Tahoma"/>
          <w:sz w:val="21"/>
        </w:rPr>
        <w:t>2-5pct</w:t>
      </w:r>
      <w:r>
        <w:rPr>
          <w:spacing w:val="-3"/>
          <w:sz w:val="21"/>
        </w:rPr>
        <w:t>，暂不考虑替换需求；</w:t>
      </w:r>
    </w:p>
    <w:p>
      <w:pPr>
        <w:pStyle w:val="BodyText"/>
        <w:spacing w:before="5"/>
        <w:ind w:left="2690"/>
      </w:pPr>
      <w:r>
        <w:rPr>
          <w:rFonts w:ascii="Tahoma" w:eastAsia="Tahoma"/>
        </w:rPr>
        <w:t xml:space="preserve">3 </w:t>
      </w:r>
      <w:r>
        <w:t xml:space="preserve">） 预 计 </w:t>
      </w:r>
      <w:r>
        <w:rPr>
          <w:rFonts w:ascii="Tahoma" w:eastAsia="Tahoma"/>
        </w:rPr>
        <w:t xml:space="preserve">2023-2025 </w:t>
      </w:r>
      <w:r>
        <w:t xml:space="preserve">年 拉 美 智 能 电 表 新 增 </w:t>
      </w:r>
      <w:r>
        <w:rPr>
          <w:rFonts w:ascii="Tahoma" w:eastAsia="Tahoma"/>
        </w:rPr>
        <w:t xml:space="preserve">294/387/499 </w:t>
      </w:r>
      <w:r>
        <w:t>万 只 ， 同 增</w:t>
      </w:r>
    </w:p>
    <w:p>
      <w:pPr>
        <w:pStyle w:val="BodyText"/>
        <w:spacing w:before="11"/>
        <w:ind w:left="2690"/>
      </w:pPr>
      <w:r>
        <w:rPr>
          <w:rFonts w:ascii="Tahoma" w:eastAsia="Tahoma"/>
        </w:rPr>
        <w:t>33.8%/31.8%/29.1%</w:t>
      </w:r>
      <w:r>
        <w:t>。</w:t>
      </w:r>
    </w:p>
    <w:p>
      <w:pPr>
        <w:pStyle w:val="BodyText"/>
        <w:spacing w:before="4"/>
        <w:rPr>
          <w:sz w:val="17"/>
        </w:rPr>
      </w:pPr>
    </w:p>
    <w:p>
      <w:pPr>
        <w:pStyle w:val="Heading3"/>
        <w:numPr>
          <w:ilvl w:val="2"/>
          <w:numId w:val="12"/>
        </w:numPr>
        <w:tabs>
          <w:tab w:val="left" w:pos="3132"/>
          <w:tab w:val="left" w:pos="3133"/>
        </w:tabs>
        <w:spacing w:before="0" w:after="0" w:line="368" w:lineRule="exact"/>
        <w:ind w:left="3132" w:right="0" w:hanging="443"/>
        <w:jc w:val="left"/>
      </w:pPr>
      <w:r>
        <w:t>非洲：</w:t>
      </w:r>
    </w:p>
    <w:p>
      <w:pPr>
        <w:pStyle w:val="ListParagraph"/>
        <w:numPr>
          <w:ilvl w:val="0"/>
          <w:numId w:val="4"/>
        </w:numPr>
        <w:tabs>
          <w:tab w:val="left" w:pos="3042"/>
        </w:tabs>
        <w:spacing w:before="0" w:after="0" w:line="251" w:lineRule="exact"/>
        <w:ind w:left="3041" w:right="0" w:hanging="352"/>
        <w:jc w:val="left"/>
        <w:rPr>
          <w:sz w:val="21"/>
        </w:rPr>
      </w:pPr>
      <w:r>
        <w:rPr>
          <w:spacing w:val="8"/>
          <w:sz w:val="21"/>
        </w:rPr>
        <w:t xml:space="preserve">假设南非为拉美地区主要智能电表市场，占比欧洲电表市场份额约 </w:t>
      </w:r>
      <w:r>
        <w:rPr>
          <w:rFonts w:ascii="Tahoma" w:eastAsia="Tahoma"/>
          <w:spacing w:val="3"/>
          <w:sz w:val="21"/>
        </w:rPr>
        <w:t>50%</w:t>
      </w:r>
      <w:r>
        <w:rPr>
          <w:spacing w:val="6"/>
          <w:sz w:val="21"/>
        </w:rPr>
        <w:t>。假设</w:t>
      </w:r>
    </w:p>
    <w:p>
      <w:pPr>
        <w:pStyle w:val="BodyText"/>
        <w:spacing w:before="9"/>
        <w:ind w:left="2690"/>
      </w:pPr>
      <w:r>
        <w:rPr>
          <w:rFonts w:ascii="Tahoma" w:eastAsia="Tahoma"/>
        </w:rPr>
        <w:t xml:space="preserve">2023-2025 </w:t>
      </w:r>
      <w:r>
        <w:t xml:space="preserve">年非洲人口增速、家庭户数增速与 </w:t>
      </w:r>
      <w:r>
        <w:rPr>
          <w:rFonts w:ascii="Tahoma" w:eastAsia="Tahoma"/>
        </w:rPr>
        <w:t xml:space="preserve">2022 </w:t>
      </w:r>
      <w:r>
        <w:t xml:space="preserve">年持平，户均人口约 </w:t>
      </w:r>
      <w:r>
        <w:rPr>
          <w:rFonts w:ascii="Tahoma" w:eastAsia="Tahoma"/>
        </w:rPr>
        <w:t xml:space="preserve">3 </w:t>
      </w:r>
      <w:r>
        <w:t>人；</w:t>
      </w:r>
    </w:p>
    <w:p>
      <w:pPr>
        <w:pStyle w:val="ListParagraph"/>
        <w:numPr>
          <w:ilvl w:val="0"/>
          <w:numId w:val="4"/>
        </w:numPr>
        <w:tabs>
          <w:tab w:val="left" w:pos="3019"/>
        </w:tabs>
        <w:spacing w:before="12" w:after="0" w:line="249" w:lineRule="auto"/>
        <w:ind w:left="2690" w:right="677" w:firstLine="0"/>
        <w:jc w:val="left"/>
        <w:rPr>
          <w:sz w:val="21"/>
        </w:rPr>
      </w:pPr>
      <w:r>
        <w:rPr>
          <w:spacing w:val="-3"/>
          <w:w w:val="100"/>
          <w:sz w:val="21"/>
        </w:rPr>
        <w:t>假设非洲现有智能电表渗透率水平低于拉美</w:t>
      </w:r>
      <w:r>
        <w:rPr>
          <w:w w:val="100"/>
          <w:sz w:val="21"/>
        </w:rPr>
        <w:t>（</w:t>
      </w:r>
      <w:r>
        <w:rPr>
          <w:rFonts w:ascii="Tahoma" w:eastAsia="Tahoma"/>
          <w:spacing w:val="-1"/>
          <w:w w:val="100"/>
          <w:sz w:val="21"/>
        </w:rPr>
        <w:t>2</w:t>
      </w:r>
      <w:r>
        <w:rPr>
          <w:rFonts w:ascii="Tahoma" w:eastAsia="Tahoma"/>
          <w:spacing w:val="-3"/>
          <w:w w:val="100"/>
          <w:sz w:val="21"/>
        </w:rPr>
        <w:t>02</w:t>
      </w:r>
      <w:r>
        <w:rPr>
          <w:rFonts w:ascii="Tahoma" w:eastAsia="Tahoma"/>
          <w:w w:val="100"/>
          <w:sz w:val="21"/>
        </w:rPr>
        <w:t>2</w:t>
      </w:r>
      <w:r>
        <w:rPr>
          <w:rFonts w:ascii="Tahoma" w:eastAsia="Tahoma"/>
          <w:spacing w:val="-21"/>
          <w:sz w:val="21"/>
        </w:rPr>
        <w:t xml:space="preserve"> </w:t>
      </w:r>
      <w:r>
        <w:rPr>
          <w:w w:val="100"/>
          <w:sz w:val="21"/>
        </w:rPr>
        <w:t>年约</w:t>
      </w:r>
      <w:r>
        <w:rPr>
          <w:spacing w:val="-55"/>
          <w:sz w:val="21"/>
        </w:rPr>
        <w:t xml:space="preserve"> </w:t>
      </w:r>
      <w:r>
        <w:rPr>
          <w:rFonts w:ascii="Tahoma" w:eastAsia="Tahoma"/>
          <w:w w:val="100"/>
          <w:sz w:val="21"/>
        </w:rPr>
        <w:t>6.</w:t>
      </w:r>
      <w:r>
        <w:rPr>
          <w:rFonts w:ascii="Tahoma" w:eastAsia="Tahoma"/>
          <w:spacing w:val="-3"/>
          <w:w w:val="100"/>
          <w:sz w:val="21"/>
        </w:rPr>
        <w:t>2</w:t>
      </w:r>
      <w:r>
        <w:rPr>
          <w:rFonts w:ascii="Tahoma" w:eastAsia="Tahoma"/>
          <w:w w:val="100"/>
          <w:sz w:val="21"/>
        </w:rPr>
        <w:t>%</w:t>
      </w:r>
      <w:r>
        <w:rPr>
          <w:spacing w:val="-108"/>
          <w:w w:val="100"/>
          <w:sz w:val="21"/>
        </w:rPr>
        <w:t>）</w:t>
      </w:r>
      <w:r>
        <w:rPr>
          <w:spacing w:val="-3"/>
          <w:w w:val="100"/>
          <w:sz w:val="21"/>
        </w:rPr>
        <w:t>，假设后续非洲智能</w:t>
      </w:r>
      <w:r>
        <w:rPr>
          <w:spacing w:val="-8"/>
          <w:sz w:val="21"/>
        </w:rPr>
        <w:t xml:space="preserve">电表渗透率每年提升 </w:t>
      </w:r>
      <w:r>
        <w:rPr>
          <w:rFonts w:ascii="Tahoma" w:eastAsia="Tahoma"/>
          <w:sz w:val="21"/>
        </w:rPr>
        <w:t>3-9pct</w:t>
      </w:r>
      <w:r>
        <w:rPr>
          <w:spacing w:val="-3"/>
          <w:sz w:val="21"/>
        </w:rPr>
        <w:t>，暂不考虑替换需求；</w:t>
      </w:r>
    </w:p>
    <w:p>
      <w:pPr>
        <w:pStyle w:val="BodyText"/>
        <w:spacing w:line="269" w:lineRule="exact"/>
        <w:ind w:left="2690"/>
      </w:pPr>
      <w:r>
        <w:rPr>
          <w:rFonts w:ascii="Tahoma" w:eastAsia="Tahoma"/>
        </w:rPr>
        <w:t xml:space="preserve">3 </w:t>
      </w:r>
      <w:r>
        <w:t xml:space="preserve">） 预 计 </w:t>
      </w:r>
      <w:r>
        <w:rPr>
          <w:rFonts w:ascii="Tahoma" w:eastAsia="Tahoma"/>
        </w:rPr>
        <w:t xml:space="preserve">2023-2025 </w:t>
      </w:r>
      <w:r>
        <w:t xml:space="preserve">年 非 洲 智 能 电 表 新 增 </w:t>
      </w:r>
      <w:r>
        <w:rPr>
          <w:rFonts w:ascii="Tahoma" w:eastAsia="Tahoma"/>
        </w:rPr>
        <w:t xml:space="preserve">136/180/235 </w:t>
      </w:r>
      <w:r>
        <w:t>万 只 ， 同 增</w:t>
      </w:r>
    </w:p>
    <w:p>
      <w:pPr>
        <w:pStyle w:val="BodyText"/>
        <w:spacing w:before="12"/>
        <w:ind w:left="2690"/>
      </w:pPr>
      <w:r>
        <w:rPr>
          <w:rFonts w:ascii="Tahoma" w:eastAsia="Tahoma"/>
        </w:rPr>
        <w:t>33.2%/32.1%/30.8%</w:t>
      </w:r>
      <w:r>
        <w:t>。</w:t>
      </w:r>
    </w:p>
    <w:p>
      <w:pPr>
        <w:pStyle w:val="BodyText"/>
        <w:spacing w:before="11"/>
        <w:rPr>
          <w:sz w:val="25"/>
        </w:rPr>
      </w:pPr>
    </w:p>
    <w:p>
      <w:pPr>
        <w:spacing w:before="1"/>
        <w:ind w:left="2798" w:right="0" w:firstLine="0"/>
        <w:jc w:val="left"/>
        <w:rPr>
          <w:sz w:val="17"/>
        </w:rPr>
      </w:pPr>
      <w:r>
        <w:pict>
          <v:line id="_x0000_s1690" style="mso-position-horizontal-relative:page;position:absolute;z-index:251730944" from="161.55pt,14.65pt" to="561.2pt,14.65pt" stroked="t" strokecolor="#004097" strokeweight="0.96pt">
            <v:stroke dashstyle="solid"/>
          </v:line>
        </w:pict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14</w:t>
      </w:r>
      <w:r>
        <w:rPr>
          <w:color w:val="004097"/>
          <w:sz w:val="17"/>
        </w:rPr>
        <w:t>：海外智能电表需求测算（万只；</w:t>
      </w:r>
      <w:r>
        <w:rPr>
          <w:rFonts w:ascii="Tahoma" w:eastAsia="Tahoma"/>
          <w:i/>
          <w:color w:val="004097"/>
          <w:sz w:val="17"/>
        </w:rPr>
        <w:t>%</w:t>
      </w:r>
      <w:r>
        <w:rPr>
          <w:color w:val="004097"/>
          <w:sz w:val="17"/>
        </w:rPr>
        <w:t>）</w:t>
      </w:r>
    </w:p>
    <w:p>
      <w:pPr>
        <w:pStyle w:val="BodyText"/>
        <w:spacing w:before="11"/>
        <w:rPr>
          <w:sz w:val="5"/>
        </w:rPr>
      </w:pPr>
    </w:p>
    <w:tbl>
      <w:tblPr>
        <w:tblStyle w:val="TableNormal1"/>
        <w:tblW w:w="0" w:type="auto"/>
        <w:jc w:val="left"/>
        <w:tblInd w:w="2808" w:type="dxa"/>
        <w:tblBorders>
          <w:top w:val="single" w:sz="4" w:space="0" w:color="004097"/>
          <w:left w:val="single" w:sz="4" w:space="0" w:color="004097"/>
          <w:bottom w:val="single" w:sz="4" w:space="0" w:color="004097"/>
          <w:right w:val="single" w:sz="4" w:space="0" w:color="004097"/>
          <w:insideH w:val="single" w:sz="4" w:space="0" w:color="004097"/>
          <w:insideV w:val="single" w:sz="4" w:space="0" w:color="004097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52"/>
        <w:gridCol w:w="1327"/>
        <w:gridCol w:w="1328"/>
        <w:gridCol w:w="1327"/>
      </w:tblGrid>
      <w:tr>
        <w:tblPrEx>
          <w:tblW w:w="0" w:type="auto"/>
          <w:jc w:val="left"/>
          <w:tblInd w:w="2808" w:type="dxa"/>
          <w:tblBorders>
            <w:top w:val="single" w:sz="4" w:space="0" w:color="004097"/>
            <w:left w:val="single" w:sz="4" w:space="0" w:color="004097"/>
            <w:bottom w:val="single" w:sz="4" w:space="0" w:color="004097"/>
            <w:right w:val="single" w:sz="4" w:space="0" w:color="004097"/>
            <w:insideH w:val="single" w:sz="4" w:space="0" w:color="004097"/>
            <w:insideV w:val="single" w:sz="4" w:space="0" w:color="004097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8"/>
          <w:jc w:val="left"/>
        </w:trPr>
        <w:tc>
          <w:tcPr>
            <w:tcW w:w="3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8" w:lineRule="exact"/>
              <w:ind w:left="107"/>
              <w:jc w:val="left"/>
              <w:rPr>
                <w:rFonts w:ascii="Microsoft JhengHei" w:eastAsia="Microsoft JhengHei" w:hint="eastAsia"/>
                <w:b/>
                <w:sz w:val="22"/>
              </w:rPr>
            </w:pPr>
            <w:r>
              <w:rPr>
                <w:rFonts w:ascii="Microsoft JhengHei" w:eastAsia="Microsoft JhengHei" w:hint="eastAsia"/>
                <w:b/>
                <w:sz w:val="22"/>
              </w:rPr>
              <w:t>对应每年电表增量（万只）</w:t>
            </w:r>
          </w:p>
        </w:tc>
        <w:tc>
          <w:tcPr>
            <w:tcW w:w="1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2023E</w:t>
            </w:r>
          </w:p>
        </w:tc>
        <w:tc>
          <w:tcPr>
            <w:tcW w:w="13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2024E</w:t>
            </w:r>
          </w:p>
        </w:tc>
        <w:tc>
          <w:tcPr>
            <w:tcW w:w="13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1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2025E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5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line="265" w:lineRule="exact"/>
              <w:ind w:left="107"/>
              <w:jc w:val="left"/>
              <w:rPr>
                <w:rFonts w:ascii="Microsoft JhengHei" w:eastAsia="Microsoft JhengHei" w:hint="eastAsia"/>
                <w:b/>
                <w:sz w:val="22"/>
              </w:rPr>
            </w:pPr>
            <w:r>
              <w:rPr>
                <w:rFonts w:ascii="Microsoft JhengHei" w:eastAsia="Microsoft JhengHei" w:hint="eastAsia"/>
                <w:b/>
                <w:sz w:val="22"/>
              </w:rPr>
              <w:t>美国：电表数量（万只）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5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1729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5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1829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5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1930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210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yoy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6.1%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5.8%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5.5%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line="268" w:lineRule="exact"/>
              <w:ind w:left="107"/>
              <w:jc w:val="left"/>
              <w:rPr>
                <w:rFonts w:ascii="Microsoft JhengHei" w:eastAsia="Microsoft JhengHei" w:hint="eastAsia"/>
                <w:b/>
                <w:sz w:val="22"/>
              </w:rPr>
            </w:pPr>
            <w:r>
              <w:rPr>
                <w:rFonts w:ascii="Microsoft JhengHei" w:eastAsia="Microsoft JhengHei" w:hint="eastAsia"/>
                <w:b/>
                <w:sz w:val="22"/>
              </w:rPr>
              <w:t>欧洲：电表数量（万只）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680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716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753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 w:line="258" w:lineRule="exact"/>
              <w:ind w:left="1210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yoy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5.5%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5.3%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5.1%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5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line="265" w:lineRule="exact"/>
              <w:ind w:left="107"/>
              <w:jc w:val="left"/>
              <w:rPr>
                <w:rFonts w:ascii="Microsoft JhengHei" w:eastAsia="Microsoft JhengHei" w:hint="eastAsia"/>
                <w:b/>
                <w:sz w:val="22"/>
              </w:rPr>
            </w:pPr>
            <w:r>
              <w:rPr>
                <w:rFonts w:ascii="Microsoft JhengHei" w:eastAsia="Microsoft JhengHei" w:hint="eastAsia"/>
                <w:b/>
                <w:sz w:val="22"/>
              </w:rPr>
              <w:t>东南亚：电表数量（万只）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5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885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5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1181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5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1572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210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yoy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34.1%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33.4%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33.1%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line="268" w:lineRule="exact"/>
              <w:ind w:left="107"/>
              <w:jc w:val="left"/>
              <w:rPr>
                <w:rFonts w:ascii="Microsoft JhengHei" w:eastAsia="Microsoft JhengHei" w:hint="eastAsia"/>
                <w:b/>
                <w:sz w:val="22"/>
              </w:rPr>
            </w:pPr>
            <w:r>
              <w:rPr>
                <w:rFonts w:ascii="Microsoft JhengHei" w:eastAsia="Microsoft JhengHei" w:hint="eastAsia"/>
                <w:b/>
                <w:sz w:val="22"/>
              </w:rPr>
              <w:t>沙特：电表数量（万只）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39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40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41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 w:line="258" w:lineRule="exact"/>
              <w:ind w:left="1210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yoy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2.1%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2.1%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2.1%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5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line="265" w:lineRule="exact"/>
              <w:ind w:left="107"/>
              <w:jc w:val="left"/>
              <w:rPr>
                <w:rFonts w:ascii="Microsoft JhengHei" w:eastAsia="Microsoft JhengHei" w:hint="eastAsia"/>
                <w:b/>
                <w:sz w:val="22"/>
              </w:rPr>
            </w:pPr>
            <w:r>
              <w:rPr>
                <w:rFonts w:ascii="Microsoft JhengHei" w:eastAsia="Microsoft JhengHei" w:hint="eastAsia"/>
                <w:b/>
                <w:sz w:val="22"/>
              </w:rPr>
              <w:t>拉美：电表数量（万只）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5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294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5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387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5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499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210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yoy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33.8%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31.8%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 w:line="255" w:lineRule="exact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29.1%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line="268" w:lineRule="exact"/>
              <w:ind w:left="107"/>
              <w:jc w:val="left"/>
              <w:rPr>
                <w:rFonts w:ascii="Microsoft JhengHei" w:eastAsia="Microsoft JhengHei" w:hint="eastAsia"/>
                <w:b/>
                <w:sz w:val="22"/>
              </w:rPr>
            </w:pPr>
            <w:r>
              <w:rPr>
                <w:rFonts w:ascii="Microsoft JhengHei" w:eastAsia="Microsoft JhengHei" w:hint="eastAsia"/>
                <w:b/>
                <w:sz w:val="22"/>
              </w:rPr>
              <w:t>非洲：电表数量（万只）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136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180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0F1"/>
          </w:tcPr>
          <w:p>
            <w:pPr>
              <w:pStyle w:val="TableParagraph"/>
              <w:spacing w:before="10" w:line="258" w:lineRule="exact"/>
              <w:ind w:left="108"/>
              <w:jc w:val="left"/>
              <w:rPr>
                <w:rFonts w:ascii="Tahoma"/>
                <w:b/>
                <w:sz w:val="22"/>
              </w:rPr>
            </w:pPr>
            <w:r>
              <w:rPr>
                <w:rFonts w:ascii="Tahoma"/>
                <w:b/>
                <w:sz w:val="22"/>
              </w:rPr>
              <w:t>235</w:t>
            </w:r>
          </w:p>
        </w:tc>
      </w:tr>
      <w:tr>
        <w:tblPrEx>
          <w:tblW w:w="0" w:type="auto"/>
          <w:jc w:val="left"/>
          <w:tblInd w:w="28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7"/>
          <w:jc w:val="left"/>
        </w:trPr>
        <w:tc>
          <w:tcPr>
            <w:tcW w:w="3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1210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yoy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33.2%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32.1%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0"/>
              <w:ind w:left="108"/>
              <w:jc w:val="left"/>
              <w:rPr>
                <w:rFonts w:ascii="Tahoma"/>
                <w:sz w:val="22"/>
              </w:rPr>
            </w:pPr>
            <w:r>
              <w:rPr>
                <w:rFonts w:ascii="Tahoma"/>
                <w:sz w:val="22"/>
              </w:rPr>
              <w:t>30.8%</w:t>
            </w:r>
          </w:p>
        </w:tc>
      </w:tr>
    </w:tbl>
    <w:p>
      <w:pPr>
        <w:spacing w:before="0"/>
        <w:ind w:left="2798" w:right="0" w:firstLine="0"/>
        <w:jc w:val="left"/>
        <w:rPr>
          <w:sz w:val="17"/>
        </w:rPr>
      </w:pPr>
      <w:r>
        <w:t xml:space="preserve">资料来源：Breg Insights， ，太平洋出国，IEST 巴西商业，哈尔滨市物联网协会，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Heading2"/>
        <w:numPr>
          <w:ilvl w:val="1"/>
          <w:numId w:val="10"/>
        </w:numPr>
        <w:tabs>
          <w:tab w:val="left" w:pos="3133"/>
        </w:tabs>
        <w:spacing w:before="21" w:after="0" w:line="240" w:lineRule="auto"/>
        <w:ind w:left="3132" w:right="0" w:hanging="443"/>
        <w:jc w:val="left"/>
      </w:pPr>
      <w:bookmarkStart w:id="6" w:name="_TOC_250011"/>
      <w:r>
        <w:rPr>
          <w:color w:val="004097"/>
        </w:rPr>
        <w:t>电表投资建议：优选具备海外渠道优势、低估值</w:t>
      </w:r>
      <w:r>
        <w:rPr>
          <w:rFonts w:ascii="Tahoma" w:eastAsia="Tahoma"/>
          <w:color w:val="004097"/>
        </w:rPr>
        <w:t>+</w:t>
      </w:r>
      <w:bookmarkEnd w:id="6"/>
      <w:r>
        <w:rPr>
          <w:color w:val="004097"/>
        </w:rPr>
        <w:t>高分红电表出口龙头</w:t>
      </w:r>
    </w:p>
    <w:p>
      <w:pPr>
        <w:spacing w:before="63" w:line="228" w:lineRule="auto"/>
        <w:ind w:left="2690" w:right="672" w:firstLine="0"/>
        <w:jc w:val="both"/>
        <w:rPr>
          <w:sz w:val="21"/>
        </w:rPr>
      </w:pPr>
      <w:r>
        <w:rPr>
          <w:rFonts w:ascii="Tahoma" w:eastAsia="Tahoma"/>
          <w:b/>
          <w:sz w:val="21"/>
        </w:rPr>
        <w:t xml:space="preserve">2022 </w:t>
      </w:r>
      <w:r>
        <w:rPr>
          <w:rFonts w:ascii="Microsoft JhengHei" w:eastAsia="Microsoft JhengHei" w:hint="eastAsia"/>
          <w:b/>
          <w:spacing w:val="1"/>
          <w:sz w:val="21"/>
        </w:rPr>
        <w:t xml:space="preserve">年海兴电力、三星医疗股息率分别为 </w:t>
      </w:r>
      <w:r>
        <w:rPr>
          <w:rFonts w:ascii="Tahoma" w:eastAsia="Tahoma"/>
          <w:b/>
          <w:sz w:val="21"/>
        </w:rPr>
        <w:t>2.5%/1.8%</w:t>
      </w:r>
      <w:r>
        <w:rPr>
          <w:rFonts w:ascii="Microsoft JhengHei" w:eastAsia="Microsoft JhengHei" w:hint="eastAsia"/>
          <w:b/>
          <w:spacing w:val="3"/>
          <w:sz w:val="21"/>
        </w:rPr>
        <w:t>。</w:t>
      </w:r>
      <w:r>
        <w:rPr>
          <w:spacing w:val="-3"/>
          <w:sz w:val="21"/>
        </w:rPr>
        <w:t>股息率来看，</w:t>
      </w:r>
      <w:r>
        <w:rPr>
          <w:rFonts w:ascii="Tahoma" w:eastAsia="Tahoma"/>
          <w:sz w:val="21"/>
        </w:rPr>
        <w:t xml:space="preserve">2022 </w:t>
      </w:r>
      <w:r>
        <w:rPr>
          <w:spacing w:val="-2"/>
          <w:sz w:val="21"/>
        </w:rPr>
        <w:t>年海兴</w:t>
      </w:r>
      <w:r>
        <w:rPr>
          <w:spacing w:val="22"/>
          <w:sz w:val="21"/>
        </w:rPr>
        <w:t xml:space="preserve">电力、三星医疗、炬华科技、威胜信息股息率分别为 </w:t>
      </w:r>
      <w:r>
        <w:rPr>
          <w:rFonts w:ascii="Tahoma" w:eastAsia="Tahoma"/>
          <w:sz w:val="21"/>
        </w:rPr>
        <w:t>2.5%/1.8%/1.5%/1.2</w:t>
      </w:r>
      <w:r>
        <w:rPr>
          <w:rFonts w:ascii="Tahoma" w:eastAsia="Tahoma"/>
          <w:spacing w:val="-18"/>
          <w:sz w:val="21"/>
        </w:rPr>
        <w:t xml:space="preserve">% </w:t>
      </w:r>
      <w:r>
        <w:rPr>
          <w:sz w:val="21"/>
        </w:rPr>
        <w:t>。</w:t>
      </w:r>
      <w:r>
        <w:rPr>
          <w:rFonts w:ascii="Tahoma" w:eastAsia="Tahoma"/>
          <w:sz w:val="21"/>
        </w:rPr>
        <w:t xml:space="preserve">2018~2022 </w:t>
      </w:r>
      <w:r>
        <w:rPr>
          <w:spacing w:val="-37"/>
          <w:sz w:val="21"/>
        </w:rPr>
        <w:t>年 平 均 分 红 计 算 股 息 率 口 径 ， 以 上 四 家 公 司 股 息 率 分 别 为</w:t>
      </w:r>
    </w:p>
    <w:p>
      <w:pPr>
        <w:pStyle w:val="BodyText"/>
        <w:spacing w:before="66" w:line="184" w:lineRule="auto"/>
        <w:ind w:left="2690" w:right="673"/>
        <w:jc w:val="both"/>
      </w:pPr>
      <w:r>
        <w:rPr>
          <w:rFonts w:ascii="Tahoma" w:eastAsia="Tahoma"/>
        </w:rPr>
        <w:t>1.8%/1.5%/1.1%/1.0%</w:t>
      </w:r>
      <w:r>
        <w:t>。</w:t>
      </w:r>
      <w:r>
        <w:rPr>
          <w:rFonts w:ascii="Tahoma" w:eastAsia="Tahoma"/>
        </w:rPr>
        <w:t>2018~2022</w:t>
      </w:r>
      <w:r>
        <w:rPr>
          <w:rFonts w:ascii="Tahoma" w:eastAsia="Tahoma"/>
          <w:spacing w:val="61"/>
        </w:rPr>
        <w:t xml:space="preserve"> </w:t>
      </w:r>
      <w:r>
        <w:t>年以上四家配用电公司累计现金分红</w:t>
      </w:r>
      <w:r>
        <w:rPr>
          <w:rFonts w:ascii="Tahoma" w:eastAsia="Tahoma"/>
          <w:spacing w:val="3"/>
        </w:rPr>
        <w:t>/</w:t>
      </w:r>
      <w:r>
        <w:rPr>
          <w:spacing w:val="1"/>
        </w:rPr>
        <w:t>累计归母</w:t>
      </w:r>
      <w:r>
        <w:rPr>
          <w:spacing w:val="7"/>
        </w:rPr>
        <w:t xml:space="preserve">净利润 </w:t>
      </w:r>
      <w:r>
        <w:rPr>
          <w:rFonts w:ascii="Tahoma" w:eastAsia="Tahoma"/>
        </w:rPr>
        <w:t>54.26%/48.99%/28.00%/42.36%</w:t>
      </w:r>
      <w:r>
        <w:rPr>
          <w:spacing w:val="4"/>
        </w:rPr>
        <w:t>。</w:t>
      </w:r>
      <w:r>
        <w:rPr>
          <w:rFonts w:ascii="Microsoft JhengHei" w:eastAsia="Microsoft JhengHei" w:hint="eastAsia"/>
          <w:b/>
          <w:spacing w:val="4"/>
        </w:rPr>
        <w:t>推荐方向：</w:t>
      </w:r>
      <w:r>
        <w:t>推荐具备海外渠道优势的电表</w:t>
      </w:r>
      <w:r>
        <w:rPr>
          <w:spacing w:val="-1"/>
        </w:rPr>
        <w:t>出口龙头</w:t>
      </w:r>
      <w:r>
        <w:rPr>
          <w:rFonts w:ascii="Microsoft JhengHei" w:eastAsia="Microsoft JhengHei" w:hint="eastAsia"/>
          <w:b/>
          <w:spacing w:val="-1"/>
        </w:rPr>
        <w:t>三星医疗、海兴电力</w:t>
      </w:r>
      <w:r>
        <w:t>等。</w:t>
      </w:r>
    </w:p>
    <w:p>
      <w:pPr>
        <w:spacing w:after="0" w:line="184" w:lineRule="auto"/>
        <w:jc w:val="both"/>
        <w:sectPr>
          <w:headerReference w:type="default" r:id="rId49"/>
          <w:footerReference w:type="default" r:id="rId50"/>
          <w:pgSz w:w="11910" w:h="16840"/>
          <w:pgMar w:top="900" w:right="0" w:bottom="1060" w:left="540" w:header="708" w:footer="708"/>
          <w:pgNumType w:start="22"/>
          <w:cols w:space="708"/>
        </w:sectPr>
      </w:pPr>
    </w:p>
    <w:p>
      <w:pPr>
        <w:spacing w:before="107" w:line="213" w:lineRule="exact"/>
        <w:ind w:left="247" w:right="0" w:firstLine="0"/>
        <w:jc w:val="left"/>
        <w:rPr>
          <w:rFonts w:ascii="Tahoma" w:eastAsia="Tahoma"/>
          <w:i/>
          <w:sz w:val="17"/>
        </w:rPr>
      </w:pPr>
      <w:r>
        <w:rPr>
          <w:color w:val="004097"/>
          <w:spacing w:val="-16"/>
          <w:w w:val="95"/>
          <w:sz w:val="17"/>
        </w:rPr>
        <w:t xml:space="preserve">图表 </w:t>
      </w:r>
      <w:r>
        <w:rPr>
          <w:rFonts w:ascii="Tahoma" w:eastAsia="Tahoma"/>
          <w:i/>
          <w:color w:val="004097"/>
          <w:w w:val="95"/>
          <w:sz w:val="17"/>
        </w:rPr>
        <w:t>15</w:t>
      </w:r>
      <w:r>
        <w:rPr>
          <w:color w:val="004097"/>
          <w:spacing w:val="-3"/>
          <w:w w:val="95"/>
          <w:sz w:val="17"/>
        </w:rPr>
        <w:t>：配用电公司股息率情况（</w:t>
      </w:r>
      <w:r>
        <w:rPr>
          <w:color w:val="004097"/>
          <w:w w:val="95"/>
          <w:sz w:val="17"/>
        </w:rPr>
        <w:t>单位：</w:t>
      </w:r>
      <w:r>
        <w:rPr>
          <w:rFonts w:ascii="Tahoma" w:eastAsia="Tahoma"/>
          <w:i/>
          <w:color w:val="004097"/>
          <w:w w:val="95"/>
          <w:sz w:val="17"/>
        </w:rPr>
        <w:t>%</w:t>
      </w:r>
      <w:r>
        <w:rPr>
          <w:color w:val="004097"/>
          <w:spacing w:val="-8"/>
          <w:w w:val="95"/>
          <w:sz w:val="17"/>
        </w:rPr>
        <w:t xml:space="preserve">，市值日期为 </w:t>
      </w:r>
      <w:r>
        <w:rPr>
          <w:rFonts w:ascii="Tahoma" w:eastAsia="Tahoma"/>
          <w:i/>
          <w:color w:val="004097"/>
          <w:w w:val="95"/>
          <w:sz w:val="17"/>
        </w:rPr>
        <w:t xml:space="preserve">2023 </w:t>
      </w:r>
      <w:r>
        <w:rPr>
          <w:color w:val="004097"/>
          <w:spacing w:val="-24"/>
          <w:w w:val="95"/>
          <w:sz w:val="17"/>
        </w:rPr>
        <w:t xml:space="preserve">年 </w:t>
      </w:r>
      <w:r>
        <w:rPr>
          <w:rFonts w:ascii="Tahoma" w:eastAsia="Tahoma"/>
          <w:i/>
          <w:color w:val="004097"/>
          <w:w w:val="95"/>
          <w:sz w:val="17"/>
        </w:rPr>
        <w:t xml:space="preserve">12 </w:t>
      </w:r>
      <w:r>
        <w:rPr>
          <w:color w:val="004097"/>
          <w:spacing w:val="-23"/>
          <w:w w:val="95"/>
          <w:sz w:val="17"/>
        </w:rPr>
        <w:t xml:space="preserve">月 </w:t>
      </w:r>
      <w:r>
        <w:rPr>
          <w:rFonts w:ascii="Tahoma" w:eastAsia="Tahoma"/>
          <w:i/>
          <w:color w:val="004097"/>
          <w:w w:val="95"/>
          <w:sz w:val="17"/>
        </w:rPr>
        <w:t>19</w:t>
      </w:r>
    </w:p>
    <w:p>
      <w:pPr>
        <w:spacing w:before="0" w:line="213" w:lineRule="exact"/>
        <w:ind w:left="247" w:right="0" w:firstLine="0"/>
        <w:jc w:val="left"/>
        <w:rPr>
          <w:sz w:val="17"/>
        </w:rPr>
      </w:pPr>
      <w:r>
        <w:pict>
          <v:line id="_x0000_s1691" style="mso-position-horizontal-relative:page;position:absolute;z-index:251731968" from="33.95pt,11.05pt" to="312.3pt,11.05pt" stroked="t" strokecolor="#004097" strokeweight="0.96pt">
            <v:stroke dashstyle="solid"/>
          </v:line>
        </w:pict>
      </w:r>
      <w:r>
        <w:rPr>
          <w:color w:val="004097"/>
          <w:sz w:val="17"/>
        </w:rPr>
        <w:t>日）</w:t>
      </w:r>
    </w:p>
    <w:p>
      <w:pPr>
        <w:spacing w:before="107" w:line="213" w:lineRule="exact"/>
        <w:ind w:left="247" w:right="0" w:firstLine="0"/>
        <w:jc w:val="left"/>
        <w:rPr>
          <w:sz w:val="17"/>
        </w:rPr>
      </w:pPr>
      <w:r>
        <w:br w:type="column"/>
      </w:r>
      <w:r>
        <w:rPr>
          <w:color w:val="004097"/>
          <w:sz w:val="17"/>
        </w:rPr>
        <w:t xml:space="preserve">图表 </w:t>
      </w:r>
      <w:r>
        <w:rPr>
          <w:rFonts w:ascii="Tahoma" w:eastAsia="Tahoma"/>
          <w:i/>
          <w:color w:val="004097"/>
          <w:sz w:val="17"/>
        </w:rPr>
        <w:t>16</w:t>
      </w:r>
      <w:r>
        <w:rPr>
          <w:color w:val="004097"/>
          <w:sz w:val="17"/>
        </w:rPr>
        <w:t>：</w:t>
      </w:r>
      <w:r>
        <w:rPr>
          <w:rFonts w:ascii="Tahoma" w:eastAsia="Tahoma"/>
          <w:i/>
          <w:color w:val="004097"/>
          <w:sz w:val="17"/>
        </w:rPr>
        <w:t xml:space="preserve">2018~2022 </w:t>
      </w:r>
      <w:r>
        <w:rPr>
          <w:color w:val="004097"/>
          <w:sz w:val="17"/>
        </w:rPr>
        <w:t>年配用电公司累计现金分红</w:t>
      </w:r>
      <w:r>
        <w:rPr>
          <w:rFonts w:ascii="Tahoma" w:eastAsia="Tahoma"/>
          <w:i/>
          <w:color w:val="004097"/>
          <w:sz w:val="17"/>
        </w:rPr>
        <w:t>/</w:t>
      </w:r>
      <w:r>
        <w:rPr>
          <w:color w:val="004097"/>
          <w:sz w:val="17"/>
        </w:rPr>
        <w:t>累计归母净利润</w:t>
      </w:r>
    </w:p>
    <w:p>
      <w:pPr>
        <w:spacing w:before="0" w:line="213" w:lineRule="exact"/>
        <w:ind w:left="247" w:right="0" w:firstLine="0"/>
        <w:jc w:val="left"/>
        <w:rPr>
          <w:sz w:val="17"/>
        </w:rPr>
      </w:pPr>
      <w:r>
        <w:rPr>
          <w:color w:val="004097"/>
          <w:sz w:val="17"/>
        </w:rPr>
        <w:t>（</w:t>
      </w:r>
      <w:r>
        <w:rPr>
          <w:rFonts w:ascii="Tahoma" w:eastAsia="Tahoma"/>
          <w:i/>
          <w:color w:val="004097"/>
          <w:sz w:val="17"/>
        </w:rPr>
        <w:t>%</w:t>
      </w:r>
      <w:r>
        <w:rPr>
          <w:color w:val="004097"/>
          <w:sz w:val="17"/>
        </w:rPr>
        <w:t>）</w:t>
      </w:r>
    </w:p>
    <w:p>
      <w:pPr>
        <w:pStyle w:val="BodyText"/>
        <w:spacing w:line="20" w:lineRule="exact"/>
        <w:ind w:left="129"/>
        <w:rPr>
          <w:sz w:val="2"/>
        </w:rPr>
      </w:pPr>
      <w:r>
        <w:rPr>
          <w:sz w:val="2"/>
        </w:rPr>
        <w:pict>
          <v:group id="_x0000_i1692" style="width:255.8pt;height:1pt;mso-position-horizontal-relative:char;mso-position-vertical-relative:line" coordorigin="0,0" coordsize="5116,20">
            <v:line id="_x0000_s1693" style="position:absolute" from="0,10" to="5115,10" stroked="t" strokecolor="#004097" strokeweight="0.96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headerReference w:type="default" r:id="rId51"/>
          <w:footerReference w:type="default" r:id="rId52"/>
          <w:pgSz w:w="11910" w:h="16840"/>
          <w:pgMar w:top="900" w:right="0" w:bottom="1060" w:left="540" w:header="708" w:footer="708"/>
          <w:pgNumType w:start="23"/>
          <w:cols w:num="2" w:space="708" w:equalWidth="0">
            <w:col w:w="5550" w:space="241"/>
            <w:col w:w="5579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53"/>
          <w:footerReference w:type="default" r:id="rId54"/>
          <w:type w:val="continuous"/>
          <w:pgSz w:w="11910" w:h="16840"/>
          <w:pgMar w:top="900" w:right="0" w:bottom="1060" w:left="540" w:header="708" w:footer="708"/>
          <w:pgNumType w:start="24"/>
          <w:cols w:space="708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2"/>
      </w:pPr>
    </w:p>
    <w:p>
      <w:pPr>
        <w:spacing w:before="0"/>
        <w:ind w:left="0" w:right="0" w:firstLine="0"/>
        <w:jc w:val="right"/>
        <w:rPr>
          <w:rFonts w:ascii="Tahoma"/>
          <w:sz w:val="16"/>
        </w:rPr>
      </w:pPr>
      <w:r>
        <w:pict>
          <v:group id="_x0000_s1694" style="width:144.65pt;height:55pt;margin-top:-16.58pt;margin-left:161.78pt;mso-position-horizontal-relative:page;position:absolute;z-index:251734016" coordorigin="3236,-332" coordsize="2893,1100">
            <v:rect id="_x0000_s1695" style="width:1283;height:1100;left:3235;position:absolute;top:-332" filled="t" fillcolor="#2f5395" stroked="f">
              <v:fill type="solid"/>
            </v:rect>
            <v:shape id="_x0000_s1696" type="#_x0000_t75" style="width:95;height:140;left:3829;position:absolute;top:409" stroked="f">
              <v:imagedata r:id="rId55" o:title=""/>
            </v:shape>
            <v:rect id="_x0000_s1697" style="width:1606;height:1100;left:4522;position:absolute;top:-332" filled="t" fillcolor="#2f5395" stroked="f">
              <v:fill type="solid"/>
            </v:rect>
            <v:shape id="_x0000_s1698" type="#_x0000_t75" style="width:95;height:140;left:5477;position:absolute;top:409" stroked="f">
              <v:imagedata r:id="rId55" o:title=""/>
            </v:shape>
          </v:group>
        </w:pict>
      </w:r>
      <w:r>
        <w:pict>
          <v:group id="_x0000_s1699" style="width:6.35pt;height:6.35pt;margin-top:-18.12pt;margin-left:373.49pt;mso-position-horizontal-relative:page;position:absolute;z-index:251737088" coordorigin="7470,-362" coordsize="127,127">
            <v:rect id="_x0000_s1700" style="width:87;height:87;left:7489;position:absolute;top:-343" filled="t" fillcolor="#004097" stroked="f">
              <v:fill type="solid"/>
            </v:rect>
            <v:rect id="_x0000_s1701" style="width:87;height:87;left:7489;position:absolute;top:-343" filled="f" stroked="t" strokecolor="#004097" strokeweight="2pt">
              <v:stroke dashstyle="solid"/>
            </v:rect>
          </v:group>
        </w:pict>
      </w:r>
      <w:r>
        <w:pict>
          <v:shape id="_x0000_s1702" type="#_x0000_t202" style="width:267.8pt;height:137.4pt;margin-top:-17.06pt;margin-left:39.36pt;mso-position-horizontal-relative:page;position:absolute;z-index:25173811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1"/>
                    <w:gridCol w:w="1322"/>
                    <w:gridCol w:w="1284"/>
                    <w:gridCol w:w="1612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98"/>
                      <w:jc w:val="left"/>
                    </w:trPr>
                    <w:tc>
                      <w:tcPr>
                        <w:tcW w:w="1121" w:type="dxa"/>
                        <w:shd w:val="clear" w:color="auto" w:fill="2F539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宋体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65"/>
                          <w:ind w:left="139" w:right="1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证券简称</w:t>
                        </w:r>
                      </w:p>
                    </w:tc>
                    <w:tc>
                      <w:tcPr>
                        <w:tcW w:w="132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9"/>
                          <w:jc w:val="left"/>
                          <w:rPr>
                            <w:rFonts w:ascii="宋体"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40" w:right="2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总市值</w:t>
                        </w:r>
                      </w:p>
                      <w:p>
                        <w:pPr>
                          <w:pStyle w:val="TableParagraph"/>
                          <w:spacing w:before="3"/>
                          <w:ind w:left="240" w:right="22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（亿元）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162" w:line="242" w:lineRule="auto"/>
                          <w:ind w:left="81" w:right="7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2022 年分红计算股息率</w:t>
                        </w:r>
                      </w:p>
                      <w:p>
                        <w:pPr>
                          <w:pStyle w:val="TableParagraph"/>
                          <w:spacing w:before="1"/>
                          <w:ind w:left="81" w:right="7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（ ）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spacing w:before="162"/>
                          <w:ind w:left="13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2018~2022 年平</w:t>
                        </w:r>
                      </w:p>
                      <w:p>
                        <w:pPr>
                          <w:pStyle w:val="TableParagraph"/>
                          <w:spacing w:before="3" w:line="242" w:lineRule="auto"/>
                          <w:ind w:left="356" w:right="188" w:hanging="149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均分红计算股息率（ 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3"/>
                      <w:jc w:val="left"/>
                    </w:trPr>
                    <w:tc>
                      <w:tcPr>
                        <w:tcW w:w="1121" w:type="dxa"/>
                      </w:tcPr>
                      <w:p>
                        <w:pPr>
                          <w:pStyle w:val="TableParagraph"/>
                          <w:spacing w:before="64"/>
                          <w:ind w:left="135"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海兴电力</w:t>
                        </w:r>
                      </w:p>
                    </w:tc>
                    <w:tc>
                      <w:tcPr>
                        <w:tcW w:w="1322" w:type="dxa"/>
                      </w:tcPr>
                      <w:p>
                        <w:pPr>
                          <w:pStyle w:val="TableParagraph"/>
                          <w:spacing w:before="64"/>
                          <w:ind w:right="34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136.68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64"/>
                          <w:ind w:left="81" w:right="6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2.5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spacing w:before="64"/>
                          <w:ind w:left="6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1.8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3"/>
                      <w:jc w:val="left"/>
                    </w:trPr>
                    <w:tc>
                      <w:tcPr>
                        <w:tcW w:w="1121" w:type="dxa"/>
                      </w:tcPr>
                      <w:p>
                        <w:pPr>
                          <w:pStyle w:val="TableParagraph"/>
                          <w:spacing w:before="63"/>
                          <w:ind w:left="135"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三星医疗</w:t>
                        </w:r>
                      </w:p>
                    </w:tc>
                    <w:tc>
                      <w:tcPr>
                        <w:tcW w:w="1322" w:type="dxa"/>
                      </w:tcPr>
                      <w:p>
                        <w:pPr>
                          <w:pStyle w:val="TableParagraph"/>
                          <w:spacing w:before="63"/>
                          <w:ind w:right="34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279.17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63"/>
                          <w:ind w:left="81" w:right="6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1.8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spacing w:before="63"/>
                          <w:ind w:left="6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1.5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81"/>
                      <w:jc w:val="left"/>
                    </w:trPr>
                    <w:tc>
                      <w:tcPr>
                        <w:tcW w:w="1121" w:type="dxa"/>
                      </w:tcPr>
                      <w:p>
                        <w:pPr>
                          <w:pStyle w:val="TableParagraph"/>
                          <w:spacing w:before="63"/>
                          <w:ind w:left="135"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炬华科技</w:t>
                        </w:r>
                      </w:p>
                    </w:tc>
                    <w:tc>
                      <w:tcPr>
                        <w:tcW w:w="1322" w:type="dxa"/>
                      </w:tcPr>
                      <w:p>
                        <w:pPr>
                          <w:pStyle w:val="TableParagraph"/>
                          <w:spacing w:before="63"/>
                          <w:ind w:right="3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67.89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63"/>
                          <w:ind w:left="81" w:right="6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1.5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spacing w:before="63"/>
                          <w:ind w:left="6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1.1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1"/>
                      <w:jc w:val="left"/>
                    </w:trPr>
                    <w:tc>
                      <w:tcPr>
                        <w:tcW w:w="1121" w:type="dxa"/>
                      </w:tcPr>
                      <w:p>
                        <w:pPr>
                          <w:pStyle w:val="TableParagraph"/>
                          <w:spacing w:before="92"/>
                          <w:ind w:left="135" w:righ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威胜信息</w:t>
                        </w:r>
                      </w:p>
                    </w:tc>
                    <w:tc>
                      <w:tcPr>
                        <w:tcW w:w="1322" w:type="dxa"/>
                      </w:tcPr>
                      <w:p>
                        <w:pPr>
                          <w:pStyle w:val="TableParagraph"/>
                          <w:spacing w:before="92"/>
                          <w:ind w:right="34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140.05</w:t>
                        </w:r>
                      </w:p>
                    </w:tc>
                    <w:tc>
                      <w:tcPr>
                        <w:tcW w:w="1284" w:type="dxa"/>
                      </w:tcPr>
                      <w:p>
                        <w:pPr>
                          <w:pStyle w:val="TableParagraph"/>
                          <w:spacing w:before="92"/>
                          <w:ind w:left="81" w:right="6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1.2</w:t>
                        </w:r>
                      </w:p>
                    </w:tc>
                    <w:tc>
                      <w:tcPr>
                        <w:tcW w:w="1612" w:type="dxa"/>
                      </w:tcPr>
                      <w:p>
                        <w:pPr>
                          <w:pStyle w:val="TableParagraph"/>
                          <w:spacing w:before="92"/>
                          <w:ind w:left="608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1.0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ahoma"/>
          <w:spacing w:val="-1"/>
          <w:sz w:val="16"/>
        </w:rPr>
        <w:t>60%</w:t>
      </w:r>
    </w:p>
    <w:p>
      <w:pPr>
        <w:pStyle w:val="BodyText"/>
        <w:rPr>
          <w:rFonts w:ascii="Tahoma"/>
          <w:sz w:val="14"/>
        </w:rPr>
      </w:pPr>
    </w:p>
    <w:p>
      <w:pPr>
        <w:spacing w:before="0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50%</w:t>
      </w:r>
    </w:p>
    <w:p>
      <w:pPr>
        <w:pStyle w:val="BodyText"/>
        <w:rPr>
          <w:rFonts w:ascii="Tahoma"/>
          <w:sz w:val="14"/>
        </w:rPr>
      </w:pPr>
    </w:p>
    <w:p>
      <w:pPr>
        <w:spacing w:before="0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40%</w:t>
      </w:r>
    </w:p>
    <w:p>
      <w:pPr>
        <w:tabs>
          <w:tab w:val="left" w:pos="4889"/>
        </w:tabs>
        <w:spacing w:line="138" w:lineRule="exact"/>
        <w:ind w:left="3439" w:right="0" w:firstLine="0"/>
        <w:rPr>
          <w:rFonts w:ascii="Tahoma"/>
          <w:sz w:val="13"/>
        </w:rPr>
      </w:pPr>
      <w:r>
        <w:rPr>
          <w:rFonts w:ascii="Tahoma"/>
          <w:position w:val="-2"/>
          <w:sz w:val="13"/>
        </w:rPr>
        <w:drawing>
          <wp:inline distT="0" distB="0" distL="0" distR="0">
            <wp:extent cx="59721" cy="88010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1" cy="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position w:val="-2"/>
          <w:sz w:val="13"/>
        </w:rPr>
        <w:tab/>
      </w:r>
      <w:r>
        <w:rPr>
          <w:rFonts w:ascii="Tahoma"/>
          <w:position w:val="-2"/>
          <w:sz w:val="13"/>
        </w:rPr>
        <w:drawing>
          <wp:inline distT="0" distB="0" distL="0" distR="0">
            <wp:extent cx="59721" cy="88010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1" cy="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30%</w:t>
      </w:r>
    </w:p>
    <w:p>
      <w:pPr>
        <w:tabs>
          <w:tab w:val="left" w:pos="4889"/>
        </w:tabs>
        <w:spacing w:line="138" w:lineRule="exact"/>
        <w:ind w:left="3439" w:right="0" w:firstLine="0"/>
        <w:rPr>
          <w:rFonts w:ascii="Tahoma"/>
          <w:sz w:val="13"/>
        </w:rPr>
      </w:pPr>
      <w:r>
        <w:rPr>
          <w:rFonts w:ascii="Tahoma"/>
          <w:position w:val="-2"/>
          <w:sz w:val="13"/>
        </w:rPr>
        <w:drawing>
          <wp:inline distT="0" distB="0" distL="0" distR="0">
            <wp:extent cx="59721" cy="8801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1" cy="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position w:val="-2"/>
          <w:sz w:val="13"/>
        </w:rPr>
        <w:tab/>
      </w:r>
      <w:r>
        <w:rPr>
          <w:rFonts w:ascii="Tahoma"/>
          <w:position w:val="-2"/>
          <w:sz w:val="13"/>
        </w:rPr>
        <w:drawing>
          <wp:inline distT="0" distB="0" distL="0" distR="0">
            <wp:extent cx="59721" cy="88010"/>
            <wp:effectExtent l="0" t="0" r="0" b="0"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1" cy="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20%</w:t>
      </w:r>
    </w:p>
    <w:p>
      <w:pPr>
        <w:pStyle w:val="BodyText"/>
        <w:spacing w:before="9"/>
        <w:rPr>
          <w:rFonts w:ascii="Tahoma"/>
          <w:sz w:val="3"/>
        </w:rPr>
      </w:pPr>
    </w:p>
    <w:p>
      <w:pPr>
        <w:tabs>
          <w:tab w:val="left" w:pos="4889"/>
        </w:tabs>
        <w:spacing w:line="138" w:lineRule="exact"/>
        <w:ind w:left="3439" w:right="0" w:firstLine="0"/>
        <w:rPr>
          <w:rFonts w:ascii="Tahoma"/>
          <w:sz w:val="13"/>
        </w:rPr>
      </w:pPr>
      <w:r>
        <w:rPr>
          <w:rFonts w:ascii="Tahoma"/>
          <w:position w:val="-2"/>
          <w:sz w:val="13"/>
        </w:rPr>
        <w:drawing>
          <wp:inline distT="0" distB="0" distL="0" distR="0">
            <wp:extent cx="59721" cy="88010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1" cy="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position w:val="-2"/>
          <w:sz w:val="13"/>
        </w:rPr>
        <w:tab/>
      </w:r>
      <w:r>
        <w:rPr>
          <w:rFonts w:ascii="Tahoma"/>
          <w:position w:val="-2"/>
          <w:sz w:val="13"/>
        </w:rPr>
        <w:drawing>
          <wp:inline distT="0" distB="0" distL="0" distR="0">
            <wp:extent cx="59721" cy="88010"/>
            <wp:effectExtent l="0" t="0" r="0" b="0"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1" cy="8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0" w:right="0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10%</w:t>
      </w:r>
    </w:p>
    <w:p>
      <w:pPr>
        <w:pStyle w:val="BodyText"/>
        <w:rPr>
          <w:rFonts w:ascii="Tahoma"/>
          <w:sz w:val="14"/>
        </w:rPr>
      </w:pPr>
    </w:p>
    <w:p>
      <w:pPr>
        <w:spacing w:before="0"/>
        <w:ind w:left="0" w:right="1" w:firstLine="0"/>
        <w:jc w:val="right"/>
        <w:rPr>
          <w:rFonts w:ascii="Tahoma"/>
          <w:sz w:val="16"/>
        </w:rPr>
      </w:pP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2527045</wp:posOffset>
            </wp:positionH>
            <wp:positionV relativeFrom="paragraph">
              <wp:posOffset>-41606</wp:posOffset>
            </wp:positionV>
            <wp:extent cx="60325" cy="88900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2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3447922</wp:posOffset>
            </wp:positionH>
            <wp:positionV relativeFrom="paragraph">
              <wp:posOffset>-41606</wp:posOffset>
            </wp:positionV>
            <wp:extent cx="60325" cy="88900"/>
            <wp:effectExtent l="0" t="0" r="0" b="0"/>
            <wp:wrapNone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2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spacing w:val="-2"/>
          <w:sz w:val="16"/>
        </w:rPr>
        <w:t>0%</w:t>
      </w:r>
    </w:p>
    <w:p>
      <w:pPr>
        <w:spacing w:before="101"/>
        <w:ind w:left="634" w:right="0" w:firstLine="0"/>
        <w:jc w:val="left"/>
        <w:rPr>
          <w:sz w:val="16"/>
        </w:rPr>
      </w:pPr>
      <w:r>
        <w:br w:type="column"/>
      </w:r>
      <w:r>
        <w:rPr>
          <w:rFonts w:ascii="Tahoma" w:eastAsia="Tahoma"/>
          <w:sz w:val="16"/>
        </w:rPr>
        <w:t>2018~2022</w:t>
      </w:r>
      <w:r>
        <w:rPr>
          <w:sz w:val="16"/>
        </w:rPr>
        <w:t>年累计现金分红</w:t>
      </w:r>
      <w:r>
        <w:rPr>
          <w:rFonts w:ascii="Tahoma" w:eastAsia="Tahoma"/>
          <w:sz w:val="16"/>
        </w:rPr>
        <w:t>/</w:t>
      </w:r>
      <w:r>
        <w:rPr>
          <w:sz w:val="16"/>
        </w:rPr>
        <w:t>累计归母净利润</w:t>
      </w:r>
    </w:p>
    <w:p>
      <w:pPr>
        <w:pStyle w:val="BodyText"/>
        <w:spacing w:before="2"/>
        <w:rPr>
          <w:sz w:val="15"/>
        </w:rPr>
      </w:pPr>
      <w:r>
        <w:pict>
          <v:group id="_x0000_s1703" style="width:219.75pt;height:113.5pt;margin-top:11.68pt;margin-left:354.21pt;mso-position-horizontal-relative:page;mso-wrap-distance-left:0;mso-wrap-distance-right:0;position:absolute;z-index:-251583488" coordorigin="7084,234" coordsize="4395,2270">
            <v:rect id="_x0000_s1704" style="width:440;height:1967;left:7416;position:absolute;top:517" filled="t" fillcolor="#004097" stroked="f">
              <v:fill type="solid"/>
            </v:rect>
            <v:rect id="_x0000_s1705" style="width:440;height:1967;left:7416;position:absolute;top:517" filled="f" stroked="t" strokecolor="#004097" strokeweight="2pt">
              <v:stroke dashstyle="solid"/>
            </v:rect>
            <v:rect id="_x0000_s1706" style="width:440;height:1775;left:8512;position:absolute;top:709" filled="t" fillcolor="#004097" stroked="f">
              <v:fill type="solid"/>
            </v:rect>
            <v:rect id="_x0000_s1707" style="width:440;height:1775;left:8512;position:absolute;top:709" filled="f" stroked="t" strokecolor="#004097" strokeweight="2pt">
              <v:stroke dashstyle="solid"/>
            </v:rect>
            <v:rect id="_x0000_s1708" style="width:440;height:1014;left:9609;position:absolute;top:1469" filled="t" fillcolor="#004097" stroked="f">
              <v:fill type="solid"/>
            </v:rect>
            <v:rect id="_x0000_s1709" style="width:440;height:1014;left:9609;position:absolute;top:1469" filled="f" stroked="t" strokecolor="#004097" strokeweight="2pt">
              <v:stroke dashstyle="solid"/>
            </v:rect>
            <v:rect id="_x0000_s1710" style="width:440;height:1535;left:10708;position:absolute;top:949" filled="t" fillcolor="#004097" stroked="f">
              <v:fill type="solid"/>
            </v:rect>
            <v:rect id="_x0000_s1711" style="width:440;height:1535;left:10708;position:absolute;top:949" filled="f" stroked="t" strokecolor="#004097" strokeweight="2pt">
              <v:stroke dashstyle="solid"/>
            </v:rect>
            <v:line id="_x0000_s1712" style="position:absolute" from="7087,2483" to="7087,309" stroked="t" strokecolor="black" strokeweight="0.25pt">
              <v:stroke dashstyle="solid"/>
            </v:line>
            <v:line id="_x0000_s1713" style="position:absolute" from="7087,2483" to="7140,2483" stroked="t" strokecolor="black" strokeweight="0.25pt">
              <v:stroke dashstyle="solid"/>
            </v:line>
            <v:line id="_x0000_s1714" style="position:absolute" from="7087,2120" to="7140,2120" stroked="t" strokecolor="black" strokeweight="0.25pt">
              <v:stroke dashstyle="solid"/>
            </v:line>
            <v:line id="_x0000_s1715" style="position:absolute" from="7087,1758" to="7140,1758" stroked="t" strokecolor="black" strokeweight="0.25pt">
              <v:stroke dashstyle="solid"/>
            </v:line>
            <v:line id="_x0000_s1716" style="position:absolute" from="7087,1395" to="7140,1395" stroked="t" strokecolor="black" strokeweight="0.25pt">
              <v:stroke dashstyle="solid"/>
            </v:line>
            <v:line id="_x0000_s1717" style="position:absolute" from="7087,1033" to="7140,1033" stroked="t" strokecolor="black" strokeweight="0.25pt">
              <v:stroke dashstyle="solid"/>
            </v:line>
            <v:line id="_x0000_s1718" style="position:absolute" from="7087,671" to="7140,671" stroked="t" strokecolor="black" strokeweight="0.25pt">
              <v:stroke dashstyle="solid"/>
            </v:line>
            <v:line id="_x0000_s1719" style="position:absolute" from="7087,309" to="7140,309" stroked="t" strokecolor="black" strokeweight="0.25pt">
              <v:stroke dashstyle="solid"/>
            </v:line>
            <v:line id="_x0000_s1720" style="position:absolute" from="7087,2483" to="11476,2483" stroked="t" strokecolor="black" strokeweight="0.25pt">
              <v:stroke dashstyle="solid"/>
            </v:line>
            <v:line id="_x0000_s1721" style="position:absolute" from="7087,2430" to="7087,2483" stroked="t" strokecolor="black" strokeweight="0.25pt">
              <v:stroke dashstyle="solid"/>
            </v:line>
            <v:line id="_x0000_s1722" style="position:absolute" from="8184,2430" to="8184,2483" stroked="t" strokecolor="black" strokeweight="0.25pt">
              <v:stroke dashstyle="solid"/>
            </v:line>
            <v:line id="_x0000_s1723" style="position:absolute" from="9281,2430" to="9281,2483" stroked="t" strokecolor="black" strokeweight="0.25pt">
              <v:stroke dashstyle="solid"/>
            </v:line>
            <v:line id="_x0000_s1724" style="position:absolute" from="10378,2430" to="10378,2483" stroked="t" strokecolor="black" strokeweight="0.25pt">
              <v:stroke dashstyle="solid"/>
            </v:line>
            <v:line id="_x0000_s1725" style="position:absolute" from="11476,2430" to="11476,2483" stroked="t" strokecolor="black" strokeweight="0.25pt">
              <v:stroke dashstyle="solid"/>
            </v:line>
            <v:shape id="_x0000_s1726" type="#_x0000_t202" style="width:583;height:195;left:7355;position:absolute;top:233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z w:val="16"/>
                      </w:rPr>
                      <w:t>54.26%</w:t>
                    </w:r>
                  </w:p>
                </w:txbxContent>
              </v:textbox>
            </v:shape>
            <v:shape id="_x0000_s1727" type="#_x0000_t202" style="width:580;height:195;left:8453;position:absolute;top:425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z w:val="16"/>
                      </w:rPr>
                      <w:t>48.99%</w:t>
                    </w:r>
                  </w:p>
                </w:txbxContent>
              </v:textbox>
            </v:shape>
            <v:shape id="_x0000_s1728" type="#_x0000_t202" style="width:580;height:195;left:10648;position:absolute;top:665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z w:val="16"/>
                      </w:rPr>
                      <w:t>42.36%</w:t>
                    </w:r>
                  </w:p>
                </w:txbxContent>
              </v:textbox>
            </v:shape>
            <v:shape id="_x0000_s1729" type="#_x0000_t202" style="width:580;height:195;left:9550;position:absolute;top:1186" filled="f" stroked="f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Tahoma"/>
                        <w:sz w:val="16"/>
                      </w:rPr>
                    </w:pPr>
                    <w:r>
                      <w:rPr>
                        <w:rFonts w:ascii="Tahoma"/>
                        <w:sz w:val="16"/>
                      </w:rPr>
                      <w:t>28.00%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1434"/>
          <w:tab w:val="left" w:pos="2531"/>
          <w:tab w:val="left" w:pos="3629"/>
        </w:tabs>
        <w:spacing w:before="59"/>
        <w:ind w:left="336" w:right="0" w:firstLine="0"/>
        <w:jc w:val="left"/>
        <w:rPr>
          <w:sz w:val="16"/>
        </w:rPr>
      </w:pPr>
      <w:r>
        <w:rPr>
          <w:sz w:val="16"/>
        </w:rPr>
        <w:t>海兴电力</w:t>
        <w:tab/>
        <w:t>三星医疗</w:t>
        <w:tab/>
        <w:t>炬华科技</w:t>
        <w:tab/>
        <w:t>威胜信息</w:t>
      </w:r>
    </w:p>
    <w:p>
      <w:pPr>
        <w:spacing w:after="0"/>
        <w:jc w:val="left"/>
        <w:rPr>
          <w:sz w:val="16"/>
        </w:rPr>
        <w:sectPr>
          <w:headerReference w:type="default" r:id="rId57"/>
          <w:footerReference w:type="default" r:id="rId58"/>
          <w:type w:val="continuous"/>
          <w:pgSz w:w="11910" w:h="16840"/>
          <w:pgMar w:top="900" w:right="0" w:bottom="1060" w:left="540" w:header="708" w:footer="708"/>
          <w:pgNumType w:start="25"/>
          <w:cols w:num="2" w:space="708" w:equalWidth="0">
            <w:col w:w="6400" w:space="40"/>
            <w:col w:w="4930" w:space="0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spacing w:line="20" w:lineRule="exact"/>
        <w:ind w:left="129" w:right="0" w:firstLine="0"/>
        <w:rPr>
          <w:sz w:val="2"/>
        </w:rPr>
      </w:pPr>
      <w:r>
        <w:rPr>
          <w:sz w:val="2"/>
        </w:rPr>
        <w:pict>
          <v:group id="_x0000_i1730" style="width:278.35pt;height:1pt;mso-position-horizontal-relative:char;mso-position-vertical-relative:line" coordorigin="0,0" coordsize="5567,20">
            <v:line id="_x0000_s1731" style="position:absolute" from="0,10" to="5567,10" stroked="t" strokecolor="#004097" strokeweight="0.96pt">
              <v:stroke dashstyle="solid"/>
            </v:line>
            <w10:wrap type="none"/>
          </v:group>
        </w:pict>
      </w:r>
      <w:r>
        <w:rPr>
          <w:rFonts w:ascii="Times New Roman"/>
          <w:spacing w:val="189"/>
          <w:sz w:val="2"/>
        </w:rPr>
        <w:t xml:space="preserve"> </w:t>
      </w:r>
      <w:r>
        <w:rPr>
          <w:spacing w:val="189"/>
          <w:sz w:val="2"/>
        </w:rPr>
        <w:pict>
          <v:group id="_x0000_i1732" style="width:255.8pt;height:1pt;mso-position-horizontal-relative:char;mso-position-vertical-relative:line" coordorigin="0,0" coordsize="5116,20">
            <v:line id="_x0000_s1733" style="position:absolute" from="0,10" to="5115,10" stroked="t" strokecolor="#004097" strokeweight="0.96pt">
              <v:stroke dashstyle="solid"/>
            </v:line>
            <w10:wrap type="none"/>
          </v:group>
        </w:pict>
      </w:r>
    </w:p>
    <w:p>
      <w:pPr>
        <w:tabs>
          <w:tab w:val="left" w:pos="6037"/>
        </w:tabs>
        <w:spacing w:before="0"/>
        <w:ind w:left="247" w:right="0" w:firstLine="0"/>
        <w:jc w:val="left"/>
        <w:rPr>
          <w:sz w:val="17"/>
        </w:rPr>
      </w:pPr>
      <w:r>
        <w:t xml:space="preserve">资料来源： ， </w:t>
        <w:tab/>
        <w:t xml:space="preserve">资料来源： ， </w:t>
      </w:r>
    </w:p>
    <w:p>
      <w:pPr>
        <w:spacing w:after="0"/>
        <w:jc w:val="left"/>
        <w:rPr>
          <w:sz w:val="17"/>
        </w:rPr>
        <w:sectPr>
          <w:headerReference w:type="default" r:id="rId59"/>
          <w:footerReference w:type="default" r:id="rId60"/>
          <w:type w:val="continuous"/>
          <w:pgSz w:w="11910" w:h="16840"/>
          <w:pgMar w:top="900" w:right="0" w:bottom="1060" w:left="540" w:header="708" w:footer="708"/>
          <w:pgNumType w:start="26"/>
          <w:cols w:space="708"/>
        </w:sectPr>
      </w:pPr>
    </w:p>
    <w:p>
      <w:pPr>
        <w:pStyle w:val="Heading3"/>
        <w:numPr>
          <w:ilvl w:val="2"/>
          <w:numId w:val="10"/>
        </w:numPr>
        <w:tabs>
          <w:tab w:val="left" w:pos="3277"/>
        </w:tabs>
        <w:spacing w:before="29" w:after="0" w:line="240" w:lineRule="auto"/>
        <w:ind w:left="3277" w:right="0" w:hanging="587"/>
        <w:jc w:val="left"/>
      </w:pPr>
      <w:bookmarkStart w:id="7" w:name="_TOC_250010"/>
      <w:bookmarkEnd w:id="7"/>
      <w:r>
        <w:rPr>
          <w:color w:val="004097"/>
          <w:spacing w:val="-3"/>
        </w:rPr>
        <w:t>海兴电力：电表龙头，海外渠道和研发实力构筑核心优势</w:t>
      </w:r>
    </w:p>
    <w:p>
      <w:pPr>
        <w:spacing w:before="106" w:line="368" w:lineRule="exact"/>
        <w:ind w:left="2690" w:right="0" w:firstLine="0"/>
        <w:jc w:val="left"/>
        <w:rPr>
          <w:rFonts w:ascii="Tahoma" w:eastAsia="Tahoma"/>
          <w:sz w:val="21"/>
        </w:rPr>
      </w:pPr>
      <w:r>
        <w:rPr>
          <w:rFonts w:ascii="Microsoft JhengHei" w:eastAsia="Microsoft JhengHei" w:hint="eastAsia"/>
          <w:b/>
          <w:sz w:val="21"/>
        </w:rPr>
        <w:t>海兴电力为电表出口龙头，海外渠道和研发实力构筑核心优势。</w:t>
      </w:r>
      <w:r>
        <w:rPr>
          <w:spacing w:val="8"/>
          <w:sz w:val="21"/>
        </w:rPr>
        <w:t xml:space="preserve">海兴电力成立于 </w:t>
      </w:r>
      <w:r>
        <w:rPr>
          <w:rFonts w:ascii="Tahoma" w:eastAsia="Tahoma"/>
          <w:sz w:val="21"/>
        </w:rPr>
        <w:t>1992</w:t>
      </w:r>
    </w:p>
    <w:p>
      <w:pPr>
        <w:pStyle w:val="BodyText"/>
        <w:spacing w:line="251" w:lineRule="exact"/>
        <w:ind w:left="2690"/>
        <w:rPr>
          <w:rFonts w:ascii="Tahoma" w:eastAsia="Tahoma"/>
        </w:rPr>
      </w:pPr>
      <w:r>
        <w:rPr>
          <w:spacing w:val="-3"/>
        </w:rPr>
        <w:t xml:space="preserve">年公司成立，并于 </w:t>
      </w:r>
      <w:r>
        <w:rPr>
          <w:rFonts w:ascii="Tahoma" w:eastAsia="Tahoma"/>
        </w:rPr>
        <w:t>2001</w:t>
      </w:r>
      <w:r>
        <w:rPr>
          <w:rFonts w:ascii="Tahoma" w:eastAsia="Tahoma"/>
          <w:spacing w:val="17"/>
        </w:rPr>
        <w:t xml:space="preserve"> </w:t>
      </w:r>
      <w:r>
        <w:rPr>
          <w:spacing w:val="-3"/>
        </w:rPr>
        <w:t>年开始进军国际市场，是中国规模最大的电表出口企业。</w:t>
      </w:r>
      <w:r>
        <w:rPr>
          <w:rFonts w:ascii="Tahoma" w:eastAsia="Tahoma"/>
        </w:rPr>
        <w:t>2022</w:t>
      </w:r>
    </w:p>
    <w:p>
      <w:pPr>
        <w:pStyle w:val="BodyText"/>
        <w:spacing w:before="9" w:line="249" w:lineRule="auto"/>
        <w:ind w:left="2690" w:right="676"/>
      </w:pPr>
      <w:r>
        <w:rPr>
          <w:spacing w:val="1"/>
        </w:rPr>
        <w:t xml:space="preserve">年公司智能用电产品及系统实现营业收入 </w:t>
      </w:r>
      <w:r>
        <w:rPr>
          <w:rFonts w:ascii="Tahoma" w:eastAsia="Tahoma"/>
        </w:rPr>
        <w:t>29.01</w:t>
      </w:r>
      <w:r>
        <w:rPr>
          <w:rFonts w:ascii="Tahoma" w:eastAsia="Tahoma"/>
          <w:spacing w:val="47"/>
        </w:rPr>
        <w:t xml:space="preserve"> </w:t>
      </w:r>
      <w:r>
        <w:rPr>
          <w:spacing w:val="3"/>
        </w:rPr>
        <w:t xml:space="preserve">亿元，同增 </w:t>
      </w:r>
      <w:r>
        <w:rPr>
          <w:rFonts w:ascii="Tahoma" w:eastAsia="Tahoma"/>
        </w:rPr>
        <w:t>25.46%</w:t>
      </w:r>
      <w:r>
        <w:t>，占公司总营收</w:t>
      </w:r>
      <w:r>
        <w:rPr>
          <w:rFonts w:ascii="Tahoma" w:eastAsia="Tahoma"/>
        </w:rPr>
        <w:t>88.71%</w:t>
      </w:r>
      <w:r>
        <w:rPr>
          <w:spacing w:val="-7"/>
        </w:rPr>
        <w:t xml:space="preserve">；智能配电产品及系统收入 </w:t>
      </w:r>
      <w:r>
        <w:rPr>
          <w:rFonts w:ascii="Tahoma" w:eastAsia="Tahoma"/>
        </w:rPr>
        <w:t>3.27</w:t>
      </w:r>
      <w:r>
        <w:rPr>
          <w:rFonts w:ascii="Tahoma" w:eastAsia="Tahoma"/>
          <w:spacing w:val="-21"/>
        </w:rPr>
        <w:t xml:space="preserve"> </w:t>
      </w:r>
      <w:r>
        <w:rPr>
          <w:spacing w:val="-12"/>
        </w:rPr>
        <w:t xml:space="preserve">亿元，同增 </w:t>
      </w:r>
      <w:r>
        <w:rPr>
          <w:rFonts w:ascii="Tahoma" w:eastAsia="Tahoma"/>
        </w:rPr>
        <w:t>3.70%</w:t>
      </w:r>
      <w:r>
        <w:rPr>
          <w:spacing w:val="-10"/>
        </w:rPr>
        <w:t xml:space="preserve">，占公司总营收 </w:t>
      </w:r>
      <w:r>
        <w:rPr>
          <w:rFonts w:ascii="Tahoma" w:eastAsia="Tahoma"/>
        </w:rPr>
        <w:t>9.99%</w:t>
      </w:r>
      <w:r>
        <w:t>；新</w:t>
      </w:r>
    </w:p>
    <w:p>
      <w:pPr>
        <w:pStyle w:val="BodyText"/>
        <w:spacing w:line="299" w:lineRule="exact"/>
        <w:ind w:left="2690"/>
      </w:pPr>
      <w:r>
        <w:rPr>
          <w:spacing w:val="-4"/>
        </w:rPr>
        <w:t xml:space="preserve">能源产品及解决方案实现营业收入 </w:t>
      </w:r>
      <w:r>
        <w:rPr>
          <w:rFonts w:ascii="Tahoma" w:eastAsia="Tahoma"/>
        </w:rPr>
        <w:t>0.42</w:t>
      </w:r>
      <w:r>
        <w:rPr>
          <w:rFonts w:ascii="Tahoma" w:eastAsia="Tahoma"/>
          <w:spacing w:val="14"/>
        </w:rPr>
        <w:t xml:space="preserve"> </w:t>
      </w:r>
      <w:r>
        <w:rPr>
          <w:spacing w:val="-5"/>
        </w:rPr>
        <w:t xml:space="preserve">亿元，同增 </w:t>
      </w:r>
      <w:r>
        <w:rPr>
          <w:rFonts w:ascii="Tahoma" w:eastAsia="Tahoma"/>
          <w:spacing w:val="-4"/>
        </w:rPr>
        <w:t>37.13%</w:t>
      </w:r>
      <w:r>
        <w:t>。</w:t>
      </w:r>
      <w:r>
        <w:rPr>
          <w:rFonts w:ascii="Tahoma" w:eastAsia="Tahoma"/>
          <w:b/>
        </w:rPr>
        <w:t>1</w:t>
      </w:r>
      <w:r>
        <w:rPr>
          <w:rFonts w:ascii="Microsoft JhengHei" w:eastAsia="Microsoft JhengHei" w:hint="eastAsia"/>
          <w:b/>
        </w:rPr>
        <w:t>）</w:t>
      </w:r>
      <w:r>
        <w:rPr>
          <w:rFonts w:ascii="Microsoft JhengHei" w:eastAsia="Microsoft JhengHei" w:hint="eastAsia"/>
          <w:b/>
          <w:spacing w:val="-1"/>
        </w:rPr>
        <w:t>海外渠道优势：</w:t>
      </w:r>
      <w:r>
        <w:t>海兴</w:t>
      </w:r>
    </w:p>
    <w:p>
      <w:pPr>
        <w:pStyle w:val="BodyText"/>
        <w:spacing w:line="250" w:lineRule="exact"/>
        <w:ind w:left="2690"/>
      </w:pPr>
      <w:r>
        <w:rPr>
          <w:spacing w:val="-3"/>
        </w:rPr>
        <w:t xml:space="preserve">电力为海外电表规模最大，盈利能力最高的中国公司。公司拓展海外市场超 </w:t>
      </w:r>
      <w:r>
        <w:rPr>
          <w:rFonts w:ascii="Tahoma" w:eastAsia="Tahoma"/>
        </w:rPr>
        <w:t>30</w:t>
      </w:r>
      <w:r>
        <w:rPr>
          <w:rFonts w:ascii="Tahoma" w:eastAsia="Tahoma"/>
          <w:spacing w:val="47"/>
        </w:rPr>
        <w:t xml:space="preserve"> </w:t>
      </w:r>
      <w:r>
        <w:rPr>
          <w:spacing w:val="-2"/>
        </w:rPr>
        <w:t>年，早</w:t>
      </w:r>
    </w:p>
    <w:p>
      <w:pPr>
        <w:pStyle w:val="BodyText"/>
        <w:spacing w:before="12" w:line="249" w:lineRule="auto"/>
        <w:ind w:left="2690" w:right="675"/>
      </w:pPr>
      <w:r>
        <w:rPr>
          <w:w w:val="100"/>
        </w:rPr>
        <w:t>期通过收购当地工厂股权等形式快速切入海外市场，客户多为当地电表公司</w:t>
      </w:r>
      <w:r>
        <w:rPr>
          <w:spacing w:val="2"/>
          <w:w w:val="100"/>
        </w:rPr>
        <w:t>（</w:t>
      </w:r>
      <w:r>
        <w:rPr>
          <w:rFonts w:ascii="Tahoma" w:eastAsia="Tahoma"/>
          <w:spacing w:val="-23"/>
          <w:w w:val="100"/>
        </w:rPr>
        <w:t>T</w:t>
      </w:r>
      <w:r>
        <w:rPr>
          <w:rFonts w:ascii="Tahoma" w:eastAsia="Tahoma"/>
          <w:w w:val="100"/>
        </w:rPr>
        <w:t>o</w:t>
      </w:r>
      <w:r>
        <w:rPr>
          <w:rFonts w:ascii="Tahoma" w:eastAsia="Tahoma"/>
          <w:spacing w:val="30"/>
        </w:rPr>
        <w:t xml:space="preserve"> </w:t>
      </w:r>
      <w:r>
        <w:rPr>
          <w:rFonts w:ascii="Tahoma" w:eastAsia="Tahoma"/>
          <w:spacing w:val="3"/>
          <w:w w:val="100"/>
        </w:rPr>
        <w:t>G</w:t>
      </w:r>
      <w:r>
        <w:rPr>
          <w:spacing w:val="-104"/>
          <w:w w:val="100"/>
        </w:rPr>
        <w:t>）</w:t>
      </w:r>
      <w:r>
        <w:rPr>
          <w:w w:val="100"/>
        </w:rPr>
        <w:t xml:space="preserve">。 </w:t>
      </w:r>
      <w:r>
        <w:rPr>
          <w:rFonts w:ascii="Tahoma" w:eastAsia="Tahoma"/>
        </w:rPr>
        <w:t>2022</w:t>
      </w:r>
      <w:r>
        <w:rPr>
          <w:rFonts w:ascii="Tahoma" w:eastAsia="Tahoma"/>
          <w:spacing w:val="41"/>
        </w:rPr>
        <w:t xml:space="preserve"> </w:t>
      </w:r>
      <w:r>
        <w:rPr>
          <w:spacing w:val="3"/>
        </w:rPr>
        <w:t xml:space="preserve">年，公司智能用电产品在巴西、印尼市占率第一，海外收入 </w:t>
      </w:r>
      <w:r>
        <w:rPr>
          <w:rFonts w:ascii="Tahoma" w:eastAsia="Tahoma"/>
        </w:rPr>
        <w:t>18.45</w:t>
      </w:r>
      <w:r>
        <w:rPr>
          <w:rFonts w:ascii="Tahoma" w:eastAsia="Tahoma"/>
          <w:spacing w:val="38"/>
        </w:rPr>
        <w:t xml:space="preserve"> </w:t>
      </w:r>
      <w:r>
        <w:rPr>
          <w:spacing w:val="3"/>
        </w:rPr>
        <w:t>亿元，同增</w:t>
      </w:r>
    </w:p>
    <w:p>
      <w:pPr>
        <w:pStyle w:val="BodyText"/>
        <w:spacing w:line="298" w:lineRule="exact"/>
        <w:ind w:left="2690"/>
        <w:jc w:val="both"/>
      </w:pPr>
      <w:r>
        <w:rPr>
          <w:rFonts w:ascii="Tahoma" w:eastAsia="Tahoma"/>
        </w:rPr>
        <w:t>13.4%</w:t>
      </w:r>
      <w:r>
        <w:rPr>
          <w:spacing w:val="-7"/>
        </w:rPr>
        <w:t xml:space="preserve">，毛利率 </w:t>
      </w:r>
      <w:r>
        <w:rPr>
          <w:rFonts w:ascii="Tahoma" w:eastAsia="Tahoma"/>
        </w:rPr>
        <w:t>35.47%</w:t>
      </w:r>
      <w:r>
        <w:t>。</w:t>
      </w:r>
      <w:r>
        <w:rPr>
          <w:rFonts w:ascii="Tahoma" w:eastAsia="Tahoma"/>
          <w:b/>
        </w:rPr>
        <w:t>2</w:t>
      </w:r>
      <w:r>
        <w:rPr>
          <w:rFonts w:ascii="Microsoft JhengHei" w:eastAsia="Microsoft JhengHei" w:hint="eastAsia"/>
          <w:b/>
        </w:rPr>
        <w:t>）技术研发优势：</w:t>
      </w:r>
      <w:r>
        <w:rPr>
          <w:spacing w:val="-7"/>
        </w:rPr>
        <w:t xml:space="preserve">公司研发费率超 </w:t>
      </w:r>
      <w:r>
        <w:rPr>
          <w:rFonts w:ascii="Tahoma" w:eastAsia="Tahoma"/>
        </w:rPr>
        <w:t>7%</w:t>
      </w:r>
      <w:r>
        <w:rPr>
          <w:spacing w:val="-8"/>
        </w:rPr>
        <w:t xml:space="preserve">，为全球 </w:t>
      </w:r>
      <w:r>
        <w:rPr>
          <w:rFonts w:ascii="Tahoma" w:eastAsia="Tahoma"/>
        </w:rPr>
        <w:t>Wi-Sun</w:t>
      </w:r>
      <w:r>
        <w:rPr>
          <w:rFonts w:ascii="Tahoma" w:eastAsia="Tahoma"/>
          <w:spacing w:val="2"/>
        </w:rPr>
        <w:t xml:space="preserve"> </w:t>
      </w:r>
      <w:r>
        <w:t>技</w:t>
      </w:r>
    </w:p>
    <w:p>
      <w:pPr>
        <w:pStyle w:val="BodyText"/>
        <w:spacing w:line="251" w:lineRule="exact"/>
        <w:ind w:left="2690"/>
        <w:rPr>
          <w:rFonts w:ascii="Tahoma" w:eastAsia="Tahoma"/>
        </w:rPr>
      </w:pPr>
      <w:r>
        <w:rPr>
          <w:spacing w:val="-3"/>
        </w:rPr>
        <w:t>术联盟唯一进入董事会的中国企业。</w:t>
      </w:r>
      <w:r>
        <w:rPr>
          <w:rFonts w:ascii="Tahoma" w:eastAsia="Tahoma"/>
        </w:rPr>
        <w:t>2022</w:t>
      </w:r>
      <w:r>
        <w:rPr>
          <w:rFonts w:ascii="Tahoma" w:eastAsia="Tahoma"/>
          <w:spacing w:val="-2"/>
        </w:rPr>
        <w:t xml:space="preserve"> </w:t>
      </w:r>
      <w:r>
        <w:rPr>
          <w:spacing w:val="1"/>
        </w:rPr>
        <w:t>年公司研发费率达</w:t>
      </w:r>
      <w:r>
        <w:rPr>
          <w:rFonts w:ascii="Tahoma" w:eastAsia="Tahoma"/>
          <w:spacing w:val="-4"/>
        </w:rPr>
        <w:t>7.21%</w:t>
      </w:r>
      <w:r>
        <w:rPr>
          <w:spacing w:val="1"/>
        </w:rPr>
        <w:t>，研发人员数量</w:t>
      </w:r>
      <w:r>
        <w:rPr>
          <w:rFonts w:ascii="Tahoma" w:eastAsia="Tahoma"/>
        </w:rPr>
        <w:t>745</w:t>
      </w:r>
    </w:p>
    <w:p>
      <w:pPr>
        <w:pStyle w:val="BodyText"/>
        <w:spacing w:before="12"/>
        <w:ind w:left="2690"/>
      </w:pPr>
      <w:r>
        <w:t>名。</w:t>
      </w:r>
    </w:p>
    <w:p>
      <w:pPr>
        <w:pStyle w:val="BodyText"/>
        <w:spacing w:before="1"/>
        <w:rPr>
          <w:sz w:val="18"/>
        </w:rPr>
      </w:pPr>
    </w:p>
    <w:p>
      <w:pPr>
        <w:spacing w:before="0" w:line="230" w:lineRule="auto"/>
        <w:ind w:left="2690" w:right="672" w:firstLine="0"/>
        <w:jc w:val="both"/>
        <w:rPr>
          <w:rFonts w:ascii="Tahoma" w:eastAsia="Tahoma"/>
          <w:sz w:val="21"/>
        </w:rPr>
      </w:pPr>
      <w:r>
        <w:rPr>
          <w:rFonts w:ascii="Microsoft JhengHei" w:eastAsia="Microsoft JhengHei" w:hint="eastAsia"/>
          <w:b/>
          <w:spacing w:val="-3"/>
          <w:sz w:val="21"/>
        </w:rPr>
        <w:t xml:space="preserve">公司境外收入占比总营收近 </w:t>
      </w:r>
      <w:r>
        <w:rPr>
          <w:rFonts w:ascii="Tahoma" w:eastAsia="Tahoma"/>
          <w:b/>
          <w:sz w:val="21"/>
        </w:rPr>
        <w:t>60%</w:t>
      </w:r>
      <w:r>
        <w:rPr>
          <w:rFonts w:ascii="Microsoft JhengHei" w:eastAsia="Microsoft JhengHei" w:hint="eastAsia"/>
          <w:b/>
          <w:sz w:val="21"/>
        </w:rPr>
        <w:t>，</w:t>
      </w:r>
      <w:r>
        <w:rPr>
          <w:rFonts w:ascii="Tahoma" w:eastAsia="Tahoma"/>
          <w:b/>
          <w:sz w:val="21"/>
        </w:rPr>
        <w:t xml:space="preserve">2022 </w:t>
      </w:r>
      <w:r>
        <w:rPr>
          <w:rFonts w:ascii="Microsoft JhengHei" w:eastAsia="Microsoft JhengHei" w:hint="eastAsia"/>
          <w:b/>
          <w:spacing w:val="-1"/>
          <w:sz w:val="21"/>
        </w:rPr>
        <w:t xml:space="preserve">年实现收入 </w:t>
      </w:r>
      <w:r>
        <w:rPr>
          <w:rFonts w:ascii="Tahoma" w:eastAsia="Tahoma"/>
          <w:b/>
          <w:sz w:val="21"/>
        </w:rPr>
        <w:t xml:space="preserve">18.45 </w:t>
      </w:r>
      <w:r>
        <w:rPr>
          <w:rFonts w:ascii="Microsoft JhengHei" w:eastAsia="Microsoft JhengHei" w:hint="eastAsia"/>
          <w:b/>
          <w:spacing w:val="-1"/>
          <w:sz w:val="21"/>
        </w:rPr>
        <w:t xml:space="preserve">亿元，同比 </w:t>
      </w:r>
      <w:r>
        <w:rPr>
          <w:rFonts w:ascii="Tahoma" w:eastAsia="Tahoma"/>
          <w:b/>
          <w:sz w:val="21"/>
        </w:rPr>
        <w:t>13.40%</w:t>
      </w:r>
      <w:r>
        <w:rPr>
          <w:rFonts w:ascii="Microsoft JhengHei" w:eastAsia="Microsoft JhengHei" w:hint="eastAsia"/>
          <w:b/>
          <w:sz w:val="21"/>
        </w:rPr>
        <w:t>。</w:t>
      </w:r>
      <w:r>
        <w:rPr>
          <w:sz w:val="21"/>
        </w:rPr>
        <w:t>拆</w:t>
      </w:r>
      <w:r>
        <w:rPr>
          <w:spacing w:val="-3"/>
          <w:sz w:val="21"/>
        </w:rPr>
        <w:t xml:space="preserve">分来看，公司拉美、非洲、亚洲区域收入占比海外超 </w:t>
      </w:r>
      <w:r>
        <w:rPr>
          <w:rFonts w:ascii="Tahoma" w:eastAsia="Tahoma"/>
          <w:sz w:val="21"/>
        </w:rPr>
        <w:t>98%</w:t>
      </w:r>
      <w:r>
        <w:rPr>
          <w:sz w:val="21"/>
        </w:rPr>
        <w:t>，</w:t>
      </w:r>
      <w:r>
        <w:rPr>
          <w:rFonts w:ascii="Tahoma" w:eastAsia="Tahoma"/>
          <w:sz w:val="21"/>
        </w:rPr>
        <w:t xml:space="preserve">2022 </w:t>
      </w:r>
      <w:r>
        <w:rPr>
          <w:spacing w:val="-3"/>
          <w:sz w:val="21"/>
        </w:rPr>
        <w:t>年拉美、欧洲、非洲</w:t>
      </w:r>
      <w:r>
        <w:rPr>
          <w:spacing w:val="-20"/>
          <w:sz w:val="21"/>
        </w:rPr>
        <w:t xml:space="preserve">和 亚 洲 营 业 收 入 达 </w:t>
      </w:r>
      <w:r>
        <w:rPr>
          <w:rFonts w:ascii="Tahoma" w:eastAsia="Tahoma"/>
          <w:sz w:val="21"/>
        </w:rPr>
        <w:t xml:space="preserve">7.72/0.22/3.91/6.59 </w:t>
      </w:r>
      <w:r>
        <w:rPr>
          <w:spacing w:val="-19"/>
          <w:sz w:val="21"/>
        </w:rPr>
        <w:t xml:space="preserve">亿 元 ， 同 比 增 长 </w:t>
      </w:r>
      <w:r>
        <w:rPr>
          <w:rFonts w:ascii="Tahoma" w:eastAsia="Tahoma"/>
          <w:sz w:val="21"/>
        </w:rPr>
        <w:t>16.96%/174.48%/</w:t>
      </w:r>
    </w:p>
    <w:p>
      <w:pPr>
        <w:pStyle w:val="BodyText"/>
        <w:spacing w:before="11" w:line="249" w:lineRule="auto"/>
        <w:ind w:left="2690" w:right="466"/>
      </w:pPr>
      <w:r>
        <w:rPr>
          <w:rFonts w:ascii="Tahoma" w:eastAsia="Tahoma"/>
        </w:rPr>
        <w:t>-12.87%/28.52%</w:t>
      </w:r>
      <w:r>
        <w:t xml:space="preserve">，其中拉美地区疫后修复较快，非洲规模有望在今年实现较大回升。 </w:t>
      </w:r>
      <w:r>
        <w:rPr>
          <w:spacing w:val="-3"/>
        </w:rPr>
        <w:t>国内市场方面，公司业务主要为国、南网配用电业务，</w:t>
      </w:r>
      <w:r>
        <w:rPr>
          <w:rFonts w:ascii="Tahoma" w:eastAsia="Tahoma"/>
        </w:rPr>
        <w:t>2022</w:t>
      </w:r>
      <w:r>
        <w:rPr>
          <w:rFonts w:ascii="Tahoma" w:eastAsia="Tahoma"/>
          <w:spacing w:val="8"/>
        </w:rPr>
        <w:t xml:space="preserve"> </w:t>
      </w:r>
      <w:r>
        <w:rPr>
          <w:spacing w:val="-6"/>
        </w:rPr>
        <w:t xml:space="preserve">年公司南网中标 </w:t>
      </w:r>
      <w:r>
        <w:rPr>
          <w:rFonts w:ascii="Tahoma" w:eastAsia="Tahoma"/>
        </w:rPr>
        <w:t>1.39</w:t>
      </w:r>
      <w:r>
        <w:rPr>
          <w:rFonts w:ascii="Tahoma" w:eastAsia="Tahoma"/>
          <w:spacing w:val="6"/>
        </w:rPr>
        <w:t xml:space="preserve"> </w:t>
      </w:r>
      <w:r>
        <w:rPr>
          <w:spacing w:val="-3"/>
        </w:rPr>
        <w:t xml:space="preserve">亿元， </w:t>
      </w:r>
      <w:r>
        <w:rPr>
          <w:spacing w:val="-9"/>
        </w:rPr>
        <w:t xml:space="preserve">同期公司国网中标 </w:t>
      </w:r>
      <w:r>
        <w:rPr>
          <w:rFonts w:ascii="Tahoma" w:eastAsia="Tahoma"/>
          <w:spacing w:val="-4"/>
        </w:rPr>
        <w:t>7.65</w:t>
      </w:r>
      <w:r>
        <w:rPr>
          <w:rFonts w:ascii="Tahoma" w:eastAsia="Tahoma"/>
          <w:spacing w:val="-22"/>
        </w:rPr>
        <w:t xml:space="preserve"> </w:t>
      </w:r>
      <w:r>
        <w:rPr>
          <w:spacing w:val="-7"/>
        </w:rPr>
        <w:t xml:space="preserve">亿元，国、南网合计实现收入 </w:t>
      </w:r>
      <w:r>
        <w:rPr>
          <w:rFonts w:ascii="Tahoma" w:eastAsia="Tahoma"/>
        </w:rPr>
        <w:t>9.04</w:t>
      </w:r>
      <w:r>
        <w:rPr>
          <w:rFonts w:ascii="Tahoma" w:eastAsia="Tahoma"/>
          <w:spacing w:val="-20"/>
        </w:rPr>
        <w:t xml:space="preserve"> </w:t>
      </w:r>
      <w:r>
        <w:rPr>
          <w:spacing w:val="-2"/>
        </w:rPr>
        <w:t>亿元。</w:t>
      </w:r>
    </w:p>
    <w:p>
      <w:pPr>
        <w:pStyle w:val="BodyText"/>
        <w:spacing w:before="3"/>
        <w:rPr>
          <w:sz w:val="25"/>
        </w:rPr>
      </w:pPr>
    </w:p>
    <w:p>
      <w:pPr>
        <w:tabs>
          <w:tab w:val="left" w:pos="5826"/>
        </w:tabs>
        <w:spacing w:before="0"/>
        <w:ind w:left="247" w:right="0" w:firstLine="0"/>
        <w:jc w:val="left"/>
        <w:rPr>
          <w:sz w:val="17"/>
        </w:rPr>
      </w:pPr>
      <w:r>
        <w:pict>
          <v:shape id="_x0000_s1734" style="width:265.85pt;height:0.1pt;margin-top:14.62pt;margin-left:33.96pt;mso-position-horizontal-relative:page;mso-wrap-distance-left:0;mso-wrap-distance-right:0;position:absolute;z-index:-251577344" coordorigin="679,292" coordsize="5317,0" path="m679,292l5996,292e" filled="f" stroked="t" strokecolor="#004097" strokeweight="0.96pt">
            <v:stroke dashstyle="solid"/>
            <v:path arrowok="t"/>
            <w10:wrap type="topAndBottom"/>
          </v:shape>
        </w:pict>
      </w:r>
      <w:r>
        <w:pict>
          <v:shape id="_x0000_s1735" style="width:258.2pt;height:0.1pt;margin-top:14.62pt;margin-left:312.79pt;mso-position-horizontal-relative:page;mso-wrap-distance-left:0;mso-wrap-distance-right:0;position:absolute;z-index:-251576320" coordorigin="6256,292" coordsize="5164,0" path="m6256,292l11419,292e" filled="f" stroked="t" strokecolor="#004097" strokeweight="0.96pt">
            <v:stroke dashstyle="solid"/>
            <v:path arrowok="t"/>
            <w10:wrap type="topAndBottom"/>
          </v:shape>
        </w:pict>
      </w:r>
      <w:r>
        <w:rPr>
          <w:color w:val="004097"/>
          <w:w w:val="95"/>
          <w:sz w:val="17"/>
        </w:rPr>
        <w:t>图表</w:t>
      </w:r>
      <w:r>
        <w:rPr>
          <w:color w:val="004097"/>
          <w:spacing w:val="-47"/>
          <w:w w:val="95"/>
          <w:sz w:val="17"/>
        </w:rPr>
        <w:t xml:space="preserve"> </w:t>
      </w:r>
      <w:r>
        <w:rPr>
          <w:rFonts w:ascii="Tahoma" w:eastAsia="Tahoma"/>
          <w:i/>
          <w:color w:val="004097"/>
          <w:w w:val="95"/>
          <w:sz w:val="17"/>
        </w:rPr>
        <w:t>17</w:t>
      </w:r>
      <w:r>
        <w:rPr>
          <w:color w:val="004097"/>
          <w:w w:val="95"/>
          <w:sz w:val="17"/>
        </w:rPr>
        <w:t>：海</w:t>
      </w:r>
      <w:r>
        <w:rPr>
          <w:color w:val="004097"/>
          <w:spacing w:val="-3"/>
          <w:w w:val="95"/>
          <w:sz w:val="17"/>
        </w:rPr>
        <w:t>兴</w:t>
      </w:r>
      <w:r>
        <w:rPr>
          <w:color w:val="004097"/>
          <w:w w:val="95"/>
          <w:sz w:val="17"/>
        </w:rPr>
        <w:t>电力分</w:t>
      </w:r>
      <w:r>
        <w:rPr>
          <w:color w:val="004097"/>
          <w:spacing w:val="-3"/>
          <w:w w:val="95"/>
          <w:sz w:val="17"/>
        </w:rPr>
        <w:t>地</w:t>
      </w:r>
      <w:r>
        <w:rPr>
          <w:color w:val="004097"/>
          <w:w w:val="95"/>
          <w:sz w:val="17"/>
        </w:rPr>
        <w:t>区营</w:t>
      </w:r>
      <w:r>
        <w:rPr>
          <w:color w:val="004097"/>
          <w:spacing w:val="-3"/>
          <w:w w:val="95"/>
          <w:sz w:val="17"/>
        </w:rPr>
        <w:t>业</w:t>
      </w:r>
      <w:r>
        <w:rPr>
          <w:color w:val="004097"/>
          <w:w w:val="95"/>
          <w:sz w:val="17"/>
        </w:rPr>
        <w:t>收</w:t>
      </w:r>
      <w:r>
        <w:rPr>
          <w:color w:val="004097"/>
          <w:spacing w:val="-3"/>
          <w:w w:val="95"/>
          <w:sz w:val="17"/>
        </w:rPr>
        <w:t>入</w:t>
      </w:r>
      <w:r>
        <w:rPr>
          <w:color w:val="004097"/>
          <w:w w:val="95"/>
          <w:sz w:val="17"/>
        </w:rPr>
        <w:t>（百万</w:t>
      </w:r>
      <w:r>
        <w:rPr>
          <w:color w:val="004097"/>
          <w:spacing w:val="-3"/>
          <w:w w:val="95"/>
          <w:sz w:val="17"/>
        </w:rPr>
        <w:t>元</w:t>
      </w:r>
      <w:r>
        <w:rPr>
          <w:color w:val="004097"/>
          <w:w w:val="95"/>
          <w:sz w:val="17"/>
        </w:rPr>
        <w:t>）</w:t>
        <w:tab/>
      </w:r>
      <w:r>
        <w:rPr>
          <w:color w:val="004097"/>
          <w:sz w:val="17"/>
        </w:rPr>
        <w:t>图表</w:t>
      </w:r>
      <w:r>
        <w:rPr>
          <w:color w:val="004097"/>
          <w:spacing w:val="-51"/>
          <w:sz w:val="17"/>
        </w:rPr>
        <w:t xml:space="preserve"> </w:t>
      </w:r>
      <w:r>
        <w:rPr>
          <w:rFonts w:ascii="Tahoma" w:eastAsia="Tahoma"/>
          <w:i/>
          <w:color w:val="004097"/>
          <w:sz w:val="17"/>
        </w:rPr>
        <w:t>18</w:t>
      </w:r>
      <w:r>
        <w:rPr>
          <w:color w:val="004097"/>
          <w:sz w:val="17"/>
        </w:rPr>
        <w:t>：海</w:t>
      </w:r>
      <w:r>
        <w:rPr>
          <w:color w:val="004097"/>
          <w:spacing w:val="-3"/>
          <w:sz w:val="17"/>
        </w:rPr>
        <w:t>兴</w:t>
      </w:r>
      <w:r>
        <w:rPr>
          <w:color w:val="004097"/>
          <w:sz w:val="17"/>
        </w:rPr>
        <w:t>电力海</w:t>
      </w:r>
      <w:r>
        <w:rPr>
          <w:color w:val="004097"/>
          <w:spacing w:val="-3"/>
          <w:sz w:val="17"/>
        </w:rPr>
        <w:t>外</w:t>
      </w:r>
      <w:r>
        <w:rPr>
          <w:color w:val="004097"/>
          <w:sz w:val="17"/>
        </w:rPr>
        <w:t>分地</w:t>
      </w:r>
      <w:r>
        <w:rPr>
          <w:color w:val="004097"/>
          <w:spacing w:val="-3"/>
          <w:sz w:val="17"/>
        </w:rPr>
        <w:t>区</w:t>
      </w:r>
      <w:r>
        <w:rPr>
          <w:color w:val="004097"/>
          <w:sz w:val="17"/>
        </w:rPr>
        <w:t>营</w:t>
      </w:r>
      <w:r>
        <w:rPr>
          <w:color w:val="004097"/>
          <w:spacing w:val="-3"/>
          <w:sz w:val="17"/>
        </w:rPr>
        <w:t>业</w:t>
      </w:r>
      <w:r>
        <w:rPr>
          <w:color w:val="004097"/>
          <w:sz w:val="17"/>
        </w:rPr>
        <w:t>收入（</w:t>
      </w:r>
      <w:r>
        <w:rPr>
          <w:color w:val="004097"/>
          <w:spacing w:val="-3"/>
          <w:sz w:val="17"/>
        </w:rPr>
        <w:t>百</w:t>
      </w:r>
      <w:r>
        <w:rPr>
          <w:color w:val="004097"/>
          <w:sz w:val="17"/>
        </w:rPr>
        <w:t>万元）</w: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61"/>
          <w:footerReference w:type="default" r:id="rId62"/>
          <w:pgSz w:w="11910" w:h="16840"/>
          <w:pgMar w:top="900" w:right="0" w:bottom="1060" w:left="540" w:header="708" w:footer="708"/>
          <w:pgNumType w:start="27"/>
          <w:cols w:space="708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9"/>
        <w:rPr>
          <w:sz w:val="12"/>
        </w:rPr>
      </w:pPr>
    </w:p>
    <w:p>
      <w:pPr>
        <w:spacing w:before="1"/>
        <w:ind w:left="0" w:right="38" w:firstLine="0"/>
        <w:jc w:val="right"/>
        <w:rPr>
          <w:rFonts w:ascii="Tahoma"/>
          <w:sz w:val="16"/>
        </w:rPr>
      </w:pPr>
      <w:r>
        <w:pict>
          <v:group id="_x0000_s1736" style="width:5.1pt;height:5.1pt;margin-top:-14.99pt;margin-left:355.42pt;mso-position-horizontal-relative:page;position:absolute;z-index:251749376" coordorigin="7108,-300" coordsize="102,102">
            <v:rect id="_x0000_s1737" style="width:87;height:87;left:7116;position:absolute;top:-293" filled="t" fillcolor="gray" stroked="f">
              <v:fill type="solid"/>
            </v:rect>
            <v:rect id="_x0000_s1738" style="width:87;height:87;left:7116;position:absolute;top:-293" filled="f" stroked="t" strokecolor="gray" strokeweight="0.75pt">
              <v:stroke dashstyle="solid"/>
            </v:rect>
          </v:group>
        </w:pict>
      </w:r>
      <w:r>
        <w:pict>
          <v:group id="_x0000_s1739" style="width:5.1pt;height:5.1pt;margin-top:-14.99pt;margin-left:395.04pt;mso-position-horizontal-relative:page;position:absolute;z-index:-251573248" coordorigin="7901,-300" coordsize="102,102">
            <v:rect id="_x0000_s1740" style="width:87;height:87;left:7908;position:absolute;top:-293" filled="t" fillcolor="#5085c5" stroked="f">
              <v:fill type="solid"/>
            </v:rect>
            <v:rect id="_x0000_s1741" style="width:87;height:87;left:7908;position:absolute;top:-293" filled="f" stroked="t" strokecolor="#5085c5" strokeweight="0.75pt">
              <v:stroke dashstyle="solid"/>
            </v:rect>
          </v:group>
        </w:pict>
      </w:r>
      <w:r>
        <w:pict>
          <v:group id="_x0000_s1742" style="width:5.1pt;height:5.1pt;margin-top:-14.99pt;margin-left:434.64pt;mso-position-horizontal-relative:page;position:absolute;z-index:-251572224" coordorigin="8693,-300" coordsize="102,102">
            <v:rect id="_x0000_s1743" style="width:87;height:87;left:8700;position:absolute;top:-293" filled="t" fillcolor="silver" stroked="f">
              <v:fill type="solid"/>
            </v:rect>
            <v:rect id="_x0000_s1744" style="width:87;height:87;left:8700;position:absolute;top:-293" filled="f" stroked="t" strokecolor="silver" strokeweight="0.75pt">
              <v:stroke dashstyle="solid"/>
            </v:rect>
          </v:group>
        </w:pict>
      </w:r>
      <w:r>
        <w:pict>
          <v:group id="_x0000_s1745" style="width:5.1pt;height:5.1pt;margin-top:-14.99pt;margin-left:474.26pt;mso-position-horizontal-relative:page;position:absolute;z-index:251750400" coordorigin="9485,-300" coordsize="102,102">
            <v:rect id="_x0000_s1746" style="width:87;height:87;left:9492;position:absolute;top:-293" filled="t" fillcolor="#004097" stroked="f">
              <v:fill type="solid"/>
            </v:rect>
            <v:rect id="_x0000_s1747" style="width:87;height:87;left:9492;position:absolute;top:-293" filled="f" stroked="t" strokecolor="#004097" strokeweight="0.75pt">
              <v:stroke dashstyle="solid"/>
            </v:rect>
          </v:group>
        </w:pict>
      </w:r>
      <w:r>
        <w:rPr>
          <w:rFonts w:ascii="Tahoma"/>
          <w:spacing w:val="-1"/>
          <w:sz w:val="16"/>
        </w:rPr>
        <w:t>2500</w:t>
      </w:r>
    </w:p>
    <w:p>
      <w:pPr>
        <w:pStyle w:val="BodyText"/>
        <w:spacing w:before="3"/>
        <w:rPr>
          <w:rFonts w:ascii="Tahoma"/>
          <w:sz w:val="25"/>
        </w:rPr>
      </w:pPr>
    </w:p>
    <w:p>
      <w:pPr>
        <w:spacing w:before="0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2000</w:t>
      </w:r>
    </w:p>
    <w:p>
      <w:pPr>
        <w:pStyle w:val="BodyText"/>
        <w:spacing w:before="3"/>
        <w:rPr>
          <w:rFonts w:ascii="Tahoma"/>
          <w:sz w:val="25"/>
        </w:rPr>
      </w:pPr>
    </w:p>
    <w:p>
      <w:pPr>
        <w:spacing w:before="0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1500</w:t>
      </w:r>
    </w:p>
    <w:p>
      <w:pPr>
        <w:pStyle w:val="BodyText"/>
        <w:spacing w:before="4"/>
        <w:rPr>
          <w:rFonts w:ascii="Tahoma"/>
          <w:sz w:val="25"/>
        </w:rPr>
      </w:pPr>
    </w:p>
    <w:p>
      <w:pPr>
        <w:spacing w:before="0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1000</w:t>
      </w:r>
    </w:p>
    <w:p>
      <w:pPr>
        <w:pStyle w:val="BodyText"/>
        <w:spacing w:before="3"/>
        <w:rPr>
          <w:rFonts w:ascii="Tahoma"/>
          <w:sz w:val="25"/>
        </w:rPr>
      </w:pPr>
    </w:p>
    <w:p>
      <w:pPr>
        <w:spacing w:before="0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spacing w:val="-1"/>
          <w:sz w:val="16"/>
        </w:rPr>
        <w:t>500</w:t>
      </w:r>
    </w:p>
    <w:p>
      <w:pPr>
        <w:pStyle w:val="BodyText"/>
        <w:spacing w:before="4"/>
        <w:rPr>
          <w:rFonts w:ascii="Tahoma"/>
          <w:sz w:val="25"/>
        </w:rPr>
      </w:pPr>
    </w:p>
    <w:p>
      <w:pPr>
        <w:spacing w:before="0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w w:val="100"/>
          <w:sz w:val="16"/>
        </w:rPr>
        <w:t>0</w:t>
      </w:r>
    </w:p>
    <w:p>
      <w:pPr>
        <w:tabs>
          <w:tab w:val="left" w:pos="2277"/>
        </w:tabs>
        <w:spacing w:before="15" w:line="195" w:lineRule="exact"/>
        <w:ind w:left="278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境外收入</w:t>
        <w:tab/>
        <w:t>境内收入</w:t>
      </w:r>
    </w:p>
    <w:p>
      <w:pPr>
        <w:tabs>
          <w:tab w:val="left" w:pos="2277"/>
        </w:tabs>
        <w:spacing w:before="0" w:line="195" w:lineRule="exact"/>
        <w:ind w:left="278" w:right="0" w:firstLine="0"/>
        <w:jc w:val="left"/>
        <w:rPr>
          <w:sz w:val="16"/>
        </w:rPr>
      </w:pPr>
      <w:r>
        <w:pict>
          <v:group id="_x0000_s1748" style="width:21.2pt;height:6.35pt;margin-top:-7.4pt;margin-left:76.92pt;mso-position-horizontal-relative:page;position:absolute;z-index:251746304" coordorigin="1538,-148" coordsize="424,127">
            <v:line id="_x0000_s1749" style="position:absolute" from="1558,-85" to="1942,-85" stroked="t" strokecolor="#004097" strokeweight="4.34pt">
              <v:stroke dashstyle="solid"/>
            </v:line>
            <v:rect id="_x0000_s1750" style="width:384;height:87;left:1558;position:absolute;top:-128" filled="f" stroked="t" strokecolor="#004097" strokeweight="2pt">
              <v:stroke dashstyle="solid"/>
            </v:rect>
          </v:group>
        </w:pict>
      </w:r>
      <w:r>
        <w:pict>
          <v:group id="_x0000_s1751" style="width:21.2pt;height:6.35pt;margin-top:-7.4pt;margin-left:176.9pt;mso-position-horizontal-relative:page;position:absolute;z-index:-251575296" coordorigin="3538,-148" coordsize="424,127">
            <v:line id="_x0000_s1752" style="position:absolute" from="3558,-85" to="3942,-85" stroked="t" strokecolor="#c8c8c8" strokeweight="4.34pt">
              <v:stroke dashstyle="solid"/>
            </v:line>
            <v:rect id="_x0000_s1753" style="width:384;height:87;left:3558;position:absolute;top:-128" filled="f" stroked="t" strokecolor="silver" strokeweight="2pt">
              <v:stroke dashstyle="solid"/>
            </v:rect>
          </v:group>
        </w:pict>
      </w:r>
      <w:r>
        <w:pict>
          <v:line id="_x0000_s1754" style="mso-position-horizontal-relative:page;position:absolute;z-index:251747328" from="77.9pt,5.05pt" to="97.1pt,5.05pt" stroked="t" strokecolor="#5085c5" strokeweight="2pt">
            <v:stroke dashstyle="solid"/>
          </v:line>
        </w:pict>
      </w:r>
      <w:r>
        <w:pict>
          <v:line id="_x0000_s1755" style="mso-position-horizontal-relative:page;position:absolute;z-index:-251574272" from="177.9pt,5.05pt" to="197.1pt,5.05pt" stroked="t" strokecolor="gray" strokeweight="2pt">
            <v:stroke dashstyle="solid"/>
          </v:line>
        </w:pict>
      </w:r>
      <w:r>
        <w:pict>
          <v:group id="_x0000_s1756" style="width:218.35pt;height:127.45pt;margin-top:12.94pt;margin-left:345.89pt;mso-position-horizontal-relative:page;position:absolute;z-index:251748352" coordorigin="6918,259" coordsize="4367,2549">
            <v:rect id="_x0000_s1757" style="width:291;height:766;left:7137;position:absolute;top:2035" filled="t" fillcolor="#004097" stroked="f">
              <v:fill type="solid"/>
            </v:rect>
            <v:rect id="_x0000_s1758" style="width:291;height:766;left:7137;position:absolute;top:2035" filled="f" stroked="t" strokecolor="#004097" strokeweight="0.75pt">
              <v:stroke dashstyle="solid"/>
            </v:rect>
            <v:rect id="_x0000_s1759" style="width:291;height:449;left:7137;position:absolute;top:1586" filled="t" fillcolor="silver" stroked="f">
              <v:fill type="solid"/>
            </v:rect>
            <v:rect id="_x0000_s1760" style="width:291;height:449;left:7137;position:absolute;top:1586" filled="f" stroked="t" strokecolor="silver" strokeweight="0.75pt">
              <v:stroke dashstyle="solid"/>
            </v:rect>
            <v:line id="_x0000_s1761" style="position:absolute" from="7138,1578" to="7428,1578" stroked="t" strokecolor="#5085c5" strokeweight="0.84pt">
              <v:stroke dashstyle="solid"/>
            </v:line>
            <v:rect id="_x0000_s1762" style="width:306;height:32;left:7130;position:absolute;top:1562" filled="t" fillcolor="#5085c5" stroked="f">
              <v:fill type="solid"/>
            </v:rect>
            <v:rect id="_x0000_s1763" style="width:291;height:802;left:7137;position:absolute;top:767" filled="t" fillcolor="gray" stroked="f">
              <v:fill type="solid"/>
            </v:rect>
            <v:rect id="_x0000_s1764" style="width:291;height:802;left:7137;position:absolute;top:767" filled="f" stroked="t" strokecolor="gray" strokeweight="0.75pt">
              <v:stroke dashstyle="solid"/>
            </v:rect>
            <v:rect id="_x0000_s1765" style="width:291;height:468;left:7864;position:absolute;top:2332" filled="t" fillcolor="#004097" stroked="f">
              <v:fill type="solid"/>
            </v:rect>
            <v:rect id="_x0000_s1766" style="width:291;height:468;left:7864;position:absolute;top:2332" filled="f" stroked="t" strokecolor="#004097" strokeweight="0.75pt">
              <v:stroke dashstyle="solid"/>
            </v:rect>
            <v:rect id="_x0000_s1767" style="width:291;height:519;left:7864;position:absolute;top:1814" filled="t" fillcolor="silver" stroked="f">
              <v:fill type="solid"/>
            </v:rect>
            <v:rect id="_x0000_s1768" style="width:291;height:519;left:7864;position:absolute;top:1814" filled="f" stroked="t" strokecolor="silver" strokeweight="0.75pt">
              <v:stroke dashstyle="solid"/>
            </v:rect>
            <v:rect id="_x0000_s1769" style="width:291;height:44;left:7864;position:absolute;top:1771" filled="t" fillcolor="#5085c5" stroked="f">
              <v:fill type="solid"/>
            </v:rect>
            <v:rect id="_x0000_s1770" style="width:291;height:44;left:7864;position:absolute;top:1771" filled="f" stroked="t" strokecolor="#5085c5" strokeweight="0.75pt">
              <v:stroke dashstyle="solid"/>
            </v:rect>
            <v:rect id="_x0000_s1771" style="width:291;height:740;left:7864;position:absolute;top:1031" filled="t" fillcolor="gray" stroked="f">
              <v:fill type="solid"/>
            </v:rect>
            <v:rect id="_x0000_s1772" style="width:291;height:740;left:7864;position:absolute;top:1031" filled="f" stroked="t" strokecolor="gray" strokeweight="0.75pt">
              <v:stroke dashstyle="solid"/>
            </v:rect>
            <v:rect id="_x0000_s1773" style="width:291;height:679;left:8592;position:absolute;top:2121" filled="t" fillcolor="#004097" stroked="f">
              <v:fill type="solid"/>
            </v:rect>
            <v:rect id="_x0000_s1774" style="width:291;height:679;left:8592;position:absolute;top:2121" filled="f" stroked="t" strokecolor="#004097" strokeweight="0.75pt">
              <v:stroke dashstyle="solid"/>
            </v:rect>
            <v:rect id="_x0000_s1775" style="width:291;height:627;left:8592;position:absolute;top:1495" filled="t" fillcolor="silver" stroked="f">
              <v:fill type="solid"/>
            </v:rect>
            <v:rect id="_x0000_s1776" style="width:291;height:627;left:8592;position:absolute;top:1495" filled="f" stroked="t" strokecolor="silver" strokeweight="0.75pt">
              <v:stroke dashstyle="solid"/>
            </v:rect>
            <v:rect id="_x0000_s1777" style="width:306;height:49;left:8584;position:absolute;top:1454" filled="t" fillcolor="#5085c5" stroked="f">
              <v:fill type="solid"/>
            </v:rect>
            <v:rect id="_x0000_s1778" style="width:291;height:699;left:8592;position:absolute;top:763" filled="t" fillcolor="gray" stroked="f">
              <v:fill type="solid"/>
            </v:rect>
            <v:rect id="_x0000_s1779" style="width:291;height:699;left:8592;position:absolute;top:763" filled="f" stroked="t" strokecolor="gray" strokeweight="0.75pt">
              <v:stroke dashstyle="solid"/>
            </v:rect>
            <v:rect id="_x0000_s1780" style="width:291;height:571;left:9319;position:absolute;top:2229" filled="t" fillcolor="#004097" stroked="f">
              <v:fill type="solid"/>
            </v:rect>
            <v:rect id="_x0000_s1781" style="width:291;height:571;left:9319;position:absolute;top:2229" filled="f" stroked="t" strokecolor="#004097" strokeweight="0.75pt">
              <v:stroke dashstyle="solid"/>
            </v:rect>
            <v:rect id="_x0000_s1782" style="width:291;height:615;left:9319;position:absolute;top:1615" filled="t" fillcolor="silver" stroked="f">
              <v:fill type="solid"/>
            </v:rect>
            <v:rect id="_x0000_s1783" style="width:291;height:615;left:9319;position:absolute;top:1615" filled="f" stroked="t" strokecolor="silver" strokeweight="0.75pt">
              <v:stroke dashstyle="solid"/>
            </v:rect>
            <v:line id="_x0000_s1784" style="position:absolute" from="9312,1614" to="9617,1614" stroked="t" strokecolor="#5085c5" strokeweight="0.87pt">
              <v:stroke dashstyle="solid"/>
            </v:line>
            <v:rect id="_x0000_s1785" style="width:291;height:634;left:9319;position:absolute;top:981" filled="t" fillcolor="gray" stroked="f">
              <v:fill type="solid"/>
            </v:rect>
            <v:rect id="_x0000_s1786" style="width:291;height:634;left:9319;position:absolute;top:981" filled="f" stroked="t" strokecolor="gray" strokeweight="0.75pt">
              <v:stroke dashstyle="solid"/>
            </v:rect>
            <v:rect id="_x0000_s1787" style="width:291;height:521;left:10046;position:absolute;top:2279" filled="t" fillcolor="#004097" stroked="f">
              <v:fill type="solid"/>
            </v:rect>
            <v:rect id="_x0000_s1788" style="width:291;height:521;left:10046;position:absolute;top:2279" filled="f" stroked="t" strokecolor="#004097" strokeweight="0.75pt">
              <v:stroke dashstyle="solid"/>
            </v:rect>
            <v:rect id="_x0000_s1789" style="width:291;height:456;left:10046;position:absolute;top:1823" filled="t" fillcolor="silver" stroked="f">
              <v:fill type="solid"/>
            </v:rect>
            <v:rect id="_x0000_s1790" style="width:291;height:456;left:10046;position:absolute;top:1823" filled="f" stroked="t" strokecolor="silver" strokeweight="0.75pt">
              <v:stroke dashstyle="solid"/>
            </v:rect>
            <v:line id="_x0000_s1791" style="position:absolute" from="10046,1820" to="10337,1820" stroked="t" strokecolor="#5085c5" strokeweight="0.36pt">
              <v:stroke dashstyle="solid"/>
            </v:line>
            <v:rect id="_x0000_s1792" style="width:306;height:23;left:10038;position:absolute;top:1809" filled="t" fillcolor="#5085c5" stroked="f">
              <v:fill type="solid"/>
            </v:rect>
            <v:rect id="_x0000_s1793" style="width:291;height:672;left:10046;position:absolute;top:1144" filled="t" fillcolor="gray" stroked="f">
              <v:fill type="solid"/>
            </v:rect>
            <v:rect id="_x0000_s1794" style="width:291;height:672;left:10046;position:absolute;top:1144" filled="f" stroked="t" strokecolor="gray" strokeweight="0.75pt">
              <v:stroke dashstyle="solid"/>
            </v:rect>
            <v:rect id="_x0000_s1795" style="width:291;height:670;left:10773;position:absolute;top:2131" filled="t" fillcolor="#004097" stroked="f">
              <v:fill type="solid"/>
            </v:rect>
            <v:rect id="_x0000_s1796" style="width:291;height:670;left:10773;position:absolute;top:2131" filled="f" stroked="t" strokecolor="#004097" strokeweight="0.75pt">
              <v:stroke dashstyle="solid"/>
            </v:rect>
            <v:rect id="_x0000_s1797" style="width:291;height:399;left:10773;position:absolute;top:1732" filled="t" fillcolor="silver" stroked="f">
              <v:fill type="solid"/>
            </v:rect>
            <v:rect id="_x0000_s1798" style="width:291;height:399;left:10773;position:absolute;top:1732" filled="f" stroked="t" strokecolor="silver" strokeweight="0.75pt">
              <v:stroke dashstyle="solid"/>
            </v:rect>
            <v:rect id="_x0000_s1799" style="width:306;height:37;left:10766;position:absolute;top:1703" filled="t" fillcolor="#5085c5" stroked="f">
              <v:fill type="solid"/>
            </v:rect>
            <v:rect id="_x0000_s1800" style="width:291;height:783;left:10773;position:absolute;top:928" filled="t" fillcolor="gray" stroked="f">
              <v:fill type="solid"/>
            </v:rect>
            <v:rect id="_x0000_s1801" style="width:291;height:783;left:10773;position:absolute;top:928" filled="f" stroked="t" strokecolor="gray" strokeweight="0.75pt">
              <v:stroke dashstyle="solid"/>
            </v:rect>
            <v:shape id="_x0000_s1802" style="width:54;height:2539;left:6920;position:absolute;top:261" coordorigin="6920,261" coordsize="54,2539" path="m6920,2800l6920,261m6920,2800l6973,2800m6920,2292l6973,2292m6920,1786l6973,1786m6920,1277l6973,1277m6920,770l6973,770m6920,261l6973,261e" filled="f" stroked="t" strokecolor="black" strokeweight="0.25pt">
              <v:stroke dashstyle="solid"/>
              <v:path arrowok="t"/>
            </v:shape>
            <v:shape id="_x0000_s1803" style="width:4362;height:54;left:6920;position:absolute;top:2746" coordorigin="6920,2747" coordsize="4362,54" path="m6920,2800l11282,2800m6920,2747l6920,2800m7646,2747l7646,2800m8374,2747l8374,2800m9101,2747l9101,2800m9828,2747l9828,2800m10555,2747l10555,2800m11282,2747l11282,2800e" filled="f" stroked="t" strokecolor="black" strokeweight="0.25pt">
              <v:stroke dashstyle="solid"/>
              <v:path arrowok="t"/>
            </v:shape>
          </v:group>
        </w:pict>
      </w:r>
      <w:r>
        <w:rPr>
          <w:sz w:val="16"/>
        </w:rPr>
        <w:t>境外</w:t>
      </w:r>
      <w:r>
        <w:rPr>
          <w:rFonts w:ascii="Tahoma" w:eastAsia="Tahoma"/>
          <w:sz w:val="16"/>
        </w:rPr>
        <w:t>yoy</w:t>
      </w:r>
      <w:r>
        <w:rPr>
          <w:sz w:val="16"/>
        </w:rPr>
        <w:t>（</w:t>
      </w:r>
      <w:r>
        <w:rPr>
          <w:rFonts w:ascii="Tahoma" w:eastAsia="Tahoma"/>
          <w:sz w:val="16"/>
        </w:rPr>
        <w:t>%</w:t>
      </w:r>
      <w:r>
        <w:rPr>
          <w:sz w:val="16"/>
        </w:rPr>
        <w:t>）</w:t>
        <w:tab/>
        <w:t>境内</w:t>
      </w:r>
      <w:r>
        <w:rPr>
          <w:rFonts w:ascii="Tahoma" w:eastAsia="Tahoma"/>
          <w:sz w:val="16"/>
        </w:rPr>
        <w:t>yoy</w:t>
      </w:r>
      <w:r>
        <w:rPr>
          <w:sz w:val="16"/>
        </w:rPr>
        <w:t>（</w:t>
      </w:r>
      <w:r>
        <w:rPr>
          <w:rFonts w:ascii="Tahoma" w:eastAsia="Tahoma"/>
          <w:sz w:val="16"/>
        </w:rPr>
        <w:t>%</w:t>
      </w:r>
      <w:r>
        <w:rPr>
          <w:sz w:val="16"/>
        </w:rPr>
        <w:t>）</w:t>
      </w:r>
    </w:p>
    <w:p>
      <w:pPr>
        <w:pStyle w:val="BodyText"/>
        <w:rPr>
          <w:sz w:val="18"/>
        </w:rPr>
      </w:pPr>
      <w:r>
        <w:br w:type="column"/>
      </w:r>
    </w:p>
    <w:p>
      <w:pPr>
        <w:pStyle w:val="BodyText"/>
        <w:spacing w:before="9"/>
        <w:rPr>
          <w:sz w:val="12"/>
        </w:rPr>
      </w:pPr>
    </w:p>
    <w:p>
      <w:pPr>
        <w:spacing w:before="1"/>
        <w:ind w:left="278" w:right="0" w:firstLine="0"/>
        <w:jc w:val="left"/>
        <w:rPr>
          <w:rFonts w:ascii="Tahoma"/>
          <w:sz w:val="16"/>
        </w:rPr>
      </w:pPr>
      <w:r>
        <w:pict>
          <v:group id="_x0000_s1804" style="width:200.35pt;height:125.95pt;margin-top:4.83pt;margin-left:65.73pt;mso-position-horizontal-relative:page;position:absolute;z-index:251745280" coordorigin="1315,97" coordsize="4007,2519">
            <v:rect id="_x0000_s1805" style="width:192;height:1994;left:1459;position:absolute;top:601" filled="t" fillcolor="#004097" stroked="f">
              <v:fill type="solid"/>
            </v:rect>
            <v:rect id="_x0000_s1806" style="width:192;height:1994;left:1459;position:absolute;top:601" filled="f" stroked="t" strokecolor="#004097" strokeweight="2pt">
              <v:stroke dashstyle="solid"/>
            </v:rect>
            <v:rect id="_x0000_s1807" style="width:190;height:1012;left:1651;position:absolute;top:1583" filled="t" fillcolor="#c8c8c8" stroked="f">
              <v:fill type="solid"/>
            </v:rect>
            <v:rect id="_x0000_s1808" style="width:190;height:1012;left:1651;position:absolute;top:1583" filled="f" stroked="t" strokecolor="silver" strokeweight="2pt">
              <v:stroke dashstyle="solid"/>
            </v:rect>
            <v:shape id="_x0000_s1809" style="width:54;height:2492;left:1317;position:absolute;top:104" coordorigin="1317,104" coordsize="54,2492" path="m1317,2595l1317,104m1317,2595l1370,2595m1317,2097l1370,2097m1317,1598l1370,1598m1317,1101l1370,1101m1317,602l1370,602m1317,104l1370,104e" filled="f" stroked="t" strokecolor="black" strokeweight="0.25pt">
              <v:stroke dashstyle="solid"/>
              <v:path arrowok="t"/>
            </v:shape>
            <v:rect id="_x0000_s1810" style="width:190;height:1725;left:2126;position:absolute;top:870" filled="t" fillcolor="#004097" stroked="f">
              <v:fill type="solid"/>
            </v:rect>
            <v:rect id="_x0000_s1811" style="width:190;height:1725;left:2126;position:absolute;top:870" filled="f" stroked="t" strokecolor="#004097" strokeweight="2pt">
              <v:stroke dashstyle="solid"/>
            </v:rect>
            <v:rect id="_x0000_s1812" style="width:190;height:799;left:2316;position:absolute;top:1796" filled="t" fillcolor="#c8c8c8" stroked="f">
              <v:fill type="solid"/>
            </v:rect>
            <v:rect id="_x0000_s1813" style="width:190;height:799;left:2316;position:absolute;top:1796" filled="f" stroked="t" strokecolor="silver" strokeweight="2pt">
              <v:stroke dashstyle="solid"/>
            </v:rect>
            <v:rect id="_x0000_s1814" style="width:192;height:1999;left:2791;position:absolute;top:596" filled="t" fillcolor="#004097" stroked="f">
              <v:fill type="solid"/>
            </v:rect>
            <v:rect id="_x0000_s1815" style="width:192;height:1999;left:2791;position:absolute;top:596" filled="f" stroked="t" strokecolor="#004097" strokeweight="2pt">
              <v:stroke dashstyle="solid"/>
            </v:rect>
            <v:rect id="_x0000_s1816" style="width:190;height:931;left:2983;position:absolute;top:1664" filled="t" fillcolor="#c8c8c8" stroked="f">
              <v:fill type="solid"/>
            </v:rect>
            <v:rect id="_x0000_s1817" style="width:190;height:931;left:2983;position:absolute;top:1664" filled="f" stroked="t" strokecolor="silver" strokeweight="2pt">
              <v:stroke dashstyle="solid"/>
            </v:rect>
            <v:rect id="_x0000_s1818" style="width:190;height:1785;left:3458;position:absolute;top:810" filled="t" fillcolor="#004097" stroked="f">
              <v:fill type="solid"/>
            </v:rect>
            <v:rect id="_x0000_s1819" style="width:190;height:1785;left:3458;position:absolute;top:810" filled="f" stroked="t" strokecolor="#004097" strokeweight="2pt">
              <v:stroke dashstyle="solid"/>
            </v:rect>
            <v:rect id="_x0000_s1820" style="width:192;height:988;left:3648;position:absolute;top:1607" filled="t" fillcolor="#c8c8c8" stroked="f">
              <v:fill type="solid"/>
            </v:rect>
            <v:rect id="_x0000_s1821" style="width:192;height:988;left:3648;position:absolute;top:1607" filled="f" stroked="t" strokecolor="silver" strokeweight="2pt">
              <v:stroke dashstyle="solid"/>
            </v:rect>
            <v:rect id="_x0000_s1822" style="width:190;height:1622;left:4125;position:absolute;top:973" filled="t" fillcolor="#004097" stroked="f">
              <v:fill type="solid"/>
            </v:rect>
            <v:rect id="_x0000_s1823" style="width:190;height:1622;left:4125;position:absolute;top:973" filled="f" stroked="t" strokecolor="#004097" strokeweight="2pt">
              <v:stroke dashstyle="solid"/>
            </v:rect>
            <v:rect id="_x0000_s1824" style="width:190;height:1027;left:4315;position:absolute;top:1568" filled="t" fillcolor="#c8c8c8" stroked="f">
              <v:fill type="solid"/>
            </v:rect>
            <v:rect id="_x0000_s1825" style="width:190;height:1027;left:4315;position:absolute;top:1568" filled="f" stroked="t" strokecolor="silver" strokeweight="2pt">
              <v:stroke dashstyle="solid"/>
            </v:rect>
            <v:rect id="_x0000_s1826" style="width:190;height:1838;left:4790;position:absolute;top:757" filled="t" fillcolor="#004097" stroked="f">
              <v:fill type="solid"/>
            </v:rect>
            <v:rect id="_x0000_s1827" style="width:190;height:1838;left:4790;position:absolute;top:757" filled="f" stroked="t" strokecolor="#004097" strokeweight="2pt">
              <v:stroke dashstyle="solid"/>
            </v:rect>
            <v:rect id="_x0000_s1828" style="width:192;height:1420;left:4980;position:absolute;top:1175" filled="t" fillcolor="#c8c8c8" stroked="f">
              <v:fill type="solid"/>
            </v:rect>
            <v:rect id="_x0000_s1829" style="width:192;height:1420;left:4980;position:absolute;top:1175" filled="f" stroked="t" strokecolor="silver" strokeweight="2pt">
              <v:stroke dashstyle="solid"/>
            </v:rect>
            <v:shape id="_x0000_s1830" style="width:54;height:2492;left:5260;position:absolute;top:104" coordorigin="5261,104" coordsize="54,2492" path="m5314,2595l5314,104m5261,2595l5314,2595m5261,2368l5314,2368m5261,2142l5314,2142m5261,1917l5314,1917m5261,1689l5314,1689m5261,1463l5314,1463m5261,1235l5314,1235m5261,1010l5314,1010m5261,784l5314,784m5261,556l5314,556m5261,330l5314,330m5261,104l5314,104e" filled="f" stroked="t" strokecolor="#858585" strokeweight="0.75pt">
              <v:stroke dashstyle="solid"/>
              <v:path arrowok="t"/>
            </v:shape>
            <v:shape id="_x0000_s1831" style="width:3997;height:54;left:1317;position:absolute;top:2541" coordorigin="1317,2542" coordsize="3997,54" path="m1317,2595l5314,2595m1317,2542l1317,2595m1982,2542l1982,2595m2650,2542l2650,2595m3314,2542l3314,2595m3982,2542l3982,2595m4649,2542l4649,2595m5314,2542l5314,2595e" filled="f" stroked="t" strokecolor="black" strokeweight="0.25pt">
              <v:stroke dashstyle="solid"/>
              <v:path arrowok="t"/>
            </v:shape>
            <v:shape id="_x0000_s1832" style="width:3331;height:1842;left:1650;position:absolute;top:379" coordorigin="1650,379" coordsize="3331,1842" path="m1650,379l2316,2221,2983,1557,3648,2159,4315,2123,4981,1612e" filled="f" stroked="t" strokecolor="#5085c5" strokeweight="2pt">
              <v:stroke dashstyle="solid"/>
              <v:path arrowok="t"/>
            </v:shape>
            <v:shape id="_x0000_s1833" style="width:3331;height:1339;left:1650;position:absolute;top:1051" coordorigin="1650,1051" coordsize="3331,1339" path="m1650,1847l2316,2389,2983,1545,3648,1778,4315,1823,4981,1051e" filled="f" stroked="t" strokecolor="gray" strokeweight="2pt">
              <v:stroke dashstyle="solid"/>
              <v:path arrowok="t"/>
            </v:shape>
          </v:group>
        </w:pict>
      </w:r>
      <w:r>
        <w:rPr>
          <w:rFonts w:ascii="Tahoma"/>
          <w:sz w:val="16"/>
        </w:rPr>
        <w:t>80%</w:t>
      </w:r>
    </w:p>
    <w:p>
      <w:pPr>
        <w:spacing w:before="33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70%</w:t>
      </w:r>
    </w:p>
    <w:p>
      <w:pPr>
        <w:spacing w:before="33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60%</w:t>
      </w:r>
    </w:p>
    <w:p>
      <w:pPr>
        <w:spacing w:before="34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50%</w:t>
      </w:r>
    </w:p>
    <w:p>
      <w:pPr>
        <w:spacing w:before="33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40%</w:t>
      </w:r>
    </w:p>
    <w:p>
      <w:pPr>
        <w:spacing w:before="34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30%</w:t>
      </w:r>
    </w:p>
    <w:p>
      <w:pPr>
        <w:spacing w:before="33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20%</w:t>
      </w:r>
    </w:p>
    <w:p>
      <w:pPr>
        <w:spacing w:before="33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10%</w:t>
      </w:r>
    </w:p>
    <w:p>
      <w:pPr>
        <w:spacing w:before="34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0%</w:t>
      </w:r>
    </w:p>
    <w:p>
      <w:pPr>
        <w:spacing w:before="33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-10%</w:t>
      </w:r>
    </w:p>
    <w:p>
      <w:pPr>
        <w:spacing w:before="33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-20%</w:t>
      </w:r>
    </w:p>
    <w:p>
      <w:pPr>
        <w:spacing w:before="34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-30%</w:t>
      </w:r>
    </w:p>
    <w:p>
      <w:pPr>
        <w:pStyle w:val="BodyText"/>
        <w:rPr>
          <w:rFonts w:ascii="Tahoma"/>
          <w:sz w:val="18"/>
        </w:rPr>
      </w:pPr>
      <w:r>
        <w:br w:type="column"/>
      </w:r>
    </w:p>
    <w:p>
      <w:pPr>
        <w:spacing w:before="151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2500</w:t>
      </w:r>
    </w:p>
    <w:p>
      <w:pPr>
        <w:pStyle w:val="BodyText"/>
        <w:spacing w:before="1"/>
        <w:rPr>
          <w:rFonts w:ascii="Tahoma"/>
          <w:sz w:val="26"/>
        </w:rPr>
      </w:pPr>
    </w:p>
    <w:p>
      <w:pPr>
        <w:spacing w:before="0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2000</w:t>
      </w:r>
    </w:p>
    <w:p>
      <w:pPr>
        <w:pStyle w:val="BodyText"/>
        <w:spacing w:before="1"/>
        <w:rPr>
          <w:rFonts w:ascii="Tahoma"/>
          <w:sz w:val="26"/>
        </w:rPr>
      </w:pPr>
    </w:p>
    <w:p>
      <w:pPr>
        <w:spacing w:before="0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1500</w:t>
      </w:r>
    </w:p>
    <w:p>
      <w:pPr>
        <w:pStyle w:val="BodyText"/>
        <w:spacing w:before="1"/>
        <w:rPr>
          <w:rFonts w:ascii="Tahoma"/>
          <w:sz w:val="26"/>
        </w:rPr>
      </w:pPr>
    </w:p>
    <w:p>
      <w:pPr>
        <w:spacing w:before="0"/>
        <w:ind w:left="27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1000</w:t>
      </w:r>
    </w:p>
    <w:p>
      <w:pPr>
        <w:pStyle w:val="BodyText"/>
        <w:rPr>
          <w:rFonts w:ascii="Tahoma"/>
          <w:sz w:val="26"/>
        </w:rPr>
      </w:pPr>
    </w:p>
    <w:p>
      <w:pPr>
        <w:spacing w:before="1"/>
        <w:ind w:left="365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500</w:t>
      </w:r>
    </w:p>
    <w:p>
      <w:pPr>
        <w:pStyle w:val="BodyText"/>
        <w:spacing w:before="1"/>
        <w:rPr>
          <w:rFonts w:ascii="Tahoma"/>
          <w:sz w:val="26"/>
        </w:rPr>
      </w:pPr>
    </w:p>
    <w:p>
      <w:pPr>
        <w:spacing w:before="0" w:line="189" w:lineRule="exact"/>
        <w:ind w:left="0" w:right="38" w:firstLine="0"/>
        <w:jc w:val="right"/>
        <w:rPr>
          <w:rFonts w:ascii="Tahoma"/>
          <w:sz w:val="16"/>
        </w:rPr>
      </w:pPr>
      <w:r>
        <w:rPr>
          <w:rFonts w:ascii="Tahoma"/>
          <w:w w:val="100"/>
          <w:sz w:val="16"/>
        </w:rPr>
        <w:t>0</w:t>
      </w:r>
    </w:p>
    <w:p>
      <w:pPr>
        <w:tabs>
          <w:tab w:val="left" w:pos="1070"/>
          <w:tab w:val="left" w:pos="1862"/>
        </w:tabs>
        <w:spacing w:before="34"/>
        <w:ind w:left="278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拉美</w:t>
        <w:tab/>
        <w:t>欧洲</w:t>
        <w:tab/>
        <w:t>非洲</w:t>
      </w:r>
    </w:p>
    <w:p>
      <w:pPr>
        <w:spacing w:before="34"/>
        <w:ind w:left="278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亚洲（除中国）</w:t>
      </w:r>
    </w:p>
    <w:p>
      <w:pPr>
        <w:spacing w:after="0"/>
        <w:jc w:val="left"/>
        <w:rPr>
          <w:sz w:val="16"/>
        </w:rPr>
        <w:sectPr>
          <w:headerReference w:type="default" r:id="rId63"/>
          <w:footerReference w:type="default" r:id="rId64"/>
          <w:type w:val="continuous"/>
          <w:pgSz w:w="11910" w:h="16840"/>
          <w:pgMar w:top="900" w:right="0" w:bottom="1060" w:left="540" w:header="708" w:footer="708"/>
          <w:pgNumType w:start="28"/>
          <w:cols w:num="6" w:space="708" w:equalWidth="0">
            <w:col w:w="669" w:space="496"/>
            <w:col w:w="3368" w:space="114"/>
            <w:col w:w="708" w:space="249"/>
            <w:col w:w="669" w:space="149"/>
            <w:col w:w="2225" w:space="152"/>
            <w:col w:w="2571" w:space="0"/>
          </w:cols>
        </w:sectPr>
      </w:pPr>
    </w:p>
    <w:p>
      <w:pPr>
        <w:tabs>
          <w:tab w:val="left" w:pos="1554"/>
          <w:tab w:val="left" w:pos="2220"/>
          <w:tab w:val="left" w:pos="2886"/>
          <w:tab w:val="left" w:pos="3552"/>
          <w:tab w:val="left" w:pos="4219"/>
        </w:tabs>
        <w:spacing w:before="1"/>
        <w:ind w:left="888" w:right="0" w:firstLine="0"/>
        <w:jc w:val="left"/>
        <w:rPr>
          <w:rFonts w:ascii="Tahoma"/>
          <w:sz w:val="16"/>
        </w:rPr>
      </w:pPr>
      <w:r>
        <w:rPr>
          <w:rFonts w:ascii="Tahoma"/>
          <w:sz w:val="16"/>
        </w:rPr>
        <w:t>2017A</w:t>
        <w:tab/>
        <w:t>2018A</w:t>
        <w:tab/>
        <w:t>2019A</w:t>
        <w:tab/>
        <w:t>2020A</w:t>
        <w:tab/>
        <w:t>2021A</w:t>
        <w:tab/>
        <w:t>2022A</w:t>
      </w:r>
    </w:p>
    <w:p>
      <w:pPr>
        <w:tabs>
          <w:tab w:val="left" w:pos="853"/>
          <w:tab w:val="left" w:pos="1580"/>
          <w:tab w:val="left" w:pos="2307"/>
          <w:tab w:val="left" w:pos="3034"/>
          <w:tab w:val="left" w:pos="3762"/>
        </w:tabs>
        <w:spacing w:before="23"/>
        <w:ind w:left="126" w:right="0" w:firstLine="0"/>
        <w:jc w:val="center"/>
        <w:rPr>
          <w:rFonts w:ascii="Tahoma"/>
          <w:sz w:val="16"/>
        </w:rPr>
      </w:pPr>
      <w:r>
        <w:br w:type="column"/>
      </w:r>
      <w:r>
        <w:rPr>
          <w:rFonts w:ascii="Tahoma"/>
          <w:sz w:val="16"/>
        </w:rPr>
        <w:t>2017A</w:t>
        <w:tab/>
        <w:t>2018A</w:t>
        <w:tab/>
        <w:t>2019A</w:t>
        <w:tab/>
        <w:t>2020A</w:t>
        <w:tab/>
        <w:t>2021A</w:t>
        <w:tab/>
        <w:t>2022A</w:t>
      </w:r>
    </w:p>
    <w:p>
      <w:pPr>
        <w:spacing w:after="0"/>
        <w:jc w:val="center"/>
        <w:rPr>
          <w:rFonts w:ascii="Tahoma"/>
          <w:sz w:val="16"/>
        </w:rPr>
        <w:sectPr>
          <w:headerReference w:type="default" r:id="rId65"/>
          <w:footerReference w:type="default" r:id="rId66"/>
          <w:type w:val="continuous"/>
          <w:pgSz w:w="11910" w:h="16840"/>
          <w:pgMar w:top="900" w:right="0" w:bottom="1060" w:left="540" w:header="708" w:footer="708"/>
          <w:pgNumType w:start="29"/>
          <w:cols w:num="2" w:space="708" w:equalWidth="0">
            <w:col w:w="4706" w:space="928"/>
            <w:col w:w="5736" w:space="0"/>
          </w:cols>
        </w:sectPr>
      </w:pPr>
    </w:p>
    <w:p>
      <w:pPr>
        <w:pStyle w:val="BodyText"/>
        <w:spacing w:before="3"/>
        <w:rPr>
          <w:rFonts w:ascii="Tahoma"/>
          <w:sz w:val="7"/>
        </w:rPr>
      </w:pPr>
    </w:p>
    <w:p>
      <w:pPr>
        <w:tabs>
          <w:tab w:val="left" w:pos="5705"/>
        </w:tabs>
        <w:spacing w:line="20" w:lineRule="exact"/>
        <w:ind w:left="129" w:right="0" w:firstLine="0"/>
        <w:rPr>
          <w:rFonts w:ascii="Tahoma"/>
          <w:sz w:val="2"/>
        </w:rPr>
      </w:pPr>
      <w:r>
        <w:rPr>
          <w:rFonts w:ascii="Tahoma"/>
          <w:sz w:val="2"/>
        </w:rPr>
        <w:pict>
          <v:group id="_x0000_i1834" style="width:265.85pt;height:1pt;mso-position-horizontal-relative:char;mso-position-vertical-relative:line" coordorigin="0,0" coordsize="5317,20">
            <v:line id="_x0000_s1835" style="position:absolute" from="0,10" to="5317,10" stroked="t" strokecolor="#004097" strokeweight="0.96pt">
              <v:stroke dashstyle="solid"/>
            </v:line>
            <w10:wrap type="none"/>
          </v:group>
        </w:pict>
      </w:r>
      <w:r>
        <w:rPr>
          <w:rFonts w:ascii="Tahoma"/>
          <w:sz w:val="2"/>
        </w:rPr>
        <w:tab/>
      </w:r>
      <w:r>
        <w:rPr>
          <w:rFonts w:ascii="Tahoma"/>
          <w:sz w:val="2"/>
        </w:rPr>
        <w:pict>
          <v:group id="_x0000_i1836" style="width:258.2pt;height:1pt;mso-position-horizontal-relative:char;mso-position-vertical-relative:line" coordorigin="0,0" coordsize="5164,20">
            <v:line id="_x0000_s1837" style="position:absolute" from="0,10" to="5163,10" stroked="t" strokecolor="#004097" strokeweight="0.96pt">
              <v:stroke dashstyle="solid"/>
            </v:line>
            <w10:wrap type="none"/>
          </v:group>
        </w:pict>
      </w:r>
    </w:p>
    <w:p>
      <w:pPr>
        <w:tabs>
          <w:tab w:val="left" w:pos="5826"/>
        </w:tabs>
        <w:spacing w:before="0"/>
        <w:ind w:left="247" w:right="0" w:firstLine="0"/>
        <w:jc w:val="left"/>
        <w:rPr>
          <w:sz w:val="17"/>
        </w:rPr>
      </w:pPr>
      <w:r>
        <w:t xml:space="preserve">资料来源： ， </w:t>
        <w:tab/>
        <w:t xml:space="preserve">资料来源：公司公告， 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2"/>
        <w:ind w:left="2690"/>
      </w:pPr>
      <w:r>
        <w:rPr>
          <w:rFonts w:ascii="Microsoft JhengHei" w:eastAsia="Microsoft JhengHei" w:hint="eastAsia"/>
          <w:b/>
        </w:rPr>
        <w:t>风险提示：</w:t>
      </w:r>
      <w:r>
        <w:t>国内外电表招标不及预期、新能源产品需求疲软、原材料价格上涨风险。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https://d.book118.com/028023131125006034</w:t>
        </w:r>
      </w:hyperlink>
    </w:p>
    <w:p>
      <w:pPr>
        <w:spacing w:after="0"/>
      </w:pPr>
    </w:p>
    <w:sectPr>
      <w:headerReference w:type="default" r:id="rId68"/>
      <w:footerReference w:type="default" r:id="rId69"/>
      <w:type w:val="continuous"/>
      <w:pgSz w:w="11910" w:h="16840"/>
      <w:pgMar w:top="900" w:right="0" w:bottom="1060" w:left="540" w:header="708" w:footer="708"/>
      <w:pgNumType w:start="3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D9043"/>
    <w:multiLevelType w:val="hybridMultilevel"/>
    <w:tmpl w:val="00000000"/>
    <w:lvl w:ilvl="0">
      <w:start w:val="1"/>
      <w:numFmt w:val="decimal"/>
      <w:lvlText w:val="%1）"/>
      <w:lvlJc w:val="left"/>
      <w:pPr>
        <w:ind w:left="3033" w:hanging="343"/>
        <w:jc w:val="left"/>
      </w:pPr>
      <w:rPr>
        <w:rFonts w:ascii="Tahoma" w:eastAsia="Tahoma" w:hAnsi="Tahoma" w:cs="Tahoma" w:hint="default"/>
        <w:spacing w:val="6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872" w:hanging="34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705" w:hanging="34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537" w:hanging="34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370" w:hanging="34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203" w:hanging="34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35" w:hanging="34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68" w:hanging="34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701" w:hanging="343"/>
      </w:pPr>
      <w:rPr>
        <w:rFonts w:hint="default"/>
        <w:lang w:val="zh-CN" w:eastAsia="zh-CN" w:bidi="zh-CN"/>
      </w:rPr>
    </w:lvl>
  </w:abstractNum>
  <w:abstractNum w:abstractNumId="1">
    <w:nsid w:val="1262CC25"/>
    <w:multiLevelType w:val="hybridMultilevel"/>
    <w:tmpl w:val="00000000"/>
    <w:lvl w:ilvl="0">
      <w:start w:val="1"/>
      <w:numFmt w:val="decimal"/>
      <w:lvlText w:val="%1）"/>
      <w:lvlJc w:val="left"/>
      <w:pPr>
        <w:ind w:left="3018" w:hanging="328"/>
        <w:jc w:val="left"/>
      </w:pPr>
      <w:rPr>
        <w:rFonts w:ascii="Tahoma" w:eastAsia="Tahoma" w:hAnsi="Tahoma" w:cs="Tahoma" w:hint="default"/>
        <w:spacing w:val="-1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854" w:hanging="32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689" w:hanging="32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523" w:hanging="32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358" w:hanging="32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93" w:hanging="32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27" w:hanging="32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62" w:hanging="32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97" w:hanging="328"/>
      </w:pPr>
      <w:rPr>
        <w:rFonts w:hint="default"/>
        <w:lang w:val="zh-CN" w:eastAsia="zh-CN" w:bidi="zh-CN"/>
      </w:rPr>
    </w:lvl>
  </w:abstractNum>
  <w:abstractNum w:abstractNumId="2">
    <w:nsid w:val="1443D6A3"/>
    <w:multiLevelType w:val="hybridMultilevel"/>
    <w:tmpl w:val="00000000"/>
    <w:lvl w:ilvl="0">
      <w:start w:val="1"/>
      <w:numFmt w:val="decimal"/>
      <w:lvlText w:val="%1"/>
      <w:lvlJc w:val="left"/>
      <w:pPr>
        <w:ind w:left="2690" w:hanging="442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690" w:hanging="442"/>
        <w:jc w:val="left"/>
      </w:pPr>
      <w:rPr>
        <w:rFonts w:ascii="Tahoma" w:eastAsia="Tahoma" w:hAnsi="Tahoma" w:cs="Tahoma" w:hint="default"/>
        <w:b/>
        <w:bCs/>
        <w:color w:val="004097"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690" w:hanging="613"/>
        <w:jc w:val="left"/>
      </w:pPr>
      <w:rPr>
        <w:rFonts w:ascii="Tahoma" w:eastAsia="Tahoma" w:hAnsi="Tahoma" w:cs="Tahoma" w:hint="default"/>
        <w:b/>
        <w:bCs/>
        <w:color w:val="004097"/>
        <w:spacing w:val="-3"/>
        <w:w w:val="100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299" w:hanging="61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166" w:hanging="61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033" w:hanging="61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99" w:hanging="61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766" w:hanging="61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33" w:hanging="613"/>
      </w:pPr>
      <w:rPr>
        <w:rFonts w:hint="default"/>
        <w:lang w:val="zh-CN" w:eastAsia="zh-CN" w:bidi="zh-CN"/>
      </w:rPr>
    </w:lvl>
  </w:abstractNum>
  <w:abstractNum w:abstractNumId="3">
    <w:nsid w:val="1613C53A"/>
    <w:multiLevelType w:val="hybridMultilevel"/>
    <w:tmpl w:val="00000000"/>
    <w:lvl w:ilvl="0">
      <w:start w:val="1"/>
      <w:numFmt w:val="decimal"/>
      <w:lvlText w:val="%1）"/>
      <w:lvlJc w:val="left"/>
      <w:pPr>
        <w:ind w:left="3018" w:hanging="328"/>
        <w:jc w:val="left"/>
      </w:pPr>
      <w:rPr>
        <w:rFonts w:ascii="Tahoma" w:eastAsia="Tahoma" w:hAnsi="Tahoma" w:cs="Tahoma" w:hint="default"/>
        <w:spacing w:val="-1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854" w:hanging="32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689" w:hanging="32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523" w:hanging="32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358" w:hanging="32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93" w:hanging="32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27" w:hanging="32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62" w:hanging="32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97" w:hanging="328"/>
      </w:pPr>
      <w:rPr>
        <w:rFonts w:hint="default"/>
        <w:lang w:val="zh-CN" w:eastAsia="zh-CN" w:bidi="zh-CN"/>
      </w:rPr>
    </w:lvl>
  </w:abstractNum>
  <w:abstractNum w:abstractNumId="4">
    <w:nsid w:val="2AFA3EC0"/>
    <w:multiLevelType w:val="hybridMultilevel"/>
    <w:tmpl w:val="00000000"/>
    <w:lvl w:ilvl="0">
      <w:start w:val="1"/>
      <w:numFmt w:val="decimal"/>
      <w:lvlText w:val="%1）"/>
      <w:lvlJc w:val="left"/>
      <w:pPr>
        <w:ind w:left="3041" w:hanging="351"/>
        <w:jc w:val="left"/>
      </w:pPr>
      <w:rPr>
        <w:rFonts w:ascii="Tahoma" w:eastAsia="Tahoma" w:hAnsi="Tahoma" w:cs="Tahoma" w:hint="default"/>
        <w:spacing w:val="11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872" w:hanging="35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705" w:hanging="35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537" w:hanging="35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370" w:hanging="35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203" w:hanging="35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35" w:hanging="35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68" w:hanging="35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701" w:hanging="351"/>
      </w:pPr>
      <w:rPr>
        <w:rFonts w:hint="default"/>
        <w:lang w:val="zh-CN" w:eastAsia="zh-CN" w:bidi="zh-CN"/>
      </w:rPr>
    </w:lvl>
  </w:abstractNum>
  <w:abstractNum w:abstractNumId="5">
    <w:nsid w:val="2DC034C4"/>
    <w:multiLevelType w:val="hybridMultilevel"/>
    <w:tmpl w:val="00000000"/>
    <w:lvl w:ilvl="0">
      <w:start w:val="1"/>
      <w:numFmt w:val="decimal"/>
      <w:lvlText w:val="%1）"/>
      <w:lvlJc w:val="left"/>
      <w:pPr>
        <w:ind w:left="3021" w:hanging="331"/>
        <w:jc w:val="left"/>
      </w:pPr>
      <w:rPr>
        <w:rFonts w:ascii="Tahoma" w:eastAsia="Tahoma" w:hAnsi="Tahoma" w:cs="Tahoma" w:hint="default"/>
        <w:spacing w:val="2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854" w:hanging="33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689" w:hanging="33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523" w:hanging="33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358" w:hanging="33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93" w:hanging="33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27" w:hanging="33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62" w:hanging="33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97" w:hanging="331"/>
      </w:pPr>
      <w:rPr>
        <w:rFonts w:hint="default"/>
        <w:lang w:val="zh-CN" w:eastAsia="zh-CN" w:bidi="zh-CN"/>
      </w:rPr>
    </w:lvl>
  </w:abstractNum>
  <w:abstractNum w:abstractNumId="6">
    <w:nsid w:val="32501B94"/>
    <w:multiLevelType w:val="hybridMultilevel"/>
    <w:tmpl w:val="00000000"/>
    <w:lvl w:ilvl="0">
      <w:start w:val="2"/>
      <w:numFmt w:val="decimal"/>
      <w:lvlText w:val="%1"/>
      <w:lvlJc w:val="left"/>
      <w:pPr>
        <w:ind w:left="2690" w:hanging="442"/>
        <w:jc w:val="left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2690" w:hanging="442"/>
        <w:jc w:val="left"/>
      </w:pPr>
      <w:rPr>
        <w:rFonts w:ascii="Tahoma" w:eastAsia="Tahoma" w:hAnsi="Tahoma" w:cs="Tahoma" w:hint="default"/>
        <w:b/>
        <w:bCs/>
        <w:color w:val="004097"/>
        <w:spacing w:val="-1"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3277" w:hanging="587"/>
        <w:jc w:val="left"/>
      </w:pPr>
      <w:rPr>
        <w:rFonts w:ascii="Tahoma" w:eastAsia="Tahoma" w:hAnsi="Tahoma" w:cs="Tahoma" w:hint="default"/>
        <w:b/>
        <w:bCs/>
        <w:color w:val="004097"/>
        <w:spacing w:val="-3"/>
        <w:w w:val="100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076" w:hanging="58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975" w:hanging="58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873" w:hanging="58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72" w:hanging="58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670" w:hanging="58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569" w:hanging="587"/>
      </w:pPr>
      <w:rPr>
        <w:rFonts w:hint="default"/>
        <w:lang w:val="zh-CN" w:eastAsia="zh-CN" w:bidi="zh-CN"/>
      </w:rPr>
    </w:lvl>
  </w:abstractNum>
  <w:abstractNum w:abstractNumId="7">
    <w:nsid w:val="33AFE1D1"/>
    <w:multiLevelType w:val="hybridMultilevel"/>
    <w:tmpl w:val="00000000"/>
    <w:lvl w:ilvl="0">
      <w:start w:val="1"/>
      <w:numFmt w:val="decimal"/>
      <w:lvlText w:val="%1）"/>
      <w:lvlJc w:val="left"/>
      <w:pPr>
        <w:ind w:left="3041" w:hanging="351"/>
        <w:jc w:val="left"/>
      </w:pPr>
      <w:rPr>
        <w:rFonts w:ascii="Tahoma" w:eastAsia="Tahoma" w:hAnsi="Tahoma" w:cs="Tahoma" w:hint="default"/>
        <w:spacing w:val="11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872" w:hanging="351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705" w:hanging="351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537" w:hanging="351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370" w:hanging="351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203" w:hanging="351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35" w:hanging="351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68" w:hanging="351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701" w:hanging="351"/>
      </w:pPr>
      <w:rPr>
        <w:rFonts w:hint="default"/>
        <w:lang w:val="zh-CN" w:eastAsia="zh-CN" w:bidi="zh-CN"/>
      </w:rPr>
    </w:lvl>
  </w:abstractNum>
  <w:abstractNum w:abstractNumId="8">
    <w:nsid w:val="4077F9E1"/>
    <w:multiLevelType w:val="hybridMultilevel"/>
    <w:tmpl w:val="00000000"/>
    <w:lvl w:ilvl="0">
      <w:start w:val="2"/>
      <w:numFmt w:val="decimal"/>
      <w:lvlText w:val="%1"/>
      <w:lvlJc w:val="left"/>
      <w:pPr>
        <w:ind w:left="1015" w:hanging="368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015" w:hanging="368"/>
        <w:jc w:val="left"/>
      </w:pPr>
      <w:rPr>
        <w:rFonts w:ascii="Tahoma" w:eastAsia="Tahoma" w:hAnsi="Tahoma" w:cs="Tahoma" w:hint="default"/>
        <w:spacing w:val="-1"/>
        <w:w w:val="99"/>
        <w:sz w:val="20"/>
        <w:szCs w:val="2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538" w:hanging="492"/>
        <w:jc w:val="left"/>
      </w:pPr>
      <w:rPr>
        <w:rFonts w:ascii="Tahoma" w:eastAsia="Tahoma" w:hAnsi="Tahoma" w:cs="Tahoma" w:hint="default"/>
        <w:spacing w:val="-2"/>
        <w:w w:val="99"/>
        <w:sz w:val="20"/>
        <w:szCs w:val="20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23" w:hanging="49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815" w:hanging="49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907" w:hanging="49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999" w:hanging="49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090" w:hanging="49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182" w:hanging="492"/>
      </w:pPr>
      <w:rPr>
        <w:rFonts w:hint="default"/>
        <w:lang w:val="zh-CN" w:eastAsia="zh-CN" w:bidi="zh-CN"/>
      </w:rPr>
    </w:lvl>
  </w:abstractNum>
  <w:abstractNum w:abstractNumId="9">
    <w:nsid w:val="550FA64E"/>
    <w:multiLevelType w:val="hybridMultilevel"/>
    <w:tmpl w:val="00000000"/>
    <w:lvl w:ilvl="0">
      <w:start w:val="2"/>
      <w:numFmt w:val="decimal"/>
      <w:lvlText w:val="%1"/>
      <w:lvlJc w:val="left"/>
      <w:pPr>
        <w:ind w:left="3132" w:hanging="442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3132" w:hanging="442"/>
        <w:jc w:val="left"/>
      </w:pPr>
      <w:rPr>
        <w:rFonts w:ascii="Tahoma" w:eastAsia="Tahoma" w:hAnsi="Tahoma" w:cs="Tahoma" w:hint="default"/>
        <w:b/>
        <w:bCs/>
        <w:color w:val="004097"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3277" w:hanging="587"/>
        <w:jc w:val="left"/>
      </w:pPr>
      <w:rPr>
        <w:rFonts w:ascii="Tahoma" w:eastAsia="Tahoma" w:hAnsi="Tahoma" w:cs="Tahoma" w:hint="default"/>
        <w:b/>
        <w:bCs/>
        <w:color w:val="004097"/>
        <w:spacing w:val="-3"/>
        <w:w w:val="100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076" w:hanging="587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975" w:hanging="587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873" w:hanging="587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772" w:hanging="587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670" w:hanging="587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569" w:hanging="587"/>
      </w:pPr>
      <w:rPr>
        <w:rFonts w:hint="default"/>
        <w:lang w:val="zh-CN" w:eastAsia="zh-CN" w:bidi="zh-CN"/>
      </w:rPr>
    </w:lvl>
  </w:abstractNum>
  <w:abstractNum w:abstractNumId="10">
    <w:nsid w:val="61822AF1"/>
    <w:multiLevelType w:val="hybridMultilevel"/>
    <w:tmpl w:val="00000000"/>
    <w:lvl w:ilvl="0">
      <w:start w:val="1"/>
      <w:numFmt w:val="decimal"/>
      <w:lvlText w:val="%1"/>
      <w:lvlJc w:val="left"/>
      <w:pPr>
        <w:ind w:left="2690" w:hanging="442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690" w:hanging="442"/>
        <w:jc w:val="left"/>
      </w:pPr>
      <w:rPr>
        <w:rFonts w:ascii="Tahoma" w:eastAsia="Tahoma" w:hAnsi="Tahoma" w:cs="Tahoma" w:hint="default"/>
        <w:b/>
        <w:bCs/>
        <w:color w:val="004097"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690" w:hanging="613"/>
        <w:jc w:val="left"/>
      </w:pPr>
      <w:rPr>
        <w:rFonts w:ascii="Tahoma" w:eastAsia="Tahoma" w:hAnsi="Tahoma" w:cs="Tahoma" w:hint="default"/>
        <w:b/>
        <w:bCs/>
        <w:color w:val="004097"/>
        <w:spacing w:val="-3"/>
        <w:w w:val="100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299" w:hanging="61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166" w:hanging="61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033" w:hanging="61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99" w:hanging="61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766" w:hanging="61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33" w:hanging="613"/>
      </w:pPr>
      <w:rPr>
        <w:rFonts w:hint="default"/>
        <w:lang w:val="zh-CN" w:eastAsia="zh-CN" w:bidi="zh-CN"/>
      </w:rPr>
    </w:lvl>
  </w:abstractNum>
  <w:abstractNum w:abstractNumId="11">
    <w:nsid w:val="721B5EF4"/>
    <w:multiLevelType w:val="hybridMultilevel"/>
    <w:tmpl w:val="00000000"/>
    <w:lvl w:ilvl="0">
      <w:start w:val="3"/>
      <w:numFmt w:val="decimal"/>
      <w:lvlText w:val="%1"/>
      <w:lvlJc w:val="left"/>
      <w:pPr>
        <w:ind w:left="970" w:hanging="322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70" w:hanging="322"/>
        <w:jc w:val="left"/>
      </w:pPr>
      <w:rPr>
        <w:rFonts w:ascii="Tahoma" w:eastAsia="Tahoma" w:hAnsi="Tahoma" w:cs="Tahoma" w:hint="default"/>
        <w:spacing w:val="-1"/>
        <w:w w:val="99"/>
        <w:sz w:val="20"/>
        <w:szCs w:val="20"/>
        <w:lang w:val="zh-CN" w:eastAsia="zh-CN" w:bidi="zh-CN"/>
      </w:rPr>
    </w:lvl>
    <w:lvl w:ilvl="2">
      <w:start w:val="0"/>
      <w:numFmt w:val="bullet"/>
      <w:lvlText w:val=""/>
      <w:lvlJc w:val="left"/>
      <w:pPr>
        <w:ind w:left="3132" w:hanging="442"/>
      </w:pPr>
      <w:rPr>
        <w:rFonts w:ascii="Wingdings" w:eastAsia="Wingdings" w:hAnsi="Wingdings" w:cs="Wingdings" w:hint="default"/>
        <w:w w:val="100"/>
        <w:sz w:val="21"/>
        <w:szCs w:val="21"/>
        <w:lang w:val="zh-CN" w:eastAsia="zh-CN" w:bidi="zh-CN"/>
      </w:rPr>
    </w:lvl>
    <w:lvl w:ilvl="3">
      <w:start w:val="0"/>
      <w:numFmt w:val="bullet"/>
      <w:lvlText w:val="◼"/>
      <w:lvlJc w:val="left"/>
      <w:pPr>
        <w:ind w:left="3572" w:hanging="440"/>
      </w:pPr>
      <w:rPr>
        <w:rFonts w:ascii="Wingdings" w:eastAsia="Wingdings" w:hAnsi="Wingdings" w:cs="Wingdings" w:hint="default"/>
        <w:w w:val="150"/>
        <w:sz w:val="21"/>
        <w:szCs w:val="21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526" w:hanging="440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499" w:hanging="440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473" w:hanging="440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446" w:hanging="440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419" w:hanging="440"/>
      </w:pPr>
      <w:rPr>
        <w:rFonts w:hint="default"/>
        <w:lang w:val="zh-CN" w:eastAsia="zh-CN" w:bidi="zh-CN"/>
      </w:rPr>
    </w:lvl>
  </w:abstractNum>
  <w:abstractNum w:abstractNumId="12">
    <w:nsid w:val="739F2DCB"/>
    <w:multiLevelType w:val="hybridMultilevel"/>
    <w:tmpl w:val="00000000"/>
    <w:lvl w:ilvl="0">
      <w:start w:val="3"/>
      <w:numFmt w:val="decimal"/>
      <w:lvlText w:val="%1"/>
      <w:lvlJc w:val="left"/>
      <w:pPr>
        <w:ind w:left="2690" w:hanging="442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690" w:hanging="442"/>
        <w:jc w:val="left"/>
      </w:pPr>
      <w:rPr>
        <w:rFonts w:ascii="Tahoma" w:eastAsia="Tahoma" w:hAnsi="Tahoma" w:cs="Tahoma" w:hint="default"/>
        <w:b/>
        <w:bCs/>
        <w:color w:val="004097"/>
        <w:spacing w:val="-1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433" w:hanging="44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299" w:hanging="44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166" w:hanging="44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033" w:hanging="44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99" w:hanging="44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766" w:hanging="44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33" w:hanging="442"/>
      </w:pPr>
      <w:rPr>
        <w:rFonts w:hint="default"/>
        <w:lang w:val="zh-CN" w:eastAsia="zh-CN" w:bidi="zh-CN"/>
      </w:rPr>
    </w:lvl>
  </w:abstractNum>
  <w:abstractNum w:abstractNumId="13">
    <w:nsid w:val="788FA89A"/>
    <w:multiLevelType w:val="hybridMultilevel"/>
    <w:tmpl w:val="00000000"/>
    <w:lvl w:ilvl="0">
      <w:start w:val="1"/>
      <w:numFmt w:val="decimal"/>
      <w:lvlText w:val="%1）"/>
      <w:lvlJc w:val="left"/>
      <w:pPr>
        <w:ind w:left="3018" w:hanging="328"/>
        <w:jc w:val="left"/>
      </w:pPr>
      <w:rPr>
        <w:rFonts w:ascii="Tahoma" w:eastAsia="Tahoma" w:hAnsi="Tahoma" w:cs="Tahoma" w:hint="default"/>
        <w:spacing w:val="-67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854" w:hanging="32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689" w:hanging="32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523" w:hanging="32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358" w:hanging="32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93" w:hanging="32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27" w:hanging="32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62" w:hanging="32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97" w:hanging="328"/>
      </w:pPr>
      <w:rPr>
        <w:rFonts w:hint="default"/>
        <w:lang w:val="zh-CN" w:eastAsia="zh-CN" w:bidi="zh-CN"/>
      </w:rPr>
    </w:lvl>
  </w:abstractNum>
  <w:abstractNum w:abstractNumId="14">
    <w:nsid w:val="78FC1C7C"/>
    <w:multiLevelType w:val="hybridMultilevel"/>
    <w:tmpl w:val="00000000"/>
    <w:lvl w:ilvl="0">
      <w:start w:val="1"/>
      <w:numFmt w:val="decimal"/>
      <w:lvlText w:val="%1"/>
      <w:lvlJc w:val="left"/>
      <w:pPr>
        <w:ind w:left="970" w:hanging="322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70" w:hanging="322"/>
        <w:jc w:val="left"/>
      </w:pPr>
      <w:rPr>
        <w:rFonts w:ascii="Tahoma" w:eastAsia="Tahoma" w:hAnsi="Tahoma" w:cs="Tahoma" w:hint="default"/>
        <w:spacing w:val="-1"/>
        <w:w w:val="99"/>
        <w:sz w:val="20"/>
        <w:szCs w:val="2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610" w:hanging="564"/>
        <w:jc w:val="left"/>
      </w:pPr>
      <w:rPr>
        <w:rFonts w:ascii="Tahoma" w:eastAsia="Tahoma" w:hAnsi="Tahoma" w:cs="Tahoma" w:hint="default"/>
        <w:spacing w:val="-2"/>
        <w:w w:val="99"/>
        <w:sz w:val="20"/>
        <w:szCs w:val="20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85" w:hanging="5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868" w:hanging="5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951" w:hanging="5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034" w:hanging="5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17" w:hanging="5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200" w:hanging="564"/>
      </w:pPr>
      <w:rPr>
        <w:rFonts w:hint="default"/>
        <w:lang w:val="zh-CN" w:eastAsia="zh-CN" w:bidi="zh-CN"/>
      </w:rPr>
    </w:lvl>
  </w:abstractNum>
  <w:num w:numId="1">
    <w:abstractNumId w:val="12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13"/>
  </w:num>
  <w:num w:numId="7">
    <w:abstractNumId w:val="5"/>
  </w:num>
  <w:num w:numId="8">
    <w:abstractNumId w:val="0"/>
  </w:num>
  <w:num w:numId="9">
    <w:abstractNumId w:val="3"/>
  </w:num>
  <w:num w:numId="10">
    <w:abstractNumId w:val="9"/>
  </w:num>
  <w:num w:numId="11">
    <w:abstractNumId w:val="2"/>
  </w:num>
  <w:num w:numId="12">
    <w:abstractNumId w:val="11"/>
  </w:num>
  <w:num w:numId="13">
    <w:abstractNumId w:val="8"/>
  </w:num>
  <w:num w:numId="14">
    <w:abstractNumId w:val="14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line="543" w:lineRule="exact"/>
      <w:ind w:left="2690"/>
      <w:outlineLvl w:val="0"/>
    </w:pPr>
    <w:rPr>
      <w:rFonts w:ascii="Microsoft JhengHei" w:eastAsia="Microsoft JhengHei" w:hAnsi="Microsoft JhengHei" w:cs="Microsoft JhengHei"/>
      <w:b/>
      <w:bCs/>
      <w:sz w:val="30"/>
      <w:szCs w:val="30"/>
      <w:lang w:val="zh-CN" w:eastAsia="zh-CN" w:bidi="zh-CN"/>
    </w:rPr>
  </w:style>
  <w:style w:type="paragraph" w:styleId="Heading2">
    <w:name w:val="heading 2"/>
    <w:basedOn w:val="Normal"/>
    <w:uiPriority w:val="1"/>
    <w:qFormat/>
    <w:pPr>
      <w:ind w:left="3132" w:hanging="443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zh-CN" w:eastAsia="zh-CN" w:bidi="zh-CN"/>
    </w:rPr>
  </w:style>
  <w:style w:type="paragraph" w:styleId="Heading3">
    <w:name w:val="heading 3"/>
    <w:basedOn w:val="Normal"/>
    <w:uiPriority w:val="1"/>
    <w:qFormat/>
    <w:pPr>
      <w:spacing w:line="333" w:lineRule="exact"/>
      <w:ind w:left="2690"/>
      <w:outlineLvl w:val="2"/>
    </w:pPr>
    <w:rPr>
      <w:rFonts w:ascii="Microsoft JhengHei" w:eastAsia="Microsoft JhengHei" w:hAnsi="Microsoft JhengHei" w:cs="Microsoft JhengHei"/>
      <w:b/>
      <w:bCs/>
      <w:sz w:val="21"/>
      <w:szCs w:val="21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"/>
      <w:ind w:right="578"/>
      <w:jc w:val="right"/>
    </w:pPr>
    <w:rPr>
      <w:rFonts w:ascii="Tahoma" w:eastAsia="Tahoma" w:hAnsi="Tahoma" w:cs="Tahoma"/>
      <w:sz w:val="20"/>
      <w:szCs w:val="20"/>
      <w:lang w:val="zh-CN" w:eastAsia="zh-CN" w:bidi="zh-CN"/>
    </w:rPr>
  </w:style>
  <w:style w:type="paragraph" w:styleId="TOC2">
    <w:name w:val="toc 2"/>
    <w:basedOn w:val="Normal"/>
    <w:uiPriority w:val="1"/>
    <w:qFormat/>
    <w:pPr>
      <w:spacing w:before="308"/>
      <w:ind w:left="247"/>
    </w:pPr>
    <w:rPr>
      <w:rFonts w:ascii="Microsoft JhengHei" w:eastAsia="Microsoft JhengHei" w:hAnsi="Microsoft JhengHei" w:cs="Microsoft JhengHei"/>
      <w:b/>
      <w:bCs/>
      <w:sz w:val="28"/>
      <w:szCs w:val="28"/>
      <w:lang w:val="zh-CN" w:eastAsia="zh-CN" w:bidi="zh-CN"/>
    </w:rPr>
  </w:style>
  <w:style w:type="paragraph" w:styleId="TOC3">
    <w:name w:val="toc 3"/>
    <w:basedOn w:val="Normal"/>
    <w:uiPriority w:val="1"/>
    <w:qFormat/>
    <w:pPr>
      <w:spacing w:line="259" w:lineRule="exact"/>
      <w:ind w:left="247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4">
    <w:name w:val="toc 4"/>
    <w:basedOn w:val="Normal"/>
    <w:uiPriority w:val="1"/>
    <w:qFormat/>
    <w:pPr>
      <w:spacing w:before="3"/>
      <w:ind w:left="247"/>
    </w:pPr>
    <w:rPr>
      <w:rFonts w:ascii="宋体" w:eastAsia="宋体" w:hAnsi="宋体" w:cs="宋体"/>
      <w:sz w:val="20"/>
      <w:szCs w:val="20"/>
      <w:lang w:val="zh-CN" w:eastAsia="zh-CN" w:bidi="zh-CN"/>
    </w:rPr>
  </w:style>
  <w:style w:type="paragraph" w:styleId="TOC5">
    <w:name w:val="toc 5"/>
    <w:basedOn w:val="Normal"/>
    <w:uiPriority w:val="1"/>
    <w:qFormat/>
    <w:pPr>
      <w:spacing w:line="259" w:lineRule="exact"/>
      <w:ind w:left="247"/>
    </w:pPr>
    <w:rPr>
      <w:rFonts w:ascii="宋体" w:eastAsia="宋体" w:hAnsi="宋体" w:cs="宋体"/>
      <w:b/>
      <w:bCs/>
      <w:i/>
      <w:lang w:val="zh-CN" w:eastAsia="zh-CN" w:bidi="zh-CN"/>
    </w:rPr>
  </w:style>
  <w:style w:type="paragraph" w:styleId="TOC6">
    <w:name w:val="toc 6"/>
    <w:basedOn w:val="Normal"/>
    <w:uiPriority w:val="1"/>
    <w:qFormat/>
    <w:pPr>
      <w:spacing w:before="3"/>
      <w:ind w:left="970" w:hanging="323"/>
    </w:pPr>
    <w:rPr>
      <w:rFonts w:ascii="宋体" w:eastAsia="宋体" w:hAnsi="宋体" w:cs="宋体"/>
      <w:sz w:val="20"/>
      <w:szCs w:val="20"/>
      <w:lang w:val="zh-CN" w:eastAsia="zh-CN" w:bidi="zh-CN"/>
    </w:rPr>
  </w:style>
  <w:style w:type="paragraph" w:styleId="TOC7">
    <w:name w:val="toc 7"/>
    <w:basedOn w:val="Normal"/>
    <w:uiPriority w:val="1"/>
    <w:qFormat/>
    <w:pPr>
      <w:spacing w:before="2"/>
      <w:ind w:left="1538" w:hanging="493"/>
    </w:pPr>
    <w:rPr>
      <w:rFonts w:ascii="宋体" w:eastAsia="宋体" w:hAnsi="宋体" w:cs="宋体"/>
      <w:sz w:val="20"/>
      <w:szCs w:val="20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ind w:left="3132" w:hanging="443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楷体" w:eastAsia="楷体" w:hAnsi="楷体" w:cs="楷体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image" Target="media/image1.jpeg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image" Target="media/image2.png" /><Relationship Id="rId44" Type="http://schemas.openxmlformats.org/officeDocument/2006/relationships/header" Target="header20.xml" /><Relationship Id="rId45" Type="http://schemas.openxmlformats.org/officeDocument/2006/relationships/footer" Target="footer20.xml" /><Relationship Id="rId46" Type="http://schemas.openxmlformats.org/officeDocument/2006/relationships/image" Target="media/image3.jpeg" /><Relationship Id="rId47" Type="http://schemas.openxmlformats.org/officeDocument/2006/relationships/header" Target="header21.xml" /><Relationship Id="rId48" Type="http://schemas.openxmlformats.org/officeDocument/2006/relationships/footer" Target="footer21.xml" /><Relationship Id="rId49" Type="http://schemas.openxmlformats.org/officeDocument/2006/relationships/header" Target="header22.xml" /><Relationship Id="rId5" Type="http://schemas.openxmlformats.org/officeDocument/2006/relationships/footer" Target="footer1.xml" /><Relationship Id="rId50" Type="http://schemas.openxmlformats.org/officeDocument/2006/relationships/footer" Target="footer22.xml" /><Relationship Id="rId51" Type="http://schemas.openxmlformats.org/officeDocument/2006/relationships/header" Target="header23.xml" /><Relationship Id="rId52" Type="http://schemas.openxmlformats.org/officeDocument/2006/relationships/footer" Target="footer23.xml" /><Relationship Id="rId53" Type="http://schemas.openxmlformats.org/officeDocument/2006/relationships/header" Target="header24.xml" /><Relationship Id="rId54" Type="http://schemas.openxmlformats.org/officeDocument/2006/relationships/footer" Target="footer24.xml" /><Relationship Id="rId55" Type="http://schemas.openxmlformats.org/officeDocument/2006/relationships/image" Target="media/image4.png" /><Relationship Id="rId56" Type="http://schemas.openxmlformats.org/officeDocument/2006/relationships/image" Target="media/image5.png" /><Relationship Id="rId57" Type="http://schemas.openxmlformats.org/officeDocument/2006/relationships/header" Target="header25.xml" /><Relationship Id="rId58" Type="http://schemas.openxmlformats.org/officeDocument/2006/relationships/footer" Target="footer25.xml" /><Relationship Id="rId59" Type="http://schemas.openxmlformats.org/officeDocument/2006/relationships/header" Target="header26.xml" /><Relationship Id="rId6" Type="http://schemas.openxmlformats.org/officeDocument/2006/relationships/header" Target="header2.xml" /><Relationship Id="rId60" Type="http://schemas.openxmlformats.org/officeDocument/2006/relationships/footer" Target="footer26.xml" /><Relationship Id="rId61" Type="http://schemas.openxmlformats.org/officeDocument/2006/relationships/header" Target="header27.xml" /><Relationship Id="rId62" Type="http://schemas.openxmlformats.org/officeDocument/2006/relationships/footer" Target="footer27.xml" /><Relationship Id="rId63" Type="http://schemas.openxmlformats.org/officeDocument/2006/relationships/header" Target="header28.xml" /><Relationship Id="rId64" Type="http://schemas.openxmlformats.org/officeDocument/2006/relationships/footer" Target="footer28.xml" /><Relationship Id="rId65" Type="http://schemas.openxmlformats.org/officeDocument/2006/relationships/header" Target="header29.xml" /><Relationship Id="rId66" Type="http://schemas.openxmlformats.org/officeDocument/2006/relationships/footer" Target="footer29.xml" /><Relationship Id="rId67" Type="http://schemas.openxmlformats.org/officeDocument/2006/relationships/hyperlink" Target="https://d.book118.com/028023131125006034" TargetMode="External" /><Relationship Id="rId68" Type="http://schemas.openxmlformats.org/officeDocument/2006/relationships/header" Target="header30.xml" /><Relationship Id="rId69" Type="http://schemas.openxmlformats.org/officeDocument/2006/relationships/footer" Target="footer30.xml" /><Relationship Id="rId7" Type="http://schemas.openxmlformats.org/officeDocument/2006/relationships/footer" Target="footer2.xml" /><Relationship Id="rId70" Type="http://schemas.openxmlformats.org/officeDocument/2006/relationships/theme" Target="theme/theme1.xml" /><Relationship Id="rId71" Type="http://schemas.openxmlformats.org/officeDocument/2006/relationships/numbering" Target="numbering.xml" /><Relationship Id="rId72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2024-01-30T03:33:28Z</dcterms:created>
  <dcterms:modified xsi:type="dcterms:W3CDTF">2024-01-30T03:33:28Z</dcterms:modified>
</cp:coreProperties>
</file>