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825" w:lineRule="exact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5" type="#_x0000_t136" style="width:415.45pt;height:30.5pt;margin-top:112.6pt;margin-left:-34.74pt;mso-position-horizontal-relative:page;mso-position-vertical-relative:page;position:absolute;rotation:315;z-index:251658240" o:allowincell="f" filled="t" fillcolor="#bf504d" stroked="f">
            <v:fill opacity="3855f"/>
            <v:textpath style="font-family:SimHei;font-size:30pt;mso-text-shadow:auto;v-text-kern:t" string="北大汇丰智库   北大汇丰智库"/>
          </v:shape>
        </w:pict>
      </w:r>
      <w:r>
        <w:pict>
          <v:shape id="_x0000_s1026" type="#_x0000_t136" style="width:679.3pt;height:30.5pt;margin-top:208.33pt;margin-left:-92.33pt;mso-position-horizontal-relative:page;mso-position-vertical-relative:page;position:absolute;rotation:315;z-index:251659264" o:allowincell="f" filled="t" fillcolor="#bf504d" stroked="f">
            <v:fill opacity="3855f"/>
            <v:textpath style="font-family:SimHei;font-size:30pt;mso-text-shadow:auto;v-text-kern:t" string="丰智库   北大汇丰智库   北大汇丰智库   北大"/>
          </v:shape>
        </w:pict>
      </w:r>
      <w:r>
        <w:pict>
          <v:shape id="_x0000_s1027" type="#_x0000_t136" style="width:799.1pt;height:30.5pt;margin-top:314.5pt;margin-left:-88.3pt;mso-position-horizontal-relative:page;mso-position-vertical-relative:page;position:absolute;rotation:315;z-index:251660288" o:allowincell="f" filled="t" fillcolor="#bf504d" stroked="f">
            <v:fill opacity="3855f"/>
            <v:textpath style="font-family:SimHei;font-size:30pt;mso-text-shadow:auto;v-text-kern:t" string="北大汇丰智库   北大汇丰智库   北大汇丰智库   北大汇"/>
          </v:shape>
        </w:pict>
      </w:r>
      <w:r>
        <w:pict>
          <v:shape id="_x0000_s1028" type="#_x0000_t136" style="width:799.3pt;height:30.5pt;margin-top:503.44pt;margin-left:-107.28pt;mso-position-horizontal-relative:page;mso-position-vertical-relative:page;position:absolute;rotation:315;z-index:251661312" o:allowincell="f" filled="t" fillcolor="#bf504d" stroked="f">
            <v:fill opacity="3855f"/>
            <v:textpath style="font-family:SimHei;font-size:30pt;mso-text-shadow:auto;v-text-kern:t" string="丰智库   北大汇丰智库   北大汇丰智库   北大汇丰智库"/>
          </v:shape>
        </w:pict>
      </w:r>
      <w:r>
        <w:pict>
          <v:shape id="_x0000_s1029" type="#_x0000_t136" style="width:678.15pt;height:30.5pt;margin-top:609.28pt;margin-left:17.54pt;mso-position-horizontal-relative:page;mso-position-vertical-relative:page;position:absolute;rotation:315;z-index:251662336" o:allowincell="f" filled="t" fillcolor="#bf504d" stroked="f">
            <v:fill opacity="3855f"/>
            <v:textpath style="font-family:SimHei;font-size:30pt;mso-text-shadow:auto;v-text-kern:t" string="智库   北大汇丰智库   北大汇丰智库   北大汇"/>
          </v:shape>
        </w:pict>
      </w:r>
      <w:r>
        <w:pict>
          <v:shape id="_x0000_s1030" type="#_x0000_t136" style="width:415.45pt;height:30.5pt;margin-top:705.25pt;margin-left:223pt;mso-position-horizontal-relative:page;mso-position-vertical-relative:page;position:absolute;rotation:315;z-index:251663360" o:allowincell="f" filled="t" fillcolor="#bf504d" stroked="f">
            <v:fill opacity="3855f"/>
            <v:textpath style="font-family:SimHei;font-size:30pt;mso-text-shadow:auto;v-text-kern:t" string="北大汇丰智库   北大汇丰智库"/>
          </v:shape>
        </w:pict>
      </w:r>
      <w:r>
        <w:rPr>
          <w:position w:val="-336"/>
        </w:rPr>
        <w:drawing>
          <wp:inline distT="0" distB="0" distL="0" distR="0">
            <wp:extent cx="7557835" cy="1068390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835" cy="10683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5" w:lineRule="exact"/>
        <w:sectPr>
          <w:headerReference w:type="default" r:id="rId5"/>
          <w:footerReference w:type="default" r:id="rId6"/>
          <w:pgSz w:w="11906" w:h="16838"/>
          <w:pgMar w:top="1" w:right="0" w:bottom="1" w:left="0" w:header="0" w:footer="0" w:gutter="0"/>
          <w:cols w:space="708"/>
        </w:sectPr>
      </w:pPr>
    </w:p>
    <w:p>
      <w:pPr>
        <w:spacing w:line="255" w:lineRule="auto"/>
        <w:rPr>
          <w:rFonts w:ascii="Arial"/>
          <w:sz w:val="21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8594858</wp:posOffset>
            </wp:positionV>
            <wp:extent cx="3315186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1518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52" w:line="225" w:lineRule="auto"/>
        <w:ind w:left="1818"/>
        <w:rPr>
          <w:sz w:val="47"/>
          <w:szCs w:val="47"/>
        </w:rPr>
      </w:pPr>
      <w:r>
        <w:rPr>
          <w:color w:val="0E57C4"/>
          <w:spacing w:val="1"/>
          <w:sz w:val="47"/>
          <w:szCs w:val="47"/>
          <w14:textOutline w14:w="8712" w14:cap="sq">
            <w14:solidFill>
              <w14:srgbClr w14:val="0E57C4"/>
            </w14:solidFill>
            <w14:prstDash w14:val="solid"/>
            <w14:bevel/>
          </w14:textOutline>
        </w:rPr>
        <w:t>摘要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1809" w:right="1799" w:firstLine="482"/>
        <w:jc w:val="both"/>
      </w:pPr>
      <w:r>
        <w:rPr>
          <w:spacing w:val="-3"/>
        </w:rPr>
        <w:t>2023</w:t>
      </w:r>
      <w:r>
        <w:rPr>
          <w:spacing w:val="-42"/>
        </w:rPr>
        <w:t xml:space="preserve"> </w:t>
      </w:r>
      <w:r>
        <w:rPr>
          <w:spacing w:val="-3"/>
        </w:rPr>
        <w:t>年</w:t>
      </w:r>
      <w:r>
        <w:rPr>
          <w:spacing w:val="-32"/>
        </w:rPr>
        <w:t xml:space="preserve"> </w:t>
      </w:r>
      <w:r>
        <w:rPr>
          <w:spacing w:val="-3"/>
        </w:rPr>
        <w:t>1-11</w:t>
      </w:r>
      <w:r>
        <w:rPr>
          <w:spacing w:val="-45"/>
        </w:rPr>
        <w:t xml:space="preserve"> </w:t>
      </w:r>
      <w:r>
        <w:rPr>
          <w:spacing w:val="-3"/>
        </w:rPr>
        <w:t>月，珠三角生产加速修复，消费外贸改善，投资持续放缓。具</w:t>
      </w:r>
      <w:r>
        <w:t xml:space="preserve"> </w:t>
      </w:r>
      <w:r>
        <w:rPr>
          <w:spacing w:val="-3"/>
        </w:rPr>
        <w:t>体来看，工业企业生产加速修复，工业增加值增速环比提升；企业经济效益持续</w:t>
      </w:r>
      <w:r>
        <w:rPr>
          <w:spacing w:val="1"/>
        </w:rPr>
        <w:t xml:space="preserve"> </w:t>
      </w:r>
      <w:r>
        <w:rPr>
          <w:spacing w:val="-3"/>
        </w:rPr>
        <w:t>改善，营收和利润增速持续回升，就业市场有所好转；固定资产投资增长放缓且</w:t>
      </w:r>
      <w:r>
        <w:rPr>
          <w:spacing w:val="1"/>
        </w:rPr>
        <w:t xml:space="preserve"> </w:t>
      </w:r>
      <w:r>
        <w:rPr>
          <w:spacing w:val="-3"/>
        </w:rPr>
        <w:t>持续分化，广深莞惠增速相对领先，其余城市受房地产拖累较大；市场主体投资</w:t>
      </w:r>
      <w:r>
        <w:rPr>
          <w:spacing w:val="1"/>
        </w:rPr>
        <w:t xml:space="preserve"> </w:t>
      </w:r>
      <w:r>
        <w:rPr>
          <w:spacing w:val="-3"/>
        </w:rPr>
        <w:t>情绪无明显高涨，民间投资和外商投资均低位徘徊；消费增速回落趋势扭转，各</w:t>
      </w:r>
      <w:r>
        <w:rPr>
          <w:spacing w:val="1"/>
        </w:rPr>
        <w:t xml:space="preserve"> </w:t>
      </w:r>
      <w:r>
        <w:rPr>
          <w:spacing w:val="-3"/>
        </w:rPr>
        <w:t>城市企稳明显，有望反弹；出口整体表现优于全国，内部各城市走势不一，进口</w:t>
      </w:r>
      <w:r>
        <w:rPr>
          <w:spacing w:val="1"/>
        </w:rPr>
        <w:t xml:space="preserve"> </w:t>
      </w:r>
      <w:r>
        <w:rPr>
          <w:spacing w:val="-3"/>
        </w:rPr>
        <w:t>降幅持续收窄。香港的旅游热度不减，地产、贸易持续承压，金融挑战较大。澳</w:t>
      </w:r>
    </w:p>
    <w:p>
      <w:pPr>
        <w:pStyle w:val="BodyText"/>
        <w:spacing w:line="219" w:lineRule="auto"/>
        <w:ind w:left="1836"/>
      </w:pPr>
      <w:r>
        <w:rPr>
          <w:spacing w:val="-5"/>
        </w:rPr>
        <w:t>门旅游业持续增长，博彩业创下新高，有望带动四季度</w:t>
      </w:r>
      <w:r>
        <w:rPr>
          <w:spacing w:val="-47"/>
        </w:rPr>
        <w:t xml:space="preserve"> </w:t>
      </w:r>
      <w:r>
        <w:rPr>
          <w:spacing w:val="-5"/>
        </w:rPr>
        <w:t>GDP</w:t>
      </w:r>
      <w:r>
        <w:rPr>
          <w:spacing w:val="-52"/>
        </w:rPr>
        <w:t xml:space="preserve"> </w:t>
      </w:r>
      <w:r>
        <w:rPr>
          <w:spacing w:val="-5"/>
        </w:rPr>
        <w:t>达到</w:t>
      </w:r>
      <w:r>
        <w:rPr>
          <w:spacing w:val="-33"/>
        </w:rPr>
        <w:t xml:space="preserve"> </w:t>
      </w:r>
      <w:r>
        <w:rPr>
          <w:spacing w:val="-5"/>
        </w:rPr>
        <w:t>1000</w:t>
      </w:r>
      <w:r>
        <w:rPr>
          <w:spacing w:val="-50"/>
        </w:rPr>
        <w:t xml:space="preserve"> </w:t>
      </w:r>
      <w:r>
        <w:rPr>
          <w:spacing w:val="-5"/>
        </w:rPr>
        <w:t>亿澳门元。</w:t>
      </w:r>
    </w:p>
    <w:p>
      <w:pPr>
        <w:pStyle w:val="BodyText"/>
        <w:spacing w:before="183" w:line="360" w:lineRule="auto"/>
        <w:ind w:left="1807" w:right="1799" w:firstLine="488"/>
        <w:jc w:val="both"/>
      </w:pPr>
      <w:r>
        <w:rPr>
          <w:spacing w:val="-1"/>
        </w:rPr>
        <w:t>总体上看，大湾区“9+2</w:t>
      </w:r>
      <w:r>
        <w:rPr>
          <w:spacing w:val="-79"/>
        </w:rPr>
        <w:t xml:space="preserve"> </w:t>
      </w:r>
      <w:r>
        <w:rPr>
          <w:spacing w:val="-1"/>
        </w:rPr>
        <w:t>”市中珠三角九市和澳门的经济持续恢复，香港经</w:t>
      </w:r>
      <w:r>
        <w:t xml:space="preserve"> </w:t>
      </w:r>
      <w:r>
        <w:t>济增长仍面临较大压力。展望</w:t>
      </w:r>
      <w:r>
        <w:rPr>
          <w:spacing w:val="-45"/>
        </w:rPr>
        <w:t xml:space="preserve"> </w:t>
      </w:r>
      <w:r>
        <w:t>2024</w:t>
      </w:r>
      <w:r>
        <w:rPr>
          <w:spacing w:val="-48"/>
        </w:rPr>
        <w:t xml:space="preserve"> </w:t>
      </w:r>
      <w:r>
        <w:t>年一季度湾区经济形</w:t>
      </w:r>
      <w:r>
        <w:rPr>
          <w:spacing w:val="-1"/>
        </w:rPr>
        <w:t>势，本文认为：预期向</w:t>
      </w:r>
      <w:r>
        <w:t xml:space="preserve"> </w:t>
      </w:r>
      <w:r>
        <w:rPr>
          <w:spacing w:val="1"/>
        </w:rPr>
        <w:t>好但挑战不断，经济增长需在以下重点领域扬长补短</w:t>
      </w:r>
      <w:r>
        <w:rPr>
          <w:spacing w:val="-8"/>
        </w:rPr>
        <w:t>；（</w:t>
      </w:r>
      <w:r>
        <w:rPr>
          <w:spacing w:val="1"/>
        </w:rPr>
        <w:t>1）投资拉动动能持续</w:t>
      </w:r>
      <w:r>
        <w:t xml:space="preserve"> </w:t>
      </w:r>
      <w:r>
        <w:rPr>
          <w:spacing w:val="1"/>
        </w:rPr>
        <w:t>减弱，稳投资需先稳定民企和楼市信心</w:t>
      </w:r>
      <w:r>
        <w:rPr>
          <w:spacing w:val="-9"/>
        </w:rPr>
        <w:t>；（</w:t>
      </w:r>
      <w:r>
        <w:rPr>
          <w:spacing w:val="1"/>
        </w:rPr>
        <w:t>2）消费增长趋势向好，可联合港澳</w:t>
      </w:r>
      <w:r>
        <w:t xml:space="preserve"> </w:t>
      </w:r>
      <w:r>
        <w:rPr>
          <w:spacing w:val="1"/>
        </w:rPr>
        <w:t>进一步扩大北上南下消费</w:t>
      </w:r>
      <w:r>
        <w:rPr>
          <w:spacing w:val="-9"/>
        </w:rPr>
        <w:t>；（</w:t>
      </w:r>
      <w:r>
        <w:rPr>
          <w:spacing w:val="1"/>
        </w:rPr>
        <w:t>3）国际局势复杂令外贸承压，保外贸可从优势产</w:t>
      </w:r>
    </w:p>
    <w:p>
      <w:pPr>
        <w:pStyle w:val="BodyText"/>
        <w:spacing w:line="220" w:lineRule="auto"/>
        <w:ind w:left="1829"/>
      </w:pPr>
      <w:r>
        <w:rPr>
          <w:spacing w:val="-4"/>
        </w:rPr>
        <w:t>品和新业态入手。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  <w:sectPr>
          <w:headerReference w:type="default" r:id="rId8"/>
          <w:footerReference w:type="default" r:id="rId9"/>
          <w:pgSz w:w="11906" w:h="16839"/>
          <w:pgMar w:top="400" w:right="0" w:bottom="400" w:left="0" w:header="0" w:footer="0" w:gutter="0"/>
          <w:pgNumType w:start="2"/>
          <w:cols w:space="708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59" w:line="219" w:lineRule="auto"/>
        <w:ind w:left="1809"/>
        <w:rPr>
          <w:sz w:val="18"/>
          <w:szCs w:val="18"/>
        </w:rPr>
      </w:pPr>
      <w:r>
        <w:rPr>
          <w:spacing w:val="-1"/>
          <w:sz w:val="18"/>
          <w:szCs w:val="18"/>
        </w:rPr>
        <w:t>北大汇丰智库经济组、前海中英研究院（撰稿人：岑维、王若林）</w:t>
      </w:r>
    </w:p>
    <w:p>
      <w:pPr>
        <w:pStyle w:val="BodyText"/>
        <w:spacing w:before="96" w:line="315" w:lineRule="exact"/>
        <w:ind w:left="1808"/>
        <w:rPr>
          <w:sz w:val="18"/>
          <w:szCs w:val="18"/>
        </w:rPr>
      </w:pPr>
      <w:r>
        <w:rPr>
          <w:spacing w:val="-5"/>
          <w:position w:val="10"/>
          <w:sz w:val="18"/>
          <w:szCs w:val="18"/>
        </w:rPr>
        <w:t>成稿时间：2024</w:t>
      </w:r>
      <w:r>
        <w:rPr>
          <w:spacing w:val="-37"/>
          <w:position w:val="10"/>
          <w:sz w:val="18"/>
          <w:szCs w:val="18"/>
        </w:rPr>
        <w:t xml:space="preserve"> </w:t>
      </w:r>
      <w:r>
        <w:rPr>
          <w:spacing w:val="-5"/>
          <w:position w:val="10"/>
          <w:sz w:val="18"/>
          <w:szCs w:val="18"/>
        </w:rPr>
        <w:t>年</w:t>
      </w:r>
      <w:r>
        <w:rPr>
          <w:spacing w:val="-39"/>
          <w:position w:val="10"/>
          <w:sz w:val="18"/>
          <w:szCs w:val="18"/>
        </w:rPr>
        <w:t xml:space="preserve"> </w:t>
      </w:r>
      <w:r>
        <w:rPr>
          <w:spacing w:val="-5"/>
          <w:position w:val="10"/>
          <w:sz w:val="18"/>
          <w:szCs w:val="18"/>
        </w:rPr>
        <w:t>01</w:t>
      </w:r>
      <w:r>
        <w:rPr>
          <w:spacing w:val="-34"/>
          <w:position w:val="10"/>
          <w:sz w:val="18"/>
          <w:szCs w:val="18"/>
        </w:rPr>
        <w:t xml:space="preserve"> </w:t>
      </w:r>
      <w:r>
        <w:rPr>
          <w:spacing w:val="-5"/>
          <w:position w:val="10"/>
          <w:sz w:val="18"/>
          <w:szCs w:val="18"/>
        </w:rPr>
        <w:t>月</w:t>
      </w:r>
      <w:r>
        <w:rPr>
          <w:spacing w:val="-35"/>
          <w:position w:val="10"/>
          <w:sz w:val="18"/>
          <w:szCs w:val="18"/>
        </w:rPr>
        <w:t xml:space="preserve"> </w:t>
      </w:r>
      <w:r>
        <w:rPr>
          <w:spacing w:val="-5"/>
          <w:position w:val="10"/>
          <w:sz w:val="18"/>
          <w:szCs w:val="18"/>
        </w:rPr>
        <w:t>24 日</w:t>
      </w:r>
      <w:r>
        <w:rPr>
          <w:spacing w:val="41"/>
          <w:position w:val="10"/>
          <w:sz w:val="18"/>
          <w:szCs w:val="18"/>
        </w:rPr>
        <w:t xml:space="preserve"> </w:t>
      </w:r>
      <w:r>
        <w:rPr>
          <w:spacing w:val="-5"/>
          <w:position w:val="10"/>
          <w:sz w:val="18"/>
          <w:szCs w:val="18"/>
        </w:rPr>
        <w:t>| 总第</w:t>
      </w:r>
      <w:r>
        <w:rPr>
          <w:spacing w:val="-37"/>
          <w:position w:val="10"/>
          <w:sz w:val="18"/>
          <w:szCs w:val="18"/>
        </w:rPr>
        <w:t xml:space="preserve"> </w:t>
      </w:r>
      <w:r>
        <w:rPr>
          <w:spacing w:val="-5"/>
          <w:position w:val="10"/>
          <w:sz w:val="18"/>
          <w:szCs w:val="18"/>
        </w:rPr>
        <w:t>88</w:t>
      </w:r>
      <w:r>
        <w:rPr>
          <w:spacing w:val="-36"/>
          <w:position w:val="10"/>
          <w:sz w:val="18"/>
          <w:szCs w:val="18"/>
        </w:rPr>
        <w:t xml:space="preserve"> </w:t>
      </w:r>
      <w:r>
        <w:rPr>
          <w:spacing w:val="-5"/>
          <w:position w:val="10"/>
          <w:sz w:val="18"/>
          <w:szCs w:val="18"/>
        </w:rPr>
        <w:t>期</w:t>
      </w:r>
      <w:r>
        <w:rPr>
          <w:spacing w:val="41"/>
          <w:position w:val="10"/>
          <w:sz w:val="18"/>
          <w:szCs w:val="18"/>
        </w:rPr>
        <w:t xml:space="preserve"> </w:t>
      </w:r>
      <w:r>
        <w:rPr>
          <w:spacing w:val="-5"/>
          <w:position w:val="10"/>
          <w:sz w:val="18"/>
          <w:szCs w:val="18"/>
        </w:rPr>
        <w:t>| 2</w:t>
      </w:r>
      <w:r>
        <w:rPr>
          <w:spacing w:val="-6"/>
          <w:position w:val="10"/>
          <w:sz w:val="18"/>
          <w:szCs w:val="18"/>
        </w:rPr>
        <w:t>023-2024</w:t>
      </w:r>
      <w:r>
        <w:rPr>
          <w:spacing w:val="-35"/>
          <w:position w:val="10"/>
          <w:sz w:val="18"/>
          <w:szCs w:val="18"/>
        </w:rPr>
        <w:t xml:space="preserve"> </w:t>
      </w:r>
      <w:r>
        <w:rPr>
          <w:spacing w:val="-6"/>
          <w:position w:val="10"/>
          <w:sz w:val="18"/>
          <w:szCs w:val="18"/>
        </w:rPr>
        <w:t>学年第</w:t>
      </w:r>
      <w:r>
        <w:rPr>
          <w:spacing w:val="-24"/>
          <w:position w:val="10"/>
          <w:sz w:val="18"/>
          <w:szCs w:val="18"/>
        </w:rPr>
        <w:t xml:space="preserve"> </w:t>
      </w:r>
      <w:r>
        <w:rPr>
          <w:spacing w:val="-6"/>
          <w:position w:val="10"/>
          <w:sz w:val="18"/>
          <w:szCs w:val="18"/>
        </w:rPr>
        <w:t>14</w:t>
      </w:r>
      <w:r>
        <w:rPr>
          <w:spacing w:val="-37"/>
          <w:position w:val="10"/>
          <w:sz w:val="18"/>
          <w:szCs w:val="18"/>
        </w:rPr>
        <w:t xml:space="preserve"> </w:t>
      </w:r>
      <w:r>
        <w:rPr>
          <w:spacing w:val="-6"/>
          <w:position w:val="10"/>
          <w:sz w:val="18"/>
          <w:szCs w:val="18"/>
        </w:rPr>
        <w:t>期</w:t>
      </w:r>
    </w:p>
    <w:p>
      <w:pPr>
        <w:pStyle w:val="BodyText"/>
        <w:spacing w:line="213" w:lineRule="auto"/>
        <w:ind w:left="1807"/>
        <w:rPr>
          <w:sz w:val="18"/>
          <w:szCs w:val="18"/>
        </w:rPr>
      </w:pPr>
      <w:r>
        <w:rPr>
          <w:sz w:val="18"/>
          <w:szCs w:val="18"/>
        </w:rPr>
        <w:t>联系人：程云（0755-26032270，chengyun@phbs.pk</w:t>
      </w:r>
      <w:r>
        <w:rPr>
          <w:spacing w:val="-1"/>
          <w:sz w:val="18"/>
          <w:szCs w:val="18"/>
        </w:rPr>
        <w:t>u.edu.cn）</w:t>
      </w:r>
    </w:p>
    <w:p>
      <w:pPr>
        <w:spacing w:line="213" w:lineRule="auto"/>
        <w:rPr>
          <w:sz w:val="18"/>
          <w:szCs w:val="18"/>
        </w:rPr>
        <w:sectPr>
          <w:headerReference w:type="default" r:id="rId10"/>
          <w:footerReference w:type="default" r:id="rId11"/>
          <w:type w:val="nextPage"/>
          <w:pgSz w:w="11906" w:h="16839"/>
          <w:pgMar w:top="400" w:right="0" w:bottom="400" w:left="0" w:header="0" w:footer="0" w:gutter="0"/>
          <w:pgNumType w:start="3"/>
          <w:cols w:space="708"/>
          <w:titlePg w:val="0"/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33" w:line="187" w:lineRule="auto"/>
        <w:ind w:left="171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b/>
          <w:bCs/>
          <w:color w:val="0E57C4"/>
          <w:spacing w:val="6"/>
          <w:sz w:val="31"/>
          <w:szCs w:val="31"/>
        </w:rPr>
        <w:t>一、</w:t>
      </w:r>
      <w:r>
        <w:rPr>
          <w:rFonts w:ascii="Microsoft YaHei" w:eastAsia="Microsoft YaHei" w:hAnsi="Microsoft YaHei" w:cs="Microsoft YaHei"/>
          <w:b/>
          <w:bCs/>
          <w:color w:val="0E57C4"/>
          <w:spacing w:val="-6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0E57C4"/>
          <w:spacing w:val="6"/>
          <w:sz w:val="31"/>
          <w:szCs w:val="31"/>
        </w:rPr>
        <w:t>2023 年四季度湾区经济形势分析</w:t>
      </w:r>
    </w:p>
    <w:p>
      <w:pPr>
        <w:spacing w:before="216" w:line="184" w:lineRule="auto"/>
        <w:ind w:left="1732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color w:val="0E57C4"/>
          <w:spacing w:val="-5"/>
          <w:sz w:val="30"/>
          <w:szCs w:val="30"/>
        </w:rPr>
        <w:t>1.</w:t>
      </w:r>
      <w:r>
        <w:rPr>
          <w:rFonts w:ascii="Microsoft YaHei" w:eastAsia="Microsoft YaHei" w:hAnsi="Microsoft YaHei" w:cs="Microsoft YaHei"/>
          <w:color w:val="0E57C4"/>
          <w:spacing w:val="66"/>
          <w:sz w:val="30"/>
          <w:szCs w:val="30"/>
        </w:rPr>
        <w:t xml:space="preserve"> </w:t>
      </w:r>
      <w:r>
        <w:rPr>
          <w:rFonts w:ascii="Microsoft YaHei" w:eastAsia="Microsoft YaHei" w:hAnsi="Microsoft YaHei" w:cs="Microsoft YaHei"/>
          <w:color w:val="0E57C4"/>
          <w:spacing w:val="-5"/>
          <w:sz w:val="30"/>
          <w:szCs w:val="30"/>
        </w:rPr>
        <w:t>珠三角九市：</w:t>
      </w:r>
      <w:r>
        <w:rPr>
          <w:rFonts w:ascii="Microsoft YaHei" w:eastAsia="Microsoft YaHei" w:hAnsi="Microsoft YaHei" w:cs="Microsoft YaHei"/>
          <w:color w:val="0E57C4"/>
          <w:spacing w:val="64"/>
          <w:sz w:val="30"/>
          <w:szCs w:val="30"/>
        </w:rPr>
        <w:t xml:space="preserve"> </w:t>
      </w:r>
      <w:r>
        <w:rPr>
          <w:rFonts w:ascii="Microsoft YaHei" w:eastAsia="Microsoft YaHei" w:hAnsi="Microsoft YaHei" w:cs="Microsoft YaHei"/>
          <w:color w:val="0E57C4"/>
          <w:spacing w:val="-5"/>
          <w:sz w:val="30"/>
          <w:szCs w:val="30"/>
        </w:rPr>
        <w:t>生产加速修复</w:t>
      </w:r>
      <w:r>
        <w:rPr>
          <w:rFonts w:ascii="Microsoft YaHei" w:eastAsia="Microsoft YaHei" w:hAnsi="Microsoft YaHei" w:cs="Microsoft YaHei"/>
          <w:color w:val="0E57C4"/>
          <w:spacing w:val="-43"/>
          <w:sz w:val="30"/>
          <w:szCs w:val="30"/>
        </w:rPr>
        <w:t xml:space="preserve"> </w:t>
      </w:r>
      <w:r>
        <w:rPr>
          <w:rFonts w:ascii="Microsoft YaHei" w:eastAsia="Microsoft YaHei" w:hAnsi="Microsoft YaHei" w:cs="Microsoft YaHei"/>
          <w:color w:val="0E57C4"/>
          <w:spacing w:val="-5"/>
          <w:sz w:val="30"/>
          <w:szCs w:val="30"/>
        </w:rPr>
        <w:t>，消费外贸改善</w:t>
      </w:r>
      <w:r>
        <w:rPr>
          <w:rFonts w:ascii="Microsoft YaHei" w:eastAsia="Microsoft YaHei" w:hAnsi="Microsoft YaHei" w:cs="Microsoft YaHei"/>
          <w:color w:val="0E57C4"/>
          <w:spacing w:val="-44"/>
          <w:sz w:val="30"/>
          <w:szCs w:val="30"/>
        </w:rPr>
        <w:t xml:space="preserve"> </w:t>
      </w:r>
      <w:r>
        <w:rPr>
          <w:rFonts w:ascii="Microsoft YaHei" w:eastAsia="Microsoft YaHei" w:hAnsi="Microsoft YaHei" w:cs="Microsoft YaHei"/>
          <w:color w:val="0E57C4"/>
          <w:spacing w:val="-5"/>
          <w:sz w:val="30"/>
          <w:szCs w:val="30"/>
        </w:rPr>
        <w:t>，投资</w:t>
      </w:r>
      <w:r>
        <w:rPr>
          <w:rFonts w:ascii="Microsoft YaHei" w:eastAsia="Microsoft YaHei" w:hAnsi="Microsoft YaHei" w:cs="Microsoft YaHei"/>
          <w:color w:val="0E57C4"/>
          <w:spacing w:val="-6"/>
          <w:sz w:val="30"/>
          <w:szCs w:val="30"/>
        </w:rPr>
        <w:t>放缓</w:t>
      </w:r>
    </w:p>
    <w:p>
      <w:pPr>
        <w:spacing w:before="208" w:line="225" w:lineRule="auto"/>
        <w:ind w:left="1738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b/>
          <w:bCs/>
          <w:color w:val="0E57C4"/>
          <w:spacing w:val="-3"/>
          <w:sz w:val="24"/>
          <w:szCs w:val="24"/>
        </w:rPr>
        <w:t>（1）工业企业生产加速修复</w:t>
      </w:r>
      <w:r>
        <w:rPr>
          <w:rFonts w:ascii="Microsoft YaHei" w:eastAsia="Microsoft YaHei" w:hAnsi="Microsoft YaHei" w:cs="Microsoft YaHei"/>
          <w:b/>
          <w:bCs/>
          <w:color w:val="0E57C4"/>
          <w:spacing w:val="-3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0E57C4"/>
          <w:spacing w:val="-3"/>
          <w:sz w:val="24"/>
          <w:szCs w:val="24"/>
        </w:rPr>
        <w:t>，工业增加值增速环比提升</w:t>
      </w:r>
    </w:p>
    <w:p>
      <w:pPr>
        <w:pStyle w:val="BodyText"/>
        <w:spacing w:before="199" w:line="360" w:lineRule="auto"/>
        <w:ind w:left="1710" w:right="1701" w:firstLine="483"/>
        <w:jc w:val="both"/>
      </w:pPr>
      <w:r>
        <w:rPr>
          <w:spacing w:val="-4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2023</w:t>
      </w:r>
      <w:r>
        <w:rPr>
          <w:spacing w:val="-35"/>
        </w:rPr>
        <w:t xml:space="preserve"> </w:t>
      </w:r>
      <w:r>
        <w:rPr>
          <w:spacing w:val="-4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年四季度，珠三角九市工业生产进入快速增长通道，10</w:t>
      </w:r>
      <w:r>
        <w:rPr>
          <w:spacing w:val="-45"/>
        </w:rPr>
        <w:t xml:space="preserve"> </w:t>
      </w:r>
      <w:r>
        <w:rPr>
          <w:spacing w:val="-4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月、11</w:t>
      </w:r>
      <w:r>
        <w:rPr>
          <w:spacing w:val="-45"/>
        </w:rPr>
        <w:t xml:space="preserve"> </w:t>
      </w:r>
      <w:r>
        <w:rPr>
          <w:spacing w:val="-4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月的工业</w:t>
      </w:r>
      <w:r>
        <w:t xml:space="preserve"> </w:t>
      </w:r>
      <w:r>
        <w:rPr>
          <w:spacing w:val="-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增加值累计增速延续二季度以来的恢复态势。</w:t>
      </w:r>
      <w:r>
        <w:rPr>
          <w:spacing w:val="-3"/>
        </w:rPr>
        <w:t>分城市看（图</w:t>
      </w:r>
      <w:r>
        <w:rPr>
          <w:spacing w:val="-33"/>
        </w:rPr>
        <w:t xml:space="preserve"> </w:t>
      </w:r>
      <w:r>
        <w:rPr>
          <w:spacing w:val="-3"/>
        </w:rPr>
        <w:t>1</w:t>
      </w:r>
      <w:r>
        <w:rPr>
          <w:spacing w:val="-6"/>
        </w:rPr>
        <w:t>），</w:t>
      </w:r>
      <w:r>
        <w:rPr>
          <w:spacing w:val="-3"/>
        </w:rPr>
        <w:t>除佛山、珠海增</w:t>
      </w:r>
      <w:r>
        <w:t xml:space="preserve"> </w:t>
      </w:r>
      <w:r>
        <w:rPr>
          <w:spacing w:val="3"/>
        </w:rPr>
        <w:t>速略有回落外，深圳、中山、江门、惠州、肇庆、广</w:t>
      </w:r>
      <w:r>
        <w:rPr>
          <w:spacing w:val="2"/>
        </w:rPr>
        <w:t>州、东莞的增速创下年内新</w:t>
      </w:r>
      <w:r>
        <w:t xml:space="preserve"> </w:t>
      </w:r>
      <w:r>
        <w:t>高。其中深圳、中山、江门、惠州的增速均超过</w:t>
      </w:r>
      <w:r>
        <w:rPr>
          <w:spacing w:val="-29"/>
        </w:rPr>
        <w:t xml:space="preserve"> </w:t>
      </w:r>
      <w:r>
        <w:t>5%；广州工业生产重新进入正增</w:t>
      </w:r>
    </w:p>
    <w:p>
      <w:pPr>
        <w:pStyle w:val="BodyText"/>
        <w:spacing w:line="219" w:lineRule="auto"/>
        <w:ind w:left="1711"/>
      </w:pPr>
      <w:r>
        <w:rPr>
          <w:spacing w:val="-1"/>
        </w:rPr>
        <w:t>长区间；东莞工业生产加速恢复，预计年内可实现由负转正。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65" w:line="231" w:lineRule="auto"/>
        <w:ind w:left="172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SimHei" w:eastAsia="SimHei" w:hAnsi="SimHei" w:cs="SimHei"/>
          <w:spacing w:val="29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rFonts w:ascii="SimHei" w:eastAsia="SimHei" w:hAnsi="SimHei" w:cs="SimHei"/>
          <w:spacing w:val="-3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5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工业增加值累计同比</w:t>
      </w:r>
    </w:p>
    <w:p>
      <w:pPr>
        <w:spacing w:before="62" w:line="221" w:lineRule="auto"/>
        <w:ind w:left="1710"/>
        <w:rPr>
          <w:rFonts w:ascii="SimHei" w:eastAsia="SimHei" w:hAnsi="SimHei" w:cs="SimHei"/>
          <w:sz w:val="20"/>
          <w:szCs w:val="20"/>
        </w:rPr>
        <w:sectPr>
          <w:headerReference w:type="default" r:id="rId12"/>
          <w:footerReference w:type="default" r:id="rId13"/>
          <w:pgSz w:w="11906" w:h="16839"/>
          <w:pgMar w:top="400" w:right="0" w:bottom="1282" w:left="0" w:header="0" w:footer="1103" w:gutter="0"/>
          <w:pgNumType w:start="4"/>
          <w:cols w:space="708"/>
        </w:sectPr>
      </w:pPr>
      <w:r>
        <w:rPr>
          <w:rFonts w:ascii="SimHei" w:eastAsia="SimHei" w:hAnsi="SimHei" w:cs="SimHei"/>
          <w:spacing w:val="10"/>
          <w:sz w:val="20"/>
          <w:szCs w:val="20"/>
        </w:rPr>
        <w:t>数据来源：</w:t>
      </w:r>
      <w:r>
        <w:rPr>
          <w:rFonts w:ascii="SimHei" w:eastAsia="SimHei" w:hAnsi="SimHei" w:cs="SimHei"/>
          <w:sz w:val="20"/>
          <w:szCs w:val="20"/>
        </w:rPr>
        <w:t>wind</w:t>
      </w:r>
      <w:r>
        <w:rPr>
          <w:rFonts w:ascii="SimHei" w:eastAsia="SimHei" w:hAnsi="SimHei" w:cs="SimHei"/>
          <w:spacing w:val="10"/>
          <w:sz w:val="20"/>
          <w:szCs w:val="20"/>
        </w:rPr>
        <w:t>，北大汇丰智库</w:t>
      </w:r>
    </w:p>
    <w:p>
      <w:pPr>
        <w:pStyle w:val="BodyText"/>
        <w:spacing w:before="135" w:line="360" w:lineRule="auto"/>
        <w:ind w:left="1710" w:right="1701" w:firstLine="480"/>
        <w:jc w:val="both"/>
      </w:pPr>
      <w:r>
        <w:rPr>
          <w:spacing w:val="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深圳</w:t>
      </w:r>
      <w:r>
        <w:rPr>
          <w:spacing w:val="3"/>
        </w:rPr>
        <w:t>的汽车制造业、电热生产供应业和专业设备制造业是拉</w:t>
      </w:r>
      <w:r>
        <w:rPr>
          <w:spacing w:val="2"/>
        </w:rPr>
        <w:t>动工业生产增长</w:t>
      </w:r>
      <w:r>
        <w:t xml:space="preserve"> </w:t>
      </w:r>
      <w:r>
        <w:rPr>
          <w:spacing w:val="-1"/>
        </w:rPr>
        <w:t>的主要动力，1-11</w:t>
      </w:r>
      <w:r>
        <w:rPr>
          <w:spacing w:val="-45"/>
        </w:rPr>
        <w:t xml:space="preserve"> </w:t>
      </w:r>
      <w:r>
        <w:rPr>
          <w:spacing w:val="-1"/>
        </w:rPr>
        <w:t>月增速分别为</w:t>
      </w:r>
      <w:r>
        <w:rPr>
          <w:spacing w:val="-46"/>
        </w:rPr>
        <w:t xml:space="preserve"> </w:t>
      </w:r>
      <w:r>
        <w:rPr>
          <w:spacing w:val="-1"/>
        </w:rPr>
        <w:t>52.0%、 16.1%、13.1%。乘联会</w:t>
      </w:r>
      <w:r>
        <w:rPr>
          <w:spacing w:val="-2"/>
        </w:rPr>
        <w:t>数据显示，1-11</w:t>
      </w:r>
      <w:r>
        <w:t xml:space="preserve"> </w:t>
      </w:r>
      <w:r>
        <w:rPr>
          <w:spacing w:val="-3"/>
        </w:rPr>
        <w:t>月比亚迪新能源汽车累计产、销量分别为</w:t>
      </w:r>
      <w:r>
        <w:rPr>
          <w:spacing w:val="-48"/>
        </w:rPr>
        <w:t xml:space="preserve"> </w:t>
      </w:r>
      <w:r>
        <w:rPr>
          <w:spacing w:val="-3"/>
        </w:rPr>
        <w:t>273.63</w:t>
      </w:r>
      <w:r>
        <w:rPr>
          <w:spacing w:val="-45"/>
        </w:rPr>
        <w:t xml:space="preserve"> </w:t>
      </w:r>
      <w:r>
        <w:rPr>
          <w:spacing w:val="-3"/>
        </w:rPr>
        <w:t>万辆、268.34</w:t>
      </w:r>
      <w:r>
        <w:rPr>
          <w:spacing w:val="-45"/>
        </w:rPr>
        <w:t xml:space="preserve"> </w:t>
      </w:r>
      <w:r>
        <w:rPr>
          <w:spacing w:val="-3"/>
        </w:rPr>
        <w:t>万辆</w:t>
      </w:r>
      <w:r>
        <w:rPr>
          <w:spacing w:val="-4"/>
        </w:rPr>
        <w:t>，同比增速分</w:t>
      </w:r>
      <w:r>
        <w:t xml:space="preserve"> </w:t>
      </w:r>
      <w:r>
        <w:rPr>
          <w:spacing w:val="1"/>
        </w:rPr>
        <w:t>别为</w:t>
      </w:r>
      <w:r>
        <w:rPr>
          <w:spacing w:val="-49"/>
        </w:rPr>
        <w:t xml:space="preserve"> </w:t>
      </w:r>
      <w:r>
        <w:rPr>
          <w:spacing w:val="1"/>
        </w:rPr>
        <w:t>66.66%、64.80%，在中国乘用车</w:t>
      </w:r>
      <w:r>
        <w:t xml:space="preserve">品牌中销量居榜首。进入冬季用电用热需求 </w:t>
      </w:r>
      <w:r>
        <w:rPr>
          <w:spacing w:val="3"/>
        </w:rPr>
        <w:t>增长带动电热生产供应行业扩大供给。海目星、迈瑞</w:t>
      </w:r>
      <w:r>
        <w:rPr>
          <w:spacing w:val="2"/>
        </w:rPr>
        <w:t>医疗等专业设备制造企业的</w:t>
      </w:r>
      <w:r>
        <w:t xml:space="preserve"> </w:t>
      </w:r>
      <w:r>
        <w:rPr>
          <w:spacing w:val="-1"/>
        </w:rPr>
        <w:t>三季度营收增长（41.78%、11.2%）为四季度扩大生产提供了基础。</w:t>
      </w:r>
      <w:r>
        <w:rPr>
          <w:spacing w:val="-1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中山</w:t>
      </w:r>
      <w:r>
        <w:rPr>
          <w:spacing w:val="-1"/>
        </w:rPr>
        <w:t>的电气机</w:t>
      </w:r>
      <w:r>
        <w:rPr>
          <w:spacing w:val="14"/>
        </w:rPr>
        <w:t xml:space="preserve"> </w:t>
      </w:r>
      <w:r>
        <w:rPr>
          <w:spacing w:val="3"/>
        </w:rPr>
        <w:t>械和器材制造业、计算机、通信和其他电子设备制造</w:t>
      </w:r>
      <w:r>
        <w:rPr>
          <w:spacing w:val="2"/>
        </w:rPr>
        <w:t>业、金属制品业、通用设备</w:t>
      </w:r>
    </w:p>
    <w:p>
      <w:pPr>
        <w:pStyle w:val="BodyText"/>
        <w:spacing w:line="219" w:lineRule="auto"/>
        <w:ind w:left="1711"/>
      </w:pPr>
      <w:r>
        <w:rPr>
          <w:spacing w:val="-3"/>
        </w:rPr>
        <w:t>制造业生产加速，同比分别增长</w:t>
      </w:r>
      <w:r>
        <w:rPr>
          <w:spacing w:val="-17"/>
        </w:rPr>
        <w:t xml:space="preserve"> </w:t>
      </w:r>
      <w:r>
        <w:rPr>
          <w:spacing w:val="-3"/>
        </w:rPr>
        <w:t>14.2%、9.9%、1.3%、5.9%，带动全市工业增加值</w:t>
      </w:r>
    </w:p>
    <w:p>
      <w:pPr>
        <w:spacing w:line="219" w:lineRule="auto"/>
        <w:sectPr>
          <w:headerReference w:type="default" r:id="rId14"/>
          <w:footerReference w:type="default" r:id="rId15"/>
          <w:type w:val="nextPage"/>
          <w:pgSz w:w="11906" w:h="16839"/>
          <w:pgMar w:top="400" w:right="0" w:bottom="1282" w:left="0" w:header="0" w:footer="1103" w:gutter="0"/>
          <w:pgNumType w:start="5"/>
          <w:cols w:space="708"/>
          <w:titlePg w:val="0"/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1710" w:right="1701"/>
        <w:jc w:val="both"/>
      </w:pPr>
      <w:r>
        <w:rPr>
          <w:spacing w:val="1"/>
        </w:rPr>
        <w:t>增速快速提升至</w:t>
      </w:r>
      <w:r>
        <w:rPr>
          <w:spacing w:val="-49"/>
        </w:rPr>
        <w:t xml:space="preserve"> </w:t>
      </w:r>
      <w:r>
        <w:rPr>
          <w:spacing w:val="1"/>
        </w:rPr>
        <w:t>6%。</w:t>
      </w:r>
      <w:r>
        <w:rPr>
          <w:spacing w:val="1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江门</w:t>
      </w:r>
      <w:r>
        <w:rPr>
          <w:spacing w:val="1"/>
        </w:rPr>
        <w:t>的制造业加速恢复</w:t>
      </w:r>
      <w:r>
        <w:t xml:space="preserve">，灯具、电路板、洗衣机、摩托车等 </w:t>
      </w:r>
      <w:r>
        <w:rPr>
          <w:spacing w:val="1"/>
        </w:rPr>
        <w:t>产品产量明显增长，拉动全市工业增加值增速涨</w:t>
      </w:r>
      <w:r>
        <w:t>至</w:t>
      </w:r>
      <w:r>
        <w:rPr>
          <w:spacing w:val="-49"/>
        </w:rPr>
        <w:t xml:space="preserve"> </w:t>
      </w:r>
      <w:r>
        <w:t xml:space="preserve">6.2%。惠州的电子行业、石化 </w:t>
      </w:r>
      <w:r>
        <w:rPr>
          <w:spacing w:val="-2"/>
        </w:rPr>
        <w:t>产业、能源产业增加值分别增长</w:t>
      </w:r>
      <w:r>
        <w:rPr>
          <w:spacing w:val="-45"/>
        </w:rPr>
        <w:t xml:space="preserve"> </w:t>
      </w:r>
      <w:r>
        <w:rPr>
          <w:spacing w:val="-2"/>
        </w:rPr>
        <w:t>7.8%、4.6%</w:t>
      </w:r>
      <w:r>
        <w:rPr>
          <w:spacing w:val="-3"/>
        </w:rPr>
        <w:t>、14.9%，全球消费电子行业回暖，以</w:t>
      </w:r>
    </w:p>
    <w:p>
      <w:pPr>
        <w:pStyle w:val="BodyText"/>
        <w:spacing w:line="219" w:lineRule="auto"/>
        <w:ind w:left="1710"/>
      </w:pPr>
      <w:r>
        <w:rPr>
          <w:spacing w:val="-1"/>
        </w:rPr>
        <w:t>及一系列重大项目如埃克森美孚、中海壳牌等拉动相关行业生产增加是主要因素。</w:t>
      </w:r>
    </w:p>
    <w:p>
      <w:pPr>
        <w:pStyle w:val="BodyText"/>
        <w:spacing w:before="182" w:line="360" w:lineRule="auto"/>
        <w:ind w:left="1710" w:right="1701" w:firstLine="509"/>
        <w:jc w:val="both"/>
      </w:pPr>
      <w:r>
        <w:rPr>
          <w:spacing w:val="-3"/>
        </w:rPr>
        <w:t>电子行业的复苏对于广州、东莞的工业生产拉动作用也十分明显，</w:t>
      </w:r>
      <w:r>
        <w:rPr>
          <w:spacing w:val="-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广州</w:t>
      </w:r>
      <w:r>
        <w:rPr>
          <w:spacing w:val="-29"/>
        </w:rPr>
        <w:t xml:space="preserve"> </w:t>
      </w:r>
      <w:r>
        <w:rPr>
          <w:spacing w:val="-3"/>
        </w:rPr>
        <w:t>11</w:t>
      </w:r>
      <w:r>
        <w:rPr>
          <w:spacing w:val="-45"/>
        </w:rPr>
        <w:t xml:space="preserve"> </w:t>
      </w:r>
      <w:r>
        <w:rPr>
          <w:spacing w:val="-3"/>
        </w:rPr>
        <w:t>月</w:t>
      </w:r>
      <w:r>
        <w:t xml:space="preserve"> </w:t>
      </w:r>
      <w:r>
        <w:rPr>
          <w:spacing w:val="1"/>
        </w:rPr>
        <w:t>工业增加值累计增速已达到</w:t>
      </w:r>
      <w:r>
        <w:rPr>
          <w:spacing w:val="-49"/>
        </w:rPr>
        <w:t xml:space="preserve"> </w:t>
      </w:r>
      <w:r>
        <w:rPr>
          <w:spacing w:val="1"/>
        </w:rPr>
        <w:t>0.1%，年内首次转</w:t>
      </w:r>
      <w:r>
        <w:t>正；</w:t>
      </w:r>
      <w:r>
        <w:rPr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东莞</w:t>
      </w:r>
      <w:r>
        <w:t xml:space="preserve">的工业增加值虽仍在负增 </w:t>
      </w:r>
      <w:r>
        <w:rPr>
          <w:spacing w:val="3"/>
        </w:rPr>
        <w:t>长区间，但较年初已大幅改善，年底有望实现正增长</w:t>
      </w:r>
      <w:r>
        <w:rPr>
          <w:spacing w:val="2"/>
        </w:rPr>
        <w:t>。</w:t>
      </w:r>
      <w:r>
        <w:rPr>
          <w:spacing w:val="2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佛山</w:t>
      </w:r>
      <w:r>
        <w:rPr>
          <w:spacing w:val="2"/>
        </w:rPr>
        <w:t>的十大行业中电气机</w:t>
      </w:r>
      <w:r>
        <w:t xml:space="preserve"> </w:t>
      </w:r>
      <w:r>
        <w:rPr>
          <w:spacing w:val="-2"/>
        </w:rPr>
        <w:t>械和器材制造业同比增长</w:t>
      </w:r>
      <w:r>
        <w:rPr>
          <w:spacing w:val="-33"/>
        </w:rPr>
        <w:t xml:space="preserve"> </w:t>
      </w:r>
      <w:r>
        <w:rPr>
          <w:spacing w:val="-2"/>
        </w:rPr>
        <w:t>12.2%；橡胶和塑料制品业增长</w:t>
      </w:r>
      <w:r>
        <w:rPr>
          <w:spacing w:val="-33"/>
        </w:rPr>
        <w:t xml:space="preserve"> </w:t>
      </w:r>
      <w:r>
        <w:rPr>
          <w:spacing w:val="-2"/>
        </w:rPr>
        <w:t>15.4%；专用设备制造业</w:t>
      </w:r>
      <w:r>
        <w:t xml:space="preserve"> </w:t>
      </w:r>
      <w:r>
        <w:rPr>
          <w:spacing w:val="-3"/>
        </w:rPr>
        <w:t>增长</w:t>
      </w:r>
      <w:r>
        <w:rPr>
          <w:spacing w:val="-33"/>
        </w:rPr>
        <w:t xml:space="preserve"> </w:t>
      </w:r>
      <w:r>
        <w:rPr>
          <w:spacing w:val="-3"/>
        </w:rPr>
        <w:t>11.9%，前十大行业共拉动全市规</w:t>
      </w:r>
      <w:r>
        <w:rPr>
          <w:spacing w:val="-4"/>
        </w:rPr>
        <w:t>模以上工业增长</w:t>
      </w:r>
      <w:r>
        <w:rPr>
          <w:spacing w:val="-46"/>
        </w:rPr>
        <w:t xml:space="preserve"> </w:t>
      </w:r>
      <w:r>
        <w:rPr>
          <w:spacing w:val="-4"/>
        </w:rPr>
        <w:t>5.4</w:t>
      </w:r>
      <w:r>
        <w:rPr>
          <w:spacing w:val="-51"/>
        </w:rPr>
        <w:t xml:space="preserve"> </w:t>
      </w:r>
      <w:r>
        <w:rPr>
          <w:spacing w:val="-4"/>
        </w:rPr>
        <w:t>个百分点，工业增加值</w:t>
      </w:r>
      <w:r>
        <w:t xml:space="preserve"> </w:t>
      </w:r>
      <w:r>
        <w:rPr>
          <w:spacing w:val="1"/>
        </w:rPr>
        <w:t>增速</w:t>
      </w:r>
      <w:r>
        <w:rPr>
          <w:spacing w:val="-49"/>
        </w:rPr>
        <w:t xml:space="preserve"> </w:t>
      </w:r>
      <w:r>
        <w:rPr>
          <w:spacing w:val="1"/>
        </w:rPr>
        <w:t>6.5%，领先湾区各市。</w:t>
      </w:r>
      <w:r>
        <w:rPr>
          <w:spacing w:val="1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珠海</w:t>
      </w:r>
      <w:r>
        <w:rPr>
          <w:spacing w:val="1"/>
        </w:rPr>
        <w:t>的七大支柱产</w:t>
      </w:r>
      <w:r>
        <w:t xml:space="preserve">业中电子信息、生物医药行业增速 </w:t>
      </w:r>
      <w:r>
        <w:rPr>
          <w:spacing w:val="1"/>
        </w:rPr>
        <w:t>略有放缓，导致全市总体工业生产增长较三季度有</w:t>
      </w:r>
      <w:r>
        <w:t>所放缓，但仍实现了</w:t>
      </w:r>
      <w:r>
        <w:rPr>
          <w:spacing w:val="-49"/>
        </w:rPr>
        <w:t xml:space="preserve"> </w:t>
      </w:r>
      <w:r>
        <w:t xml:space="preserve">4.1%的增 </w:t>
      </w:r>
      <w:r>
        <w:rPr>
          <w:spacing w:val="3"/>
        </w:rPr>
        <w:t>长。</w:t>
      </w:r>
      <w:r>
        <w:rPr>
          <w:spacing w:val="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总体上看，珠三角各市的工业生产恢复进程</w:t>
      </w:r>
      <w:r>
        <w:rPr>
          <w:spacing w:val="2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较快，拉动广东省整体工业生产</w:t>
      </w:r>
      <w:r>
        <w:t xml:space="preserve"> </w:t>
      </w:r>
      <w:r>
        <w:rPr>
          <w:spacing w:val="-2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快速增长，11</w:t>
      </w:r>
      <w:r>
        <w:rPr>
          <w:spacing w:val="-42"/>
        </w:rPr>
        <w:t xml:space="preserve"> </w:t>
      </w:r>
      <w:r>
        <w:rPr>
          <w:spacing w:val="-2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月广东工业增加值累计增长</w:t>
      </w:r>
      <w:r>
        <w:rPr>
          <w:spacing w:val="-49"/>
        </w:rPr>
        <w:t xml:space="preserve"> </w:t>
      </w:r>
      <w:r>
        <w:rPr>
          <w:spacing w:val="-2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4%，与全国差距仅有</w:t>
      </w:r>
      <w:r>
        <w:rPr>
          <w:spacing w:val="-49"/>
        </w:rPr>
        <w:t xml:space="preserve"> </w:t>
      </w:r>
      <w:r>
        <w:rPr>
          <w:spacing w:val="-2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0.3</w:t>
      </w:r>
      <w:r>
        <w:rPr>
          <w:spacing w:val="-51"/>
        </w:rPr>
        <w:t xml:space="preserve"> </w:t>
      </w:r>
      <w:r>
        <w:rPr>
          <w:spacing w:val="-2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个百分点，相</w:t>
      </w:r>
    </w:p>
    <w:p>
      <w:pPr>
        <w:pStyle w:val="BodyText"/>
        <w:spacing w:line="219" w:lineRule="auto"/>
        <w:ind w:left="1710"/>
      </w:pPr>
      <w:r>
        <w:rPr>
          <w:spacing w:val="-1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对于年初</w:t>
      </w:r>
      <w:r>
        <w:rPr>
          <w:spacing w:val="-45"/>
        </w:rPr>
        <w:t xml:space="preserve"> </w:t>
      </w:r>
      <w:r>
        <w:rPr>
          <w:spacing w:val="-1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3.9</w:t>
      </w:r>
      <w:r>
        <w:rPr>
          <w:spacing w:val="-51"/>
        </w:rPr>
        <w:t xml:space="preserve"> </w:t>
      </w:r>
      <w:r>
        <w:rPr>
          <w:spacing w:val="-1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个百分点的差距已明显改善。</w:t>
      </w:r>
    </w:p>
    <w:p>
      <w:pPr>
        <w:spacing w:before="221" w:line="225" w:lineRule="auto"/>
        <w:ind w:left="1738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b/>
          <w:bCs/>
          <w:color w:val="0E57C4"/>
          <w:spacing w:val="-3"/>
          <w:sz w:val="24"/>
          <w:szCs w:val="24"/>
        </w:rPr>
        <w:t>（2）企业经济效益持续改善</w:t>
      </w:r>
      <w:r>
        <w:rPr>
          <w:rFonts w:ascii="Microsoft YaHei" w:eastAsia="Microsoft YaHei" w:hAnsi="Microsoft YaHei" w:cs="Microsoft YaHei"/>
          <w:b/>
          <w:bCs/>
          <w:color w:val="0E57C4"/>
          <w:spacing w:val="-4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0E57C4"/>
          <w:spacing w:val="-3"/>
          <w:sz w:val="24"/>
          <w:szCs w:val="24"/>
        </w:rPr>
        <w:t>，就业难形势有望</w:t>
      </w:r>
      <w:r>
        <w:rPr>
          <w:rFonts w:ascii="Microsoft YaHei" w:eastAsia="Microsoft YaHei" w:hAnsi="Microsoft YaHei" w:cs="Microsoft YaHei"/>
          <w:b/>
          <w:bCs/>
          <w:color w:val="0E57C4"/>
          <w:spacing w:val="-4"/>
          <w:sz w:val="24"/>
          <w:szCs w:val="24"/>
        </w:rPr>
        <w:t>缓解</w:t>
      </w:r>
    </w:p>
    <w:p>
      <w:pPr>
        <w:pStyle w:val="BodyText"/>
        <w:spacing w:before="199" w:line="360" w:lineRule="auto"/>
        <w:ind w:left="1710" w:right="1620" w:firstLine="482"/>
        <w:jc w:val="both"/>
      </w:pPr>
      <w:r>
        <w:rPr>
          <w:spacing w:val="-4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2023</w:t>
      </w:r>
      <w:r>
        <w:rPr>
          <w:spacing w:val="-46"/>
        </w:rPr>
        <w:t xml:space="preserve"> </w:t>
      </w:r>
      <w:r>
        <w:rPr>
          <w:spacing w:val="-4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年四季度，珠三角各市的工业企业经济效益延续二季度以来的修复趋势，</w:t>
      </w:r>
      <w:r>
        <w:t xml:space="preserve"> </w:t>
      </w:r>
      <w:r>
        <w:rPr>
          <w:spacing w:val="-8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企业营业收入和利润总额均有明显改善</w:t>
      </w:r>
      <w:r>
        <w:rPr>
          <w:spacing w:val="-8"/>
        </w:rPr>
        <w:t>（图</w:t>
      </w:r>
      <w:r>
        <w:rPr>
          <w:spacing w:val="-33"/>
        </w:rPr>
        <w:t xml:space="preserve"> </w:t>
      </w:r>
      <w:r>
        <w:rPr>
          <w:spacing w:val="-8"/>
        </w:rPr>
        <w:t>2、图</w:t>
      </w:r>
      <w:r>
        <w:rPr>
          <w:spacing w:val="-46"/>
        </w:rPr>
        <w:t xml:space="preserve"> </w:t>
      </w:r>
      <w:r>
        <w:rPr>
          <w:spacing w:val="-8"/>
        </w:rPr>
        <w:t>3）。11</w:t>
      </w:r>
      <w:r>
        <w:rPr>
          <w:spacing w:val="-44"/>
        </w:rPr>
        <w:t xml:space="preserve"> </w:t>
      </w:r>
      <w:r>
        <w:rPr>
          <w:spacing w:val="-8"/>
        </w:rPr>
        <w:t>月，广州、东莞、中山、</w:t>
      </w:r>
      <w:r>
        <w:t xml:space="preserve"> </w:t>
      </w:r>
      <w:r>
        <w:rPr>
          <w:spacing w:val="-4"/>
        </w:rPr>
        <w:t>肇庆工业企业营业收入累计增速较年初分别增长</w:t>
      </w:r>
      <w:r>
        <w:rPr>
          <w:spacing w:val="-26"/>
        </w:rPr>
        <w:t xml:space="preserve"> </w:t>
      </w:r>
      <w:r>
        <w:rPr>
          <w:spacing w:val="-4"/>
        </w:rPr>
        <w:t>10</w:t>
      </w:r>
      <w:r>
        <w:rPr>
          <w:spacing w:val="-51"/>
        </w:rPr>
        <w:t xml:space="preserve"> </w:t>
      </w:r>
      <w:r>
        <w:rPr>
          <w:spacing w:val="-4"/>
        </w:rPr>
        <w:t>个百分点、10</w:t>
      </w:r>
      <w:r>
        <w:rPr>
          <w:spacing w:val="-50"/>
        </w:rPr>
        <w:t xml:space="preserve"> </w:t>
      </w:r>
      <w:r>
        <w:rPr>
          <w:spacing w:val="-4"/>
        </w:rPr>
        <w:t xml:space="preserve">个百分点、14.9 </w:t>
      </w:r>
      <w:r>
        <w:rPr>
          <w:spacing w:val="-7"/>
        </w:rPr>
        <w:t>个百分点、9.6</w:t>
      </w:r>
      <w:r>
        <w:rPr>
          <w:spacing w:val="-41"/>
        </w:rPr>
        <w:t xml:space="preserve"> </w:t>
      </w:r>
      <w:r>
        <w:rPr>
          <w:spacing w:val="-7"/>
        </w:rPr>
        <w:t>个百分点；工业企业利润总额的改善更为明显，广州、深圳、惠州、</w:t>
      </w:r>
      <w:r>
        <w:t xml:space="preserve"> </w:t>
      </w:r>
      <w:r>
        <w:rPr>
          <w:spacing w:val="-2"/>
        </w:rPr>
        <w:t>中山、江门、肇庆工业企业利润总额累计增速较年初分别提高</w:t>
      </w:r>
      <w:r>
        <w:rPr>
          <w:spacing w:val="-39"/>
        </w:rPr>
        <w:t xml:space="preserve"> </w:t>
      </w:r>
      <w:r>
        <w:rPr>
          <w:spacing w:val="-2"/>
        </w:rPr>
        <w:t>43</w:t>
      </w:r>
      <w:r>
        <w:rPr>
          <w:spacing w:val="-50"/>
        </w:rPr>
        <w:t xml:space="preserve"> </w:t>
      </w:r>
      <w:r>
        <w:rPr>
          <w:spacing w:val="-2"/>
        </w:rPr>
        <w:t xml:space="preserve">个百分点、24.5 </w:t>
      </w:r>
      <w:r>
        <w:rPr>
          <w:spacing w:val="1"/>
        </w:rPr>
        <w:t>个百分点、51.8</w:t>
      </w:r>
      <w:r>
        <w:rPr>
          <w:spacing w:val="-49"/>
        </w:rPr>
        <w:t xml:space="preserve"> </w:t>
      </w:r>
      <w:r>
        <w:rPr>
          <w:spacing w:val="1"/>
        </w:rPr>
        <w:t>个百分点、32.1</w:t>
      </w:r>
      <w:r>
        <w:rPr>
          <w:spacing w:val="-45"/>
        </w:rPr>
        <w:t xml:space="preserve"> </w:t>
      </w:r>
      <w:r>
        <w:rPr>
          <w:spacing w:val="1"/>
        </w:rPr>
        <w:t>个百分</w:t>
      </w:r>
      <w:r>
        <w:t>点、24.5</w:t>
      </w:r>
      <w:r>
        <w:rPr>
          <w:spacing w:val="-49"/>
        </w:rPr>
        <w:t xml:space="preserve"> </w:t>
      </w:r>
      <w:r>
        <w:t>个百分点、47.4</w:t>
      </w:r>
      <w:r>
        <w:rPr>
          <w:spacing w:val="-45"/>
        </w:rPr>
        <w:t xml:space="preserve"> </w:t>
      </w:r>
      <w:r>
        <w:t xml:space="preserve">个百分点。得 </w:t>
      </w:r>
      <w:r>
        <w:rPr>
          <w:spacing w:val="-1"/>
        </w:rPr>
        <w:t>益于珠三角城市的带动，广东全省的工业企业营收（1.1%）和利润（12.</w:t>
      </w:r>
      <w:r>
        <w:rPr>
          <w:spacing w:val="-2"/>
        </w:rPr>
        <w:t xml:space="preserve">2%）增长 </w:t>
      </w:r>
      <w:r>
        <w:rPr>
          <w:spacing w:val="1"/>
        </w:rPr>
        <w:t>都明显领先全国水平（1%、4.4%</w:t>
      </w:r>
      <w:r>
        <w:rPr>
          <w:spacing w:val="20"/>
        </w:rPr>
        <w:t>），</w:t>
      </w:r>
      <w:r>
        <w:rPr>
          <w:spacing w:val="1"/>
        </w:rPr>
        <w:t>凸显了制造业高质量发展的成效。</w:t>
      </w:r>
      <w:r>
        <w:t xml:space="preserve">但值得注 </w:t>
      </w:r>
      <w:r>
        <w:rPr>
          <w:spacing w:val="3"/>
        </w:rPr>
        <w:t>意的是，广州、东莞、惠州的工业企业营收仍在负</w:t>
      </w:r>
      <w:r>
        <w:rPr>
          <w:spacing w:val="2"/>
        </w:rPr>
        <w:t>增长区间，广州、深圳的企业</w:t>
      </w:r>
      <w:r>
        <w:t xml:space="preserve"> </w:t>
      </w:r>
      <w:r>
        <w:rPr>
          <w:spacing w:val="3"/>
        </w:rPr>
        <w:t>利润尚未由负转正，虽然降幅在持续收窄，但要进</w:t>
      </w:r>
      <w:r>
        <w:rPr>
          <w:spacing w:val="2"/>
        </w:rPr>
        <w:t>一步提升企业经济效益仍需思</w:t>
      </w:r>
    </w:p>
    <w:p>
      <w:pPr>
        <w:pStyle w:val="BodyText"/>
        <w:spacing w:before="1" w:line="219" w:lineRule="auto"/>
        <w:ind w:left="1710"/>
      </w:pPr>
      <w:r>
        <w:rPr>
          <w:spacing w:val="-3"/>
        </w:rPr>
        <w:t>考良方</w:t>
      </w:r>
      <w:r>
        <w:rPr>
          <w:spacing w:val="-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。</w:t>
      </w:r>
    </w:p>
    <w:p>
      <w:pPr>
        <w:spacing w:line="219" w:lineRule="auto"/>
        <w:sectPr>
          <w:headerReference w:type="default" r:id="rId16"/>
          <w:footerReference w:type="default" r:id="rId17"/>
          <w:pgSz w:w="11906" w:h="16839"/>
          <w:pgMar w:top="400" w:right="0" w:bottom="1281" w:left="0" w:header="0" w:footer="1103" w:gutter="0"/>
          <w:pgNumType w:start="6"/>
          <w:cols w:space="708"/>
        </w:sectPr>
      </w:pPr>
    </w:p>
    <w:p>
      <w:pPr>
        <w:spacing w:line="250" w:lineRule="auto"/>
        <w:rPr>
          <w:rFonts w:ascii="Arial"/>
          <w:sz w:val="21"/>
        </w:rPr>
      </w:pPr>
      <w:r>
        <w:pict>
          <v:shape id="_x0000_s1031" type="#_x0000_t136" style="width:415.45pt;height:30.5pt;margin-top:112.59pt;margin-left:-34.73pt;mso-position-horizontal-relative:page;mso-position-vertical-relative:page;position:absolute;rotation:315;z-index:-251650048" o:allowincell="f" filled="t" fillcolor="#bf504d" stroked="f">
            <v:fill opacity="3855f"/>
            <v:textpath style="font-family:SimHei;font-size:30pt;mso-text-shadow:auto;v-text-kern:t" string="北大汇丰智库   北大汇丰智库"/>
          </v:shape>
        </w:pict>
      </w:r>
      <w:r>
        <w:drawing>
          <wp:anchor distT="0" distB="0" distL="0" distR="0" simplePos="0" relativeHeight="251665408" behindDoc="1" locked="0" layoutInCell="0" allowOverlap="1">
            <wp:simplePos x="0" y="0"/>
            <wp:positionH relativeFrom="page">
              <wp:posOffset>1374775</wp:posOffset>
            </wp:positionH>
            <wp:positionV relativeFrom="page">
              <wp:posOffset>910590</wp:posOffset>
            </wp:positionV>
            <wp:extent cx="4810125" cy="27813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65" w:line="231" w:lineRule="auto"/>
        <w:ind w:left="1722"/>
        <w:rPr>
          <w:rFonts w:ascii="SimHei" w:eastAsia="SimHei" w:hAnsi="SimHei" w:cs="SimHei"/>
          <w:sz w:val="20"/>
          <w:szCs w:val="20"/>
        </w:rPr>
      </w:pPr>
      <w:r>
        <w:pict>
          <v:shape id="_x0000_s1032" type="#_x0000_t136" style="width:679.3pt;height:30.5pt;margin-top:-89.19pt;margin-left:-92.32pt;position:absolute;rotation:315;z-index:-251649024" filled="t" fillcolor="#bf504d" stroked="f">
            <v:fill opacity="3855f"/>
            <v:textpath style="font-family:SimHei;font-size:30pt;mso-text-shadow:auto;v-text-kern:t" string="丰智库   北大汇丰智库   北大汇丰智库   北大"/>
          </v:shape>
        </w:pict>
      </w:r>
      <w:r>
        <w:pict>
          <v:shape id="_x0000_s1033" type="#_x0000_t136" style="width:799.1pt;height:30.5pt;margin-top:16.98pt;margin-left:-88.29pt;position:absolute;rotation:315;z-index:-251648000" filled="t" fillcolor="#bf504d" stroked="f">
            <v:fill opacity="3855f"/>
            <v:textpath style="font-family:SimHei;font-size:30pt;mso-text-shadow:auto;v-text-kern:t" string="北大汇丰智库   北大汇丰智库   北大汇丰智库   北大汇"/>
          </v:shape>
        </w:pict>
      </w:r>
      <w:r>
        <w:rPr>
          <w:rFonts w:ascii="SimHei" w:eastAsia="SimHei" w:hAnsi="SimHei" w:cs="SimHei"/>
          <w:spacing w:val="8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8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8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珠三角城市工业企业营业收入累计同比</w:t>
      </w:r>
    </w:p>
    <w:p>
      <w:pPr>
        <w:spacing w:before="62" w:line="221" w:lineRule="auto"/>
        <w:ind w:left="171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0"/>
          <w:sz w:val="20"/>
          <w:szCs w:val="20"/>
        </w:rPr>
        <w:t>数据来源：</w:t>
      </w:r>
      <w:r>
        <w:rPr>
          <w:rFonts w:ascii="SimHei" w:eastAsia="SimHei" w:hAnsi="SimHei" w:cs="SimHei"/>
          <w:sz w:val="20"/>
          <w:szCs w:val="20"/>
        </w:rPr>
        <w:t>wind</w:t>
      </w:r>
      <w:r>
        <w:rPr>
          <w:rFonts w:ascii="SimHei" w:eastAsia="SimHei" w:hAnsi="SimHei" w:cs="SimHei"/>
          <w:spacing w:val="10"/>
          <w:sz w:val="20"/>
          <w:szCs w:val="20"/>
        </w:rPr>
        <w:t>，北大汇丰智库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  <w:sectPr>
          <w:headerReference w:type="default" r:id="rId19"/>
          <w:footerReference w:type="default" r:id="rId20"/>
          <w:pgSz w:w="11906" w:h="16839"/>
          <w:pgMar w:top="400" w:right="0" w:bottom="1281" w:left="0" w:header="0" w:footer="1103" w:gutter="0"/>
          <w:pgNumType w:start="7"/>
          <w:cols w:space="708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65" w:line="229" w:lineRule="auto"/>
        <w:ind w:left="1722"/>
        <w:rPr>
          <w:rFonts w:ascii="SimHei" w:eastAsia="SimHei" w:hAnsi="SimHei" w:cs="SimHei"/>
          <w:sz w:val="20"/>
          <w:szCs w:val="20"/>
        </w:rPr>
      </w:pPr>
      <w:r>
        <w:pict>
          <v:shape id="_x0000_s1034" type="#_x0000_t136" style="width:799.3pt;height:30.5pt;margin-top:-74.86pt;margin-left:-107.27pt;position:absolute;rotation:315;z-index:-251646976" filled="t" fillcolor="#bf504d" stroked="f">
            <v:fill opacity="3855f"/>
            <v:textpath style="font-family:SimHei;font-size:30pt;mso-text-shadow:auto;v-text-kern:t" string="丰智库   北大汇丰智库   北大汇丰智库   北大汇丰智库"/>
          </v:shape>
        </w:pict>
      </w:r>
      <w:r>
        <w:rPr>
          <w:rFonts w:ascii="SimHei" w:eastAsia="SimHei" w:hAnsi="SimHei" w:cs="SimHei"/>
          <w:spacing w:val="8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图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8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3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8"/>
          <w:sz w:val="20"/>
          <w:szCs w:val="20"/>
          <w14:textOutline w14:w="3797" w14:cap="sq">
            <w14:solidFill>
              <w14:srgbClr w14:val="000000"/>
            </w14:solidFill>
            <w14:prstDash w14:val="solid"/>
            <w14:bevel/>
          </w14:textOutline>
        </w:rPr>
        <w:t>珠三角城市工业企业利润总额累计同比</w:t>
      </w:r>
    </w:p>
    <w:p>
      <w:pPr>
        <w:spacing w:before="63" w:line="221" w:lineRule="auto"/>
        <w:ind w:left="171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8"/>
          <w:sz w:val="20"/>
          <w:szCs w:val="20"/>
        </w:rPr>
        <w:t>注：东莞的工业企业利润总额累计增速数据异常值和波动较大，6</w:t>
      </w:r>
      <w:r>
        <w:rPr>
          <w:rFonts w:ascii="SimHei" w:eastAsia="SimHei" w:hAnsi="SimHei" w:cs="SimHei"/>
          <w:spacing w:val="-2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8"/>
          <w:sz w:val="20"/>
          <w:szCs w:val="20"/>
        </w:rPr>
        <w:t>月以来均在</w:t>
      </w:r>
      <w:r>
        <w:rPr>
          <w:rFonts w:ascii="SimHei" w:eastAsia="SimHei" w:hAnsi="SimHei" w:cs="SimHei"/>
          <w:spacing w:val="-26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8"/>
          <w:sz w:val="20"/>
          <w:szCs w:val="20"/>
        </w:rPr>
        <w:t>150%左右</w:t>
      </w:r>
    </w:p>
    <w:p>
      <w:pPr>
        <w:spacing w:before="73" w:line="221" w:lineRule="auto"/>
        <w:ind w:left="171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0"/>
          <w:sz w:val="20"/>
          <w:szCs w:val="20"/>
        </w:rPr>
        <w:t>数据来源：</w:t>
      </w:r>
      <w:r>
        <w:rPr>
          <w:rFonts w:ascii="SimHei" w:eastAsia="SimHei" w:hAnsi="SimHei" w:cs="SimHei"/>
          <w:sz w:val="20"/>
          <w:szCs w:val="20"/>
        </w:rPr>
        <w:t>wind</w:t>
      </w:r>
      <w:r>
        <w:rPr>
          <w:rFonts w:ascii="SimHei" w:eastAsia="SimHei" w:hAnsi="SimHei" w:cs="SimHei"/>
          <w:spacing w:val="10"/>
          <w:sz w:val="20"/>
          <w:szCs w:val="20"/>
        </w:rPr>
        <w:t>，北大汇丰智库</w:t>
      </w:r>
    </w:p>
    <w:p>
      <w:pPr>
        <w:pStyle w:val="BodyText"/>
        <w:spacing w:before="290" w:line="360" w:lineRule="auto"/>
        <w:ind w:left="1709" w:right="1620" w:firstLine="485"/>
        <w:jc w:val="both"/>
      </w:pPr>
      <w:r>
        <w:rPr>
          <w:spacing w:val="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企业经济效益总体改善的情况下，就业市场出现一</w:t>
      </w:r>
      <w:r>
        <w:rPr>
          <w:spacing w:val="2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定好转，用工需求触底反</w:t>
      </w:r>
      <w:r>
        <w:t xml:space="preserve"> </w:t>
      </w:r>
      <w:r>
        <w:rPr>
          <w:spacing w:val="-7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弹（图</w:t>
      </w:r>
      <w:r>
        <w:rPr>
          <w:spacing w:val="-52"/>
        </w:rPr>
        <w:t xml:space="preserve"> </w:t>
      </w:r>
      <w:r>
        <w:rPr>
          <w:spacing w:val="-7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4）。10</w:t>
      </w:r>
      <w:r>
        <w:rPr>
          <w:spacing w:val="-42"/>
        </w:rPr>
        <w:t xml:space="preserve"> </w:t>
      </w:r>
      <w:r>
        <w:rPr>
          <w:spacing w:val="-7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月、11</w:t>
      </w:r>
      <w:r>
        <w:rPr>
          <w:spacing w:val="-43"/>
        </w:rPr>
        <w:t xml:space="preserve"> </w:t>
      </w:r>
      <w:r>
        <w:rPr>
          <w:spacing w:val="-7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月珠三角工业企业平均人工人数累计同比增速分别为-4.1</w:t>
      </w:r>
      <w:r>
        <w:rPr>
          <w:spacing w:val="-8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%、</w:t>
      </w:r>
      <w:r>
        <w:t xml:space="preserve"> </w:t>
      </w:r>
      <w:r>
        <w:rPr>
          <w:spacing w:val="-2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-3.8%，虽仍在负增长区间内，但较</w:t>
      </w:r>
      <w:r>
        <w:rPr>
          <w:spacing w:val="-49"/>
        </w:rPr>
        <w:t xml:space="preserve"> </w:t>
      </w:r>
      <w:r>
        <w:rPr>
          <w:spacing w:val="-2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6</w:t>
      </w:r>
      <w:r>
        <w:rPr>
          <w:spacing w:val="-45"/>
        </w:rPr>
        <w:t xml:space="preserve"> </w:t>
      </w:r>
      <w:r>
        <w:rPr>
          <w:spacing w:val="-2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月的低值-4.5%已有明显</w:t>
      </w:r>
      <w:r>
        <w:rPr>
          <w:spacing w:val="-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回升，自</w:t>
      </w:r>
      <w:r>
        <w:rPr>
          <w:spacing w:val="-45"/>
        </w:rPr>
        <w:t xml:space="preserve"> </w:t>
      </w:r>
      <w:r>
        <w:rPr>
          <w:spacing w:val="-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2021</w:t>
      </w:r>
      <w:r>
        <w:rPr>
          <w:spacing w:val="-50"/>
        </w:rPr>
        <w:t xml:space="preserve"> </w:t>
      </w:r>
      <w:r>
        <w:rPr>
          <w:spacing w:val="-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年以</w:t>
      </w:r>
      <w:r>
        <w:rPr>
          <w:spacing w:val="-3"/>
        </w:rPr>
        <w:t xml:space="preserve"> </w:t>
      </w:r>
      <w:r>
        <w:rPr>
          <w:spacing w:val="-3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来持续两年多的下降趋势明显开始扭转。</w:t>
      </w:r>
      <w:r>
        <w:rPr>
          <w:spacing w:val="-3"/>
        </w:rPr>
        <w:t>中国互联网搜索指数显示（图</w:t>
      </w:r>
      <w:r>
        <w:rPr>
          <w:spacing w:val="-46"/>
        </w:rPr>
        <w:t xml:space="preserve"> </w:t>
      </w:r>
      <w:r>
        <w:rPr>
          <w:spacing w:val="-3"/>
        </w:rPr>
        <w:t>5</w:t>
      </w:r>
      <w:r>
        <w:rPr>
          <w:spacing w:val="1"/>
        </w:rPr>
        <w:t>），</w:t>
      </w:r>
      <w:r>
        <w:rPr>
          <w:spacing w:val="-3"/>
        </w:rPr>
        <w:t>四季</w:t>
      </w:r>
    </w:p>
    <w:p>
      <w:pPr>
        <w:pStyle w:val="BodyText"/>
        <w:spacing w:before="1" w:line="217" w:lineRule="auto"/>
        <w:ind w:left="1710"/>
      </w:pPr>
      <w:r>
        <w:rPr>
          <w:spacing w:val="-2"/>
        </w:rPr>
        <w:t>度开始找工作指数有明显的攀升，招聘指数在</w:t>
      </w:r>
      <w:r>
        <w:rPr>
          <w:spacing w:val="-30"/>
        </w:rPr>
        <w:t xml:space="preserve"> </w:t>
      </w:r>
      <w:r>
        <w:rPr>
          <w:spacing w:val="-2"/>
        </w:rPr>
        <w:t>12</w:t>
      </w:r>
      <w:r>
        <w:rPr>
          <w:spacing w:val="-45"/>
        </w:rPr>
        <w:t xml:space="preserve"> </w:t>
      </w:r>
      <w:r>
        <w:rPr>
          <w:spacing w:val="-2"/>
        </w:rPr>
        <w:t>月有小幅反弹，虽然总体仍呈现</w:t>
      </w:r>
    </w:p>
    <w:p>
      <w:pPr>
        <w:spacing w:line="217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https://d.book118.com/028032044017006033</w:t>
        </w:r>
      </w:hyperlink>
    </w:p>
    <w:p>
      <w:pPr>
        <w:spacing w:line="217" w:lineRule="auto"/>
      </w:pPr>
    </w:p>
    <w:sectPr>
      <w:headerReference w:type="default" r:id="rId22"/>
      <w:footerReference w:type="default" r:id="rId23"/>
      <w:type w:val="nextPage"/>
      <w:pgSz w:w="11906" w:h="16839"/>
      <w:pgMar w:top="400" w:right="0" w:bottom="1281" w:left="0" w:header="0" w:footer="1103" w:gutter="0"/>
      <w:pgNumType w:start="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6169"/>
      <w:rPr>
        <w:sz w:val="18"/>
        <w:szCs w:val="18"/>
      </w:rPr>
    </w:pPr>
    <w:r>
      <w:rPr>
        <w:sz w:val="18"/>
        <w:szCs w:val="18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6169"/>
      <w:rPr>
        <w:sz w:val="18"/>
        <w:szCs w:val="18"/>
      </w:rPr>
    </w:pPr>
    <w:r>
      <w:rPr>
        <w:sz w:val="18"/>
        <w:szCs w:val="18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6157"/>
      <w:rPr>
        <w:sz w:val="18"/>
        <w:szCs w:val="18"/>
      </w:rPr>
    </w:pPr>
    <w:r>
      <w:rPr>
        <w:sz w:val="18"/>
        <w:szCs w:val="18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6159"/>
      <w:rPr>
        <w:sz w:val="18"/>
        <w:szCs w:val="18"/>
      </w:rPr>
    </w:pPr>
    <w:r>
      <w:rPr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6159"/>
      <w:rPr>
        <w:sz w:val="18"/>
        <w:szCs w:val="18"/>
      </w:rPr>
    </w:pPr>
    <w:r>
      <w:rPr>
        <w:sz w:val="18"/>
        <w:szCs w:val="18"/>
      </w:rPr>
      <w:t>3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width:415.45pt;height:30.5pt;margin-top:705.26pt;margin-left:223.02pt;mso-position-horizontal-relative:page;mso-position-vertical-relative:page;position:absolute;rotation:315;z-index:-251658240" o:allowincell="f" filled="t" fillcolor="#bf504d" stroked="f">
          <v:fill opacity="3855f"/>
          <v:textpath style="font-family:SimHei;font-size:30pt;mso-text-shadow:auto;v-text-kern:t" string="北大汇丰智库   北大汇丰智库"/>
        </v:shape>
      </w:pict>
    </w:r>
    <w:r>
      <w:pict>
        <v:shape id="_x0000_s2050" type="#_x0000_t136" style="width:678.15pt;height:30.5pt;margin-top:609.29pt;margin-left:17.56pt;mso-position-horizontal-relative:page;mso-position-vertical-relative:page;position:absolute;rotation:315;z-index:-251657216" o:allowincell="f" filled="t" fillcolor="#bf504d" stroked="f">
          <v:fill opacity="3855f"/>
          <v:textpath style="font-family:SimHei;font-size:30pt;mso-text-shadow:auto;v-text-kern:t" string="智库   北大汇丰智库   北大汇丰智库   北大汇"/>
        </v:shape>
      </w:pict>
    </w:r>
    <w:r>
      <w:pict>
        <v:shape id="_x0000_s2051" type="#_x0000_t136" style="width:799.3pt;height:30.5pt;margin-top:503.44pt;margin-left:-107.27pt;mso-position-horizontal-relative:page;mso-position-vertical-relative:page;position:absolute;rotation:315;z-index:-251656192" o:allowincell="f" filled="t" fillcolor="#bf504d" stroked="f">
          <v:fill opacity="3855f"/>
          <v:textpath style="font-family:SimHei;font-size:30pt;mso-text-shadow:auto;v-text-kern:t" string="丰智库   北大汇丰智库   北大汇丰智库   北大汇丰智库"/>
        </v:shape>
      </w:pict>
    </w:r>
    <w:r>
      <w:pict>
        <v:shape id="_x0000_s2052" type="#_x0000_t136" style="width:799.1pt;height:30.5pt;margin-top:314.5pt;margin-left:-88.29pt;mso-position-horizontal-relative:page;mso-position-vertical-relative:page;position:absolute;rotation:315;z-index:-251655168" o:allowincell="f" filled="t" fillcolor="#bf504d" stroked="f">
          <v:fill opacity="3855f"/>
          <v:textpath style="font-family:SimHei;font-size:30pt;mso-text-shadow:auto;v-text-kern:t" string="北大汇丰智库   北大汇丰智库   北大汇丰智库   北大汇"/>
        </v:shape>
      </w:pict>
    </w:r>
    <w:r>
      <w:pict>
        <v:shape id="_x0000_s2053" type="#_x0000_t136" style="width:679.3pt;height:30.5pt;margin-top:208.33pt;margin-left:-92.32pt;mso-position-horizontal-relative:page;mso-position-vertical-relative:page;position:absolute;rotation:315;z-index:-251654144" o:allowincell="f" filled="t" fillcolor="#bf504d" stroked="f">
          <v:fill opacity="3855f"/>
          <v:textpath style="font-family:SimHei;font-size:30pt;mso-text-shadow:auto;v-text-kern:t" string="丰智库   北大汇丰智库   北大汇丰智库   北大"/>
        </v:shape>
      </w:pict>
    </w:r>
    <w:r>
      <w:pict>
        <v:shape id="_x0000_s2054" type="#_x0000_t136" style="width:415.45pt;height:30.5pt;margin-top:112.59pt;margin-left:-34.73pt;mso-position-horizontal-relative:page;mso-position-vertical-relative:page;position:absolute;rotation:315;z-index:-251653120" o:allowincell="f" filled="t" fillcolor="#bf504d" stroked="f">
          <v:fill opacity="3855f"/>
          <v:textpath style="font-family:SimHei;font-size:30pt;mso-text-shadow:auto;v-text-kern:t" string="北大汇丰智库   北大汇丰智库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5" type="#_x0000_t136" style="width:415.45pt;height:30.5pt;margin-top:705.26pt;margin-left:223.02pt;mso-position-horizontal-relative:page;mso-position-vertical-relative:page;position:absolute;rotation:315;z-index:-251652096" o:allowincell="f" filled="t" fillcolor="#bf504d" stroked="f">
          <v:fill opacity="3855f"/>
          <v:textpath style="font-family:SimHei;font-size:30pt;mso-text-shadow:auto;v-text-kern:t" string="北大汇丰智库   北大汇丰智库"/>
        </v:shape>
      </w:pict>
    </w:r>
    <w:r>
      <w:pict>
        <v:shape id="_x0000_s2056" type="#_x0000_t136" style="width:678.15pt;height:30.5pt;margin-top:609.29pt;margin-left:17.56pt;mso-position-horizontal-relative:page;mso-position-vertical-relative:page;position:absolute;rotation:315;z-index:-251651072" o:allowincell="f" filled="t" fillcolor="#bf504d" stroked="f">
          <v:fill opacity="3855f"/>
          <v:textpath style="font-family:SimHei;font-size:30pt;mso-text-shadow:auto;v-text-kern:t" string="智库   北大汇丰智库   北大汇丰智库   北大汇"/>
        </v:shape>
      </w:pict>
    </w:r>
    <w:r>
      <w:pict>
        <v:shape id="_x0000_s2057" type="#_x0000_t136" style="width:799.3pt;height:30.5pt;margin-top:503.44pt;margin-left:-107.27pt;mso-position-horizontal-relative:page;mso-position-vertical-relative:page;position:absolute;rotation:315;z-index:-251650048" o:allowincell="f" filled="t" fillcolor="#bf504d" stroked="f">
          <v:fill opacity="3855f"/>
          <v:textpath style="font-family:SimHei;font-size:30pt;mso-text-shadow:auto;v-text-kern:t" string="丰智库   北大汇丰智库   北大汇丰智库   北大汇丰智库"/>
        </v:shape>
      </w:pict>
    </w:r>
    <w:r>
      <w:pict>
        <v:shape id="_x0000_s2058" type="#_x0000_t136" style="width:799.1pt;height:30.5pt;margin-top:314.5pt;margin-left:-88.29pt;mso-position-horizontal-relative:page;mso-position-vertical-relative:page;position:absolute;rotation:315;z-index:-251649024" o:allowincell="f" filled="t" fillcolor="#bf504d" stroked="f">
          <v:fill opacity="3855f"/>
          <v:textpath style="font-family:SimHei;font-size:30pt;mso-text-shadow:auto;v-text-kern:t" string="北大汇丰智库   北大汇丰智库   北大汇丰智库   北大汇"/>
        </v:shape>
      </w:pict>
    </w:r>
    <w:r>
      <w:pict>
        <v:shape id="_x0000_s2059" type="#_x0000_t136" style="width:679.3pt;height:30.5pt;margin-top:208.33pt;margin-left:-92.32pt;mso-position-horizontal-relative:page;mso-position-vertical-relative:page;position:absolute;rotation:315;z-index:-251648000" o:allowincell="f" filled="t" fillcolor="#bf504d" stroked="f">
          <v:fill opacity="3855f"/>
          <v:textpath style="font-family:SimHei;font-size:30pt;mso-text-shadow:auto;v-text-kern:t" string="丰智库   北大汇丰智库   北大汇丰智库   北大"/>
        </v:shape>
      </w:pict>
    </w:r>
    <w:r>
      <w:pict>
        <v:shape id="_x0000_s2060" type="#_x0000_t136" style="width:415.45pt;height:30.5pt;margin-top:112.59pt;margin-left:-34.73pt;mso-position-horizontal-relative:page;mso-position-vertical-relative:page;position:absolute;rotation:315;z-index:-251646976" o:allowincell="f" filled="t" fillcolor="#bf504d" stroked="f">
          <v:fill opacity="3855f"/>
          <v:textpath style="font-family:SimHei;font-size:30pt;mso-text-shadow:auto;v-text-kern:t" string="北大汇丰智库   北大汇丰智库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61" type="#_x0000_t136" style="width:415.45pt;height:30.5pt;margin-top:112.59pt;margin-left:-34.73pt;mso-position-horizontal-relative:page;mso-position-vertical-relative:page;position:absolute;rotation:315;z-index:-251645952" o:allowincell="f" filled="t" fillcolor="#bf504d" stroked="f">
          <v:fill opacity="3855f"/>
          <v:textpath style="font-family:SimHei;font-size:30pt;mso-text-shadow:auto;v-text-kern:t" string="北大汇丰智库   北大汇丰智库"/>
        </v:shape>
      </w:pict>
    </w:r>
    <w:r>
      <w:pict>
        <v:shape id="_x0000_s2062" type="#_x0000_t136" style="width:415.45pt;height:30.5pt;margin-top:705.26pt;margin-left:223.02pt;mso-position-horizontal-relative:page;mso-position-vertical-relative:page;position:absolute;rotation:315;z-index:-251644928" o:allowincell="f" filled="t" fillcolor="#bf504d" stroked="f">
          <v:fill opacity="3855f"/>
          <v:textpath style="font-family:SimHei;font-size:30pt;mso-text-shadow:auto;v-text-kern:t" string="北大汇丰智库   北大汇丰智库"/>
        </v:shape>
      </w:pict>
    </w:r>
    <w:r>
      <w:drawing>
        <wp:anchor distT="0" distB="0" distL="0" distR="0" simplePos="0" relativeHeight="251672576" behindDoc="1" locked="0" layoutInCell="0" allowOverlap="1">
          <wp:simplePos x="0" y="0"/>
          <wp:positionH relativeFrom="page">
            <wp:posOffset>1231900</wp:posOffset>
          </wp:positionH>
          <wp:positionV relativeFrom="page">
            <wp:posOffset>3656964</wp:posOffset>
          </wp:positionV>
          <wp:extent cx="5095875" cy="3033395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95875" cy="30333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2063" type="#_x0000_t136" style="width:799.3pt;height:30.5pt;margin-top:503.44pt;margin-left:-107.27pt;mso-position-horizontal-relative:page;mso-position-vertical-relative:page;position:absolute;rotation:315;z-index:-251642880" o:allowincell="f" filled="t" fillcolor="#bf504d" stroked="f">
          <v:fill opacity="3855f"/>
          <v:textpath style="font-family:SimHei;font-size:30pt;mso-text-shadow:auto;v-text-kern:t" string="丰智库   北大汇丰智库   北大汇丰智库   北大汇丰智库"/>
        </v:shape>
      </w:pict>
    </w:r>
    <w:r>
      <w:pict>
        <v:shape id="_x0000_s2064" type="#_x0000_t136" style="width:799.1pt;height:30.5pt;margin-top:314.5pt;margin-left:-88.29pt;mso-position-horizontal-relative:page;mso-position-vertical-relative:page;position:absolute;rotation:315;z-index:-251641856" o:allowincell="f" filled="t" fillcolor="#bf504d" stroked="f">
          <v:fill opacity="3855f"/>
          <v:textpath style="font-family:SimHei;font-size:30pt;mso-text-shadow:auto;v-text-kern:t" string="北大汇丰智库   北大汇丰智库   北大汇丰智库   北大汇"/>
        </v:shape>
      </w:pict>
    </w:r>
    <w:r>
      <w:pict>
        <v:shape id="_x0000_s2065" type="#_x0000_t136" style="width:679.3pt;height:30.5pt;margin-top:208.33pt;margin-left:-92.32pt;mso-position-horizontal-relative:page;mso-position-vertical-relative:page;position:absolute;rotation:315;z-index:-251640832" o:allowincell="f" filled="t" fillcolor="#bf504d" stroked="f">
          <v:fill opacity="3855f"/>
          <v:textpath style="font-family:SimHei;font-size:30pt;mso-text-shadow:auto;v-text-kern:t" string="丰智库   北大汇丰智库   北大汇丰智库   北大"/>
        </v:shape>
      </w:pict>
    </w:r>
    <w:r>
      <w:pict>
        <v:shape id="_x0000_s2066" type="#_x0000_t136" style="width:678.15pt;height:30.5pt;margin-top:609.29pt;margin-left:17.56pt;mso-position-horizontal-relative:page;mso-position-vertical-relative:page;position:absolute;rotation:315;z-index:-251639808" o:allowincell="f" filled="t" fillcolor="#bf504d" stroked="f">
          <v:fill opacity="3855f"/>
          <v:textpath style="font-family:SimHei;font-size:30pt;mso-text-shadow:auto;v-text-kern:t" string="智库   北大汇丰智库   北大汇丰智库   北大汇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67" type="#_x0000_t136" style="width:415.45pt;height:30.5pt;margin-top:112.59pt;margin-left:-34.73pt;mso-position-horizontal-relative:page;mso-position-vertical-relative:page;position:absolute;rotation:315;z-index:-251638784" o:allowincell="f" filled="t" fillcolor="#bf504d" stroked="f">
          <v:fill opacity="3855f"/>
          <v:textpath style="font-family:SimHei;font-size:30pt;mso-text-shadow:auto;v-text-kern:t" string="北大汇丰智库   北大汇丰智库"/>
        </v:shape>
      </w:pict>
    </w:r>
    <w:r>
      <w:pict>
        <v:shape id="_x0000_s2068" type="#_x0000_t136" style="width:415.45pt;height:30.5pt;margin-top:705.26pt;margin-left:223.02pt;mso-position-horizontal-relative:page;mso-position-vertical-relative:page;position:absolute;rotation:315;z-index:-251637760" o:allowincell="f" filled="t" fillcolor="#bf504d" stroked="f">
          <v:fill opacity="3855f"/>
          <v:textpath style="font-family:SimHei;font-size:30pt;mso-text-shadow:auto;v-text-kern:t" string="北大汇丰智库   北大汇丰智库"/>
        </v:shape>
      </w:pict>
    </w:r>
    <w:r>
      <w:drawing>
        <wp:anchor distT="0" distB="0" distL="0" distR="0" simplePos="0" relativeHeight="251679744" behindDoc="1" locked="0" layoutInCell="0" allowOverlap="1">
          <wp:simplePos x="0" y="0"/>
          <wp:positionH relativeFrom="page">
            <wp:posOffset>1231900</wp:posOffset>
          </wp:positionH>
          <wp:positionV relativeFrom="page">
            <wp:posOffset>3656964</wp:posOffset>
          </wp:positionV>
          <wp:extent cx="5095875" cy="3033395"/>
          <wp:effectExtent l="0" t="0" r="0" b="0"/>
          <wp:wrapNone/>
          <wp:docPr id="56197484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97484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095875" cy="30333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2069" type="#_x0000_t136" style="width:799.3pt;height:30.5pt;margin-top:503.44pt;margin-left:-107.27pt;mso-position-horizontal-relative:page;mso-position-vertical-relative:page;position:absolute;rotation:315;z-index:-251635712" o:allowincell="f" filled="t" fillcolor="#bf504d" stroked="f">
          <v:fill opacity="3855f"/>
          <v:textpath style="font-family:SimHei;font-size:30pt;mso-text-shadow:auto;v-text-kern:t" string="丰智库   北大汇丰智库   北大汇丰智库   北大汇丰智库"/>
        </v:shape>
      </w:pict>
    </w:r>
    <w:r>
      <w:pict>
        <v:shape id="_x0000_s2070" type="#_x0000_t136" style="width:799.1pt;height:30.5pt;margin-top:314.5pt;margin-left:-88.29pt;mso-position-horizontal-relative:page;mso-position-vertical-relative:page;position:absolute;rotation:315;z-index:-251634688" o:allowincell="f" filled="t" fillcolor="#bf504d" stroked="f">
          <v:fill opacity="3855f"/>
          <v:textpath style="font-family:SimHei;font-size:30pt;mso-text-shadow:auto;v-text-kern:t" string="北大汇丰智库   北大汇丰智库   北大汇丰智库   北大汇"/>
        </v:shape>
      </w:pict>
    </w:r>
    <w:r>
      <w:pict>
        <v:shape id="_x0000_s2071" type="#_x0000_t136" style="width:679.3pt;height:30.5pt;margin-top:208.33pt;margin-left:-92.32pt;mso-position-horizontal-relative:page;mso-position-vertical-relative:page;position:absolute;rotation:315;z-index:-251633664" o:allowincell="f" filled="t" fillcolor="#bf504d" stroked="f">
          <v:fill opacity="3855f"/>
          <v:textpath style="font-family:SimHei;font-size:30pt;mso-text-shadow:auto;v-text-kern:t" string="丰智库   北大汇丰智库   北大汇丰智库   北大"/>
        </v:shape>
      </w:pict>
    </w:r>
    <w:r>
      <w:pict>
        <v:shape id="_x0000_s2072" type="#_x0000_t136" style="width:678.15pt;height:30.5pt;margin-top:609.29pt;margin-left:17.56pt;mso-position-horizontal-relative:page;mso-position-vertical-relative:page;position:absolute;rotation:315;z-index:-251632640" o:allowincell="f" filled="t" fillcolor="#bf504d" stroked="f">
          <v:fill opacity="3855f"/>
          <v:textpath style="font-family:SimHei;font-size:30pt;mso-text-shadow:auto;v-text-kern:t" string="智库   北大汇丰智库   北大汇丰智库   北大汇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73" type="#_x0000_t136" style="width:799.3pt;height:30.5pt;margin-top:503.44pt;margin-left:-107.27pt;mso-position-horizontal-relative:page;mso-position-vertical-relative:page;position:absolute;rotation:315;z-index:-251631616" o:allowincell="f" filled="t" fillcolor="#bf504d" stroked="f">
          <v:fill opacity="3855f"/>
          <v:textpath style="font-family:SimHei;font-size:30pt;mso-text-shadow:auto;v-text-kern:t" string="丰智库   北大汇丰智库   北大汇丰智库   北大汇丰智库"/>
        </v:shape>
      </w:pict>
    </w:r>
    <w:r>
      <w:pict>
        <v:shape id="_x0000_s2074" type="#_x0000_t136" style="width:799.1pt;height:30.5pt;margin-top:314.5pt;margin-left:-88.29pt;mso-position-horizontal-relative:page;mso-position-vertical-relative:page;position:absolute;rotation:315;z-index:-251630592" o:allowincell="f" filled="t" fillcolor="#bf504d" stroked="f">
          <v:fill opacity="3855f"/>
          <v:textpath style="font-family:SimHei;font-size:30pt;mso-text-shadow:auto;v-text-kern:t" string="北大汇丰智库   北大汇丰智库   北大汇丰智库   北大汇"/>
        </v:shape>
      </w:pict>
    </w:r>
    <w:r>
      <w:pict>
        <v:shape id="_x0000_s2075" type="#_x0000_t136" style="width:679.3pt;height:30.5pt;margin-top:208.33pt;margin-left:-92.32pt;mso-position-horizontal-relative:page;mso-position-vertical-relative:page;position:absolute;rotation:315;z-index:-251629568" o:allowincell="f" filled="t" fillcolor="#bf504d" stroked="f">
          <v:fill opacity="3855f"/>
          <v:textpath style="font-family:SimHei;font-size:30pt;mso-text-shadow:auto;v-text-kern:t" string="丰智库   北大汇丰智库   北大汇丰智库   北大"/>
        </v:shape>
      </w:pict>
    </w:r>
    <w:r>
      <w:pict>
        <v:shape id="_x0000_s2076" type="#_x0000_t136" style="width:415.45pt;height:30.5pt;margin-top:112.59pt;margin-left:-34.73pt;mso-position-horizontal-relative:page;mso-position-vertical-relative:page;position:absolute;rotation:315;z-index:-251628544" o:allowincell="f" filled="t" fillcolor="#bf504d" stroked="f">
          <v:fill opacity="3855f"/>
          <v:textpath style="font-family:SimHei;font-size:30pt;mso-text-shadow:auto;v-text-kern:t" string="北大汇丰智库   北大汇丰智库"/>
        </v:shape>
      </w:pict>
    </w:r>
    <w:r>
      <w:pict>
        <v:shape id="_x0000_s2077" type="#_x0000_t136" style="width:678.15pt;height:30.5pt;margin-top:609.29pt;margin-left:17.56pt;mso-position-horizontal-relative:page;mso-position-vertical-relative:page;position:absolute;rotation:315;z-index:-251627520" o:allowincell="f" filled="t" fillcolor="#bf504d" stroked="f">
          <v:fill opacity="3855f"/>
          <v:textpath style="font-family:SimHei;font-size:30pt;mso-text-shadow:auto;v-text-kern:t" string="智库   北大汇丰智库   北大汇丰智库   北大汇"/>
        </v:shape>
      </w:pict>
    </w:r>
    <w:r>
      <w:pict>
        <v:shape id="_x0000_s2078" type="#_x0000_t136" style="width:415.45pt;height:30.5pt;margin-top:705.26pt;margin-left:223.02pt;mso-position-horizontal-relative:page;mso-position-vertical-relative:page;position:absolute;rotation:315;z-index:-251626496" o:allowincell="f" filled="t" fillcolor="#bf504d" stroked="f">
          <v:fill opacity="3855f"/>
          <v:textpath style="font-family:SimHei;font-size:30pt;mso-text-shadow:auto;v-text-kern:t" string="北大汇丰智库   北大汇丰智库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91008" behindDoc="1" locked="0" layoutInCell="0" allowOverlap="1">
          <wp:simplePos x="0" y="0"/>
          <wp:positionH relativeFrom="page">
            <wp:posOffset>1389380</wp:posOffset>
          </wp:positionH>
          <wp:positionV relativeFrom="page">
            <wp:posOffset>4301490</wp:posOffset>
          </wp:positionV>
          <wp:extent cx="4781550" cy="2933700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781550" cy="2933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79" type="#_x0000_t136" style="width:678.15pt;height:30.5pt;margin-top:609.29pt;margin-left:17.56pt;mso-position-horizontal-relative:page;mso-position-vertical-relative:page;position:absolute;rotation:315;z-index:-251624448" o:allowincell="f" filled="t" fillcolor="#bf504d" stroked="f">
          <v:fill opacity="3855f"/>
          <v:textpath style="font-family:SimHei;font-size:30pt;mso-text-shadow:auto;v-text-kern:t" string="智库   北大汇丰智库   北大汇丰智库   北大汇"/>
        </v:shape>
      </w:pict>
    </w:r>
    <w:r>
      <w:pict>
        <v:shape id="_x0000_s2080" type="#_x0000_t136" style="width:415.45pt;height:30.5pt;margin-top:705.26pt;margin-left:223.02pt;mso-position-horizontal-relative:page;mso-position-vertical-relative:page;position:absolute;rotation:315;z-index:-251623424" o:allowincell="f" filled="t" fillcolor="#bf504d" stroked="f">
          <v:fill opacity="3855f"/>
          <v:textpath style="font-family:SimHei;font-size:30pt;mso-text-shadow:auto;v-text-kern:t" string="北大汇丰智库   北大汇丰智库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94080" behindDoc="1" locked="0" layoutInCell="0" allowOverlap="1">
          <wp:simplePos x="0" y="0"/>
          <wp:positionH relativeFrom="page">
            <wp:posOffset>1389380</wp:posOffset>
          </wp:positionH>
          <wp:positionV relativeFrom="page">
            <wp:posOffset>4301490</wp:posOffset>
          </wp:positionV>
          <wp:extent cx="4781550" cy="2933700"/>
          <wp:effectExtent l="0" t="0" r="0" b="0"/>
          <wp:wrapNone/>
          <wp:docPr id="1576530603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6530603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781550" cy="2933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81" type="#_x0000_t136" style="width:678.15pt;height:30.5pt;margin-top:609.29pt;margin-left:17.56pt;mso-position-horizontal-relative:page;mso-position-vertical-relative:page;position:absolute;rotation:315;z-index:-251621376" o:allowincell="f" filled="t" fillcolor="#bf504d" stroked="f">
          <v:fill opacity="3855f"/>
          <v:textpath style="font-family:SimHei;font-size:30pt;mso-text-shadow:auto;v-text-kern:t" string="智库   北大汇丰智库   北大汇丰智库   北大汇"/>
        </v:shape>
      </w:pict>
    </w:r>
    <w:r>
      <w:pict>
        <v:shape id="_x0000_s2082" type="#_x0000_t136" style="width:415.45pt;height:30.5pt;margin-top:705.26pt;margin-left:223.02pt;mso-position-horizontal-relative:page;mso-position-vertical-relative:page;position:absolute;rotation:315;z-index:-251620352" o:allowincell="f" filled="t" fillcolor="#bf504d" stroked="f">
          <v:fill opacity="3855f"/>
          <v:textpath style="font-family:SimHei;font-size:30pt;mso-text-shadow:auto;v-text-kern:t" string="北大汇丰智库   北大汇丰智库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image" Target="media/image4.jpe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yperlink" Target="https://d.book118.com/028032044017006033" TargetMode="External" /><Relationship Id="rId22" Type="http://schemas.openxmlformats.org/officeDocument/2006/relationships/header" Target="header8.xml" /><Relationship Id="rId23" Type="http://schemas.openxmlformats.org/officeDocument/2006/relationships/footer" Target="footer8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pn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phbs</dc:creator>
  <cp:revision>0</cp:revision>
  <dcterms:created xsi:type="dcterms:W3CDTF">2024-02-01T20:46:00Z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2024-02-01T20:51:02Z</vt:filetime>
  </property>
  <property fmtid="{D5CDD505-2E9C-101B-9397-08002B2CF9AE}" pid="3" name="CRO">
    <vt:lpwstr>wqlLaW5nc29mdCBQREYgdG8gV1BTIDkw</vt:lpwstr>
  </property>
</Properties>
</file>