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高密度电阻率仪项目规划设计蓝图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1" w:history="1">
        <w:r>
          <w:rPr>
            <w:rFonts w:ascii="仿宋" w:eastAsia="仿宋" w:hAnsi="仿宋" w:cs="仿宋" w:hint="eastAsia"/>
            <w:lang w:eastAsia="zh-CN"/>
          </w:rPr>
          <w:t>序言</w:t>
        </w:r>
        <w:r>
          <w:tab/>
        </w:r>
        <w:r>
          <w:fldChar w:fldCharType="begin"/>
        </w:r>
        <w:r>
          <w:instrText xml:space="preserve"> PAGEREF _Toc7301 \h </w:instrText>
        </w:r>
        <w:r>
          <w:fldChar w:fldCharType="separate"/>
        </w:r>
        <w:r>
          <w:t>3</w:t>
        </w:r>
        <w:r>
          <w:fldChar w:fldCharType="end"/>
        </w:r>
      </w:hyperlink>
    </w:p>
    <w:p>
      <w:pPr>
        <w:pStyle w:val="TOC1"/>
        <w:tabs>
          <w:tab w:val="right" w:leader="dot" w:pos="8306"/>
        </w:tabs>
      </w:pPr>
      <w:hyperlink w:anchor="_Toc12214" w:history="1">
        <w:r>
          <w:rPr>
            <w:rFonts w:ascii="仿宋" w:eastAsia="仿宋" w:hAnsi="仿宋" w:cs="仿宋" w:hint="eastAsia"/>
            <w:lang w:eastAsia="zh-CN"/>
          </w:rPr>
          <w:t>一、市场分析、调研</w:t>
        </w:r>
        <w:r>
          <w:tab/>
        </w:r>
        <w:r>
          <w:fldChar w:fldCharType="begin"/>
        </w:r>
        <w:r>
          <w:instrText xml:space="preserve"> PAGEREF _Toc12214 \h </w:instrText>
        </w:r>
        <w:r>
          <w:fldChar w:fldCharType="separate"/>
        </w:r>
        <w:r>
          <w:t>3</w:t>
        </w:r>
        <w:r>
          <w:fldChar w:fldCharType="end"/>
        </w:r>
      </w:hyperlink>
    </w:p>
    <w:p>
      <w:pPr>
        <w:pStyle w:val="TOC2"/>
        <w:tabs>
          <w:tab w:val="right" w:leader="dot" w:pos="8306"/>
        </w:tabs>
      </w:pPr>
      <w:hyperlink w:anchor="_Toc32160" w:history="1">
        <w:r>
          <w:rPr>
            <w:rFonts w:ascii="仿宋" w:eastAsia="仿宋" w:hAnsi="仿宋" w:cs="仿宋" w:hint="eastAsia"/>
            <w:lang w:eastAsia="zh-CN"/>
          </w:rPr>
          <w:t>(一)、高密度电阻率仪行业分析</w:t>
        </w:r>
        <w:r>
          <w:tab/>
        </w:r>
        <w:r>
          <w:fldChar w:fldCharType="begin"/>
        </w:r>
        <w:r>
          <w:instrText xml:space="preserve"> PAGEREF _Toc32160 \h </w:instrText>
        </w:r>
        <w:r>
          <w:fldChar w:fldCharType="separate"/>
        </w:r>
        <w:r>
          <w:t>3</w:t>
        </w:r>
        <w:r>
          <w:fldChar w:fldCharType="end"/>
        </w:r>
      </w:hyperlink>
    </w:p>
    <w:p>
      <w:pPr>
        <w:pStyle w:val="TOC2"/>
        <w:tabs>
          <w:tab w:val="right" w:leader="dot" w:pos="8306"/>
        </w:tabs>
      </w:pPr>
      <w:hyperlink w:anchor="_Toc12638" w:history="1">
        <w:r>
          <w:rPr>
            <w:rFonts w:ascii="仿宋" w:eastAsia="仿宋" w:hAnsi="仿宋" w:cs="仿宋" w:hint="eastAsia"/>
            <w:lang w:eastAsia="zh-CN"/>
          </w:rPr>
          <w:t>(二)、高密度电阻率仪市场分析预测</w:t>
        </w:r>
        <w:r>
          <w:tab/>
        </w:r>
        <w:r>
          <w:fldChar w:fldCharType="begin"/>
        </w:r>
        <w:r>
          <w:instrText xml:space="preserve"> PAGEREF _Toc12638 \h </w:instrText>
        </w:r>
        <w:r>
          <w:fldChar w:fldCharType="separate"/>
        </w:r>
        <w:r>
          <w:t>4</w:t>
        </w:r>
        <w:r>
          <w:fldChar w:fldCharType="end"/>
        </w:r>
      </w:hyperlink>
    </w:p>
    <w:p>
      <w:pPr>
        <w:pStyle w:val="TOC1"/>
        <w:tabs>
          <w:tab w:val="right" w:leader="dot" w:pos="8306"/>
        </w:tabs>
      </w:pPr>
      <w:hyperlink w:anchor="_Toc25058" w:history="1">
        <w:r>
          <w:rPr>
            <w:rFonts w:ascii="仿宋" w:eastAsia="仿宋" w:hAnsi="仿宋" w:cs="仿宋" w:hint="eastAsia"/>
            <w:lang w:eastAsia="zh-CN"/>
          </w:rPr>
          <w:t>二、高密度电阻率仪项目危机管理</w:t>
        </w:r>
        <w:r>
          <w:tab/>
        </w:r>
        <w:r>
          <w:fldChar w:fldCharType="begin"/>
        </w:r>
        <w:r>
          <w:instrText xml:space="preserve"> PAGEREF _Toc25058 \h </w:instrText>
        </w:r>
        <w:r>
          <w:fldChar w:fldCharType="separate"/>
        </w:r>
        <w:r>
          <w:t>5</w:t>
        </w:r>
        <w:r>
          <w:fldChar w:fldCharType="end"/>
        </w:r>
      </w:hyperlink>
    </w:p>
    <w:p>
      <w:pPr>
        <w:pStyle w:val="TOC2"/>
        <w:tabs>
          <w:tab w:val="right" w:leader="dot" w:pos="8306"/>
        </w:tabs>
      </w:pPr>
      <w:hyperlink w:anchor="_Toc16525" w:history="1">
        <w:r>
          <w:rPr>
            <w:rFonts w:ascii="仿宋" w:eastAsia="仿宋" w:hAnsi="仿宋" w:cs="仿宋" w:hint="eastAsia"/>
            <w:lang w:eastAsia="zh-CN"/>
          </w:rPr>
          <w:t>(一)、危机预警与识别</w:t>
        </w:r>
        <w:r>
          <w:tab/>
        </w:r>
        <w:r>
          <w:fldChar w:fldCharType="begin"/>
        </w:r>
        <w:r>
          <w:instrText xml:space="preserve"> PAGEREF _Toc16525 \h </w:instrText>
        </w:r>
        <w:r>
          <w:fldChar w:fldCharType="separate"/>
        </w:r>
        <w:r>
          <w:t>5</w:t>
        </w:r>
        <w:r>
          <w:fldChar w:fldCharType="end"/>
        </w:r>
      </w:hyperlink>
    </w:p>
    <w:p>
      <w:pPr>
        <w:pStyle w:val="TOC2"/>
        <w:tabs>
          <w:tab w:val="right" w:leader="dot" w:pos="8306"/>
        </w:tabs>
      </w:pPr>
      <w:hyperlink w:anchor="_Toc6553" w:history="1">
        <w:r>
          <w:rPr>
            <w:rFonts w:ascii="仿宋" w:eastAsia="仿宋" w:hAnsi="仿宋" w:cs="仿宋" w:hint="eastAsia"/>
            <w:lang w:eastAsia="zh-CN"/>
          </w:rPr>
          <w:t>(二)、危机应对与恢复</w:t>
        </w:r>
        <w:r>
          <w:tab/>
        </w:r>
        <w:r>
          <w:fldChar w:fldCharType="begin"/>
        </w:r>
        <w:r>
          <w:instrText xml:space="preserve"> PAGEREF _Toc6553 \h </w:instrText>
        </w:r>
        <w:r>
          <w:fldChar w:fldCharType="separate"/>
        </w:r>
        <w:r>
          <w:t>6</w:t>
        </w:r>
        <w:r>
          <w:fldChar w:fldCharType="end"/>
        </w:r>
      </w:hyperlink>
    </w:p>
    <w:p>
      <w:pPr>
        <w:pStyle w:val="TOC1"/>
        <w:tabs>
          <w:tab w:val="right" w:leader="dot" w:pos="8306"/>
        </w:tabs>
      </w:pPr>
      <w:hyperlink w:anchor="_Toc7736" w:history="1">
        <w:r>
          <w:rPr>
            <w:rFonts w:ascii="仿宋" w:eastAsia="仿宋" w:hAnsi="仿宋" w:cs="仿宋" w:hint="eastAsia"/>
            <w:lang w:eastAsia="zh-CN"/>
          </w:rPr>
          <w:t>三、高密度电阻率仪项目土建工程</w:t>
        </w:r>
        <w:r>
          <w:tab/>
        </w:r>
        <w:r>
          <w:fldChar w:fldCharType="begin"/>
        </w:r>
        <w:r>
          <w:instrText xml:space="preserve"> PAGEREF _Toc7736 \h </w:instrText>
        </w:r>
        <w:r>
          <w:fldChar w:fldCharType="separate"/>
        </w:r>
        <w:r>
          <w:t>7</w:t>
        </w:r>
        <w:r>
          <w:fldChar w:fldCharType="end"/>
        </w:r>
      </w:hyperlink>
    </w:p>
    <w:p>
      <w:pPr>
        <w:pStyle w:val="TOC2"/>
        <w:tabs>
          <w:tab w:val="right" w:leader="dot" w:pos="8306"/>
        </w:tabs>
      </w:pPr>
      <w:hyperlink w:anchor="_Toc21571" w:history="1">
        <w:r>
          <w:rPr>
            <w:rFonts w:ascii="仿宋" w:eastAsia="仿宋" w:hAnsi="仿宋" w:cs="仿宋" w:hint="eastAsia"/>
            <w:lang w:eastAsia="zh-CN"/>
          </w:rPr>
          <w:t>(一)、建筑工程设计原则</w:t>
        </w:r>
        <w:r>
          <w:tab/>
        </w:r>
        <w:r>
          <w:fldChar w:fldCharType="begin"/>
        </w:r>
        <w:r>
          <w:instrText xml:space="preserve"> PAGEREF _Toc21571 \h </w:instrText>
        </w:r>
        <w:r>
          <w:fldChar w:fldCharType="separate"/>
        </w:r>
        <w:r>
          <w:t>7</w:t>
        </w:r>
        <w:r>
          <w:fldChar w:fldCharType="end"/>
        </w:r>
      </w:hyperlink>
    </w:p>
    <w:p>
      <w:pPr>
        <w:pStyle w:val="TOC2"/>
        <w:tabs>
          <w:tab w:val="right" w:leader="dot" w:pos="8306"/>
        </w:tabs>
      </w:pPr>
      <w:hyperlink w:anchor="_Toc19678" w:history="1">
        <w:r>
          <w:rPr>
            <w:rFonts w:ascii="仿宋" w:eastAsia="仿宋" w:hAnsi="仿宋" w:cs="仿宋" w:hint="eastAsia"/>
            <w:lang w:eastAsia="zh-CN"/>
          </w:rPr>
          <w:t>(二)、土建工程设计年限及安全等级</w:t>
        </w:r>
        <w:r>
          <w:tab/>
        </w:r>
        <w:r>
          <w:fldChar w:fldCharType="begin"/>
        </w:r>
        <w:r>
          <w:instrText xml:space="preserve"> PAGEREF _Toc19678 \h </w:instrText>
        </w:r>
        <w:r>
          <w:fldChar w:fldCharType="separate"/>
        </w:r>
        <w:r>
          <w:t>8</w:t>
        </w:r>
        <w:r>
          <w:fldChar w:fldCharType="end"/>
        </w:r>
      </w:hyperlink>
    </w:p>
    <w:p>
      <w:pPr>
        <w:pStyle w:val="TOC2"/>
        <w:tabs>
          <w:tab w:val="right" w:leader="dot" w:pos="8306"/>
        </w:tabs>
      </w:pPr>
      <w:hyperlink w:anchor="_Toc8074" w:history="1">
        <w:r>
          <w:rPr>
            <w:rFonts w:ascii="仿宋" w:eastAsia="仿宋" w:hAnsi="仿宋" w:cs="仿宋" w:hint="eastAsia"/>
            <w:lang w:eastAsia="zh-CN"/>
          </w:rPr>
          <w:t>(三)、建筑工程设计总体要求</w:t>
        </w:r>
        <w:r>
          <w:tab/>
        </w:r>
        <w:r>
          <w:fldChar w:fldCharType="begin"/>
        </w:r>
        <w:r>
          <w:instrText xml:space="preserve"> PAGEREF _Toc8074 \h </w:instrText>
        </w:r>
        <w:r>
          <w:fldChar w:fldCharType="separate"/>
        </w:r>
        <w:r>
          <w:t>10</w:t>
        </w:r>
        <w:r>
          <w:fldChar w:fldCharType="end"/>
        </w:r>
      </w:hyperlink>
    </w:p>
    <w:p>
      <w:pPr>
        <w:pStyle w:val="TOC2"/>
        <w:tabs>
          <w:tab w:val="right" w:leader="dot" w:pos="8306"/>
        </w:tabs>
      </w:pPr>
      <w:hyperlink w:anchor="_Toc3068" w:history="1">
        <w:r>
          <w:rPr>
            <w:rFonts w:ascii="仿宋" w:eastAsia="仿宋" w:hAnsi="仿宋" w:cs="仿宋" w:hint="eastAsia"/>
            <w:lang w:eastAsia="zh-CN"/>
          </w:rPr>
          <w:t>(四)、土建工程建设指标</w:t>
        </w:r>
        <w:r>
          <w:tab/>
        </w:r>
        <w:r>
          <w:fldChar w:fldCharType="begin"/>
        </w:r>
        <w:r>
          <w:instrText xml:space="preserve"> PAGEREF _Toc3068 \h </w:instrText>
        </w:r>
        <w:r>
          <w:fldChar w:fldCharType="separate"/>
        </w:r>
        <w:r>
          <w:t>10</w:t>
        </w:r>
        <w:r>
          <w:fldChar w:fldCharType="end"/>
        </w:r>
      </w:hyperlink>
    </w:p>
    <w:p>
      <w:pPr>
        <w:pStyle w:val="TOC1"/>
        <w:tabs>
          <w:tab w:val="right" w:leader="dot" w:pos="8306"/>
        </w:tabs>
      </w:pPr>
      <w:hyperlink w:anchor="_Toc2930" w:history="1">
        <w:r>
          <w:rPr>
            <w:rFonts w:ascii="仿宋" w:eastAsia="仿宋" w:hAnsi="仿宋" w:cs="仿宋" w:hint="eastAsia"/>
            <w:lang w:eastAsia="zh-CN"/>
          </w:rPr>
          <w:t>四、工艺说明</w:t>
        </w:r>
        <w:r>
          <w:tab/>
        </w:r>
        <w:r>
          <w:fldChar w:fldCharType="begin"/>
        </w:r>
        <w:r>
          <w:instrText xml:space="preserve"> PAGEREF _Toc2930 \h </w:instrText>
        </w:r>
        <w:r>
          <w:fldChar w:fldCharType="separate"/>
        </w:r>
        <w:r>
          <w:t>11</w:t>
        </w:r>
        <w:r>
          <w:fldChar w:fldCharType="end"/>
        </w:r>
      </w:hyperlink>
    </w:p>
    <w:p>
      <w:pPr>
        <w:pStyle w:val="TOC2"/>
        <w:tabs>
          <w:tab w:val="right" w:leader="dot" w:pos="8306"/>
        </w:tabs>
      </w:pPr>
      <w:hyperlink w:anchor="_Toc10271" w:history="1">
        <w:r>
          <w:rPr>
            <w:rFonts w:ascii="仿宋" w:eastAsia="仿宋" w:hAnsi="仿宋" w:cs="仿宋" w:hint="eastAsia"/>
            <w:lang w:eastAsia="zh-CN"/>
          </w:rPr>
          <w:t>(一)、技术管理特点</w:t>
        </w:r>
        <w:r>
          <w:tab/>
        </w:r>
        <w:r>
          <w:fldChar w:fldCharType="begin"/>
        </w:r>
        <w:r>
          <w:instrText xml:space="preserve"> PAGEREF _Toc10271 \h </w:instrText>
        </w:r>
        <w:r>
          <w:fldChar w:fldCharType="separate"/>
        </w:r>
        <w:r>
          <w:t>11</w:t>
        </w:r>
        <w:r>
          <w:fldChar w:fldCharType="end"/>
        </w:r>
      </w:hyperlink>
    </w:p>
    <w:p>
      <w:pPr>
        <w:pStyle w:val="TOC2"/>
        <w:tabs>
          <w:tab w:val="right" w:leader="dot" w:pos="8306"/>
        </w:tabs>
      </w:pPr>
      <w:hyperlink w:anchor="_Toc1183" w:history="1">
        <w:r>
          <w:rPr>
            <w:rFonts w:ascii="仿宋" w:eastAsia="仿宋" w:hAnsi="仿宋" w:cs="仿宋" w:hint="eastAsia"/>
            <w:lang w:eastAsia="zh-CN"/>
          </w:rPr>
          <w:t>(二)、高密度电阻率仪项目工艺技术设计方案</w:t>
        </w:r>
        <w:r>
          <w:tab/>
        </w:r>
        <w:r>
          <w:fldChar w:fldCharType="begin"/>
        </w:r>
        <w:r>
          <w:instrText xml:space="preserve"> PAGEREF _Toc1183 \h </w:instrText>
        </w:r>
        <w:r>
          <w:fldChar w:fldCharType="separate"/>
        </w:r>
        <w:r>
          <w:t>12</w:t>
        </w:r>
        <w:r>
          <w:fldChar w:fldCharType="end"/>
        </w:r>
      </w:hyperlink>
    </w:p>
    <w:p>
      <w:pPr>
        <w:pStyle w:val="TOC2"/>
        <w:tabs>
          <w:tab w:val="right" w:leader="dot" w:pos="8306"/>
        </w:tabs>
      </w:pPr>
      <w:hyperlink w:anchor="_Toc3191" w:history="1">
        <w:r>
          <w:rPr>
            <w:rFonts w:ascii="仿宋" w:eastAsia="仿宋" w:hAnsi="仿宋" w:cs="仿宋" w:hint="eastAsia"/>
            <w:lang w:eastAsia="zh-CN"/>
          </w:rPr>
          <w:t>(三)、设备选型方案</w:t>
        </w:r>
        <w:r>
          <w:tab/>
        </w:r>
        <w:r>
          <w:fldChar w:fldCharType="begin"/>
        </w:r>
        <w:r>
          <w:instrText xml:space="preserve"> PAGEREF _Toc3191 \h </w:instrText>
        </w:r>
        <w:r>
          <w:fldChar w:fldCharType="separate"/>
        </w:r>
        <w:r>
          <w:t>13</w:t>
        </w:r>
        <w:r>
          <w:fldChar w:fldCharType="end"/>
        </w:r>
      </w:hyperlink>
    </w:p>
    <w:p>
      <w:pPr>
        <w:pStyle w:val="TOC1"/>
        <w:tabs>
          <w:tab w:val="right" w:leader="dot" w:pos="8306"/>
        </w:tabs>
      </w:pPr>
      <w:hyperlink w:anchor="_Toc15898" w:history="1">
        <w:r>
          <w:rPr>
            <w:rFonts w:ascii="仿宋" w:eastAsia="仿宋" w:hAnsi="仿宋" w:cs="仿宋" w:hint="eastAsia"/>
            <w:lang w:eastAsia="zh-CN"/>
          </w:rPr>
          <w:t>五、高密度电阻率仪项目文档管理</w:t>
        </w:r>
        <w:r>
          <w:tab/>
        </w:r>
        <w:r>
          <w:fldChar w:fldCharType="begin"/>
        </w:r>
        <w:r>
          <w:instrText xml:space="preserve"> PAGEREF _Toc15898 \h </w:instrText>
        </w:r>
        <w:r>
          <w:fldChar w:fldCharType="separate"/>
        </w:r>
        <w:r>
          <w:t>14</w:t>
        </w:r>
        <w:r>
          <w:fldChar w:fldCharType="end"/>
        </w:r>
      </w:hyperlink>
    </w:p>
    <w:p>
      <w:pPr>
        <w:pStyle w:val="TOC2"/>
        <w:tabs>
          <w:tab w:val="right" w:leader="dot" w:pos="8306"/>
        </w:tabs>
      </w:pPr>
      <w:hyperlink w:anchor="_Toc10779" w:history="1">
        <w:r>
          <w:rPr>
            <w:rFonts w:ascii="仿宋" w:eastAsia="仿宋" w:hAnsi="仿宋" w:cs="仿宋" w:hint="eastAsia"/>
            <w:lang w:eastAsia="zh-CN"/>
          </w:rPr>
          <w:t>(一)、文档编制与审查</w:t>
        </w:r>
        <w:r>
          <w:tab/>
        </w:r>
        <w:r>
          <w:fldChar w:fldCharType="begin"/>
        </w:r>
        <w:r>
          <w:instrText xml:space="preserve"> PAGEREF _Toc10779 \h </w:instrText>
        </w:r>
        <w:r>
          <w:fldChar w:fldCharType="separate"/>
        </w:r>
        <w:r>
          <w:t>14</w:t>
        </w:r>
        <w:r>
          <w:fldChar w:fldCharType="end"/>
        </w:r>
      </w:hyperlink>
    </w:p>
    <w:p>
      <w:pPr>
        <w:pStyle w:val="TOC2"/>
        <w:tabs>
          <w:tab w:val="right" w:leader="dot" w:pos="8306"/>
        </w:tabs>
      </w:pPr>
      <w:hyperlink w:anchor="_Toc3593" w:history="1">
        <w:r>
          <w:rPr>
            <w:rFonts w:ascii="仿宋" w:eastAsia="仿宋" w:hAnsi="仿宋" w:cs="仿宋" w:hint="eastAsia"/>
            <w:lang w:eastAsia="zh-CN"/>
          </w:rPr>
          <w:t>(二)、文档发布与分发</w:t>
        </w:r>
        <w:r>
          <w:tab/>
        </w:r>
        <w:r>
          <w:fldChar w:fldCharType="begin"/>
        </w:r>
        <w:r>
          <w:instrText xml:space="preserve"> PAGEREF _Toc3593 \h </w:instrText>
        </w:r>
        <w:r>
          <w:fldChar w:fldCharType="separate"/>
        </w:r>
        <w:r>
          <w:t>16</w:t>
        </w:r>
        <w:r>
          <w:fldChar w:fldCharType="end"/>
        </w:r>
      </w:hyperlink>
    </w:p>
    <w:p>
      <w:pPr>
        <w:pStyle w:val="TOC2"/>
        <w:tabs>
          <w:tab w:val="right" w:leader="dot" w:pos="8306"/>
        </w:tabs>
      </w:pPr>
      <w:hyperlink w:anchor="_Toc10849" w:history="1">
        <w:r>
          <w:rPr>
            <w:rFonts w:ascii="仿宋" w:eastAsia="仿宋" w:hAnsi="仿宋" w:cs="仿宋" w:hint="eastAsia"/>
            <w:lang w:eastAsia="zh-CN"/>
          </w:rPr>
          <w:t>(三)、文档存档与归档</w:t>
        </w:r>
        <w:r>
          <w:tab/>
        </w:r>
        <w:r>
          <w:fldChar w:fldCharType="begin"/>
        </w:r>
        <w:r>
          <w:instrText xml:space="preserve"> PAGEREF _Toc10849 \h </w:instrText>
        </w:r>
        <w:r>
          <w:fldChar w:fldCharType="separate"/>
        </w:r>
        <w:r>
          <w:t>17</w:t>
        </w:r>
        <w:r>
          <w:fldChar w:fldCharType="end"/>
        </w:r>
      </w:hyperlink>
    </w:p>
    <w:p>
      <w:pPr>
        <w:pStyle w:val="TOC1"/>
        <w:tabs>
          <w:tab w:val="right" w:leader="dot" w:pos="8306"/>
        </w:tabs>
      </w:pPr>
      <w:hyperlink w:anchor="_Toc32034" w:history="1">
        <w:r>
          <w:rPr>
            <w:rFonts w:ascii="仿宋" w:eastAsia="仿宋" w:hAnsi="仿宋" w:cs="仿宋" w:hint="eastAsia"/>
            <w:lang w:eastAsia="zh-CN"/>
          </w:rPr>
          <w:t>六、高密度电阻率仪项目建设背景及必要性分析</w:t>
        </w:r>
        <w:r>
          <w:tab/>
        </w:r>
        <w:r>
          <w:fldChar w:fldCharType="begin"/>
        </w:r>
        <w:r>
          <w:instrText xml:space="preserve"> PAGEREF _Toc32034 \h </w:instrText>
        </w:r>
        <w:r>
          <w:fldChar w:fldCharType="separate"/>
        </w:r>
        <w:r>
          <w:t>18</w:t>
        </w:r>
        <w:r>
          <w:fldChar w:fldCharType="end"/>
        </w:r>
      </w:hyperlink>
    </w:p>
    <w:p>
      <w:pPr>
        <w:pStyle w:val="TOC2"/>
        <w:tabs>
          <w:tab w:val="right" w:leader="dot" w:pos="8306"/>
        </w:tabs>
      </w:pPr>
      <w:hyperlink w:anchor="_Toc19698" w:history="1">
        <w:r>
          <w:rPr>
            <w:rFonts w:ascii="仿宋" w:eastAsia="仿宋" w:hAnsi="仿宋" w:cs="仿宋" w:hint="eastAsia"/>
            <w:lang w:eastAsia="zh-CN"/>
          </w:rPr>
          <w:t>(一)、高密度电阻率仪项目背景分析</w:t>
        </w:r>
        <w:r>
          <w:tab/>
        </w:r>
        <w:r>
          <w:fldChar w:fldCharType="begin"/>
        </w:r>
        <w:r>
          <w:instrText xml:space="preserve"> PAGEREF _Toc19698 \h </w:instrText>
        </w:r>
        <w:r>
          <w:fldChar w:fldCharType="separate"/>
        </w:r>
        <w:r>
          <w:t>18</w:t>
        </w:r>
        <w:r>
          <w:fldChar w:fldCharType="end"/>
        </w:r>
      </w:hyperlink>
    </w:p>
    <w:p>
      <w:pPr>
        <w:pStyle w:val="TOC2"/>
        <w:tabs>
          <w:tab w:val="right" w:leader="dot" w:pos="8306"/>
        </w:tabs>
      </w:pPr>
      <w:hyperlink w:anchor="_Toc1782" w:history="1">
        <w:r>
          <w:rPr>
            <w:rFonts w:ascii="仿宋" w:eastAsia="仿宋" w:hAnsi="仿宋" w:cs="仿宋" w:hint="eastAsia"/>
            <w:lang w:eastAsia="zh-CN"/>
          </w:rPr>
          <w:t>(二)、高密度电阻率仪项目建设必要性分析</w:t>
        </w:r>
        <w:r>
          <w:tab/>
        </w:r>
        <w:r>
          <w:fldChar w:fldCharType="begin"/>
        </w:r>
        <w:r>
          <w:instrText xml:space="preserve"> PAGEREF _Toc1782 \h </w:instrText>
        </w:r>
        <w:r>
          <w:fldChar w:fldCharType="separate"/>
        </w:r>
        <w:r>
          <w:t>20</w:t>
        </w:r>
        <w:r>
          <w:fldChar w:fldCharType="end"/>
        </w:r>
      </w:hyperlink>
    </w:p>
    <w:p>
      <w:pPr>
        <w:pStyle w:val="TOC1"/>
        <w:tabs>
          <w:tab w:val="right" w:leader="dot" w:pos="8306"/>
        </w:tabs>
      </w:pPr>
      <w:hyperlink w:anchor="_Toc6020" w:history="1">
        <w:r>
          <w:rPr>
            <w:rFonts w:ascii="仿宋" w:eastAsia="仿宋" w:hAnsi="仿宋" w:cs="仿宋" w:hint="eastAsia"/>
            <w:lang w:eastAsia="zh-CN"/>
          </w:rPr>
          <w:t>七、高密度电阻率仪项目风险管理</w:t>
        </w:r>
        <w:r>
          <w:tab/>
        </w:r>
        <w:r>
          <w:fldChar w:fldCharType="begin"/>
        </w:r>
        <w:r>
          <w:instrText xml:space="preserve"> PAGEREF _Toc6020 \h </w:instrText>
        </w:r>
        <w:r>
          <w:fldChar w:fldCharType="separate"/>
        </w:r>
        <w:r>
          <w:t>21</w:t>
        </w:r>
        <w:r>
          <w:fldChar w:fldCharType="end"/>
        </w:r>
      </w:hyperlink>
    </w:p>
    <w:p>
      <w:pPr>
        <w:pStyle w:val="TOC2"/>
        <w:tabs>
          <w:tab w:val="right" w:leader="dot" w:pos="8306"/>
        </w:tabs>
      </w:pPr>
      <w:hyperlink w:anchor="_Toc14651" w:history="1">
        <w:r>
          <w:rPr>
            <w:rFonts w:ascii="仿宋" w:eastAsia="仿宋" w:hAnsi="仿宋" w:cs="仿宋" w:hint="eastAsia"/>
            <w:lang w:eastAsia="zh-CN"/>
          </w:rPr>
          <w:t>(一)、风险识别与评估</w:t>
        </w:r>
        <w:r>
          <w:tab/>
        </w:r>
        <w:r>
          <w:fldChar w:fldCharType="begin"/>
        </w:r>
        <w:r>
          <w:instrText xml:space="preserve"> PAGEREF _Toc14651 \h </w:instrText>
        </w:r>
        <w:r>
          <w:fldChar w:fldCharType="separate"/>
        </w:r>
        <w:r>
          <w:t>21</w:t>
        </w:r>
        <w:r>
          <w:fldChar w:fldCharType="end"/>
        </w:r>
      </w:hyperlink>
    </w:p>
    <w:p>
      <w:pPr>
        <w:pStyle w:val="TOC2"/>
        <w:tabs>
          <w:tab w:val="right" w:leader="dot" w:pos="8306"/>
        </w:tabs>
      </w:pPr>
      <w:hyperlink w:anchor="_Toc27745" w:history="1">
        <w:r>
          <w:rPr>
            <w:rFonts w:ascii="仿宋" w:eastAsia="仿宋" w:hAnsi="仿宋" w:cs="仿宋" w:hint="eastAsia"/>
            <w:lang w:eastAsia="zh-CN"/>
          </w:rPr>
          <w:t>(二)、风险应对策略</w:t>
        </w:r>
        <w:r>
          <w:tab/>
        </w:r>
        <w:r>
          <w:fldChar w:fldCharType="begin"/>
        </w:r>
        <w:r>
          <w:instrText xml:space="preserve"> PAGEREF _Toc27745 \h </w:instrText>
        </w:r>
        <w:r>
          <w:fldChar w:fldCharType="separate"/>
        </w:r>
        <w:r>
          <w:t>22</w:t>
        </w:r>
        <w:r>
          <w:fldChar w:fldCharType="end"/>
        </w:r>
      </w:hyperlink>
    </w:p>
    <w:p>
      <w:pPr>
        <w:pStyle w:val="TOC2"/>
        <w:tabs>
          <w:tab w:val="right" w:leader="dot" w:pos="8306"/>
        </w:tabs>
      </w:pPr>
      <w:hyperlink w:anchor="_Toc4800" w:history="1">
        <w:r>
          <w:rPr>
            <w:rFonts w:ascii="仿宋" w:eastAsia="仿宋" w:hAnsi="仿宋" w:cs="仿宋" w:hint="eastAsia"/>
            <w:lang w:eastAsia="zh-CN"/>
          </w:rPr>
          <w:t>(三)、风险监控与控制</w:t>
        </w:r>
        <w:r>
          <w:tab/>
        </w:r>
        <w:r>
          <w:fldChar w:fldCharType="begin"/>
        </w:r>
        <w:r>
          <w:instrText xml:space="preserve"> PAGEREF _Toc4800 \h </w:instrText>
        </w:r>
        <w:r>
          <w:fldChar w:fldCharType="separate"/>
        </w:r>
        <w:r>
          <w:t>24</w:t>
        </w:r>
        <w:r>
          <w:fldChar w:fldCharType="end"/>
        </w:r>
      </w:hyperlink>
    </w:p>
    <w:p>
      <w:pPr>
        <w:pStyle w:val="TOC1"/>
        <w:tabs>
          <w:tab w:val="right" w:leader="dot" w:pos="8306"/>
        </w:tabs>
      </w:pPr>
      <w:hyperlink w:anchor="_Toc1569" w:history="1">
        <w:r>
          <w:rPr>
            <w:rFonts w:ascii="仿宋" w:eastAsia="仿宋" w:hAnsi="仿宋" w:cs="仿宋" w:hint="eastAsia"/>
            <w:lang w:eastAsia="zh-CN"/>
          </w:rPr>
          <w:t>八、高密度电阻率仪项目社会影响</w:t>
        </w:r>
        <w:r>
          <w:tab/>
        </w:r>
        <w:r>
          <w:fldChar w:fldCharType="begin"/>
        </w:r>
        <w:r>
          <w:instrText xml:space="preserve"> PAGEREF _Toc1569 \h </w:instrText>
        </w:r>
        <w:r>
          <w:fldChar w:fldCharType="separate"/>
        </w:r>
        <w:r>
          <w:t>25</w:t>
        </w:r>
        <w:r>
          <w:fldChar w:fldCharType="end"/>
        </w:r>
      </w:hyperlink>
    </w:p>
    <w:p>
      <w:pPr>
        <w:pStyle w:val="TOC2"/>
        <w:tabs>
          <w:tab w:val="right" w:leader="dot" w:pos="8306"/>
        </w:tabs>
      </w:pPr>
      <w:hyperlink w:anchor="_Toc18101" w:history="1">
        <w:r>
          <w:rPr>
            <w:rFonts w:ascii="仿宋" w:eastAsia="仿宋" w:hAnsi="仿宋" w:cs="仿宋" w:hint="eastAsia"/>
            <w:lang w:eastAsia="zh-CN"/>
          </w:rPr>
          <w:t>(一)、社会责任与义务</w:t>
        </w:r>
        <w:r>
          <w:tab/>
        </w:r>
        <w:r>
          <w:fldChar w:fldCharType="begin"/>
        </w:r>
        <w:r>
          <w:instrText xml:space="preserve"> PAGEREF _Toc18101 \h </w:instrText>
        </w:r>
        <w:r>
          <w:fldChar w:fldCharType="separate"/>
        </w:r>
        <w:r>
          <w:t>25</w:t>
        </w:r>
        <w:r>
          <w:fldChar w:fldCharType="end"/>
        </w:r>
      </w:hyperlink>
    </w:p>
    <w:p>
      <w:pPr>
        <w:pStyle w:val="TOC2"/>
        <w:tabs>
          <w:tab w:val="right" w:leader="dot" w:pos="8306"/>
        </w:tabs>
      </w:pPr>
      <w:hyperlink w:anchor="_Toc2627" w:history="1">
        <w:r>
          <w:rPr>
            <w:rFonts w:ascii="仿宋" w:eastAsia="仿宋" w:hAnsi="仿宋" w:cs="仿宋" w:hint="eastAsia"/>
            <w:lang w:eastAsia="zh-CN"/>
          </w:rPr>
          <w:t>(二)、社会参与与沟通</w:t>
        </w:r>
        <w:r>
          <w:tab/>
        </w:r>
        <w:r>
          <w:fldChar w:fldCharType="begin"/>
        </w:r>
        <w:r>
          <w:instrText xml:space="preserve"> PAGEREF _Toc2627 \h </w:instrText>
        </w:r>
        <w:r>
          <w:fldChar w:fldCharType="separate"/>
        </w:r>
        <w:r>
          <w:t>26</w:t>
        </w:r>
        <w:r>
          <w:fldChar w:fldCharType="end"/>
        </w:r>
      </w:hyperlink>
    </w:p>
    <w:p>
      <w:pPr>
        <w:pStyle w:val="TOC1"/>
        <w:tabs>
          <w:tab w:val="right" w:leader="dot" w:pos="8306"/>
        </w:tabs>
      </w:pPr>
      <w:hyperlink w:anchor="_Toc28516" w:history="1">
        <w:r>
          <w:rPr>
            <w:rFonts w:ascii="仿宋" w:eastAsia="仿宋" w:hAnsi="仿宋" w:cs="仿宋" w:hint="eastAsia"/>
            <w:lang w:eastAsia="zh-CN"/>
          </w:rPr>
          <w:t>九、生产安全保护</w:t>
        </w:r>
        <w:r>
          <w:tab/>
        </w:r>
        <w:r>
          <w:fldChar w:fldCharType="begin"/>
        </w:r>
        <w:r>
          <w:instrText xml:space="preserve"> PAGEREF _Toc28516 \h </w:instrText>
        </w:r>
        <w:r>
          <w:fldChar w:fldCharType="separate"/>
        </w:r>
        <w:r>
          <w:t>27</w:t>
        </w:r>
        <w:r>
          <w:fldChar w:fldCharType="end"/>
        </w:r>
      </w:hyperlink>
    </w:p>
    <w:p>
      <w:pPr>
        <w:pStyle w:val="TOC2"/>
        <w:tabs>
          <w:tab w:val="right" w:leader="dot" w:pos="8306"/>
        </w:tabs>
      </w:pPr>
      <w:hyperlink w:anchor="_Toc12687" w:history="1">
        <w:r>
          <w:rPr>
            <w:rFonts w:ascii="仿宋" w:eastAsia="仿宋" w:hAnsi="仿宋" w:cs="仿宋" w:hint="eastAsia"/>
            <w:lang w:eastAsia="zh-CN"/>
          </w:rPr>
          <w:t>(一)、消防安全</w:t>
        </w:r>
        <w:r>
          <w:tab/>
        </w:r>
        <w:r>
          <w:fldChar w:fldCharType="begin"/>
        </w:r>
        <w:r>
          <w:instrText xml:space="preserve"> PAGEREF _Toc12687 \h </w:instrText>
        </w:r>
        <w:r>
          <w:fldChar w:fldCharType="separate"/>
        </w:r>
        <w:r>
          <w:t>27</w:t>
        </w:r>
        <w:r>
          <w:fldChar w:fldCharType="end"/>
        </w:r>
      </w:hyperlink>
    </w:p>
    <w:p>
      <w:pPr>
        <w:pStyle w:val="TOC2"/>
        <w:tabs>
          <w:tab w:val="right" w:leader="dot" w:pos="8306"/>
        </w:tabs>
      </w:pPr>
      <w:hyperlink w:anchor="_Toc21399" w:history="1">
        <w:r>
          <w:rPr>
            <w:rFonts w:ascii="仿宋" w:eastAsia="仿宋" w:hAnsi="仿宋" w:cs="仿宋" w:hint="eastAsia"/>
            <w:lang w:eastAsia="zh-CN"/>
          </w:rPr>
          <w:t>(二)、防火防爆总图布置措施</w:t>
        </w:r>
        <w:r>
          <w:tab/>
        </w:r>
        <w:r>
          <w:fldChar w:fldCharType="begin"/>
        </w:r>
        <w:r>
          <w:instrText xml:space="preserve"> PAGEREF _Toc21399 \h </w:instrText>
        </w:r>
        <w:r>
          <w:fldChar w:fldCharType="separate"/>
        </w:r>
        <w:r>
          <w:t>28</w:t>
        </w:r>
        <w:r>
          <w:fldChar w:fldCharType="end"/>
        </w:r>
      </w:hyperlink>
    </w:p>
    <w:p>
      <w:pPr>
        <w:pStyle w:val="TOC2"/>
        <w:tabs>
          <w:tab w:val="right" w:leader="dot" w:pos="8306"/>
        </w:tabs>
      </w:pPr>
      <w:hyperlink w:anchor="_Toc15448" w:history="1">
        <w:r>
          <w:rPr>
            <w:rFonts w:ascii="仿宋" w:eastAsia="仿宋" w:hAnsi="仿宋" w:cs="仿宋" w:hint="eastAsia"/>
            <w:lang w:eastAsia="zh-CN"/>
          </w:rPr>
          <w:t>(三)、自然灾害防范措施</w:t>
        </w:r>
        <w:r>
          <w:tab/>
        </w:r>
        <w:r>
          <w:fldChar w:fldCharType="begin"/>
        </w:r>
        <w:r>
          <w:instrText xml:space="preserve"> PAGEREF _Toc15448 \h </w:instrText>
        </w:r>
        <w:r>
          <w:fldChar w:fldCharType="separate"/>
        </w:r>
        <w:r>
          <w:t>29</w:t>
        </w:r>
        <w:r>
          <w:fldChar w:fldCharType="end"/>
        </w:r>
      </w:hyperlink>
    </w:p>
    <w:p>
      <w:pPr>
        <w:pStyle w:val="TOC2"/>
        <w:tabs>
          <w:tab w:val="right" w:leader="dot" w:pos="8306"/>
        </w:tabs>
      </w:pPr>
      <w:hyperlink w:anchor="_Toc15415" w:history="1">
        <w:r>
          <w:rPr>
            <w:rFonts w:ascii="仿宋" w:eastAsia="仿宋" w:hAnsi="仿宋" w:cs="仿宋" w:hint="eastAsia"/>
            <w:lang w:eastAsia="zh-CN"/>
          </w:rPr>
          <w:t>(四)、安全色及安全标志使用要求</w:t>
        </w:r>
        <w:r>
          <w:tab/>
        </w:r>
        <w:r>
          <w:fldChar w:fldCharType="begin"/>
        </w:r>
        <w:r>
          <w:instrText xml:space="preserve"> PAGEREF _Toc15415 \h </w:instrText>
        </w:r>
        <w:r>
          <w:fldChar w:fldCharType="separate"/>
        </w:r>
        <w:r>
          <w:t>30</w:t>
        </w:r>
        <w:r>
          <w:fldChar w:fldCharType="end"/>
        </w:r>
      </w:hyperlink>
    </w:p>
    <w:p>
      <w:pPr>
        <w:pStyle w:val="TOC2"/>
        <w:tabs>
          <w:tab w:val="right" w:leader="dot" w:pos="8306"/>
        </w:tabs>
      </w:pPr>
      <w:hyperlink w:anchor="_Toc23077" w:history="1">
        <w:r>
          <w:rPr>
            <w:rFonts w:ascii="仿宋" w:eastAsia="仿宋" w:hAnsi="仿宋" w:cs="仿宋" w:hint="eastAsia"/>
            <w:lang w:eastAsia="zh-CN"/>
          </w:rPr>
          <w:t>(五)、防尘防毒措施</w:t>
        </w:r>
        <w:r>
          <w:tab/>
        </w:r>
        <w:r>
          <w:fldChar w:fldCharType="begin"/>
        </w:r>
        <w:r>
          <w:instrText xml:space="preserve"> PAGEREF _Toc23077 \h </w:instrText>
        </w:r>
        <w:r>
          <w:fldChar w:fldCharType="separate"/>
        </w:r>
        <w:r>
          <w:t>31</w:t>
        </w:r>
        <w:r>
          <w:fldChar w:fldCharType="end"/>
        </w:r>
      </w:hyperlink>
    </w:p>
    <w:p>
      <w:pPr>
        <w:pStyle w:val="TOC2"/>
        <w:tabs>
          <w:tab w:val="right" w:leader="dot" w:pos="8306"/>
        </w:tabs>
      </w:pPr>
      <w:hyperlink w:anchor="_Toc1006" w:history="1">
        <w:r>
          <w:rPr>
            <w:rFonts w:ascii="仿宋" w:eastAsia="仿宋" w:hAnsi="仿宋" w:cs="仿宋" w:hint="eastAsia"/>
            <w:lang w:eastAsia="zh-CN"/>
          </w:rPr>
          <w:t>(六)、防静电、触电防护及防雷措施</w:t>
        </w:r>
        <w:r>
          <w:tab/>
        </w:r>
        <w:r>
          <w:fldChar w:fldCharType="begin"/>
        </w:r>
        <w:r>
          <w:instrText xml:space="preserve"> PAGEREF _Toc1006 \h </w:instrText>
        </w:r>
        <w:r>
          <w:fldChar w:fldCharType="separate"/>
        </w:r>
        <w:r>
          <w:t>32</w:t>
        </w:r>
        <w:r>
          <w:fldChar w:fldCharType="end"/>
        </w:r>
      </w:hyperlink>
    </w:p>
    <w:p>
      <w:pPr>
        <w:pStyle w:val="TOC2"/>
        <w:tabs>
          <w:tab w:val="right" w:leader="dot" w:pos="8306"/>
        </w:tabs>
      </w:pPr>
      <w:hyperlink w:anchor="_Toc10054" w:history="1">
        <w:r>
          <w:rPr>
            <w:rFonts w:ascii="仿宋" w:eastAsia="仿宋" w:hAnsi="仿宋" w:cs="仿宋" w:hint="eastAsia"/>
            <w:lang w:eastAsia="zh-CN"/>
          </w:rPr>
          <w:t>(七)、机械设备安全保障措施</w:t>
        </w:r>
        <w:r>
          <w:tab/>
        </w:r>
        <w:r>
          <w:fldChar w:fldCharType="begin"/>
        </w:r>
        <w:r>
          <w:instrText xml:space="preserve"> PAGEREF _Toc10054 \h </w:instrText>
        </w:r>
        <w:r>
          <w:fldChar w:fldCharType="separate"/>
        </w:r>
        <w:r>
          <w:t>33</w:t>
        </w:r>
        <w:r>
          <w:fldChar w:fldCharType="end"/>
        </w:r>
      </w:hyperlink>
    </w:p>
    <w:p>
      <w:pPr>
        <w:pStyle w:val="TOC1"/>
        <w:tabs>
          <w:tab w:val="right" w:leader="dot" w:pos="8306"/>
        </w:tabs>
      </w:pPr>
      <w:hyperlink w:anchor="_Toc6356" w:history="1">
        <w:r>
          <w:rPr>
            <w:rFonts w:ascii="仿宋" w:eastAsia="仿宋" w:hAnsi="仿宋" w:cs="仿宋" w:hint="eastAsia"/>
            <w:lang w:eastAsia="zh-CN"/>
          </w:rPr>
          <w:t>十、高密度电阻率仪项目技术管理</w:t>
        </w:r>
        <w:r>
          <w:tab/>
        </w:r>
        <w:r>
          <w:fldChar w:fldCharType="begin"/>
        </w:r>
        <w:r>
          <w:instrText xml:space="preserve"> PAGEREF _Toc6356 \h </w:instrText>
        </w:r>
        <w:r>
          <w:fldChar w:fldCharType="separate"/>
        </w:r>
        <w:r>
          <w:t>35</w:t>
        </w:r>
        <w:r>
          <w:fldChar w:fldCharType="end"/>
        </w:r>
      </w:hyperlink>
    </w:p>
    <w:p>
      <w:pPr>
        <w:pStyle w:val="TOC2"/>
        <w:tabs>
          <w:tab w:val="right" w:leader="dot" w:pos="8306"/>
        </w:tabs>
      </w:pPr>
      <w:hyperlink w:anchor="_Toc14426" w:history="1">
        <w:r>
          <w:rPr>
            <w:rFonts w:ascii="仿宋" w:eastAsia="仿宋" w:hAnsi="仿宋" w:cs="仿宋" w:hint="eastAsia"/>
            <w:lang w:eastAsia="zh-CN"/>
          </w:rPr>
          <w:t>(一)、技术方案选用方向</w:t>
        </w:r>
        <w:r>
          <w:tab/>
        </w:r>
        <w:r>
          <w:fldChar w:fldCharType="begin"/>
        </w:r>
        <w:r>
          <w:instrText xml:space="preserve"> PAGEREF _Toc14426 \h </w:instrText>
        </w:r>
        <w:r>
          <w:fldChar w:fldCharType="separate"/>
        </w:r>
        <w:r>
          <w:t>35</w:t>
        </w:r>
        <w:r>
          <w:fldChar w:fldCharType="end"/>
        </w:r>
      </w:hyperlink>
    </w:p>
    <w:p>
      <w:pPr>
        <w:pStyle w:val="TOC2"/>
        <w:tabs>
          <w:tab w:val="right" w:leader="dot" w:pos="8306"/>
        </w:tabs>
      </w:pPr>
      <w:hyperlink w:anchor="_Toc10341" w:history="1">
        <w:r>
          <w:rPr>
            <w:rFonts w:ascii="仿宋" w:eastAsia="仿宋" w:hAnsi="仿宋" w:cs="仿宋" w:hint="eastAsia"/>
            <w:lang w:eastAsia="zh-CN"/>
          </w:rPr>
          <w:t>(二)、工艺技术方案选用原则</w:t>
        </w:r>
        <w:r>
          <w:tab/>
        </w:r>
        <w:r>
          <w:fldChar w:fldCharType="begin"/>
        </w:r>
        <w:r>
          <w:instrText xml:space="preserve"> PAGEREF _Toc10341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3" w:history="1">
        <w:r>
          <w:rPr>
            <w:rFonts w:ascii="仿宋" w:eastAsia="仿宋" w:hAnsi="仿宋" w:cs="仿宋" w:hint="eastAsia"/>
            <w:lang w:eastAsia="zh-CN"/>
          </w:rPr>
          <w:t>(三)、工艺技术方案要求</w:t>
        </w:r>
        <w:r>
          <w:tab/>
        </w:r>
        <w:r>
          <w:fldChar w:fldCharType="begin"/>
        </w:r>
        <w:r>
          <w:instrText xml:space="preserve"> PAGEREF _Toc10973 \h </w:instrText>
        </w:r>
        <w:r>
          <w:fldChar w:fldCharType="separate"/>
        </w:r>
        <w:r>
          <w:t>39</w:t>
        </w:r>
        <w:r>
          <w:fldChar w:fldCharType="end"/>
        </w:r>
      </w:hyperlink>
    </w:p>
    <w:p>
      <w:pPr>
        <w:pStyle w:val="TOC1"/>
        <w:tabs>
          <w:tab w:val="right" w:leader="dot" w:pos="8306"/>
        </w:tabs>
      </w:pPr>
      <w:hyperlink w:anchor="_Toc12377" w:history="1">
        <w:r>
          <w:rPr>
            <w:rFonts w:ascii="仿宋" w:eastAsia="仿宋" w:hAnsi="仿宋" w:cs="仿宋" w:hint="eastAsia"/>
            <w:lang w:eastAsia="zh-CN"/>
          </w:rPr>
          <w:t>十一、高密度电阻率仪项目人力资源管理</w:t>
        </w:r>
        <w:r>
          <w:tab/>
        </w:r>
        <w:r>
          <w:fldChar w:fldCharType="begin"/>
        </w:r>
        <w:r>
          <w:instrText xml:space="preserve"> PAGEREF _Toc12377 \h </w:instrText>
        </w:r>
        <w:r>
          <w:fldChar w:fldCharType="separate"/>
        </w:r>
        <w:r>
          <w:t>41</w:t>
        </w:r>
        <w:r>
          <w:fldChar w:fldCharType="end"/>
        </w:r>
      </w:hyperlink>
    </w:p>
    <w:p>
      <w:pPr>
        <w:pStyle w:val="TOC2"/>
        <w:tabs>
          <w:tab w:val="right" w:leader="dot" w:pos="8306"/>
        </w:tabs>
      </w:pPr>
      <w:hyperlink w:anchor="_Toc11051" w:history="1">
        <w:r>
          <w:rPr>
            <w:rFonts w:ascii="仿宋" w:eastAsia="仿宋" w:hAnsi="仿宋" w:cs="仿宋" w:hint="eastAsia"/>
            <w:lang w:eastAsia="zh-CN"/>
          </w:rPr>
          <w:t>(一)、建立健全的预算管理制度</w:t>
        </w:r>
        <w:r>
          <w:tab/>
        </w:r>
        <w:r>
          <w:fldChar w:fldCharType="begin"/>
        </w:r>
        <w:r>
          <w:instrText xml:space="preserve"> PAGEREF _Toc11051 \h </w:instrText>
        </w:r>
        <w:r>
          <w:fldChar w:fldCharType="separate"/>
        </w:r>
        <w:r>
          <w:t>41</w:t>
        </w:r>
        <w:r>
          <w:fldChar w:fldCharType="end"/>
        </w:r>
      </w:hyperlink>
    </w:p>
    <w:p>
      <w:pPr>
        <w:pStyle w:val="TOC2"/>
        <w:tabs>
          <w:tab w:val="right" w:leader="dot" w:pos="8306"/>
        </w:tabs>
      </w:pPr>
      <w:hyperlink w:anchor="_Toc17174" w:history="1">
        <w:r>
          <w:rPr>
            <w:rFonts w:ascii="仿宋" w:eastAsia="仿宋" w:hAnsi="仿宋" w:cs="仿宋" w:hint="eastAsia"/>
            <w:lang w:eastAsia="zh-CN"/>
          </w:rPr>
          <w:t>(二)、加强资金流动监控</w:t>
        </w:r>
        <w:r>
          <w:tab/>
        </w:r>
        <w:r>
          <w:fldChar w:fldCharType="begin"/>
        </w:r>
        <w:r>
          <w:instrText xml:space="preserve"> PAGEREF _Toc17174 \h </w:instrText>
        </w:r>
        <w:r>
          <w:fldChar w:fldCharType="separate"/>
        </w:r>
        <w:r>
          <w:t>43</w:t>
        </w:r>
        <w:r>
          <w:fldChar w:fldCharType="end"/>
        </w:r>
      </w:hyperlink>
    </w:p>
    <w:p>
      <w:pPr>
        <w:pStyle w:val="TOC2"/>
        <w:tabs>
          <w:tab w:val="right" w:leader="dot" w:pos="8306"/>
        </w:tabs>
      </w:pPr>
      <w:hyperlink w:anchor="_Toc9119" w:history="1">
        <w:r>
          <w:rPr>
            <w:rFonts w:ascii="仿宋" w:eastAsia="仿宋" w:hAnsi="仿宋" w:cs="仿宋" w:hint="eastAsia"/>
            <w:lang w:eastAsia="zh-CN"/>
          </w:rPr>
          <w:t>(三)、制定完善的风险控制机制</w:t>
        </w:r>
        <w:r>
          <w:tab/>
        </w:r>
        <w:r>
          <w:fldChar w:fldCharType="begin"/>
        </w:r>
        <w:r>
          <w:instrText xml:space="preserve"> PAGEREF _Toc9119 \h </w:instrText>
        </w:r>
        <w:r>
          <w:fldChar w:fldCharType="separate"/>
        </w:r>
        <w:r>
          <w:t>44</w:t>
        </w:r>
        <w:r>
          <w:fldChar w:fldCharType="end"/>
        </w:r>
      </w:hyperlink>
    </w:p>
    <w:p>
      <w:pPr>
        <w:pStyle w:val="TOC2"/>
        <w:tabs>
          <w:tab w:val="right" w:leader="dot" w:pos="8306"/>
        </w:tabs>
      </w:pPr>
      <w:hyperlink w:anchor="_Toc1235" w:history="1">
        <w:r>
          <w:rPr>
            <w:rFonts w:ascii="仿宋" w:eastAsia="仿宋" w:hAnsi="仿宋" w:cs="仿宋" w:hint="eastAsia"/>
            <w:lang w:eastAsia="zh-CN"/>
          </w:rPr>
          <w:t>(四)、优化成本管理</w:t>
        </w:r>
        <w:r>
          <w:tab/>
        </w:r>
        <w:r>
          <w:fldChar w:fldCharType="begin"/>
        </w:r>
        <w:r>
          <w:instrText xml:space="preserve"> PAGEREF _Toc1235 \h </w:instrText>
        </w:r>
        <w:r>
          <w:fldChar w:fldCharType="separate"/>
        </w:r>
        <w:r>
          <w:t>45</w:t>
        </w:r>
        <w:r>
          <w:fldChar w:fldCharType="end"/>
        </w:r>
      </w:hyperlink>
    </w:p>
    <w:p>
      <w:pPr>
        <w:pStyle w:val="TOC1"/>
        <w:tabs>
          <w:tab w:val="right" w:leader="dot" w:pos="8306"/>
        </w:tabs>
      </w:pPr>
      <w:hyperlink w:anchor="_Toc9661" w:history="1">
        <w:r>
          <w:rPr>
            <w:rFonts w:ascii="仿宋" w:eastAsia="仿宋" w:hAnsi="仿宋" w:cs="仿宋" w:hint="eastAsia"/>
            <w:lang w:eastAsia="zh-CN"/>
          </w:rPr>
          <w:t>十二、高密度电阻率仪项目计划安排</w:t>
        </w:r>
        <w:r>
          <w:tab/>
        </w:r>
        <w:r>
          <w:fldChar w:fldCharType="begin"/>
        </w:r>
        <w:r>
          <w:instrText xml:space="preserve"> PAGEREF _Toc9661 \h </w:instrText>
        </w:r>
        <w:r>
          <w:fldChar w:fldCharType="separate"/>
        </w:r>
        <w:r>
          <w:t>47</w:t>
        </w:r>
        <w:r>
          <w:fldChar w:fldCharType="end"/>
        </w:r>
      </w:hyperlink>
    </w:p>
    <w:p>
      <w:pPr>
        <w:pStyle w:val="TOC2"/>
        <w:tabs>
          <w:tab w:val="right" w:leader="dot" w:pos="8306"/>
        </w:tabs>
      </w:pPr>
      <w:hyperlink w:anchor="_Toc20128" w:history="1">
        <w:r>
          <w:rPr>
            <w:rFonts w:ascii="仿宋" w:eastAsia="仿宋" w:hAnsi="仿宋" w:cs="仿宋" w:hint="eastAsia"/>
            <w:lang w:eastAsia="zh-CN"/>
          </w:rPr>
          <w:t>(一)、建设周期</w:t>
        </w:r>
        <w:r>
          <w:tab/>
        </w:r>
        <w:r>
          <w:fldChar w:fldCharType="begin"/>
        </w:r>
        <w:r>
          <w:instrText xml:space="preserve"> PAGEREF _Toc20128 \h </w:instrText>
        </w:r>
        <w:r>
          <w:fldChar w:fldCharType="separate"/>
        </w:r>
        <w:r>
          <w:t>47</w:t>
        </w:r>
        <w:r>
          <w:fldChar w:fldCharType="end"/>
        </w:r>
      </w:hyperlink>
    </w:p>
    <w:p>
      <w:pPr>
        <w:pStyle w:val="TOC2"/>
        <w:tabs>
          <w:tab w:val="right" w:leader="dot" w:pos="8306"/>
        </w:tabs>
      </w:pPr>
      <w:hyperlink w:anchor="_Toc25984" w:history="1">
        <w:r>
          <w:rPr>
            <w:rFonts w:ascii="仿宋" w:eastAsia="仿宋" w:hAnsi="仿宋" w:cs="仿宋" w:hint="eastAsia"/>
            <w:lang w:eastAsia="zh-CN"/>
          </w:rPr>
          <w:t>(二)、建设进度</w:t>
        </w:r>
        <w:r>
          <w:tab/>
        </w:r>
        <w:r>
          <w:fldChar w:fldCharType="begin"/>
        </w:r>
        <w:r>
          <w:instrText xml:space="preserve"> PAGEREF _Toc25984 \h </w:instrText>
        </w:r>
        <w:r>
          <w:fldChar w:fldCharType="separate"/>
        </w:r>
        <w:r>
          <w:t>48</w:t>
        </w:r>
        <w:r>
          <w:fldChar w:fldCharType="end"/>
        </w:r>
      </w:hyperlink>
    </w:p>
    <w:p>
      <w:pPr>
        <w:pStyle w:val="TOC2"/>
        <w:tabs>
          <w:tab w:val="right" w:leader="dot" w:pos="8306"/>
        </w:tabs>
      </w:pPr>
      <w:hyperlink w:anchor="_Toc3830" w:history="1">
        <w:r>
          <w:rPr>
            <w:rFonts w:ascii="仿宋" w:eastAsia="仿宋" w:hAnsi="仿宋" w:cs="仿宋" w:hint="eastAsia"/>
            <w:lang w:eastAsia="zh-CN"/>
          </w:rPr>
          <w:t>(三)、进度安排注意事项</w:t>
        </w:r>
        <w:r>
          <w:tab/>
        </w:r>
        <w:r>
          <w:fldChar w:fldCharType="begin"/>
        </w:r>
        <w:r>
          <w:instrText xml:space="preserve"> PAGEREF _Toc3830 \h </w:instrText>
        </w:r>
        <w:r>
          <w:fldChar w:fldCharType="separate"/>
        </w:r>
        <w:r>
          <w:t>49</w:t>
        </w:r>
        <w:r>
          <w:fldChar w:fldCharType="end"/>
        </w:r>
      </w:hyperlink>
    </w:p>
    <w:p>
      <w:pPr>
        <w:pStyle w:val="TOC2"/>
        <w:tabs>
          <w:tab w:val="right" w:leader="dot" w:pos="8306"/>
        </w:tabs>
      </w:pPr>
      <w:hyperlink w:anchor="_Toc8260" w:history="1">
        <w:r>
          <w:rPr>
            <w:rFonts w:ascii="仿宋" w:eastAsia="仿宋" w:hAnsi="仿宋" w:cs="仿宋" w:hint="eastAsia"/>
            <w:lang w:eastAsia="zh-CN"/>
          </w:rPr>
          <w:t>(四)、人力资源配置</w:t>
        </w:r>
        <w:r>
          <w:tab/>
        </w:r>
        <w:r>
          <w:fldChar w:fldCharType="begin"/>
        </w:r>
        <w:r>
          <w:instrText xml:space="preserve"> PAGEREF _Toc8260 \h </w:instrText>
        </w:r>
        <w:r>
          <w:fldChar w:fldCharType="separate"/>
        </w:r>
        <w:r>
          <w:t>50</w:t>
        </w:r>
        <w:r>
          <w:fldChar w:fldCharType="end"/>
        </w:r>
      </w:hyperlink>
    </w:p>
    <w:p>
      <w:pPr>
        <w:pStyle w:val="TOC1"/>
        <w:tabs>
          <w:tab w:val="right" w:leader="dot" w:pos="8306"/>
        </w:tabs>
      </w:pPr>
      <w:hyperlink w:anchor="_Toc31610" w:history="1">
        <w:r>
          <w:rPr>
            <w:rFonts w:ascii="仿宋" w:eastAsia="仿宋" w:hAnsi="仿宋" w:cs="仿宋" w:hint="eastAsia"/>
            <w:lang w:eastAsia="zh-CN"/>
          </w:rPr>
          <w:t>十三、高密度电阻率仪项目变更管理</w:t>
        </w:r>
        <w:r>
          <w:tab/>
        </w:r>
        <w:r>
          <w:fldChar w:fldCharType="begin"/>
        </w:r>
        <w:r>
          <w:instrText xml:space="preserve"> PAGEREF _Toc31610 \h </w:instrText>
        </w:r>
        <w:r>
          <w:fldChar w:fldCharType="separate"/>
        </w:r>
        <w:r>
          <w:t>51</w:t>
        </w:r>
        <w:r>
          <w:fldChar w:fldCharType="end"/>
        </w:r>
      </w:hyperlink>
    </w:p>
    <w:p>
      <w:pPr>
        <w:pStyle w:val="TOC2"/>
        <w:tabs>
          <w:tab w:val="right" w:leader="dot" w:pos="8306"/>
        </w:tabs>
      </w:pPr>
      <w:hyperlink w:anchor="_Toc21482" w:history="1">
        <w:r>
          <w:rPr>
            <w:rFonts w:ascii="仿宋" w:eastAsia="仿宋" w:hAnsi="仿宋" w:cs="仿宋" w:hint="eastAsia"/>
            <w:lang w:eastAsia="zh-CN"/>
          </w:rPr>
          <w:t>(一)、变更申请与评估</w:t>
        </w:r>
        <w:r>
          <w:tab/>
        </w:r>
        <w:r>
          <w:fldChar w:fldCharType="begin"/>
        </w:r>
        <w:r>
          <w:instrText xml:space="preserve"> PAGEREF _Toc21482 \h </w:instrText>
        </w:r>
        <w:r>
          <w:fldChar w:fldCharType="separate"/>
        </w:r>
        <w:r>
          <w:t>51</w:t>
        </w:r>
        <w:r>
          <w:fldChar w:fldCharType="end"/>
        </w:r>
      </w:hyperlink>
    </w:p>
    <w:p>
      <w:pPr>
        <w:pStyle w:val="TOC2"/>
        <w:tabs>
          <w:tab w:val="right" w:leader="dot" w:pos="8306"/>
        </w:tabs>
      </w:pPr>
      <w:hyperlink w:anchor="_Toc1554" w:history="1">
        <w:r>
          <w:rPr>
            <w:rFonts w:ascii="仿宋" w:eastAsia="仿宋" w:hAnsi="仿宋" w:cs="仿宋" w:hint="eastAsia"/>
            <w:lang w:eastAsia="zh-CN"/>
          </w:rPr>
          <w:t>(二)、变更实施与控制</w:t>
        </w:r>
        <w:r>
          <w:tab/>
        </w:r>
        <w:r>
          <w:fldChar w:fldCharType="begin"/>
        </w:r>
        <w:r>
          <w:instrText xml:space="preserve"> PAGEREF _Toc1554 \h </w:instrText>
        </w:r>
        <w:r>
          <w:fldChar w:fldCharType="separate"/>
        </w:r>
        <w:r>
          <w:t>52</w:t>
        </w:r>
        <w:r>
          <w:fldChar w:fldCharType="end"/>
        </w:r>
      </w:hyperlink>
    </w:p>
    <w:p>
      <w:pPr>
        <w:pStyle w:val="TOC1"/>
        <w:tabs>
          <w:tab w:val="right" w:leader="dot" w:pos="8306"/>
        </w:tabs>
      </w:pPr>
      <w:hyperlink w:anchor="_Toc4131" w:history="1">
        <w:r>
          <w:rPr>
            <w:rFonts w:ascii="仿宋" w:eastAsia="仿宋" w:hAnsi="仿宋" w:cs="仿宋" w:hint="eastAsia"/>
            <w:lang w:eastAsia="zh-CN"/>
          </w:rPr>
          <w:t>十四、营销与推广策略</w:t>
        </w:r>
        <w:r>
          <w:tab/>
        </w:r>
        <w:r>
          <w:fldChar w:fldCharType="begin"/>
        </w:r>
        <w:r>
          <w:instrText xml:space="preserve"> PAGEREF _Toc4131 \h </w:instrText>
        </w:r>
        <w:r>
          <w:fldChar w:fldCharType="separate"/>
        </w:r>
        <w:r>
          <w:t>52</w:t>
        </w:r>
        <w:r>
          <w:fldChar w:fldCharType="end"/>
        </w:r>
      </w:hyperlink>
    </w:p>
    <w:p>
      <w:pPr>
        <w:pStyle w:val="TOC2"/>
        <w:tabs>
          <w:tab w:val="right" w:leader="dot" w:pos="8306"/>
        </w:tabs>
      </w:pPr>
      <w:hyperlink w:anchor="_Toc22407" w:history="1">
        <w:r>
          <w:rPr>
            <w:rFonts w:ascii="仿宋" w:eastAsia="仿宋" w:hAnsi="仿宋" w:cs="仿宋" w:hint="eastAsia"/>
            <w:lang w:eastAsia="zh-CN"/>
          </w:rPr>
          <w:t>(一)、产品/服务定位与特点</w:t>
        </w:r>
        <w:r>
          <w:tab/>
        </w:r>
        <w:r>
          <w:fldChar w:fldCharType="begin"/>
        </w:r>
        <w:r>
          <w:instrText xml:space="preserve"> PAGEREF _Toc22407 \h </w:instrText>
        </w:r>
        <w:r>
          <w:fldChar w:fldCharType="separate"/>
        </w:r>
        <w:r>
          <w:t>52</w:t>
        </w:r>
        <w:r>
          <w:fldChar w:fldCharType="end"/>
        </w:r>
      </w:hyperlink>
    </w:p>
    <w:p>
      <w:pPr>
        <w:pStyle w:val="TOC2"/>
        <w:tabs>
          <w:tab w:val="right" w:leader="dot" w:pos="8306"/>
        </w:tabs>
      </w:pPr>
      <w:hyperlink w:anchor="_Toc15108" w:history="1">
        <w:r>
          <w:rPr>
            <w:rFonts w:ascii="仿宋" w:eastAsia="仿宋" w:hAnsi="仿宋" w:cs="仿宋" w:hint="eastAsia"/>
            <w:lang w:eastAsia="zh-CN"/>
          </w:rPr>
          <w:t>(二)、市场定位与竞争分析</w:t>
        </w:r>
        <w:r>
          <w:tab/>
        </w:r>
        <w:r>
          <w:fldChar w:fldCharType="begin"/>
        </w:r>
        <w:r>
          <w:instrText xml:space="preserve"> PAGEREF _Toc15108 \h </w:instrText>
        </w:r>
        <w:r>
          <w:fldChar w:fldCharType="separate"/>
        </w:r>
        <w:r>
          <w:t>54</w:t>
        </w:r>
        <w:r>
          <w:fldChar w:fldCharType="end"/>
        </w:r>
      </w:hyperlink>
    </w:p>
    <w:p>
      <w:pPr>
        <w:pStyle w:val="TOC2"/>
        <w:tabs>
          <w:tab w:val="right" w:leader="dot" w:pos="8306"/>
        </w:tabs>
      </w:pPr>
      <w:hyperlink w:anchor="_Toc25666" w:history="1">
        <w:r>
          <w:rPr>
            <w:rFonts w:ascii="仿宋" w:eastAsia="仿宋" w:hAnsi="仿宋" w:cs="仿宋" w:hint="eastAsia"/>
            <w:lang w:eastAsia="zh-CN"/>
          </w:rPr>
          <w:t>(三)、营销渠道与策略</w:t>
        </w:r>
        <w:r>
          <w:tab/>
        </w:r>
        <w:r>
          <w:fldChar w:fldCharType="begin"/>
        </w:r>
        <w:r>
          <w:instrText xml:space="preserve"> PAGEREF _Toc25666 \h </w:instrText>
        </w:r>
        <w:r>
          <w:fldChar w:fldCharType="separate"/>
        </w:r>
        <w:r>
          <w:t>55</w:t>
        </w:r>
        <w:r>
          <w:fldChar w:fldCharType="end"/>
        </w:r>
      </w:hyperlink>
    </w:p>
    <w:p>
      <w:pPr>
        <w:pStyle w:val="TOC2"/>
        <w:tabs>
          <w:tab w:val="right" w:leader="dot" w:pos="8306"/>
        </w:tabs>
      </w:pPr>
      <w:hyperlink w:anchor="_Toc11093" w:history="1">
        <w:r>
          <w:rPr>
            <w:rFonts w:ascii="仿宋" w:eastAsia="仿宋" w:hAnsi="仿宋" w:cs="仿宋" w:hint="eastAsia"/>
            <w:lang w:eastAsia="zh-CN"/>
          </w:rPr>
          <w:t>(四)、推广与宣传活动</w:t>
        </w:r>
        <w:r>
          <w:tab/>
        </w:r>
        <w:r>
          <w:fldChar w:fldCharType="begin"/>
        </w:r>
        <w:r>
          <w:instrText xml:space="preserve"> PAGEREF _Toc11093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160"/>
      <w:r>
        <w:rPr>
          <w:rFonts w:ascii="仿宋" w:eastAsia="仿宋" w:hAnsi="仿宋" w:cs="仿宋" w:hint="eastAsia"/>
          <w:lang w:eastAsia="zh-CN"/>
        </w:rPr>
        <w:t>(一)、高密度电阻率仪行业分析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行业一直以来都是市场的关注焦点。行业内的发展趋势、竞争态势以及潜在机会都对高密度电阻率仪项目的推进产生深远的影响。通过深入研究行业的整体概貌，我们将更好地理解行业的核心特征，为高密度电阻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行业，技术一直是推动创新和发展的关键因素。我们将对当前技术趋势进行详尽分析，包括但不限于人工智能、大数据应用、先进制造技术等。这有助于高密度电阻率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密度电阻率仪项目成功的基础。我们将对主要竞争对手进行深入研究，包括其市场份额、产品特点、市场定位等。通过全面了解竞争对手的优势和劣势，高密度电阻率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638"/>
      <w:r>
        <w:rPr>
          <w:rFonts w:ascii="仿宋" w:eastAsia="仿宋" w:hAnsi="仿宋" w:cs="仿宋" w:hint="eastAsia"/>
          <w:sz w:val="28"/>
          <w:lang w:eastAsia="zh-CN"/>
        </w:rPr>
        <w:t>(二)、高密度电阻率仪市场分析预测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密度电阻率仪市场未来的增长趋势。这包括市场的整体规模、各细分领域的发展趋势等。高密度电阻率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密度电阻率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密度电阻率仪项目实施过程中需要充分考虑的因素。我们将对市场风险进行全面评估，包括但不限于政策法规风险、市场竞争风险、技术变革风险等。通过对潜在风险的深入分析，高密度电阻率仪项目可以制定相应的风险缓解策略，降低不确定性对高密度电阻率仪项目的影响。</w:t>
      </w:r>
    </w:p>
    <w:p>
      <w:pPr>
        <w:pStyle w:val="Heading1"/>
        <w:ind w:firstLine="560" w:firstLineChars="200"/>
        <w:rPr>
          <w:rFonts w:ascii="仿宋" w:eastAsia="仿宋" w:hAnsi="仿宋" w:cs="仿宋" w:hint="eastAsia"/>
          <w:sz w:val="28"/>
          <w:lang w:eastAsia="zh-CN"/>
        </w:rPr>
      </w:pPr>
      <w:bookmarkStart w:id="5" w:name="_Toc25058"/>
      <w:r>
        <w:rPr>
          <w:rFonts w:ascii="仿宋" w:eastAsia="仿宋" w:hAnsi="仿宋" w:cs="仿宋" w:hint="eastAsia"/>
          <w:sz w:val="28"/>
          <w:lang w:eastAsia="zh-CN"/>
        </w:rPr>
        <w:t>二、高密度电阻率仪项目危机管理</w:t>
      </w:r>
      <w:bookmarkEnd w:id="5"/>
    </w:p>
    <w:p>
      <w:pPr>
        <w:pStyle w:val="Heading2"/>
        <w:rPr>
          <w:rFonts w:ascii="仿宋" w:eastAsia="仿宋" w:hAnsi="仿宋" w:cs="仿宋" w:hint="eastAsia"/>
          <w:lang w:eastAsia="zh-CN"/>
        </w:rPr>
      </w:pPr>
      <w:bookmarkStart w:id="6" w:name="_Toc165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项目危机管理中，危机预警与识别是确保高密度电阻率仪项目稳健运行的核心步骤。通过建立全面的监测机制，高密度电阻率仪项目团队旨在及时发现和理解潜在的风险和危机因素，以便采取及时的预防和应对措施，确保高密度电阻率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密度电阻率仪项目团队全面分析了整个高密度电阻率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密度电阻率仪项目团队着重于明确定义高密度电阻率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密度电阻率仪项目进展的持续监控，团队能够及时发现潜在问题并作出迅速反应。高密度电阻率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在这一阶段，团队的专业素养和反应速度将发挥至关重要的作用，以确保潜在危机能够在初期得到有效的处理，最大程度地减轻负面影响。通过危机预警与识别，高密度电阻率仪项目得以更有序、可控地推进。</w:t>
      </w:r>
    </w:p>
    <w:p>
      <w:pPr>
        <w:pStyle w:val="Heading2"/>
        <w:ind w:firstLine="560" w:firstLineChars="200"/>
        <w:rPr>
          <w:rFonts w:ascii="仿宋" w:eastAsia="仿宋" w:hAnsi="仿宋" w:cs="仿宋" w:hint="eastAsia"/>
          <w:sz w:val="28"/>
          <w:lang w:eastAsia="zh-CN"/>
        </w:rPr>
      </w:pPr>
      <w:bookmarkStart w:id="7" w:name="_Toc655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在危机发生时，高密度电阻率仪项目团队立即行动，成立了应急小组。该小组的任务是迅速制定并实施紧急应对措施，以最小化潜在损失。以下是采取的主要措施：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暂停高密度电阻率仪项目进度：为遏制危机蔓延，高密度电阻率仪项目暂时停止进行，以便全面评估当前状况。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资源重新分配：重新评估高密度电阻率仪项目资源的分配，确保最大限度地减小损失。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实时沟通：与关键利益相关者建立实时沟通机制，向他们传递高密度电阻率仪项目危机的实际状况，保障高密度电阻率仪项目核心利益。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在紧急应对的同时，高密度电阻率仪项目团队强调了团队协作和有效沟通的重要性。以下是团队协作的关键举措：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信息共享机制：建立了信息共享平台，确保团队成员能够及时获取高密度电阻率仪项目危机的实时信息。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领导者沟通：高密度电阻率仪项目领导者通过定期会议和即时沟通工具，指导团队应对危机，保持团队稳定运行。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随着危机得到初步控制，高密度电阻率仪项目团队转向制定恢复计划，以确保高密度电阻率仪项目能够从中迅速恢复。主要恢复计划包括：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修复受损的进度计划：重新评估高密度电阻率仪项目进度，制定修复计划，确保高密度电阻率仪项目尽快回归正常进程。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重新调整资源分配：优化资源分配，确保高密度电阻率仪项目在有限资源下高效运转。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风险管理机制加强：对高密度电阻率仪项目风险进行全面评估，制定更强化的风险管理策略，以预防未来可能的危机。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736"/>
      <w:r>
        <w:rPr>
          <w:rFonts w:ascii="仿宋" w:eastAsia="仿宋" w:hAnsi="仿宋" w:cs="仿宋" w:hint="eastAsia"/>
          <w:sz w:val="28"/>
          <w:lang w:eastAsia="zh-CN"/>
        </w:rPr>
        <w:t>三、高密度电阻率仪项目土建工程</w:t>
      </w:r>
      <w:bookmarkEnd w:id="8"/>
    </w:p>
    <w:p>
      <w:pPr>
        <w:pStyle w:val="Heading2"/>
        <w:rPr>
          <w:rFonts w:ascii="仿宋" w:eastAsia="仿宋" w:hAnsi="仿宋" w:cs="仿宋" w:hint="eastAsia"/>
          <w:lang w:eastAsia="zh-CN"/>
        </w:rPr>
      </w:pPr>
      <w:bookmarkStart w:id="9" w:name="_Toc215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在高密度电阻率仪项目的建筑工程设计中，我们将秉承一系列重要的设计原则，以确保高密度电阻率仪项目建筑在功能、美观、可持续性等方面达到最佳效果。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首要原则是确保建筑的功能性得到最大化的发挥。我们将充分理解高密度电阻率仪项目的实际需求，合理布局各个功能区域，保证建筑在满足业务需求的同时，提供高效的工作环境。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在建筑设计中，我们将综合考虑建设和运营成本。通过精细的经济效益分析，确保设计方案在高效利用资源的同时，对高密度电阻率仪项目的长期盈利能力有积极的贡献。</w:t>
      </w:r>
    </w:p>
    <w:p>
      <w:pPr>
        <w:pStyle w:val="Heading2"/>
        <w:ind w:firstLine="560" w:firstLineChars="200"/>
        <w:rPr>
          <w:rFonts w:ascii="仿宋" w:eastAsia="仿宋" w:hAnsi="仿宋" w:cs="仿宋" w:hint="eastAsia"/>
          <w:sz w:val="28"/>
          <w:lang w:eastAsia="zh-CN"/>
        </w:rPr>
      </w:pPr>
      <w:bookmarkStart w:id="10" w:name="_Toc196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项目的土建工程设计中，我们将精准设定设计年限，结合高密度电阻率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密度电阻率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07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密度电阻率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密度电阻率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密度电阻率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6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本期工程高密度电阻率仪项目预计总建筑面积XXX平方米，其中：计容建筑面积XXX平方米，计划建筑工程投资XX万元，占高密度电阻率仪项目总投资的XX%。</w:t>
      </w:r>
    </w:p>
    <w:p>
      <w:pPr>
        <w:pStyle w:val="Heading1"/>
        <w:ind w:firstLine="560" w:firstLineChars="200"/>
        <w:rPr>
          <w:rFonts w:ascii="仿宋" w:eastAsia="仿宋" w:hAnsi="仿宋" w:cs="仿宋" w:hint="eastAsia"/>
          <w:sz w:val="28"/>
          <w:lang w:eastAsia="zh-CN"/>
        </w:rPr>
      </w:pPr>
      <w:bookmarkStart w:id="13" w:name="_Toc293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27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技术管理特点体现在其创新导向。通过引入最先进的技术趋势和解决方案，高密度电阻率仪项目致力于提升科技含量、提高质量和效率水平。这意味着我们将采用最新的工具和方法，确保高密度电阻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密度电阻率仪项目技术管理的显著特征。通过整合不同领域的技术资源，我们实现了跨学科的协同工作。这有助于优化技术架构，提高整体效能。此外，整合性策略还促进了不同技术团队之间的紧密沟通和高效合作，确保高密度电阻率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密度电阻率仪项目所采用的技术。通过不断优化技术方案，高密度电阻率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密度电阻率仪项目团队将在高密度电阻率仪项目初期识别可能的技术风险，并采取相应的预防和应对措施。通过建立健全的风险评估机制，高密度电阻率仪项目能够在实施过程中及时发现并解决潜在的技术问题，保障高密度电阻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密度电阻率仪项目中，技术将成为高密度电阻率仪项目成功的有力支持。这一深度剖析揭示了技术管理在高密度电阻率仪项目实施中的关键作用，为高密度电阻率仪项目的技术基础奠定了坚实的基础。</w:t>
      </w:r>
    </w:p>
    <w:p>
      <w:pPr>
        <w:pStyle w:val="Heading2"/>
        <w:ind w:firstLine="560" w:firstLineChars="200"/>
        <w:rPr>
          <w:rFonts w:ascii="仿宋" w:eastAsia="仿宋" w:hAnsi="仿宋" w:cs="仿宋" w:hint="eastAsia"/>
          <w:sz w:val="28"/>
          <w:lang w:eastAsia="zh-CN"/>
        </w:rPr>
      </w:pPr>
      <w:bookmarkStart w:id="15" w:name="_Toc1183"/>
      <w:r>
        <w:rPr>
          <w:rFonts w:ascii="仿宋" w:eastAsia="仿宋" w:hAnsi="仿宋" w:cs="仿宋" w:hint="eastAsia"/>
          <w:sz w:val="28"/>
          <w:lang w:eastAsia="zh-CN"/>
        </w:rPr>
        <w:t>(二)、高密度电阻率仪项目工艺技术设计方案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密度电阻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密度电阻率仪项目将严格按照相关行业规范要求进行组织。通过有效控制产品质量，高密度电阻率仪项目将致力于为顾客提供优质的高密度电阻率仪项目产品和良好的服务。这体现了高密度电阻率仪项目对于生产活动合规性和质量标准的高度重视，为高密度电阻率仪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高密度电阻率仪项目注重生态效益和清洁生产原则。高密度电阻率仪项目建设将紧密结合地方特色经济发展，与社会经济发展规划和区域环境保护规划方案相协调一致。通过与当地区域自然生态系统的结合，高密度电阻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密度电阻率仪项目产品具有多样化的客户需求和个性化的特点。因此，高密度电阻率仪项目产品规格品种多样，且单批生产数量较小。为满足这一特点，高密度电阻率仪项目承办单位将建设先进的柔性制造生产线。通过广泛应用柔性制造技术，高密度电阻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密度电阻率仪项目采用的技术具有较高的技术含量和自动化水平，处于国内先进水平。这一技术选用不仅体现了对生产效率、质量和环境友好性的高标准要求，同时为高密度电阻率仪项目的可持续发展奠定了坚实的基础。</w:t>
      </w:r>
    </w:p>
    <w:p>
      <w:pPr>
        <w:pStyle w:val="Heading2"/>
        <w:ind w:firstLine="560" w:firstLineChars="200"/>
        <w:rPr>
          <w:rFonts w:ascii="仿宋" w:eastAsia="仿宋" w:hAnsi="仿宋" w:cs="仿宋" w:hint="eastAsia"/>
          <w:sz w:val="28"/>
          <w:lang w:eastAsia="zh-CN"/>
        </w:rPr>
      </w:pPr>
      <w:bookmarkStart w:id="16" w:name="_Toc319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为确保高密度电阻率仪项目的高效生产和技术实施，我们制定了一套精心设计的设备选型方案，以满足高密度电阻率仪项目生产、质量和环保的要求。该方案的主要特点如下：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密度电阻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针对高密度电阻率仪项目产品的多样性和小批量生产的特点，我们将建设柔性制造生产线。通过在设备选型中考虑柔性制造技术，可以灵活应对不同产品规格和生产需求，实现生产线的高度灵活性和适应性。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5898"/>
      <w:r>
        <w:rPr>
          <w:rFonts w:ascii="仿宋" w:eastAsia="仿宋" w:hAnsi="仿宋" w:cs="仿宋" w:hint="eastAsia"/>
          <w:sz w:val="28"/>
          <w:lang w:eastAsia="zh-CN"/>
        </w:rPr>
        <w:t>五、高密度电阻率仪项目文档管理</w:t>
      </w:r>
      <w:bookmarkEnd w:id="17"/>
    </w:p>
    <w:p>
      <w:pPr>
        <w:pStyle w:val="Heading2"/>
        <w:rPr>
          <w:rFonts w:ascii="仿宋" w:eastAsia="仿宋" w:hAnsi="仿宋" w:cs="仿宋" w:hint="eastAsia"/>
          <w:lang w:eastAsia="zh-CN"/>
        </w:rPr>
      </w:pPr>
      <w:bookmarkStart w:id="18" w:name="_Toc1077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高密度电阻率仪项目高度重视文档的质量和准确性，以支持高密度电阻率仪项目的各项活动和决策。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文档的编制始于高密度电阻率仪项目计划的初期，我们制定了详细的文档编制计划，明确了每个文档的内容、格式和编写责任人。在高密度电阻率仪项目启动阶段，我们首先编制了高密度电阻率仪项目章程，明确定义了高密度电阻率仪项目的目标、范围、风险等关键要素。随后，高密度电阻率仪项目团队根据计划陆续编制了需求文档、设计文档、测试文档等各类文档，确保高密度电阻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密度电阻率仪项目管理中的重要环节，旨在确保高密度电阻率仪项目文档符合质量标准和高密度电阻率仪项目需求。在高密度电阻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密度电阻率仪项目相关利益方和专业领域的专家对文档进行独立审查。这有助于获取更全面、客观的反馈，确保高密度电阻率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高密度电阻率仪项目在文档编制与审查方面建立了严格的管理机制，通过规范的流程和多维度的审查，确保高密度电阻率仪项目文档的质量、准确性和可靠性，为高密度电阻率仪项目的顺利推进提供了有力支持。</w:t>
      </w:r>
    </w:p>
    <w:p>
      <w:pPr>
        <w:pStyle w:val="Heading2"/>
        <w:ind w:firstLine="560" w:firstLineChars="200"/>
        <w:rPr>
          <w:rFonts w:ascii="仿宋" w:eastAsia="仿宋" w:hAnsi="仿宋" w:cs="仿宋" w:hint="eastAsia"/>
          <w:sz w:val="28"/>
          <w:lang w:eastAsia="zh-CN"/>
        </w:rPr>
      </w:pPr>
      <w:bookmarkStart w:id="19" w:name="_Toc359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我们通过多渠道发布文档，包括电子邮件、高密度电阻率仪项目管理平台、内部网站等，以满足不同团队成员的偏好和需求。多渠道发布确保了信息的全面覆盖。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我们采用了精细的权限控制，确保只有授权人员可以访问敏感信息。这种安全措施保护了高密度电阻率仪项目文档的机密性，防止了未经授权的信息泄露。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https://d.book118.com/028035076033006030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8642E"/>
    <w:rsid w:val="06B864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507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2024-01-21T10:38:00Z</dcterms:created>
  <dcterms:modified xsi:type="dcterms:W3CDTF">2024-01-21T10:38:50Z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E05D37F98D974DC5B4313019AF0CD600_11</vt:lpwstr>
  </property>
  <property fmtid="{D5CDD505-2E9C-101B-9397-08002B2CF9AE}" pid="3" name="KSOProductBuildVer">
    <vt:lpwstr>2052-12.1.0.16120</vt:lpwstr>
  </property>
</Properties>
</file>