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氮气相关行业公司成立方案及可行性研究报告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(七)、氮气项目建设必要性分析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eastAsia="zh-CN"/>
          </w:rPr>
          <w:t>二、氮气项目概况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(二)、氮气项目提出的理由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(三)、氮气项目选址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(六)、氮气项目投资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(七)、氮气项目进度规划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_Toc16243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(九)、氮气项目综合评价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(一)、氮气项目选址原则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_Toc18865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(五)、氮气项目选址综合评价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_Toc9423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_Toc11601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_Toc18400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1" w:history="1">
        <w:r>
          <w:rPr>
            <w:rFonts w:ascii="仿宋" w:eastAsia="仿宋" w:hAnsi="仿宋" w:cs="仿宋" w:hint="eastAsia"/>
            <w:lang w:eastAsia="zh-CN"/>
          </w:rPr>
          <w:t>七、氮气项目经济效益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eastAsia="zh-CN"/>
          </w:rPr>
          <w:t>(三)、氮气项目盈利能力分析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_Toc6173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_Toc19388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_Toc14807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(五)、氮气项目总投资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_Toc18513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4" w:history="1">
        <w:r>
          <w:rPr>
            <w:rFonts w:ascii="仿宋" w:eastAsia="仿宋" w:hAnsi="仿宋" w:cs="仿宋" w:hint="eastAsia"/>
            <w:lang w:eastAsia="zh-CN"/>
          </w:rPr>
          <w:t>(一)、氮气项目背景分析</w:t>
        </w:r>
        <w:r>
          <w:tab/>
        </w:r>
        <w:r>
          <w:fldChar w:fldCharType="begin"/>
        </w:r>
        <w:r>
          <w:instrText xml:space="preserve"> PAGEREF _Toc12524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(二)、氮气项目建设必要性分析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_Toc17897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_Toc3685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4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0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26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3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https://d.book118.com/028047067130006036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氮气相关行业公司成立方案及可行性研究报告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氮气相关行业公司成立方案及可行性研究报告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氮气相关行业公司成立方案及可行性研究报告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氮气相关行业公司成立方案及可行性研究报告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氮气相关行业公司成立方案及可行性研究报告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804706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2024-02-03T14:15:00Z</dcterms:created>
  <dcterms:modified xsi:type="dcterms:W3CDTF">2024-02-03T14:15:21Z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FC571248ED4C433BB5197E08C51014E0_11</vt:lpwstr>
  </property>
  <property fmtid="{D5CDD505-2E9C-101B-9397-08002B2CF9AE}" pid="3" name="KSOProductBuildVer">
    <vt:lpwstr>2052-12.1.0.16250</vt:lpwstr>
  </property>
</Properties>
</file>