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tbl>
      <w:tblPr>
        <w:tblStyle w:val="TableNormal"/>
        <w:tblW w:w="9460" w:type="dxa"/>
        <w:tblInd w:w="-176" w:type="dxa"/>
        <w:tblBorders>
          <w:top w:val="triple" w:sz="4" w:space="0" w:color="auto"/>
          <w:left w:val="triple" w:sz="4" w:space="0" w:color="auto"/>
          <w:bottom w:val="triple" w:sz="4" w:space="0" w:color="auto"/>
          <w:right w:val="triple" w:sz="4" w:space="0" w:color="auto"/>
          <w:insideH w:val="none" w:sz="0" w:space="0" w:color="auto"/>
          <w:insideV w:val="none" w:sz="0" w:space="0" w:color="auto"/>
        </w:tblBorders>
        <w:tblCellMar>
          <w:top w:w="0" w:type="dxa"/>
          <w:left w:w="108" w:type="dxa"/>
          <w:bottom w:w="0" w:type="dxa"/>
          <w:right w:w="108" w:type="dxa"/>
        </w:tblCellMar>
      </w:tblPr>
      <w:tblGrid>
        <w:gridCol w:w="9460"/>
      </w:tblGrid>
      <w:tr>
        <w:tblPrEx>
          <w:tblW w:w="9460" w:type="dxa"/>
          <w:tblInd w:w="-176" w:type="dxa"/>
          <w:tblBorders>
            <w:top w:val="triple" w:sz="4" w:space="0" w:color="auto"/>
            <w:left w:val="triple" w:sz="4" w:space="0" w:color="auto"/>
            <w:bottom w:val="triple" w:sz="4" w:space="0" w:color="auto"/>
            <w:right w:val="triple" w:sz="4" w:space="0" w:color="auto"/>
            <w:insideH w:val="none" w:sz="0" w:space="0" w:color="auto"/>
            <w:insideV w:val="none" w:sz="0" w:space="0" w:color="auto"/>
          </w:tblBorders>
          <w:tblCellMar>
            <w:top w:w="0" w:type="dxa"/>
            <w:left w:w="108" w:type="dxa"/>
            <w:bottom w:w="0" w:type="dxa"/>
            <w:right w:w="108" w:type="dxa"/>
          </w:tblCellMar>
        </w:tblPrEx>
        <w:trPr>
          <w:trHeight w:val="12904"/>
        </w:trPr>
        <w:tc>
          <w:tcPr>
            <w:tcW w:w="9460" w:type="dxa"/>
            <w:shd w:val="clear" w:color="auto" w:fill="auto"/>
          </w:tcPr>
          <w:p>
            <w:pPr>
              <w:spacing w:after="0"/>
              <w:ind w:left="0" w:firstLine="0" w:leftChars="0" w:firstLineChars="0"/>
              <w:jc w:val="both"/>
              <w:rPr>
                <w:rFonts w:ascii="黑体" w:eastAsia="黑体" w:hAnsi="黑体"/>
                <w:b/>
                <w:bCs/>
                <w:sz w:val="44"/>
              </w:rPr>
            </w:pPr>
          </w:p>
          <w:p>
            <w:pPr>
              <w:spacing w:after="0" w:line="360" w:lineRule="auto"/>
              <w:ind w:firstLine="1320" w:firstLineChars="300"/>
              <w:jc w:val="both"/>
              <w:rPr>
                <w:rFonts w:ascii="黑体" w:eastAsia="黑体" w:hAnsi="黑体"/>
                <w:b/>
                <w:bCs/>
                <w:sz w:val="44"/>
              </w:rPr>
            </w:pPr>
            <w:r>
              <w:rPr>
                <w:rFonts w:ascii="黑体" w:eastAsia="黑体" w:hAnsi="黑体" w:hint="eastAsia"/>
                <w:b/>
                <w:bCs/>
                <w:sz w:val="44"/>
              </w:rPr>
              <w:t>北京科技大学远程与成人教育学院</w:t>
            </w:r>
          </w:p>
          <w:p>
            <w:pPr>
              <w:spacing w:after="0"/>
              <w:ind w:left="0" w:firstLine="0" w:leftChars="0" w:firstLineChars="0"/>
              <w:jc w:val="center"/>
              <w:rPr>
                <w:rFonts w:ascii="黑体" w:eastAsia="黑体" w:hAnsi="黑体"/>
                <w:b/>
                <w:bCs/>
                <w:sz w:val="72"/>
                <w:szCs w:val="72"/>
              </w:rPr>
            </w:pPr>
            <w:r>
              <w:rPr>
                <w:rFonts w:ascii="黑体" w:eastAsia="黑体" w:hAnsi="黑体" w:hint="eastAsia"/>
                <w:b/>
                <w:bCs/>
                <w:sz w:val="72"/>
                <w:szCs w:val="72"/>
              </w:rPr>
              <w:t>本科生毕业设计（论文）</w:t>
            </w:r>
          </w:p>
          <w:tbl>
            <w:tblPr>
              <w:tblStyle w:val="TableGrid"/>
              <w:tblpPr w:leftFromText="180" w:rightFromText="180" w:vertAnchor="text" w:horzAnchor="page" w:tblpX="674" w:tblpY="48"/>
              <w:tblOverlap w:val="neve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79"/>
              <w:gridCol w:w="1877"/>
              <w:gridCol w:w="6061"/>
              <w:gridCol w:w="483"/>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rPr>
                      <w:rFonts w:asciiTheme="minorEastAsia" w:eastAsiaTheme="minorEastAsia" w:hAnsiTheme="minorEastAsia"/>
                      <w:b/>
                      <w:sz w:val="32"/>
                      <w:u w:val="single"/>
                    </w:rPr>
                  </w:pPr>
                  <w:r>
                    <w:rPr>
                      <w:rFonts w:asciiTheme="minorEastAsia" w:eastAsiaTheme="minorEastAsia" w:hAnsiTheme="minorEastAsia" w:hint="eastAsia"/>
                      <w:b/>
                      <w:sz w:val="32"/>
                    </w:rPr>
                    <w:t>题    目：</w:t>
                  </w:r>
                </w:p>
              </w:tc>
              <w:tc>
                <w:tcPr>
                  <w:tcW w:w="6061" w:type="dxa"/>
                  <w:tcBorders>
                    <w:top w:val="nil"/>
                    <w:left w:val="nil"/>
                    <w:bottom w:val="single" w:sz="4" w:space="0" w:color="auto"/>
                    <w:right w:val="nil"/>
                  </w:tcBorders>
                  <w:vAlign w:val="center"/>
                </w:tcPr>
                <w:p>
                  <w:pPr>
                    <w:spacing w:after="0"/>
                    <w:ind w:left="0" w:firstLine="0" w:leftChars="0" w:firstLineChars="0"/>
                    <w:jc w:val="center"/>
                    <w:rPr>
                      <w:rFonts w:asciiTheme="minorEastAsia" w:eastAsiaTheme="minorEastAsia" w:hAnsiTheme="minorEastAsia" w:hint="eastAsia"/>
                      <w:b/>
                      <w:sz w:val="32"/>
                    </w:rPr>
                  </w:pPr>
                  <w:r>
                    <w:rPr>
                      <w:rFonts w:ascii="方正大标宋简体" w:eastAsia="方正大标宋简体" w:hAnsi="方正大标宋简体" w:cs="方正大标宋简体" w:hint="eastAsia"/>
                      <w:sz w:val="44"/>
                      <w:szCs w:val="44"/>
                      <w:lang w:eastAsia="zh-CN"/>
                    </w:rPr>
                    <w:t>上海源存机械制造有限公司固定资产管理研究</w:t>
                  </w: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jc w:val="center"/>
                    <w:rPr>
                      <w:rFonts w:asciiTheme="minorEastAsia" w:eastAsiaTheme="minorEastAsia" w:hAnsiTheme="minorEastAsia"/>
                      <w:b/>
                      <w:sz w:val="32"/>
                    </w:rPr>
                  </w:pPr>
                </w:p>
              </w:tc>
              <w:tc>
                <w:tcPr>
                  <w:tcW w:w="6061" w:type="dxa"/>
                  <w:tcBorders>
                    <w:top w:val="single" w:sz="4" w:space="0" w:color="auto"/>
                    <w:left w:val="nil"/>
                    <w:right w:val="nil"/>
                  </w:tcBorders>
                  <w:vAlign w:val="center"/>
                </w:tcPr>
                <w:p>
                  <w:pPr>
                    <w:spacing w:after="0"/>
                    <w:jc w:val="center"/>
                    <w:rPr>
                      <w:rFonts w:asciiTheme="minorEastAsia" w:eastAsiaTheme="minorEastAsia" w:hAnsiTheme="minorEastAsia"/>
                      <w:b/>
                      <w:sz w:val="32"/>
                      <w:u w:val="single"/>
                    </w:rPr>
                  </w:pP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rPr>
                      <w:rFonts w:asciiTheme="minorEastAsia" w:eastAsiaTheme="minorEastAsia" w:hAnsiTheme="minorEastAsia"/>
                      <w:b/>
                      <w:sz w:val="32"/>
                      <w:u w:val="single"/>
                    </w:rPr>
                  </w:pPr>
                  <w:r>
                    <w:rPr>
                      <w:rFonts w:asciiTheme="minorEastAsia" w:eastAsiaTheme="minorEastAsia" w:hAnsiTheme="minorEastAsia" w:hint="eastAsia"/>
                      <w:b/>
                      <w:sz w:val="32"/>
                    </w:rPr>
                    <w:t>学习中心(教学站)：</w:t>
                  </w:r>
                </w:p>
              </w:tc>
              <w:tc>
                <w:tcPr>
                  <w:tcW w:w="6061" w:type="dxa"/>
                  <w:tcBorders>
                    <w:left w:val="nil"/>
                    <w:right w:val="nil"/>
                  </w:tcBorders>
                  <w:vAlign w:val="center"/>
                </w:tcPr>
                <w:p>
                  <w:pPr>
                    <w:spacing w:after="0"/>
                    <w:jc w:val="center"/>
                    <w:rPr>
                      <w:rFonts w:asciiTheme="minorEastAsia" w:eastAsiaTheme="minorEastAsia" w:hAnsiTheme="minorEastAsia" w:hint="eastAsia"/>
                      <w:b/>
                      <w:sz w:val="32"/>
                      <w:u w:val="single"/>
                    </w:rPr>
                  </w:pP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jc w:val="both"/>
                    <w:rPr>
                      <w:rFonts w:asciiTheme="minorEastAsia" w:eastAsiaTheme="minorEastAsia" w:hAnsiTheme="minorEastAsia"/>
                      <w:b/>
                      <w:sz w:val="32"/>
                      <w:u w:val="single"/>
                    </w:rPr>
                  </w:pPr>
                  <w:r>
                    <w:rPr>
                      <w:rFonts w:asciiTheme="minorEastAsia" w:eastAsiaTheme="minorEastAsia" w:hAnsiTheme="minorEastAsia" w:hint="eastAsia"/>
                      <w:b/>
                      <w:sz w:val="32"/>
                    </w:rPr>
                    <w:t>专    业：</w:t>
                  </w:r>
                </w:p>
              </w:tc>
              <w:tc>
                <w:tcPr>
                  <w:tcW w:w="6061" w:type="dxa"/>
                  <w:tcBorders>
                    <w:left w:val="nil"/>
                    <w:right w:val="nil"/>
                  </w:tcBorders>
                  <w:vAlign w:val="center"/>
                </w:tcPr>
                <w:p>
                  <w:pPr>
                    <w:spacing w:after="0"/>
                    <w:jc w:val="center"/>
                    <w:rPr>
                      <w:rFonts w:asciiTheme="minorEastAsia" w:eastAsiaTheme="minorEastAsia" w:hAnsiTheme="minorEastAsia" w:hint="eastAsia"/>
                      <w:b/>
                      <w:sz w:val="32"/>
                      <w:u w:val="single"/>
                    </w:rPr>
                  </w:pPr>
                  <w:r>
                    <w:rPr>
                      <w:rFonts w:asciiTheme="minorEastAsia" w:eastAsiaTheme="minorEastAsia" w:hAnsiTheme="minorEastAsia" w:hint="eastAsia"/>
                      <w:b/>
                      <w:sz w:val="32"/>
                      <w:lang w:eastAsia="zh-CN"/>
                    </w:rPr>
                    <w:t>会计学</w:t>
                  </w: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jc w:val="both"/>
                    <w:rPr>
                      <w:rFonts w:asciiTheme="minorEastAsia" w:eastAsiaTheme="minorEastAsia" w:hAnsiTheme="minorEastAsia"/>
                      <w:b/>
                      <w:sz w:val="32"/>
                      <w:u w:val="single"/>
                    </w:rPr>
                  </w:pPr>
                  <w:r>
                    <w:rPr>
                      <w:rFonts w:asciiTheme="minorEastAsia" w:eastAsiaTheme="minorEastAsia" w:hAnsiTheme="minorEastAsia" w:hint="eastAsia"/>
                      <w:b/>
                      <w:sz w:val="32"/>
                    </w:rPr>
                    <w:t>年    级：</w:t>
                  </w:r>
                </w:p>
              </w:tc>
              <w:tc>
                <w:tcPr>
                  <w:tcW w:w="6061" w:type="dxa"/>
                  <w:tcBorders>
                    <w:left w:val="nil"/>
                    <w:right w:val="nil"/>
                  </w:tcBorders>
                  <w:vAlign w:val="center"/>
                </w:tcPr>
                <w:p>
                  <w:pPr>
                    <w:spacing w:after="0"/>
                    <w:jc w:val="center"/>
                    <w:rPr>
                      <w:rFonts w:asciiTheme="minorEastAsia" w:eastAsiaTheme="minorEastAsia" w:hAnsiTheme="minorEastAsia" w:hint="eastAsia"/>
                      <w:b/>
                      <w:sz w:val="32"/>
                    </w:rPr>
                  </w:pPr>
                  <w:r>
                    <w:rPr>
                      <w:rFonts w:asciiTheme="minorEastAsia" w:eastAsiaTheme="minorEastAsia" w:hAnsiTheme="minorEastAsia" w:hint="eastAsia"/>
                      <w:b/>
                      <w:sz w:val="32"/>
                      <w:lang w:eastAsia="zh-CN"/>
                    </w:rPr>
                    <w:t xml:space="preserve"> </w:t>
                  </w: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jc w:val="both"/>
                    <w:rPr>
                      <w:rFonts w:asciiTheme="minorEastAsia" w:eastAsiaTheme="minorEastAsia" w:hAnsiTheme="minorEastAsia"/>
                      <w:b/>
                      <w:sz w:val="32"/>
                      <w:u w:val="single"/>
                    </w:rPr>
                  </w:pPr>
                  <w:r>
                    <w:rPr>
                      <w:rFonts w:asciiTheme="minorEastAsia" w:eastAsiaTheme="minorEastAsia" w:hAnsiTheme="minorEastAsia" w:hint="eastAsia"/>
                      <w:b/>
                      <w:sz w:val="32"/>
                    </w:rPr>
                    <w:t>姓    名：</w:t>
                  </w:r>
                </w:p>
              </w:tc>
              <w:tc>
                <w:tcPr>
                  <w:tcW w:w="6061" w:type="dxa"/>
                  <w:tcBorders>
                    <w:left w:val="nil"/>
                    <w:right w:val="nil"/>
                  </w:tcBorders>
                  <w:vAlign w:val="center"/>
                </w:tcPr>
                <w:p>
                  <w:pPr>
                    <w:spacing w:after="0"/>
                    <w:jc w:val="center"/>
                    <w:rPr>
                      <w:rFonts w:asciiTheme="minorEastAsia" w:eastAsiaTheme="minorEastAsia" w:hAnsiTheme="minorEastAsia" w:hint="eastAsia"/>
                      <w:b/>
                      <w:sz w:val="32"/>
                    </w:rPr>
                  </w:pPr>
                  <w:r>
                    <w:rPr>
                      <w:rFonts w:asciiTheme="minorEastAsia" w:eastAsiaTheme="minorEastAsia" w:hAnsiTheme="minorEastAsia" w:hint="eastAsia"/>
                      <w:b/>
                      <w:sz w:val="32"/>
                      <w:lang w:eastAsia="zh-CN"/>
                    </w:rPr>
                    <w:t>苏良烟</w:t>
                  </w: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jc w:val="both"/>
                    <w:rPr>
                      <w:rFonts w:asciiTheme="minorEastAsia" w:eastAsiaTheme="minorEastAsia" w:hAnsiTheme="minorEastAsia"/>
                      <w:b/>
                      <w:sz w:val="32"/>
                      <w:u w:val="single"/>
                    </w:rPr>
                  </w:pPr>
                  <w:r>
                    <w:rPr>
                      <w:rFonts w:asciiTheme="minorEastAsia" w:eastAsiaTheme="minorEastAsia" w:hAnsiTheme="minorEastAsia" w:hint="eastAsia"/>
                      <w:b/>
                      <w:sz w:val="32"/>
                    </w:rPr>
                    <w:t>学    号：</w:t>
                  </w:r>
                </w:p>
              </w:tc>
              <w:tc>
                <w:tcPr>
                  <w:tcW w:w="6061" w:type="dxa"/>
                  <w:tcBorders>
                    <w:left w:val="nil"/>
                    <w:right w:val="nil"/>
                  </w:tcBorders>
                  <w:vAlign w:val="center"/>
                </w:tcPr>
                <w:p>
                  <w:pPr>
                    <w:spacing w:after="0"/>
                    <w:jc w:val="center"/>
                    <w:rPr>
                      <w:rFonts w:asciiTheme="minorEastAsia" w:eastAsiaTheme="minorEastAsia" w:hAnsiTheme="minorEastAsia" w:hint="eastAsia"/>
                      <w:b/>
                      <w:sz w:val="32"/>
                    </w:rPr>
                  </w:pPr>
                  <w:r>
                    <w:rPr>
                      <w:rFonts w:asciiTheme="minorEastAsia" w:eastAsiaTheme="minorEastAsia" w:hAnsiTheme="minorEastAsia" w:hint="eastAsia"/>
                      <w:b/>
                      <w:sz w:val="32"/>
                      <w:lang w:eastAsia="zh-CN"/>
                    </w:rPr>
                    <w:t>121022064</w:t>
                  </w: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r>
              <w:tblPrEx>
                <w:tblW w:w="0" w:type="auto"/>
                <w:tblInd w:w="0" w:type="dxa"/>
                <w:tblCellMar>
                  <w:top w:w="0" w:type="dxa"/>
                  <w:left w:w="108" w:type="dxa"/>
                  <w:bottom w:w="0" w:type="dxa"/>
                  <w:right w:w="108" w:type="dxa"/>
                </w:tblCellMar>
              </w:tblPrEx>
              <w:trPr>
                <w:trHeight w:val="897"/>
              </w:trPr>
              <w:tc>
                <w:tcPr>
                  <w:tcW w:w="279" w:type="dxa"/>
                  <w:tcBorders>
                    <w:top w:val="nil"/>
                    <w:left w:val="nil"/>
                    <w:bottom w:val="nil"/>
                    <w:right w:val="nil"/>
                  </w:tcBorders>
                </w:tcPr>
                <w:p>
                  <w:pPr>
                    <w:spacing w:after="0"/>
                    <w:rPr>
                      <w:rFonts w:asciiTheme="minorEastAsia" w:eastAsiaTheme="minorEastAsia" w:hAnsiTheme="minorEastAsia"/>
                      <w:sz w:val="32"/>
                      <w:u w:val="single"/>
                    </w:rPr>
                  </w:pPr>
                </w:p>
              </w:tc>
              <w:tc>
                <w:tcPr>
                  <w:tcW w:w="1877" w:type="dxa"/>
                  <w:tcBorders>
                    <w:top w:val="nil"/>
                    <w:left w:val="nil"/>
                    <w:bottom w:val="nil"/>
                    <w:right w:val="nil"/>
                  </w:tcBorders>
                  <w:vAlign w:val="center"/>
                </w:tcPr>
                <w:p>
                  <w:pPr>
                    <w:spacing w:after="0"/>
                    <w:ind w:left="0" w:firstLine="0" w:leftChars="0" w:firstLineChars="0"/>
                    <w:jc w:val="both"/>
                    <w:rPr>
                      <w:rFonts w:asciiTheme="minorEastAsia" w:eastAsiaTheme="minorEastAsia" w:hAnsiTheme="minorEastAsia"/>
                      <w:b/>
                      <w:sz w:val="32"/>
                    </w:rPr>
                  </w:pPr>
                  <w:r>
                    <w:rPr>
                      <w:rFonts w:asciiTheme="minorEastAsia" w:eastAsiaTheme="minorEastAsia" w:hAnsiTheme="minorEastAsia" w:hint="eastAsia"/>
                      <w:b/>
                      <w:sz w:val="32"/>
                    </w:rPr>
                    <w:t>指导教师：</w:t>
                  </w:r>
                </w:p>
              </w:tc>
              <w:tc>
                <w:tcPr>
                  <w:tcW w:w="6061" w:type="dxa"/>
                  <w:tcBorders>
                    <w:left w:val="nil"/>
                    <w:right w:val="nil"/>
                  </w:tcBorders>
                  <w:vAlign w:val="center"/>
                </w:tcPr>
                <w:p>
                  <w:pPr>
                    <w:spacing w:after="0"/>
                    <w:jc w:val="center"/>
                    <w:rPr>
                      <w:rFonts w:asciiTheme="minorEastAsia" w:eastAsiaTheme="minorEastAsia" w:hAnsiTheme="minorEastAsia"/>
                      <w:b/>
                      <w:sz w:val="32"/>
                      <w:u w:val="single"/>
                    </w:rPr>
                  </w:pPr>
                </w:p>
              </w:tc>
              <w:tc>
                <w:tcPr>
                  <w:tcW w:w="483" w:type="dxa"/>
                  <w:tcBorders>
                    <w:top w:val="nil"/>
                    <w:left w:val="nil"/>
                    <w:bottom w:val="nil"/>
                    <w:right w:val="nil"/>
                  </w:tcBorders>
                </w:tcPr>
                <w:p>
                  <w:pPr>
                    <w:spacing w:after="0"/>
                    <w:rPr>
                      <w:rFonts w:asciiTheme="minorEastAsia" w:eastAsiaTheme="minorEastAsia" w:hAnsiTheme="minorEastAsia"/>
                      <w:sz w:val="32"/>
                      <w:u w:val="single"/>
                    </w:rPr>
                  </w:pPr>
                </w:p>
              </w:tc>
            </w:tr>
          </w:tbl>
          <w:p>
            <w:pPr>
              <w:spacing w:after="0"/>
              <w:rPr>
                <w:sz w:val="28"/>
                <w:szCs w:val="28"/>
              </w:rPr>
            </w:pPr>
          </w:p>
          <w:p>
            <w:pPr>
              <w:spacing w:after="0"/>
              <w:rPr>
                <w:sz w:val="28"/>
                <w:szCs w:val="28"/>
              </w:rPr>
            </w:pPr>
          </w:p>
          <w:p>
            <w:pPr>
              <w:spacing w:after="0"/>
              <w:rPr>
                <w:sz w:val="28"/>
                <w:szCs w:val="28"/>
              </w:rPr>
            </w:pPr>
          </w:p>
          <w:p>
            <w:pPr>
              <w:spacing w:after="0"/>
              <w:rPr>
                <w:sz w:val="28"/>
                <w:szCs w:val="28"/>
              </w:rPr>
            </w:pPr>
          </w:p>
          <w:p>
            <w:pPr>
              <w:spacing w:after="0"/>
              <w:rPr>
                <w:sz w:val="28"/>
                <w:szCs w:val="28"/>
              </w:rPr>
            </w:pPr>
          </w:p>
          <w:p>
            <w:pPr>
              <w:spacing w:after="0"/>
              <w:rPr>
                <w:sz w:val="28"/>
                <w:szCs w:val="28"/>
              </w:rPr>
            </w:pPr>
          </w:p>
          <w:p>
            <w:pPr>
              <w:spacing w:after="0"/>
              <w:rPr>
                <w:sz w:val="28"/>
                <w:szCs w:val="28"/>
              </w:rPr>
            </w:pPr>
          </w:p>
          <w:p>
            <w:pPr>
              <w:spacing w:after="0"/>
              <w:jc w:val="center"/>
              <w:rPr>
                <w:rFonts w:asciiTheme="minorEastAsia" w:eastAsiaTheme="minorEastAsia" w:hAnsiTheme="minorEastAsia" w:hint="eastAsia"/>
                <w:b/>
                <w:sz w:val="32"/>
              </w:rPr>
            </w:pPr>
            <w:r>
              <w:rPr>
                <w:rFonts w:asciiTheme="minorEastAsia" w:eastAsiaTheme="minorEastAsia" w:hAnsiTheme="minorEastAsia" w:hint="eastAsia"/>
                <w:b/>
                <w:sz w:val="32"/>
              </w:rPr>
              <w:t>2</w:t>
            </w:r>
          </w:p>
          <w:p>
            <w:pPr>
              <w:spacing w:after="0"/>
              <w:jc w:val="center"/>
              <w:rPr>
                <w:rFonts w:asciiTheme="minorEastAsia" w:eastAsiaTheme="minorEastAsia" w:hAnsiTheme="minorEastAsia" w:hint="eastAsia"/>
                <w:b/>
                <w:sz w:val="32"/>
              </w:rPr>
            </w:pPr>
          </w:p>
          <w:p>
            <w:pPr>
              <w:spacing w:after="0"/>
              <w:jc w:val="center"/>
              <w:rPr>
                <w:rFonts w:asciiTheme="minorEastAsia" w:eastAsiaTheme="minorEastAsia" w:hAnsiTheme="minorEastAsia" w:hint="eastAsia"/>
                <w:b/>
                <w:sz w:val="32"/>
              </w:rPr>
            </w:pPr>
          </w:p>
          <w:p>
            <w:pPr>
              <w:spacing w:after="0"/>
              <w:jc w:val="center"/>
              <w:rPr>
                <w:rFonts w:asciiTheme="minorEastAsia" w:eastAsiaTheme="minorEastAsia" w:hAnsiTheme="minorEastAsia" w:hint="eastAsia"/>
                <w:b/>
                <w:sz w:val="32"/>
              </w:rPr>
            </w:pPr>
          </w:p>
          <w:p>
            <w:pPr>
              <w:spacing w:after="0"/>
              <w:jc w:val="center"/>
              <w:rPr>
                <w:rFonts w:asciiTheme="minorEastAsia" w:eastAsiaTheme="minorEastAsia" w:hAnsiTheme="minorEastAsia" w:hint="eastAsia"/>
                <w:b/>
                <w:sz w:val="32"/>
              </w:rPr>
            </w:pPr>
          </w:p>
          <w:p>
            <w:pPr>
              <w:spacing w:after="0"/>
              <w:jc w:val="center"/>
              <w:rPr>
                <w:rFonts w:asciiTheme="minorEastAsia" w:eastAsiaTheme="minorEastAsia" w:hAnsiTheme="minorEastAsia" w:hint="eastAsia"/>
                <w:b/>
                <w:sz w:val="32"/>
              </w:rPr>
            </w:pPr>
          </w:p>
          <w:p>
            <w:pPr>
              <w:spacing w:after="0"/>
              <w:jc w:val="center"/>
              <w:rPr>
                <w:rFonts w:asciiTheme="minorEastAsia" w:eastAsiaTheme="minorEastAsia" w:hAnsiTheme="minorEastAsia" w:hint="eastAsia"/>
                <w:b/>
                <w:sz w:val="32"/>
              </w:rPr>
            </w:pPr>
          </w:p>
          <w:p>
            <w:pPr>
              <w:spacing w:after="0"/>
              <w:jc w:val="center"/>
              <w:rPr>
                <w:rFonts w:asciiTheme="minorEastAsia" w:eastAsiaTheme="minorEastAsia" w:hAnsiTheme="minorEastAsia" w:hint="eastAsia"/>
                <w:b/>
                <w:sz w:val="32"/>
              </w:rPr>
            </w:pPr>
          </w:p>
          <w:p>
            <w:pPr>
              <w:spacing w:after="0"/>
              <w:jc w:val="center"/>
              <w:rPr>
                <w:sz w:val="28"/>
                <w:szCs w:val="28"/>
              </w:rPr>
            </w:pPr>
            <w:r>
              <w:rPr>
                <w:rFonts w:asciiTheme="minorEastAsia" w:eastAsiaTheme="minorEastAsia" w:hAnsiTheme="minorEastAsia" w:hint="eastAsia"/>
                <w:b/>
                <w:sz w:val="32"/>
                <w:lang w:val="en-US" w:eastAsia="zh-CN"/>
              </w:rPr>
              <w:t>2023</w:t>
            </w:r>
            <w:r>
              <w:rPr>
                <w:rFonts w:asciiTheme="minorEastAsia" w:eastAsiaTheme="minorEastAsia" w:hAnsiTheme="minorEastAsia" w:hint="eastAsia"/>
                <w:b/>
                <w:sz w:val="32"/>
              </w:rPr>
              <w:t>年</w:t>
            </w:r>
            <w:r>
              <w:rPr>
                <w:rFonts w:asciiTheme="minorEastAsia" w:eastAsiaTheme="minorEastAsia" w:hAnsiTheme="minorEastAsia" w:hint="eastAsia"/>
                <w:b/>
                <w:sz w:val="32"/>
                <w:lang w:val="en-US" w:eastAsia="zh-CN"/>
              </w:rPr>
              <w:t>2</w:t>
            </w:r>
            <w:r>
              <w:rPr>
                <w:rFonts w:asciiTheme="minorEastAsia" w:eastAsiaTheme="minorEastAsia" w:hAnsiTheme="minorEastAsia" w:hint="eastAsia"/>
                <w:b/>
                <w:sz w:val="32"/>
              </w:rPr>
              <w:t>月</w:t>
            </w:r>
            <w:r>
              <w:rPr>
                <w:rFonts w:asciiTheme="minorEastAsia" w:eastAsiaTheme="minorEastAsia" w:hAnsiTheme="minorEastAsia" w:hint="eastAsia"/>
                <w:b/>
                <w:sz w:val="32"/>
                <w:lang w:val="en-US" w:eastAsia="zh-CN"/>
              </w:rPr>
              <w:t>5</w:t>
            </w:r>
            <w:r>
              <w:rPr>
                <w:rFonts w:asciiTheme="minorEastAsia" w:eastAsiaTheme="minorEastAsia" w:hAnsiTheme="minorEastAsia" w:hint="eastAsia"/>
                <w:b/>
                <w:sz w:val="32"/>
              </w:rPr>
              <w:t>日</w:t>
            </w:r>
          </w:p>
        </w:tc>
      </w:tr>
    </w:tbl>
    <w:p>
      <w:pPr>
        <w:widowControl w:val="0"/>
        <w:spacing w:after="0" w:line="360" w:lineRule="auto"/>
        <w:jc w:val="center"/>
        <w:rPr>
          <w:rFonts w:ascii="宋体" w:hAnsi="宋体"/>
          <w:b/>
          <w:kern w:val="2"/>
          <w:sz w:val="28"/>
          <w:szCs w:val="28"/>
        </w:rPr>
        <w:sectPr>
          <w:headerReference w:type="default" r:id="rId6"/>
          <w:footerReference w:type="even" r:id="rId7"/>
          <w:footerReference w:type="default" r:id="rId8"/>
          <w:footerReference w:type="first" r:id="rId9"/>
          <w:pgSz w:w="11906" w:h="16838"/>
          <w:pgMar w:top="1440" w:right="1797" w:bottom="1440" w:left="1797" w:header="709" w:footer="709" w:gutter="0"/>
          <w:pgNumType w:fmt="decimal"/>
          <w:cols w:num="1" w:space="708"/>
          <w:titlePg/>
          <w:docGrid w:linePitch="360" w:charSpace="0"/>
        </w:sectPr>
      </w:pPr>
    </w:p>
    <w:p>
      <w:pPr>
        <w:widowControl w:val="0"/>
        <w:spacing w:after="0" w:line="360" w:lineRule="auto"/>
        <w:jc w:val="center"/>
        <w:rPr>
          <w:rFonts w:ascii="宋体" w:hAnsi="宋体" w:hint="eastAsia"/>
          <w:b/>
          <w:kern w:val="2"/>
          <w:sz w:val="28"/>
          <w:szCs w:val="28"/>
        </w:rPr>
      </w:pPr>
    </w:p>
    <w:p>
      <w:pPr>
        <w:widowControl w:val="0"/>
        <w:spacing w:after="0" w:line="360" w:lineRule="auto"/>
        <w:jc w:val="center"/>
        <w:rPr>
          <w:rFonts w:ascii="宋体" w:hAnsi="宋体" w:hint="eastAsia"/>
          <w:b/>
          <w:kern w:val="2"/>
          <w:sz w:val="28"/>
          <w:szCs w:val="28"/>
        </w:rPr>
      </w:pPr>
    </w:p>
    <w:p>
      <w:pPr>
        <w:widowControl w:val="0"/>
        <w:spacing w:after="0" w:line="360" w:lineRule="auto"/>
        <w:jc w:val="center"/>
        <w:rPr>
          <w:rFonts w:ascii="宋体" w:hAnsi="宋体"/>
          <w:b/>
          <w:kern w:val="2"/>
          <w:sz w:val="28"/>
          <w:szCs w:val="28"/>
        </w:rPr>
      </w:pPr>
      <w:r>
        <w:rPr>
          <w:rFonts w:ascii="宋体" w:eastAsia="宋体" w:hAnsi="宋体" w:hint="eastAsia"/>
          <w:b/>
          <w:kern w:val="2"/>
          <w:sz w:val="28"/>
          <w:szCs w:val="28"/>
        </w:rPr>
        <w:t>声    明</w:t>
      </w:r>
    </w:p>
    <w:p>
      <w:pPr>
        <w:spacing w:after="0" w:line="360" w:lineRule="auto"/>
        <w:ind w:firstLine="560" w:firstLineChars="200"/>
        <w:rPr>
          <w:rFonts w:ascii="宋体" w:hAnsi="宋体"/>
          <w:sz w:val="28"/>
          <w:szCs w:val="28"/>
        </w:rPr>
      </w:pPr>
    </w:p>
    <w:p>
      <w:pPr>
        <w:spacing w:after="0" w:line="360" w:lineRule="auto"/>
        <w:ind w:firstLine="560" w:firstLineChars="200"/>
        <w:rPr>
          <w:rFonts w:ascii="宋体" w:hAnsi="宋体"/>
          <w:sz w:val="28"/>
          <w:szCs w:val="28"/>
        </w:rPr>
      </w:pPr>
      <w:r>
        <w:rPr>
          <w:rFonts w:ascii="宋体" w:eastAsia="宋体" w:hAnsi="宋体" w:hint="eastAsia"/>
          <w:sz w:val="28"/>
          <w:szCs w:val="28"/>
        </w:rPr>
        <w:t>本人郑重声明：所呈交的论文是本人在指导教师的指导下进行的研究工作及取得研究结果。论文在引用他人已经发表或撰写的研究成果时，已经作了明确的标识；除此之外，论文中不包括其他人已经发表或撰写的研究成果，均为独立完成。其他同志对本文所做的任何贡献均已在论文中做了明确的说明并表达了谢意。</w:t>
      </w:r>
    </w:p>
    <w:p>
      <w:pPr>
        <w:spacing w:after="0" w:line="360" w:lineRule="auto"/>
        <w:ind w:firstLine="560" w:firstLineChars="200"/>
        <w:rPr>
          <w:rFonts w:ascii="宋体" w:hAnsi="宋体"/>
          <w:sz w:val="28"/>
          <w:szCs w:val="28"/>
        </w:rPr>
      </w:pPr>
    </w:p>
    <w:p>
      <w:pPr>
        <w:spacing w:after="0" w:line="360" w:lineRule="auto"/>
        <w:ind w:firstLine="560" w:firstLineChars="200"/>
        <w:rPr>
          <w:rFonts w:ascii="宋体" w:hAnsi="宋体"/>
          <w:sz w:val="28"/>
          <w:szCs w:val="28"/>
        </w:rPr>
      </w:pPr>
    </w:p>
    <w:p>
      <w:pPr>
        <w:spacing w:after="0" w:line="360" w:lineRule="auto"/>
        <w:ind w:firstLine="560" w:firstLineChars="200"/>
        <w:rPr>
          <w:rFonts w:ascii="宋体" w:hAnsi="宋体"/>
          <w:sz w:val="28"/>
          <w:szCs w:val="28"/>
        </w:rPr>
      </w:pPr>
    </w:p>
    <w:p>
      <w:pPr>
        <w:spacing w:after="0" w:line="360" w:lineRule="auto"/>
        <w:ind w:firstLine="560" w:firstLineChars="200"/>
        <w:rPr>
          <w:rFonts w:ascii="宋体" w:hAnsi="宋体"/>
          <w:sz w:val="28"/>
          <w:szCs w:val="28"/>
        </w:rPr>
      </w:pPr>
    </w:p>
    <w:p>
      <w:pPr>
        <w:spacing w:after="0" w:line="360" w:lineRule="auto"/>
        <w:ind w:firstLine="560" w:firstLineChars="200"/>
        <w:rPr>
          <w:rFonts w:ascii="宋体" w:hAnsi="宋体"/>
          <w:sz w:val="28"/>
          <w:szCs w:val="28"/>
        </w:rPr>
      </w:pPr>
    </w:p>
    <w:p>
      <w:pPr>
        <w:spacing w:after="0" w:line="360" w:lineRule="auto"/>
        <w:ind w:firstLine="560" w:firstLineChars="200"/>
        <w:rPr>
          <w:rFonts w:ascii="宋体" w:hAnsi="宋体"/>
          <w:sz w:val="28"/>
          <w:szCs w:val="28"/>
        </w:rPr>
      </w:pPr>
    </w:p>
    <w:p>
      <w:pPr>
        <w:rPr>
          <w:rFonts w:asciiTheme="minorEastAsia" w:eastAsiaTheme="minorEastAsia" w:hAnsiTheme="minorEastAsia"/>
          <w:sz w:val="28"/>
          <w:szCs w:val="28"/>
        </w:rPr>
      </w:pPr>
    </w:p>
    <w:p>
      <w:pPr>
        <w:rPr>
          <w:rFonts w:asciiTheme="minorEastAsia" w:eastAsiaTheme="minorEastAsia" w:hAnsiTheme="minorEastAsia"/>
          <w:sz w:val="28"/>
          <w:szCs w:val="28"/>
        </w:rPr>
      </w:pPr>
    </w:p>
    <w:p>
      <w:pPr>
        <w:rPr>
          <w:rFonts w:asciiTheme="minorEastAsia" w:eastAsiaTheme="minorEastAsia" w:hAnsiTheme="minorEastAsia"/>
          <w:sz w:val="28"/>
          <w:szCs w:val="28"/>
        </w:rPr>
      </w:pPr>
    </w:p>
    <w:p>
      <w:pPr>
        <w:rPr>
          <w:rFonts w:asciiTheme="minorEastAsia" w:eastAsiaTheme="minorEastAsia" w:hAnsiTheme="minorEastAsia"/>
          <w:sz w:val="28"/>
          <w:szCs w:val="28"/>
        </w:rPr>
      </w:pPr>
    </w:p>
    <w:p>
      <w:pPr>
        <w:ind w:left="0" w:firstLine="0" w:leftChars="0" w:firstLineChars="0"/>
        <w:rPr>
          <w:rFonts w:asciiTheme="minorEastAsia" w:eastAsiaTheme="minorEastAsia" w:hAnsiTheme="minorEastAsia"/>
          <w:sz w:val="28"/>
          <w:szCs w:val="28"/>
        </w:rPr>
      </w:pPr>
    </w:p>
    <w:p>
      <w:pPr>
        <w:rPr>
          <w:rFonts w:asciiTheme="minorEastAsia" w:eastAsiaTheme="minorEastAsia" w:hAnsiTheme="minorEastAsia"/>
          <w:sz w:val="28"/>
          <w:szCs w:val="28"/>
        </w:rPr>
        <w:sectPr>
          <w:headerReference w:type="default" r:id="rId10"/>
          <w:footerReference w:type="even" r:id="rId11"/>
          <w:footerReference w:type="default" r:id="rId12"/>
          <w:footerReference w:type="first" r:id="rId13"/>
          <w:type w:val="nextPage"/>
          <w:pgSz w:w="11906" w:h="16838"/>
          <w:pgMar w:top="1440" w:right="1797" w:bottom="1440" w:left="1797" w:header="709" w:footer="709" w:gutter="0"/>
          <w:pgNumType w:fmt="decimal" w:start="2"/>
          <w:cols w:num="1" w:space="708"/>
          <w:titlePg w:val="0"/>
          <w:docGrid w:linePitch="360" w:charSpace="0"/>
        </w:sectPr>
      </w:pPr>
      <w:r>
        <w:rPr>
          <w:rFonts w:asciiTheme="minorEastAsia" w:eastAsiaTheme="minorEastAsia" w:hAnsiTheme="minorEastAsia" w:hint="eastAsia"/>
          <w:sz w:val="28"/>
          <w:szCs w:val="28"/>
        </w:rPr>
        <w:t>学生签名：__</w:t>
      </w:r>
      <w:r>
        <w:rPr>
          <w:rFonts w:asciiTheme="minorEastAsia" w:eastAsiaTheme="minorEastAsia" w:hAnsiTheme="minorEastAsia" w:hint="eastAsia"/>
          <w:sz w:val="28"/>
          <w:szCs w:val="28"/>
          <w:lang w:eastAsia="zh-CN"/>
        </w:rPr>
        <w:t>苏良烟</w:t>
      </w:r>
      <w:r>
        <w:rPr>
          <w:rFonts w:asciiTheme="minorEastAsia" w:eastAsiaTheme="minorEastAsia" w:hAnsiTheme="minorEastAsia" w:hint="eastAsia"/>
          <w:sz w:val="28"/>
          <w:szCs w:val="28"/>
        </w:rPr>
        <w:t xml:space="preserve">___        </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2023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2</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5  </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日</w:t>
      </w:r>
    </w:p>
    <w:tbl>
      <w:tblPr>
        <w:tblStyle w:val="TableNormal"/>
        <w:tblW w:w="866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660"/>
      </w:tblGrid>
      <w:tr>
        <w:tblPrEx>
          <w:tblW w:w="866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0"/>
        </w:trPr>
        <w:tc>
          <w:tcPr>
            <w:tcW w:w="8660" w:type="dxa"/>
            <w:shd w:val="clear" w:color="auto" w:fill="auto"/>
          </w:tcPr>
          <w:p>
            <w:pPr>
              <w:spacing w:after="0"/>
              <w:ind w:firstLine="720"/>
              <w:rPr>
                <w:rFonts w:ascii="黑体" w:eastAsia="黑体"/>
                <w:sz w:val="32"/>
                <w:szCs w:val="32"/>
              </w:rPr>
            </w:pPr>
          </w:p>
          <w:p>
            <w:pPr>
              <w:spacing w:after="0"/>
              <w:ind w:firstLine="720"/>
              <w:rPr>
                <w:rFonts w:ascii="黑体" w:eastAsia="黑体"/>
                <w:sz w:val="32"/>
                <w:szCs w:val="32"/>
              </w:rPr>
            </w:pPr>
          </w:p>
          <w:p>
            <w:pPr>
              <w:spacing w:after="0" w:line="360" w:lineRule="auto"/>
              <w:jc w:val="center"/>
              <w:rPr>
                <w:rFonts w:asciiTheme="minorEastAsia" w:eastAsiaTheme="minorEastAsia" w:hAnsiTheme="minorEastAsia"/>
                <w:b/>
                <w:bCs/>
                <w:sz w:val="44"/>
                <w:szCs w:val="44"/>
              </w:rPr>
            </w:pPr>
            <w:r>
              <w:rPr>
                <w:rFonts w:asciiTheme="minorEastAsia" w:eastAsiaTheme="minorEastAsia" w:hAnsiTheme="minorEastAsia" w:hint="eastAsia"/>
                <w:b/>
                <w:bCs/>
                <w:sz w:val="44"/>
                <w:szCs w:val="44"/>
              </w:rPr>
              <w:t>北京科技大学远程与成人教育学院</w:t>
            </w:r>
          </w:p>
          <w:p>
            <w:pPr>
              <w:spacing w:after="0" w:line="360" w:lineRule="auto"/>
              <w:jc w:val="center"/>
              <w:rPr>
                <w:rFonts w:asciiTheme="minorEastAsia" w:eastAsiaTheme="minorEastAsia" w:hAnsiTheme="minorEastAsia" w:hint="eastAsia"/>
                <w:b/>
                <w:bCs/>
                <w:sz w:val="44"/>
                <w:szCs w:val="44"/>
              </w:rPr>
            </w:pPr>
            <w:r>
              <w:rPr>
                <w:rFonts w:asciiTheme="minorEastAsia" w:eastAsiaTheme="minorEastAsia" w:hAnsiTheme="minorEastAsia" w:hint="eastAsia"/>
                <w:b/>
                <w:bCs/>
                <w:sz w:val="44"/>
                <w:szCs w:val="44"/>
              </w:rPr>
              <w:t>毕业设计（论文）任务书</w:t>
            </w:r>
          </w:p>
          <w:p>
            <w:pPr>
              <w:bidi w:val="0"/>
            </w:pPr>
          </w:p>
          <w:p>
            <w:pPr>
              <w:spacing w:after="0" w:line="360" w:lineRule="auto"/>
              <w:ind w:firstLine="280" w:firstLineChars="100"/>
              <w:rPr>
                <w:rFonts w:asciiTheme="minorEastAsia" w:eastAsiaTheme="minorEastAsia" w:hAnsiTheme="minorEastAsia"/>
                <w:sz w:val="28"/>
                <w:szCs w:val="28"/>
              </w:rPr>
            </w:pP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eastAsia="zh-CN"/>
              </w:rPr>
              <w:t>苏良烟</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同学（学号</w:t>
            </w:r>
            <w:r>
              <w:rPr>
                <w:rFonts w:asciiTheme="minorEastAsia" w:eastAsiaTheme="minorEastAsia" w:hAnsiTheme="minorEastAsia" w:hint="eastAsia"/>
                <w:sz w:val="28"/>
                <w:szCs w:val="28"/>
                <w:u w:val="single"/>
                <w:lang w:eastAsia="zh-CN"/>
              </w:rPr>
              <w:t xml:space="preserve"> 121022064 </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w:t>
            </w:r>
          </w:p>
          <w:p>
            <w:pPr>
              <w:spacing w:after="0" w:line="360" w:lineRule="auto"/>
              <w:ind w:firstLine="64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w:t>
            </w:r>
          </w:p>
          <w:p>
            <w:pPr>
              <w:spacing w:after="0" w:line="360" w:lineRule="auto"/>
              <w:ind w:firstLine="840" w:firstLineChars="300"/>
              <w:rPr>
                <w:rFonts w:asciiTheme="minorEastAsia" w:eastAsiaTheme="minorEastAsia" w:hAnsiTheme="minorEastAsia"/>
                <w:sz w:val="28"/>
                <w:szCs w:val="28"/>
              </w:rPr>
            </w:pPr>
            <w:r>
              <w:rPr>
                <w:rFonts w:asciiTheme="minorEastAsia" w:eastAsiaTheme="minorEastAsia" w:hAnsiTheme="minorEastAsia" w:hint="eastAsia"/>
                <w:sz w:val="28"/>
                <w:szCs w:val="28"/>
              </w:rPr>
              <w:t>经研究决定，你的毕业设计（论文）题目为：</w:t>
            </w:r>
          </w:p>
          <w:tbl>
            <w:tblPr>
              <w:tblStyle w:val="TableGrid0"/>
              <w:tblW w:w="7742" w:type="dxa"/>
              <w:tblInd w:w="484"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7742"/>
            </w:tblGrid>
            <w:tr>
              <w:tblPrEx>
                <w:tblW w:w="7742" w:type="dxa"/>
                <w:tblInd w:w="484" w:type="dxa"/>
                <w:tblBorders>
                  <w:top w:val="none" w:sz="0" w:space="0" w:color="auto"/>
                  <w:left w:val="none" w:sz="0" w:space="0" w:color="auto"/>
                  <w:bottom w:val="single" w:sz="4"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606"/>
              </w:trPr>
              <w:tc>
                <w:tcPr>
                  <w:tcW w:w="7742" w:type="dxa"/>
                  <w:tcBorders>
                    <w:bottom w:val="single" w:sz="4" w:space="0" w:color="auto"/>
                  </w:tcBorders>
                  <w:vAlign w:val="bottom"/>
                </w:tcPr>
                <w:p>
                  <w:pPr>
                    <w:spacing w:after="0" w:line="360" w:lineRule="auto"/>
                    <w:jc w:val="center"/>
                    <w:rPr>
                      <w:rFonts w:asciiTheme="minorEastAsia" w:eastAsiaTheme="minorEastAsia" w:hAnsiTheme="minorEastAsia" w:hint="eastAsia"/>
                      <w:sz w:val="28"/>
                      <w:szCs w:val="28"/>
                    </w:rPr>
                  </w:pPr>
                  <w:r>
                    <w:rPr>
                      <w:rFonts w:asciiTheme="minorEastAsia" w:eastAsiaTheme="minorEastAsia" w:hAnsiTheme="minorEastAsia" w:hint="eastAsia"/>
                      <w:sz w:val="28"/>
                      <w:szCs w:val="28"/>
                      <w:lang w:eastAsia="zh-CN"/>
                    </w:rPr>
                    <w:t>上海源存机械制造有限公司固定资产管理研究</w:t>
                  </w:r>
                </w:p>
              </w:tc>
            </w:tr>
            <w:tr>
              <w:tblPrEx>
                <w:tblW w:w="7742" w:type="dxa"/>
                <w:tblInd w:w="484" w:type="dxa"/>
                <w:tblCellMar>
                  <w:top w:w="0" w:type="dxa"/>
                  <w:left w:w="108" w:type="dxa"/>
                  <w:bottom w:w="0" w:type="dxa"/>
                  <w:right w:w="108" w:type="dxa"/>
                </w:tblCellMar>
              </w:tblPrEx>
              <w:trPr>
                <w:trHeight w:val="606"/>
              </w:trPr>
              <w:tc>
                <w:tcPr>
                  <w:tcW w:w="7742" w:type="dxa"/>
                  <w:tcBorders>
                    <w:top w:val="single" w:sz="4" w:space="0" w:color="auto"/>
                  </w:tcBorders>
                  <w:vAlign w:val="bottom"/>
                </w:tcPr>
                <w:p>
                  <w:pPr>
                    <w:spacing w:after="0" w:line="360" w:lineRule="auto"/>
                    <w:jc w:val="center"/>
                    <w:rPr>
                      <w:rFonts w:asciiTheme="minorEastAsia" w:eastAsiaTheme="minorEastAsia" w:hAnsiTheme="minorEastAsia"/>
                      <w:sz w:val="28"/>
                      <w:szCs w:val="28"/>
                      <w:u w:val="single"/>
                    </w:rPr>
                  </w:pPr>
                </w:p>
              </w:tc>
            </w:tr>
          </w:tbl>
          <w:p>
            <w:pPr>
              <w:spacing w:after="0" w:line="360" w:lineRule="auto"/>
              <w:ind w:left="900" w:hanging="420" w:leftChars="200" w:hangingChars="150"/>
              <w:rPr>
                <w:rFonts w:asciiTheme="minorEastAsia" w:eastAsiaTheme="minorEastAsia" w:hAnsiTheme="minorEastAsia"/>
                <w:sz w:val="28"/>
                <w:szCs w:val="28"/>
              </w:rPr>
            </w:pP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 xml:space="preserve">指导教师为:          </w:t>
            </w:r>
          </w:p>
          <w:p>
            <w:pPr>
              <w:spacing w:after="0" w:line="360" w:lineRule="auto"/>
              <w:ind w:firstLine="840" w:firstLineChars="300"/>
              <w:rPr>
                <w:rFonts w:asciiTheme="minorEastAsia" w:eastAsiaTheme="minorEastAsia" w:hAnsiTheme="minorEastAsia"/>
                <w:sz w:val="28"/>
                <w:szCs w:val="28"/>
              </w:rPr>
            </w:pPr>
          </w:p>
          <w:p>
            <w:pPr>
              <w:spacing w:after="0" w:line="360" w:lineRule="auto"/>
              <w:ind w:firstLine="840" w:firstLineChars="300"/>
              <w:rPr>
                <w:rFonts w:asciiTheme="minorEastAsia" w:eastAsiaTheme="minorEastAsia" w:hAnsiTheme="minorEastAsia"/>
                <w:sz w:val="28"/>
                <w:szCs w:val="28"/>
              </w:rPr>
            </w:pPr>
            <w:r>
              <w:rPr>
                <w:rFonts w:asciiTheme="minorEastAsia" w:eastAsiaTheme="minorEastAsia" w:hAnsiTheme="minorEastAsia" w:hint="eastAsia"/>
                <w:sz w:val="28"/>
                <w:szCs w:val="28"/>
              </w:rPr>
              <w:t>请你于</w:t>
            </w:r>
            <w:r>
              <w:rPr>
                <w:rFonts w:asciiTheme="minorEastAsia" w:eastAsiaTheme="minorEastAsia" w:hAnsiTheme="minorEastAsia" w:hint="eastAsia"/>
                <w:sz w:val="28"/>
                <w:szCs w:val="28"/>
                <w:u w:val="single"/>
                <w:lang w:val="en-US" w:eastAsia="zh-CN"/>
              </w:rPr>
              <w:t xml:space="preserve"> 2023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日--</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eastAsia="zh-CN"/>
              </w:rPr>
              <w:t>2023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rPr>
              <w:t>日期间完成。</w:t>
            </w:r>
          </w:p>
          <w:p>
            <w:pPr>
              <w:spacing w:after="0" w:line="360" w:lineRule="auto"/>
              <w:ind w:firstLine="840" w:firstLineChars="300"/>
              <w:rPr>
                <w:rFonts w:asciiTheme="minorEastAsia" w:eastAsiaTheme="minorEastAsia" w:hAnsiTheme="minorEastAsia"/>
                <w:sz w:val="28"/>
                <w:szCs w:val="28"/>
              </w:rPr>
            </w:pPr>
            <w:r>
              <w:rPr>
                <w:rFonts w:asciiTheme="minorEastAsia" w:eastAsiaTheme="minorEastAsia" w:hAnsiTheme="minorEastAsia" w:hint="eastAsia"/>
                <w:sz w:val="28"/>
                <w:szCs w:val="28"/>
              </w:rPr>
              <w:t>日程安排:</w:t>
            </w:r>
          </w:p>
          <w:p>
            <w:pPr>
              <w:spacing w:after="0" w:line="360" w:lineRule="auto"/>
              <w:ind w:firstLine="840" w:firstLineChars="300"/>
              <w:rPr>
                <w:rFonts w:asciiTheme="minorEastAsia" w:eastAsiaTheme="minorEastAsia" w:hAnsiTheme="minorEastAsia"/>
                <w:sz w:val="28"/>
                <w:szCs w:val="28"/>
              </w:rPr>
            </w:pPr>
            <w:r>
              <w:rPr>
                <w:rFonts w:asciiTheme="minorEastAsia" w:eastAsiaTheme="minorEastAsia" w:hAnsiTheme="minorEastAsia" w:hint="eastAsia"/>
                <w:sz w:val="28"/>
                <w:szCs w:val="28"/>
              </w:rPr>
              <w:t>1.</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eastAsia="zh-CN"/>
              </w:rPr>
              <w:t>2023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日前完成开题报告；</w:t>
            </w:r>
          </w:p>
          <w:p>
            <w:pPr>
              <w:spacing w:after="0" w:line="360" w:lineRule="auto"/>
              <w:ind w:firstLine="840" w:firstLineChars="300"/>
              <w:rPr>
                <w:rFonts w:asciiTheme="minorEastAsia" w:eastAsiaTheme="minorEastAsia" w:hAnsiTheme="minorEastAsia"/>
                <w:sz w:val="28"/>
                <w:szCs w:val="28"/>
              </w:rPr>
            </w:pPr>
            <w:r>
              <w:rPr>
                <w:rFonts w:asciiTheme="minorEastAsia" w:eastAsiaTheme="minorEastAsia" w:hAnsiTheme="minorEastAsia" w:hint="eastAsia"/>
                <w:sz w:val="28"/>
                <w:szCs w:val="28"/>
              </w:rPr>
              <w:t>2.</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eastAsia="zh-CN"/>
              </w:rPr>
              <w:t>2023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日前完成论文初稿；</w:t>
            </w:r>
          </w:p>
          <w:p>
            <w:pPr>
              <w:spacing w:after="0" w:line="360" w:lineRule="auto"/>
              <w:ind w:firstLine="840" w:firstLineChars="300"/>
              <w:rPr>
                <w:rFonts w:asciiTheme="minorEastAsia" w:eastAsiaTheme="minorEastAsia" w:hAnsiTheme="minorEastAsia"/>
                <w:sz w:val="28"/>
                <w:szCs w:val="28"/>
              </w:rPr>
            </w:pPr>
            <w:r>
              <w:rPr>
                <w:rFonts w:asciiTheme="minorEastAsia" w:eastAsiaTheme="minorEastAsia" w:hAnsiTheme="minorEastAsia" w:hint="eastAsia"/>
                <w:sz w:val="28"/>
                <w:szCs w:val="28"/>
              </w:rPr>
              <w:t>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eastAsia="zh-CN"/>
              </w:rPr>
              <w:t>2023</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u w:val="single"/>
                <w:lang w:val="en-US" w:eastAsia="zh-CN"/>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u w:val="single"/>
              </w:rPr>
              <w:t xml:space="preserve">  </w:t>
            </w:r>
            <w:r>
              <w:rPr>
                <w:rFonts w:asciiTheme="minorEastAsia" w:eastAsiaTheme="minorEastAsia" w:hAnsiTheme="minorEastAsia" w:hint="eastAsia"/>
                <w:sz w:val="28"/>
                <w:szCs w:val="28"/>
              </w:rPr>
              <w:t>日前完成论文终稿。</w:t>
            </w:r>
          </w:p>
          <w:p>
            <w:pPr>
              <w:spacing w:after="0" w:line="360" w:lineRule="auto"/>
              <w:rPr>
                <w:rFonts w:asciiTheme="minorEastAsia" w:eastAsiaTheme="minorEastAsia" w:hAnsiTheme="minorEastAsia"/>
                <w:sz w:val="28"/>
                <w:szCs w:val="28"/>
              </w:rPr>
            </w:pPr>
          </w:p>
          <w:p>
            <w:pPr>
              <w:spacing w:after="0" w:line="360" w:lineRule="auto"/>
              <w:ind w:left="0" w:firstLine="0" w:leftChars="0" w:firstLineChars="0"/>
              <w:rPr>
                <w:rFonts w:asciiTheme="minorEastAsia" w:eastAsiaTheme="minorEastAsia" w:hAnsiTheme="minorEastAsia" w:hint="eastAsia"/>
                <w:sz w:val="28"/>
                <w:szCs w:val="28"/>
              </w:rPr>
            </w:pPr>
            <w:r>
              <w:rPr>
                <w:rFonts w:asciiTheme="minorEastAsia" w:eastAsiaTheme="minorEastAsia" w:hAnsiTheme="minorEastAsia" w:hint="eastAsia"/>
                <w:sz w:val="28"/>
                <w:szCs w:val="28"/>
              </w:rPr>
              <w:t xml:space="preserve">指导教师(签字): </w:t>
            </w:r>
            <w:r>
              <w:rPr>
                <w:rFonts w:asciiTheme="minorEastAsia" w:eastAsiaTheme="minorEastAsia" w:hAnsiTheme="minorEastAsia" w:hint="eastAsia"/>
                <w:sz w:val="28"/>
                <w:szCs w:val="28"/>
                <w:lang w:val="en-US" w:eastAsia="zh-CN"/>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lang w:val="en-US" w:eastAsia="zh-CN"/>
              </w:rPr>
              <w:t>2023</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lang w:val="en-US" w:eastAsia="zh-CN"/>
              </w:rPr>
              <w:t xml:space="preserve"> </w:t>
            </w:r>
            <w:r>
              <w:rPr>
                <w:rFonts w:asciiTheme="minorEastAsia" w:eastAsiaTheme="minorEastAsia" w:hAnsiTheme="minorEastAsia" w:hint="eastAsia"/>
                <w:sz w:val="28"/>
                <w:szCs w:val="28"/>
              </w:rPr>
              <w:t xml:space="preserve"> 月  </w:t>
            </w:r>
          </w:p>
          <w:p>
            <w:pPr>
              <w:spacing w:after="0" w:line="360" w:lineRule="auto"/>
              <w:ind w:left="0" w:firstLine="0" w:leftChars="0" w:firstLineChars="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学    生(签字): </w:t>
            </w:r>
            <w:r>
              <w:rPr>
                <w:rFonts w:ascii="宋体" w:hAnsi="宋体" w:hint="eastAsia"/>
                <w:sz w:val="24"/>
                <w:lang w:eastAsia="zh-CN"/>
              </w:rPr>
              <w:t>苏良烟</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lang w:val="en-US" w:eastAsia="zh-CN"/>
              </w:rPr>
              <w:t>2023</w:t>
            </w:r>
            <w:r>
              <w:rPr>
                <w:rFonts w:asciiTheme="minorEastAsia" w:eastAsiaTheme="minorEastAsia" w:hAnsiTheme="minorEastAsia" w:hint="eastAsia"/>
                <w:sz w:val="28"/>
                <w:szCs w:val="28"/>
              </w:rPr>
              <w:t>年  月  日</w:t>
            </w:r>
          </w:p>
          <w:p>
            <w:pPr>
              <w:spacing w:after="0" w:line="360" w:lineRule="auto"/>
              <w:ind w:firstLine="960" w:firstLineChars="300"/>
              <w:rPr>
                <w:rFonts w:asciiTheme="minorEastAsia" w:eastAsiaTheme="minorEastAsia" w:hAnsiTheme="minorEastAsia"/>
                <w:sz w:val="32"/>
                <w:szCs w:val="32"/>
              </w:rPr>
            </w:pPr>
          </w:p>
        </w:tc>
      </w:tr>
    </w:tbl>
    <w:p>
      <w:pPr>
        <w:spacing w:line="220" w:lineRule="atLeast"/>
        <w:rPr>
          <w:sz w:val="10"/>
          <w:szCs w:val="10"/>
        </w:rPr>
        <w:sectPr>
          <w:headerReference w:type="default" r:id="rId14"/>
          <w:footerReference w:type="even" r:id="rId15"/>
          <w:footerReference w:type="default" r:id="rId16"/>
          <w:headerReference w:type="first" r:id="rId17"/>
          <w:footerReference w:type="first" r:id="rId18"/>
          <w:pgSz w:w="11906" w:h="16838"/>
          <w:pgMar w:top="1440" w:right="1797" w:bottom="1440" w:left="1797" w:header="709" w:footer="709" w:gutter="0"/>
          <w:pgNumType w:start="0"/>
          <w:cols w:num="1" w:space="708"/>
          <w:titlePg/>
          <w:docGrid w:linePitch="360" w:charSpace="0"/>
        </w:sectPr>
      </w:pPr>
    </w:p>
    <w:p>
      <w:pPr>
        <w:spacing w:line="220" w:lineRule="atLeast"/>
        <w:jc w:val="center"/>
        <w:rPr>
          <w:rFonts w:asciiTheme="minorEastAsia" w:eastAsiaTheme="minorEastAsia" w:hAnsiTheme="minorEastAsia"/>
          <w:b/>
          <w:sz w:val="28"/>
          <w:szCs w:val="28"/>
        </w:rPr>
      </w:pPr>
      <w:r>
        <w:rPr>
          <w:rFonts w:asciiTheme="minorEastAsia" w:eastAsiaTheme="minorEastAsia" w:hAnsiTheme="minorEastAsia" w:hint="eastAsia"/>
          <w:b/>
          <w:sz w:val="28"/>
          <w:szCs w:val="28"/>
        </w:rPr>
        <w:t>摘    要</w:t>
      </w:r>
    </w:p>
    <w:p>
      <w:pPr>
        <w:spacing w:after="0" w:line="360" w:lineRule="auto"/>
        <w:ind w:firstLine="480" w:firstLineChars="200"/>
        <w:rPr>
          <w:rFonts w:asciiTheme="minorEastAsia" w:eastAsiaTheme="minorEastAsia" w:hAnsiTheme="minorEastAsia" w:hint="eastAsia"/>
          <w:szCs w:val="24"/>
        </w:rPr>
      </w:pPr>
      <w:r>
        <w:rPr>
          <w:rFonts w:asciiTheme="minorEastAsia" w:eastAsiaTheme="minorEastAsia" w:hAnsiTheme="minorEastAsia" w:hint="eastAsia"/>
          <w:sz w:val="24"/>
          <w:szCs w:val="24"/>
          <w:lang w:val="en-US" w:eastAsia="zh-CN"/>
        </w:rPr>
        <w:t>近年来随着经济的快速发展，固定资产管理方法导致了国家以及社会的高度重视。国家大力加强对政府低效能固定资产的监管，企业固定资产不断发展，是促进社会发展经济发展的关键驱动力。固定资产是企业经营的主要网络资源构成部分之一其管理效益对于企业具备极为重要的实际意义。固定资产是企业生产运营不可或缺的一部分是企业可持续的关键确保证券投资的胜败立即在于企业规划未来发展趋势。执行生产运营活动，进行各类生产经营指标。现阶段，很多企业的投资理财存在很多难题。</w:t>
      </w:r>
    </w:p>
    <w:p>
      <w:pPr>
        <w:spacing w:after="0" w:line="360" w:lineRule="auto"/>
        <w:ind w:firstLine="480" w:firstLineChars="200"/>
        <w:rPr>
          <w:rFonts w:asciiTheme="minorEastAsia" w:eastAsiaTheme="minorEastAsia" w:hAnsiTheme="minorEastAsia" w:hint="eastAsia"/>
          <w:szCs w:val="24"/>
        </w:rPr>
      </w:pPr>
      <w:r>
        <w:rPr>
          <w:rFonts w:asciiTheme="minorEastAsia" w:eastAsiaTheme="minorEastAsia" w:hAnsiTheme="minorEastAsia" w:hint="eastAsia"/>
          <w:sz w:val="24"/>
          <w:szCs w:val="24"/>
          <w:lang w:val="en-US" w:eastAsia="zh-CN"/>
        </w:rPr>
        <w:t>本文以上海源存机械制造有限公司为选题背景，根据有关固定资产战略管理，强调上海源存机械制造有限公司固定资产采购制度不完善、折旧方法挑选不合理、闲置不用固定资产处理不合理、固定资产汇总不合理及其固定资产处理欠缺规范，提升上海源存机械制造有限公司要遵循固定资产采购制度的确立固定资产工作职责，科学安排生产制造，提升固定资产计算立即汇总，制订固定资产处理规范意见和建议，助力企业长期性迅速发展。</w:t>
      </w:r>
    </w:p>
    <w:p>
      <w:pPr>
        <w:spacing w:after="0" w:line="360" w:lineRule="auto"/>
        <w:ind w:firstLine="480" w:firstLineChars="200"/>
        <w:rPr>
          <w:rFonts w:asciiTheme="minorEastAsia" w:eastAsiaTheme="minorEastAsia" w:hAnsiTheme="minorEastAsia" w:hint="eastAsia"/>
          <w:szCs w:val="24"/>
        </w:rPr>
      </w:pPr>
    </w:p>
    <w:p>
      <w:pPr>
        <w:pStyle w:val="BodyTextFirstIndent2"/>
        <w:rPr>
          <w:rFonts w:asciiTheme="minorEastAsia" w:eastAsiaTheme="minorEastAsia" w:hAnsiTheme="minorEastAsia" w:hint="eastAsia"/>
          <w:sz w:val="24"/>
          <w:szCs w:val="24"/>
          <w:lang w:eastAsia="zh-CN"/>
        </w:rPr>
      </w:pPr>
      <w:r>
        <w:rPr>
          <w:rFonts w:asciiTheme="minorEastAsia" w:eastAsiaTheme="minorEastAsia" w:hAnsiTheme="minorEastAsia" w:hint="eastAsia"/>
          <w:b/>
          <w:bCs/>
          <w:sz w:val="24"/>
          <w:szCs w:val="24"/>
          <w:lang w:eastAsia="zh-CN"/>
        </w:rPr>
        <w:t>关键词：上海源存机械制造有限公司；固定资产核算；固定资产管理</w:t>
      </w:r>
    </w:p>
    <w:p>
      <w:pPr>
        <w:spacing w:after="0" w:line="360" w:lineRule="auto"/>
        <w:rPr>
          <w:rFonts w:asciiTheme="minorEastAsia" w:eastAsiaTheme="minorEastAsia" w:hAnsiTheme="minorEastAsia"/>
          <w:szCs w:val="24"/>
        </w:rPr>
        <w:sectPr>
          <w:headerReference w:type="default" r:id="rId19"/>
          <w:footerReference w:type="even" r:id="rId20"/>
          <w:footerReference w:type="default" r:id="rId21"/>
          <w:headerReference w:type="first" r:id="rId22"/>
          <w:footerReference w:type="first" r:id="rId23"/>
          <w:pgSz w:w="11906" w:h="16838"/>
          <w:pgMar w:top="1440" w:right="1797" w:bottom="1440" w:left="1797" w:header="709" w:footer="709" w:gutter="0"/>
          <w:pgNumType w:start="1"/>
          <w:cols w:num="1" w:space="708"/>
          <w:titlePg/>
          <w:docGrid w:linePitch="360" w:charSpace="0"/>
        </w:sectPr>
      </w:pPr>
    </w:p>
    <w:p>
      <w:pPr>
        <w:pStyle w:val="BodyTextFirstIndent2"/>
      </w:pPr>
    </w:p>
    <w:p>
      <w:pPr>
        <w:pStyle w:val="Heading1"/>
        <w:numPr>
          <w:ilvl w:val="0"/>
          <w:numId w:val="0"/>
        </w:numPr>
        <w:spacing w:before="0" w:after="0" w:line="360" w:lineRule="auto"/>
        <w:ind w:leftChars="0"/>
        <w:jc w:val="center"/>
        <w:rPr>
          <w:rFonts w:ascii="Times New Roman" w:hAnsi="Times New Roman" w:eastAsiaTheme="minorEastAsia" w:cs="Times New Roman"/>
          <w:szCs w:val="28"/>
        </w:rPr>
      </w:pPr>
      <w:bookmarkStart w:id="0" w:name="_Toc15307"/>
      <w:bookmarkStart w:id="1" w:name="_Toc29336"/>
      <w:bookmarkStart w:id="2" w:name="_Toc20415"/>
      <w:bookmarkStart w:id="3" w:name="_Toc21694"/>
      <w:bookmarkStart w:id="4" w:name="_Toc16615"/>
      <w:bookmarkStart w:id="5" w:name="_Toc444355808"/>
      <w:bookmarkStart w:id="6" w:name="_Toc23357"/>
      <w:bookmarkStart w:id="7" w:name="_Toc274"/>
      <w:bookmarkStart w:id="8" w:name="_Toc21215"/>
      <w:bookmarkStart w:id="9" w:name="_Toc16867"/>
      <w:bookmarkStart w:id="10" w:name="_Toc1040"/>
      <w:bookmarkStart w:id="11" w:name="_Toc31799"/>
      <w:r>
        <w:rPr>
          <w:rFonts w:ascii="Times New Roman" w:hAnsi="Times New Roman" w:eastAsiaTheme="minorEastAsia" w:cs="Times New Roman"/>
          <w:sz w:val="28"/>
          <w:szCs w:val="28"/>
        </w:rPr>
        <w:t>Abstract</w:t>
      </w:r>
      <w:bookmarkEnd w:id="0"/>
      <w:bookmarkEnd w:id="1"/>
      <w:bookmarkEnd w:id="2"/>
      <w:bookmarkEnd w:id="3"/>
      <w:bookmarkEnd w:id="4"/>
      <w:bookmarkEnd w:id="5"/>
      <w:bookmarkEnd w:id="6"/>
      <w:bookmarkEnd w:id="7"/>
      <w:bookmarkEnd w:id="8"/>
      <w:bookmarkEnd w:id="9"/>
      <w:bookmarkEnd w:id="10"/>
      <w:bookmarkEnd w:id="11"/>
    </w:p>
    <w:p>
      <w:pPr>
        <w:widowControl w:val="0"/>
        <w:adjustRightInd w:val="0"/>
        <w:snapToGrid w:val="0"/>
        <w:spacing w:after="0" w:line="300" w:lineRule="auto"/>
        <w:ind w:firstLine="480"/>
        <w:jc w:val="both"/>
        <w:rPr>
          <w:rFonts w:ascii="Times New Roman" w:hAnsi="Times New Roman" w:cs="Times New Roman" w:hint="eastAsia"/>
          <w:kern w:val="2"/>
          <w:szCs w:val="24"/>
        </w:rPr>
      </w:pPr>
      <w:r>
        <w:rPr>
          <w:rFonts w:ascii="Times New Roman" w:hAnsi="Times New Roman" w:cs="Times New Roman" w:hint="eastAsia"/>
          <w:kern w:val="2"/>
          <w:szCs w:val="24"/>
        </w:rPr>
        <w:t>With the rapid development of China's economy, the management of fixed assets has attracted great attention from the state and the society. The state has continued to strengthen the management of inefficient government's fixed assets, and the company's fixed assets from scratch has always been an important driving force to promote social and economic growth. As one of the important resource components of enterprise operation, the management efficiency of fixed assets is of great significance for enterprises. Fixed assets are an important part of the company's production and operation, and are an important guarantee for the sustainable development of the company. The success of the enterprise asset management directly depends on the future development prospects of the enterprise. Implement production and operation activities and complete all production and operation indicators. At present, many companies have many problems in their asset management.</w:t>
      </w:r>
    </w:p>
    <w:p>
      <w:pPr>
        <w:widowControl w:val="0"/>
        <w:adjustRightInd w:val="0"/>
        <w:snapToGrid w:val="0"/>
        <w:spacing w:after="0" w:line="300" w:lineRule="auto"/>
        <w:ind w:firstLine="480"/>
        <w:jc w:val="both"/>
        <w:rPr>
          <w:rFonts w:ascii="Times New Roman" w:hAnsi="Times New Roman" w:cs="Times New Roman" w:hint="eastAsia"/>
          <w:kern w:val="2"/>
          <w:szCs w:val="24"/>
        </w:rPr>
      </w:pPr>
      <w:r>
        <w:rPr>
          <w:rFonts w:ascii="Times New Roman" w:hAnsi="Times New Roman" w:cs="Times New Roman" w:hint="eastAsia"/>
          <w:kern w:val="2"/>
          <w:szCs w:val="24"/>
        </w:rPr>
        <w:t>Taking Shanghai Yuancun Machinery Manufacturing Co., Ltd. as the research background, Based on the relevant fixed asset management theory, Pointed out that the fixed assets procurement system of Shanghai Yuancun Machinery Manufacturing Co., Ltd. is not perfect, Improper selection of depreciation method, Idle fixed assets disposal is not timely, Intimely inventory taking of fixed assets and the lack of standards for the disposal of fixed assets, And put forward to strengthen Shanghai Yuancun Machinery Manufacturing Co., Ltd. needs to improve the fixed assets procurement system and reasonable selection of depreciation method, Clarify the responsibilities of the fixed assets management and arrange the production reasonably, Strengthen the accounting of fixed assets timely inventory and formulate the rationalization of fixed assets disposal standards, Help enterprises long-term rapid development.</w:t>
      </w:r>
    </w:p>
    <w:p>
      <w:pPr>
        <w:spacing w:after="0" w:line="360" w:lineRule="auto"/>
        <w:rPr>
          <w:rFonts w:ascii="Times New Roman" w:hAnsi="Times New Roman" w:cs="Times New Roman" w:hint="eastAsia"/>
          <w:szCs w:val="24"/>
        </w:rPr>
      </w:pPr>
    </w:p>
    <w:p>
      <w:pPr>
        <w:spacing w:after="0" w:line="360" w:lineRule="auto"/>
        <w:rPr>
          <w:rFonts w:ascii="Times New Roman" w:hAnsi="Times New Roman" w:cs="Times New Roman" w:hint="eastAsia"/>
          <w:szCs w:val="24"/>
        </w:rPr>
      </w:pPr>
      <w:r>
        <w:rPr>
          <w:rFonts w:ascii="Times New Roman" w:hAnsi="Times New Roman" w:cs="Times New Roman"/>
          <w:b/>
          <w:sz w:val="24"/>
          <w:szCs w:val="24"/>
        </w:rPr>
        <w:t>Key Words：</w:t>
      </w:r>
      <w:r>
        <w:rPr>
          <w:rFonts w:ascii="Times New Roman" w:hAnsi="Times New Roman" w:cs="Times New Roman" w:hint="eastAsia"/>
          <w:b/>
          <w:sz w:val="24"/>
          <w:szCs w:val="24"/>
        </w:rPr>
        <w:t>Shanghai Source Machinery Manufacturing Co., Ltd.; fixed assets accounting; fixed assets management</w:t>
      </w:r>
    </w:p>
    <w:p>
      <w:pPr>
        <w:spacing w:after="0" w:line="360" w:lineRule="auto"/>
        <w:rPr>
          <w:rFonts w:asciiTheme="minorEastAsia" w:eastAsiaTheme="minorEastAsia" w:hAnsiTheme="minorEastAsia"/>
          <w:sz w:val="28"/>
          <w:szCs w:val="28"/>
        </w:rPr>
        <w:sectPr>
          <w:headerReference w:type="default" r:id="rId24"/>
          <w:footerReference w:type="even" r:id="rId25"/>
          <w:footerReference w:type="default" r:id="rId26"/>
          <w:headerReference w:type="first" r:id="rId27"/>
          <w:footerReference w:type="first" r:id="rId28"/>
          <w:pgSz w:w="11906" w:h="16838"/>
          <w:pgMar w:top="1440" w:right="1797" w:bottom="1440" w:left="1797" w:header="709" w:footer="709" w:gutter="0"/>
          <w:pgNumType w:start="1"/>
          <w:cols w:num="1" w:space="708"/>
          <w:titlePg/>
          <w:docGrid w:linePitch="360" w:charSpace="0"/>
        </w:sectPr>
      </w:pPr>
    </w:p>
    <w:p>
      <w:pPr>
        <w:tabs>
          <w:tab w:val="center" w:pos="4633"/>
          <w:tab w:val="left" w:pos="6225"/>
        </w:tabs>
        <w:jc w:val="center"/>
        <w:outlineLvl w:val="1"/>
        <w:rPr>
          <w:rFonts w:asciiTheme="minorEastAsia" w:eastAsiaTheme="minorEastAsia" w:hAnsiTheme="minorEastAsia"/>
          <w:b/>
          <w:sz w:val="28"/>
          <w:szCs w:val="28"/>
        </w:rPr>
      </w:pPr>
      <w:bookmarkStart w:id="12" w:name="_Toc10770"/>
      <w:bookmarkStart w:id="13" w:name="_Toc8654"/>
      <w:bookmarkStart w:id="14" w:name="_Toc27827"/>
      <w:bookmarkStart w:id="15" w:name="_Toc8530"/>
      <w:bookmarkStart w:id="16" w:name="_Toc21207"/>
      <w:bookmarkStart w:id="17" w:name="_Toc29684"/>
      <w:bookmarkStart w:id="18" w:name="_Toc11990"/>
      <w:bookmarkStart w:id="19" w:name="_Toc18786"/>
      <w:bookmarkStart w:id="20" w:name="_Toc24222"/>
      <w:bookmarkStart w:id="21" w:name="_Toc18582"/>
      <w:bookmarkStart w:id="22" w:name="_Toc19615"/>
      <w:r>
        <w:rPr>
          <w:rFonts w:asciiTheme="minorEastAsia" w:eastAsiaTheme="minorEastAsia" w:hAnsiTheme="minorEastAsia" w:hint="eastAsia"/>
          <w:b/>
          <w:sz w:val="28"/>
          <w:szCs w:val="28"/>
        </w:rPr>
        <w:t>目    录</w:t>
      </w:r>
      <w:bookmarkEnd w:id="12"/>
      <w:bookmarkEnd w:id="13"/>
      <w:bookmarkEnd w:id="14"/>
      <w:bookmarkEnd w:id="15"/>
      <w:bookmarkEnd w:id="16"/>
      <w:bookmarkEnd w:id="17"/>
      <w:bookmarkEnd w:id="18"/>
      <w:bookmarkEnd w:id="19"/>
      <w:bookmarkEnd w:id="20"/>
      <w:bookmarkEnd w:id="21"/>
      <w:bookmarkEnd w:id="22"/>
    </w:p>
    <w:p>
      <w:pPr>
        <w:pStyle w:val="TOC2"/>
        <w:tabs>
          <w:tab w:val="right" w:leader="dot" w:pos="8312"/>
        </w:tabs>
      </w:pPr>
      <w:r>
        <w:fldChar w:fldCharType="begin"/>
      </w:r>
      <w:r>
        <w:instrText xml:space="preserve">TOC \o "1-2" \h \u </w:instrText>
      </w:r>
      <w:r>
        <w:fldChar w:fldCharType="separate"/>
      </w:r>
    </w:p>
    <w:p>
      <w:pPr>
        <w:pStyle w:val="TOC1"/>
        <w:tabs>
          <w:tab w:val="right" w:leader="dot" w:pos="8312"/>
          <w:tab w:val="clear" w:pos="8780"/>
        </w:tabs>
      </w:pPr>
      <w:hyperlink w:anchor="_Toc7994" w:history="1">
        <w:r>
          <w:rPr>
            <w:rFonts w:hint="default"/>
            <w:lang w:val="en-US" w:eastAsia="zh-CN"/>
          </w:rPr>
          <w:t xml:space="preserve">1. </w:t>
        </w:r>
        <w:r>
          <w:rPr>
            <w:rFonts w:hint="eastAsia"/>
            <w:lang w:val="en-US" w:eastAsia="zh-CN"/>
          </w:rPr>
          <w:t>绪论</w:t>
        </w:r>
        <w:r>
          <w:tab/>
        </w:r>
        <w:r>
          <w:fldChar w:fldCharType="begin"/>
        </w:r>
        <w:r>
          <w:instrText xml:space="preserve"> PAGEREF _Toc7994 \h </w:instrText>
        </w:r>
        <w:r>
          <w:fldChar w:fldCharType="separate"/>
        </w:r>
        <w:r>
          <w:t>2</w:t>
        </w:r>
        <w:r>
          <w:fldChar w:fldCharType="end"/>
        </w:r>
      </w:hyperlink>
    </w:p>
    <w:p>
      <w:pPr>
        <w:pStyle w:val="TOC2"/>
        <w:tabs>
          <w:tab w:val="right" w:leader="dot" w:pos="8312"/>
        </w:tabs>
      </w:pPr>
      <w:hyperlink w:anchor="_Toc25461" w:history="1">
        <w:r>
          <w:rPr>
            <w:rFonts w:hint="default"/>
            <w:lang w:val="en-US" w:eastAsia="zh-CN"/>
          </w:rPr>
          <w:t xml:space="preserve">1.1. </w:t>
        </w:r>
        <w:r>
          <w:rPr>
            <w:rFonts w:hint="eastAsia"/>
            <w:lang w:val="en-US" w:eastAsia="zh-CN"/>
          </w:rPr>
          <w:t>研究背景</w:t>
        </w:r>
        <w:r>
          <w:tab/>
        </w:r>
        <w:r>
          <w:fldChar w:fldCharType="begin"/>
        </w:r>
        <w:r>
          <w:instrText xml:space="preserve"> PAGEREF _Toc25461 \h </w:instrText>
        </w:r>
        <w:r>
          <w:fldChar w:fldCharType="separate"/>
        </w:r>
        <w:r>
          <w:t>2</w:t>
        </w:r>
        <w:r>
          <w:fldChar w:fldCharType="end"/>
        </w:r>
      </w:hyperlink>
    </w:p>
    <w:p>
      <w:pPr>
        <w:pStyle w:val="TOC2"/>
        <w:tabs>
          <w:tab w:val="right" w:leader="dot" w:pos="8312"/>
        </w:tabs>
      </w:pPr>
      <w:hyperlink w:anchor="_Toc25924" w:history="1">
        <w:r>
          <w:rPr>
            <w:rFonts w:hint="default"/>
            <w:lang w:val="en-US" w:eastAsia="zh-CN"/>
          </w:rPr>
          <w:t xml:space="preserve">1.2. </w:t>
        </w:r>
        <w:r>
          <w:rPr>
            <w:rFonts w:hint="eastAsia"/>
            <w:lang w:val="en-US" w:eastAsia="zh-CN"/>
          </w:rPr>
          <w:t>研究意义</w:t>
        </w:r>
        <w:r>
          <w:tab/>
        </w:r>
        <w:r>
          <w:fldChar w:fldCharType="begin"/>
        </w:r>
        <w:r>
          <w:instrText xml:space="preserve"> PAGEREF _Toc25924 \h </w:instrText>
        </w:r>
        <w:r>
          <w:fldChar w:fldCharType="separate"/>
        </w:r>
        <w:r>
          <w:t>2</w:t>
        </w:r>
        <w:r>
          <w:fldChar w:fldCharType="end"/>
        </w:r>
      </w:hyperlink>
    </w:p>
    <w:p>
      <w:pPr>
        <w:pStyle w:val="TOC2"/>
        <w:tabs>
          <w:tab w:val="right" w:leader="dot" w:pos="8312"/>
        </w:tabs>
      </w:pPr>
      <w:hyperlink w:anchor="_Toc3716" w:history="1">
        <w:r>
          <w:rPr>
            <w:rFonts w:hint="default"/>
            <w:lang w:val="en-US" w:eastAsia="zh-CN"/>
          </w:rPr>
          <w:t xml:space="preserve">1.3. </w:t>
        </w:r>
        <w:r>
          <w:rPr>
            <w:rFonts w:hint="eastAsia"/>
            <w:lang w:val="en-US" w:eastAsia="zh-CN"/>
          </w:rPr>
          <w:t>国内外研究现状</w:t>
        </w:r>
        <w:r>
          <w:tab/>
        </w:r>
        <w:r>
          <w:fldChar w:fldCharType="begin"/>
        </w:r>
        <w:r>
          <w:instrText xml:space="preserve"> PAGEREF _Toc3716 \h </w:instrText>
        </w:r>
        <w:r>
          <w:fldChar w:fldCharType="separate"/>
        </w:r>
        <w:r>
          <w:t>3</w:t>
        </w:r>
        <w:r>
          <w:fldChar w:fldCharType="end"/>
        </w:r>
      </w:hyperlink>
    </w:p>
    <w:p>
      <w:pPr>
        <w:pStyle w:val="TOC1"/>
        <w:tabs>
          <w:tab w:val="right" w:leader="dot" w:pos="8312"/>
          <w:tab w:val="clear" w:pos="8780"/>
        </w:tabs>
      </w:pPr>
      <w:hyperlink w:anchor="_Toc30763" w:history="1">
        <w:r>
          <w:rPr>
            <w:rFonts w:hint="default"/>
            <w:lang w:val="en-US" w:eastAsia="zh-CN"/>
          </w:rPr>
          <w:t xml:space="preserve">2. </w:t>
        </w:r>
        <w:r>
          <w:rPr>
            <w:rFonts w:hint="eastAsia"/>
            <w:lang w:val="en-US" w:eastAsia="zh-CN"/>
          </w:rPr>
          <w:t>相关理论概念</w:t>
        </w:r>
        <w:r>
          <w:tab/>
        </w:r>
        <w:r>
          <w:fldChar w:fldCharType="begin"/>
        </w:r>
        <w:r>
          <w:instrText xml:space="preserve"> PAGEREF _Toc30763 \h </w:instrText>
        </w:r>
        <w:r>
          <w:fldChar w:fldCharType="separate"/>
        </w:r>
        <w:r>
          <w:t>5</w:t>
        </w:r>
        <w:r>
          <w:fldChar w:fldCharType="end"/>
        </w:r>
      </w:hyperlink>
    </w:p>
    <w:p>
      <w:pPr>
        <w:pStyle w:val="TOC2"/>
        <w:tabs>
          <w:tab w:val="right" w:leader="dot" w:pos="8312"/>
        </w:tabs>
      </w:pPr>
      <w:hyperlink w:anchor="_Toc30384" w:history="1">
        <w:r>
          <w:rPr>
            <w:rFonts w:hint="default"/>
            <w:lang w:val="en-US" w:eastAsia="zh-CN"/>
          </w:rPr>
          <w:t xml:space="preserve">2.1. </w:t>
        </w:r>
        <w:r>
          <w:rPr>
            <w:rFonts w:hint="eastAsia"/>
            <w:lang w:val="en-US" w:eastAsia="zh-CN"/>
          </w:rPr>
          <w:t>固定资产的相关概念</w:t>
        </w:r>
        <w:r>
          <w:tab/>
        </w:r>
        <w:r>
          <w:fldChar w:fldCharType="begin"/>
        </w:r>
        <w:r>
          <w:instrText xml:space="preserve"> PAGEREF _Toc30384 \h </w:instrText>
        </w:r>
        <w:r>
          <w:fldChar w:fldCharType="separate"/>
        </w:r>
        <w:r>
          <w:t>5</w:t>
        </w:r>
        <w:r>
          <w:fldChar w:fldCharType="end"/>
        </w:r>
      </w:hyperlink>
    </w:p>
    <w:p>
      <w:pPr>
        <w:pStyle w:val="TOC2"/>
        <w:tabs>
          <w:tab w:val="right" w:leader="dot" w:pos="8312"/>
        </w:tabs>
      </w:pPr>
      <w:hyperlink w:anchor="_Toc17826" w:history="1">
        <w:r>
          <w:rPr>
            <w:rFonts w:hint="default"/>
            <w:lang w:val="en-US" w:eastAsia="zh-CN"/>
          </w:rPr>
          <w:t xml:space="preserve">2.2. </w:t>
        </w:r>
        <w:r>
          <w:rPr>
            <w:rFonts w:hint="eastAsia"/>
            <w:lang w:val="en-US" w:eastAsia="zh-CN"/>
          </w:rPr>
          <w:t>固定资产管理涉及的相关理论</w:t>
        </w:r>
        <w:r>
          <w:tab/>
        </w:r>
        <w:r>
          <w:fldChar w:fldCharType="begin"/>
        </w:r>
        <w:r>
          <w:instrText xml:space="preserve"> PAGEREF _Toc17826 \h </w:instrText>
        </w:r>
        <w:r>
          <w:fldChar w:fldCharType="separate"/>
        </w:r>
        <w:r>
          <w:t>5</w:t>
        </w:r>
        <w:r>
          <w:fldChar w:fldCharType="end"/>
        </w:r>
      </w:hyperlink>
    </w:p>
    <w:p>
      <w:pPr>
        <w:pStyle w:val="TOC1"/>
        <w:tabs>
          <w:tab w:val="right" w:leader="dot" w:pos="8312"/>
          <w:tab w:val="clear" w:pos="8780"/>
        </w:tabs>
      </w:pPr>
      <w:hyperlink w:anchor="_Toc17017" w:history="1">
        <w:r>
          <w:rPr>
            <w:rFonts w:hint="default"/>
            <w:lang w:val="en-US" w:eastAsia="zh-CN"/>
          </w:rPr>
          <w:t xml:space="preserve">3. </w:t>
        </w:r>
        <w:r>
          <w:rPr>
            <w:rFonts w:hint="eastAsia"/>
            <w:lang w:val="en-US" w:eastAsia="zh-CN"/>
          </w:rPr>
          <w:t>上海源存机械制造有限公司固定资产管理存在的主要问题</w:t>
        </w:r>
        <w:r>
          <w:tab/>
        </w:r>
        <w:r>
          <w:fldChar w:fldCharType="begin"/>
        </w:r>
        <w:r>
          <w:instrText xml:space="preserve"> PAGEREF _Toc17017 \h </w:instrText>
        </w:r>
        <w:r>
          <w:fldChar w:fldCharType="separate"/>
        </w:r>
        <w:r>
          <w:t>8</w:t>
        </w:r>
        <w:r>
          <w:fldChar w:fldCharType="end"/>
        </w:r>
      </w:hyperlink>
    </w:p>
    <w:p>
      <w:pPr>
        <w:pStyle w:val="TOC2"/>
        <w:tabs>
          <w:tab w:val="right" w:leader="dot" w:pos="8312"/>
        </w:tabs>
      </w:pPr>
      <w:hyperlink w:anchor="_Toc29530" w:history="1">
        <w:r>
          <w:rPr>
            <w:rFonts w:hint="default"/>
            <w:lang w:val="en-US" w:eastAsia="zh-CN"/>
          </w:rPr>
          <w:t xml:space="preserve">3.1. </w:t>
        </w:r>
        <w:r>
          <w:rPr>
            <w:rFonts w:hint="eastAsia"/>
            <w:lang w:val="en-US" w:eastAsia="zh-CN"/>
          </w:rPr>
          <w:t>固定资产采购制度不健全</w:t>
        </w:r>
        <w:r>
          <w:tab/>
        </w:r>
        <w:r>
          <w:fldChar w:fldCharType="begin"/>
        </w:r>
        <w:r>
          <w:instrText xml:space="preserve"> PAGEREF _Toc29530 \h </w:instrText>
        </w:r>
        <w:r>
          <w:fldChar w:fldCharType="separate"/>
        </w:r>
        <w:r>
          <w:t>8</w:t>
        </w:r>
        <w:r>
          <w:fldChar w:fldCharType="end"/>
        </w:r>
      </w:hyperlink>
    </w:p>
    <w:p>
      <w:pPr>
        <w:pStyle w:val="TOC2"/>
        <w:tabs>
          <w:tab w:val="right" w:leader="dot" w:pos="8312"/>
        </w:tabs>
      </w:pPr>
      <w:hyperlink w:anchor="_Toc32058" w:history="1">
        <w:r>
          <w:rPr>
            <w:rFonts w:hint="default"/>
            <w:lang w:val="en-US" w:eastAsia="zh-CN"/>
          </w:rPr>
          <w:t xml:space="preserve">3.2. </w:t>
        </w:r>
        <w:r>
          <w:rPr>
            <w:rFonts w:hint="eastAsia"/>
            <w:lang w:val="en-US" w:eastAsia="zh-CN"/>
          </w:rPr>
          <w:t>部分在建工程验收不及时</w:t>
        </w:r>
        <w:r>
          <w:tab/>
        </w:r>
        <w:r>
          <w:fldChar w:fldCharType="begin"/>
        </w:r>
        <w:r>
          <w:instrText xml:space="preserve"> PAGEREF _Toc32058 \h </w:instrText>
        </w:r>
        <w:r>
          <w:fldChar w:fldCharType="separate"/>
        </w:r>
        <w:r>
          <w:t>9</w:t>
        </w:r>
        <w:r>
          <w:fldChar w:fldCharType="end"/>
        </w:r>
      </w:hyperlink>
    </w:p>
    <w:p>
      <w:pPr>
        <w:pStyle w:val="TOC2"/>
        <w:tabs>
          <w:tab w:val="right" w:leader="dot" w:pos="8312"/>
        </w:tabs>
      </w:pPr>
      <w:hyperlink w:anchor="_Toc4614" w:history="1">
        <w:r>
          <w:rPr>
            <w:rFonts w:hint="default"/>
            <w:lang w:val="en-US" w:eastAsia="zh-CN"/>
          </w:rPr>
          <w:t xml:space="preserve">3.3. </w:t>
        </w:r>
        <w:r>
          <w:rPr>
            <w:rFonts w:hint="eastAsia"/>
            <w:lang w:val="en-US" w:eastAsia="zh-CN"/>
          </w:rPr>
          <w:t>固定资产盘点不及时</w:t>
        </w:r>
        <w:r>
          <w:tab/>
        </w:r>
        <w:r>
          <w:fldChar w:fldCharType="begin"/>
        </w:r>
        <w:r>
          <w:instrText xml:space="preserve"> PAGEREF _Toc4614 \h </w:instrText>
        </w:r>
        <w:r>
          <w:fldChar w:fldCharType="separate"/>
        </w:r>
        <w:r>
          <w:t>10</w:t>
        </w:r>
        <w:r>
          <w:fldChar w:fldCharType="end"/>
        </w:r>
      </w:hyperlink>
    </w:p>
    <w:p>
      <w:pPr>
        <w:pStyle w:val="TOC2"/>
        <w:tabs>
          <w:tab w:val="right" w:leader="dot" w:pos="8312"/>
        </w:tabs>
      </w:pPr>
      <w:hyperlink w:anchor="_Toc25742" w:history="1">
        <w:r>
          <w:rPr>
            <w:rFonts w:hint="default"/>
            <w:lang w:val="en-US" w:eastAsia="zh-CN"/>
          </w:rPr>
          <w:t xml:space="preserve">3.4. </w:t>
        </w:r>
        <w:r>
          <w:rPr>
            <w:rFonts w:hint="eastAsia"/>
            <w:lang w:val="en-US" w:eastAsia="zh-CN"/>
          </w:rPr>
          <w:t>折旧方法选择不当</w:t>
        </w:r>
        <w:r>
          <w:tab/>
        </w:r>
        <w:r>
          <w:fldChar w:fldCharType="begin"/>
        </w:r>
        <w:r>
          <w:instrText xml:space="preserve"> PAGEREF _Toc25742 \h </w:instrText>
        </w:r>
        <w:r>
          <w:fldChar w:fldCharType="separate"/>
        </w:r>
        <w:r>
          <w:t>11</w:t>
        </w:r>
        <w:r>
          <w:fldChar w:fldCharType="end"/>
        </w:r>
      </w:hyperlink>
    </w:p>
    <w:p>
      <w:pPr>
        <w:pStyle w:val="TOC2"/>
        <w:tabs>
          <w:tab w:val="right" w:leader="dot" w:pos="8312"/>
        </w:tabs>
      </w:pPr>
      <w:hyperlink w:anchor="_Toc420" w:history="1">
        <w:r>
          <w:rPr>
            <w:rFonts w:hint="default"/>
            <w:lang w:val="en-US" w:eastAsia="zh-CN"/>
          </w:rPr>
          <w:t xml:space="preserve">3.5. </w:t>
        </w:r>
        <w:r>
          <w:rPr>
            <w:rFonts w:hint="eastAsia"/>
            <w:lang w:val="en-US" w:eastAsia="zh-CN"/>
          </w:rPr>
          <w:t>闲置固定资产处置不及时</w:t>
        </w:r>
        <w:r>
          <w:tab/>
        </w:r>
        <w:r>
          <w:fldChar w:fldCharType="begin"/>
        </w:r>
        <w:r>
          <w:instrText xml:space="preserve"> PAGEREF _Toc420 \h </w:instrText>
        </w:r>
        <w:r>
          <w:fldChar w:fldCharType="separate"/>
        </w:r>
        <w:r>
          <w:t>12</w:t>
        </w:r>
        <w:r>
          <w:fldChar w:fldCharType="end"/>
        </w:r>
      </w:hyperlink>
    </w:p>
    <w:p>
      <w:pPr>
        <w:pStyle w:val="TOC2"/>
        <w:tabs>
          <w:tab w:val="right" w:leader="dot" w:pos="8312"/>
        </w:tabs>
      </w:pPr>
      <w:hyperlink w:anchor="_Toc22021" w:history="1">
        <w:r>
          <w:rPr>
            <w:rFonts w:hint="default"/>
            <w:lang w:val="en-US" w:eastAsia="zh-CN"/>
          </w:rPr>
          <w:t xml:space="preserve">3.6. </w:t>
        </w:r>
        <w:r>
          <w:rPr>
            <w:rFonts w:hint="eastAsia"/>
            <w:lang w:val="en-US" w:eastAsia="zh-CN"/>
          </w:rPr>
          <w:t>尚未制定固定资产处置标准</w:t>
        </w:r>
        <w:r>
          <w:tab/>
        </w:r>
        <w:r>
          <w:fldChar w:fldCharType="begin"/>
        </w:r>
        <w:r>
          <w:instrText xml:space="preserve"> PAGEREF _Toc22021 \h </w:instrText>
        </w:r>
        <w:r>
          <w:fldChar w:fldCharType="separate"/>
        </w:r>
        <w:r>
          <w:t>14</w:t>
        </w:r>
        <w:r>
          <w:fldChar w:fldCharType="end"/>
        </w:r>
      </w:hyperlink>
    </w:p>
    <w:p>
      <w:pPr>
        <w:pStyle w:val="TOC1"/>
        <w:tabs>
          <w:tab w:val="right" w:leader="dot" w:pos="8312"/>
          <w:tab w:val="clear" w:pos="8780"/>
        </w:tabs>
      </w:pPr>
      <w:hyperlink w:anchor="_Toc22757" w:history="1">
        <w:r>
          <w:rPr>
            <w:rFonts w:hint="default"/>
            <w:lang w:val="en-US" w:eastAsia="zh-CN"/>
          </w:rPr>
          <w:t xml:space="preserve">4. </w:t>
        </w:r>
        <w:r>
          <w:rPr>
            <w:rFonts w:hint="eastAsia"/>
            <w:lang w:val="en-US" w:eastAsia="zh-CN"/>
          </w:rPr>
          <w:t>上海源存机械制造有限公司固定资产管理的改进措施</w:t>
        </w:r>
        <w:r>
          <w:tab/>
        </w:r>
        <w:r>
          <w:fldChar w:fldCharType="begin"/>
        </w:r>
        <w:r>
          <w:instrText xml:space="preserve"> PAGEREF _Toc22757 \h </w:instrText>
        </w:r>
        <w:r>
          <w:fldChar w:fldCharType="separate"/>
        </w:r>
        <w:r>
          <w:t>15</w:t>
        </w:r>
        <w:r>
          <w:fldChar w:fldCharType="end"/>
        </w:r>
      </w:hyperlink>
    </w:p>
    <w:p>
      <w:pPr>
        <w:pStyle w:val="TOC2"/>
        <w:tabs>
          <w:tab w:val="right" w:leader="dot" w:pos="8312"/>
        </w:tabs>
      </w:pPr>
      <w:hyperlink w:anchor="_Toc1896" w:history="1">
        <w:r>
          <w:rPr>
            <w:rFonts w:hint="default"/>
            <w:lang w:val="en-US" w:eastAsia="zh-CN"/>
          </w:rPr>
          <w:t xml:space="preserve">4.1. </w:t>
        </w:r>
        <w:r>
          <w:rPr>
            <w:rFonts w:hint="eastAsia"/>
            <w:lang w:val="en-US" w:eastAsia="zh-CN"/>
          </w:rPr>
          <w:t>完善固定资产采购制度</w:t>
        </w:r>
        <w:r>
          <w:tab/>
        </w:r>
        <w:r>
          <w:fldChar w:fldCharType="begin"/>
        </w:r>
        <w:r>
          <w:instrText xml:space="preserve"> PAGEREF _Toc1896 \h </w:instrText>
        </w:r>
        <w:r>
          <w:fldChar w:fldCharType="separate"/>
        </w:r>
        <w:r>
          <w:t>15</w:t>
        </w:r>
        <w:r>
          <w:fldChar w:fldCharType="end"/>
        </w:r>
      </w:hyperlink>
    </w:p>
    <w:p>
      <w:pPr>
        <w:pStyle w:val="TOC2"/>
        <w:tabs>
          <w:tab w:val="right" w:leader="dot" w:pos="8312"/>
        </w:tabs>
      </w:pPr>
      <w:hyperlink w:anchor="_Toc28900" w:history="1">
        <w:r>
          <w:rPr>
            <w:rFonts w:hint="default"/>
            <w:lang w:val="en-US" w:eastAsia="zh-CN"/>
          </w:rPr>
          <w:t xml:space="preserve">4.2. </w:t>
        </w:r>
        <w:r>
          <w:rPr>
            <w:rFonts w:hint="eastAsia"/>
            <w:lang w:val="en-US" w:eastAsia="zh-CN"/>
          </w:rPr>
          <w:t>提高固定资产验收效率</w:t>
        </w:r>
        <w:r>
          <w:tab/>
        </w:r>
        <w:r>
          <w:fldChar w:fldCharType="begin"/>
        </w:r>
        <w:r>
          <w:instrText xml:space="preserve"> PAGEREF _Toc28900 \h </w:instrText>
        </w:r>
        <w:r>
          <w:fldChar w:fldCharType="separate"/>
        </w:r>
        <w:r>
          <w:t>16</w:t>
        </w:r>
        <w:r>
          <w:fldChar w:fldCharType="end"/>
        </w:r>
      </w:hyperlink>
    </w:p>
    <w:p>
      <w:pPr>
        <w:pStyle w:val="TOC2"/>
        <w:tabs>
          <w:tab w:val="right" w:leader="dot" w:pos="8312"/>
        </w:tabs>
      </w:pPr>
      <w:hyperlink w:anchor="_Toc17939" w:history="1">
        <w:r>
          <w:rPr>
            <w:rFonts w:hint="default"/>
            <w:lang w:val="en-US" w:eastAsia="zh-CN"/>
          </w:rPr>
          <w:t xml:space="preserve">4.3. </w:t>
        </w:r>
        <w:r>
          <w:rPr>
            <w:rFonts w:hint="eastAsia"/>
            <w:lang w:val="en-US" w:eastAsia="zh-CN"/>
          </w:rPr>
          <w:t>及时对固定资产进行盘点</w:t>
        </w:r>
        <w:r>
          <w:tab/>
        </w:r>
        <w:r>
          <w:fldChar w:fldCharType="begin"/>
        </w:r>
        <w:r>
          <w:instrText xml:space="preserve"> PAGEREF _Toc17939 \h </w:instrText>
        </w:r>
        <w:r>
          <w:fldChar w:fldCharType="separate"/>
        </w:r>
        <w:r>
          <w:t>17</w:t>
        </w:r>
        <w:r>
          <w:fldChar w:fldCharType="end"/>
        </w:r>
      </w:hyperlink>
    </w:p>
    <w:p>
      <w:pPr>
        <w:pStyle w:val="TOC2"/>
        <w:tabs>
          <w:tab w:val="right" w:leader="dot" w:pos="8312"/>
        </w:tabs>
      </w:pPr>
      <w:hyperlink w:anchor="_Toc32656" w:history="1">
        <w:r>
          <w:rPr>
            <w:rFonts w:hint="default"/>
            <w:lang w:val="en-US" w:eastAsia="zh-CN"/>
          </w:rPr>
          <w:t xml:space="preserve">4.4. </w:t>
        </w:r>
        <w:r>
          <w:rPr>
            <w:rFonts w:hint="eastAsia"/>
            <w:lang w:val="en-US" w:eastAsia="zh-CN"/>
          </w:rPr>
          <w:t>选用合适的折旧方法</w:t>
        </w:r>
        <w:r>
          <w:tab/>
        </w:r>
        <w:r>
          <w:fldChar w:fldCharType="begin"/>
        </w:r>
        <w:r>
          <w:instrText xml:space="preserve"> PAGEREF _Toc32656 \h </w:instrText>
        </w:r>
        <w:r>
          <w:fldChar w:fldCharType="separate"/>
        </w:r>
        <w:r>
          <w:t>17</w:t>
        </w:r>
        <w:r>
          <w:fldChar w:fldCharType="end"/>
        </w:r>
      </w:hyperlink>
    </w:p>
    <w:p>
      <w:pPr>
        <w:pStyle w:val="TOC2"/>
        <w:tabs>
          <w:tab w:val="right" w:leader="dot" w:pos="8312"/>
        </w:tabs>
      </w:pPr>
      <w:hyperlink w:anchor="_Toc7729" w:history="1">
        <w:r>
          <w:rPr>
            <w:rFonts w:hint="default"/>
            <w:lang w:val="en-US" w:eastAsia="zh-CN"/>
          </w:rPr>
          <w:t xml:space="preserve">4.5. </w:t>
        </w:r>
        <w:r>
          <w:rPr>
            <w:rFonts w:hint="eastAsia"/>
            <w:lang w:val="en-US" w:eastAsia="zh-CN"/>
          </w:rPr>
          <w:t>及时处置闲置固定管资产</w:t>
        </w:r>
        <w:r>
          <w:tab/>
        </w:r>
        <w:r>
          <w:fldChar w:fldCharType="begin"/>
        </w:r>
        <w:r>
          <w:instrText xml:space="preserve"> PAGEREF _Toc7729 \h </w:instrText>
        </w:r>
        <w:r>
          <w:fldChar w:fldCharType="separate"/>
        </w:r>
        <w:r>
          <w:t>18</w:t>
        </w:r>
        <w:r>
          <w:fldChar w:fldCharType="end"/>
        </w:r>
      </w:hyperlink>
    </w:p>
    <w:p>
      <w:pPr>
        <w:pStyle w:val="TOC2"/>
        <w:tabs>
          <w:tab w:val="right" w:leader="dot" w:pos="8312"/>
        </w:tabs>
      </w:pPr>
      <w:hyperlink w:anchor="_Toc15989" w:history="1">
        <w:r>
          <w:rPr>
            <w:rFonts w:hint="default"/>
            <w:lang w:val="en-US" w:eastAsia="zh-CN"/>
          </w:rPr>
          <w:t xml:space="preserve">4.6. </w:t>
        </w:r>
        <w:r>
          <w:rPr>
            <w:rFonts w:hint="eastAsia"/>
            <w:lang w:val="en-US" w:eastAsia="zh-CN"/>
          </w:rPr>
          <w:t>制定固定资产处置标准</w:t>
        </w:r>
        <w:r>
          <w:tab/>
        </w:r>
        <w:r>
          <w:fldChar w:fldCharType="begin"/>
        </w:r>
        <w:r>
          <w:instrText xml:space="preserve"> PAGEREF _Toc15989 \h </w:instrText>
        </w:r>
        <w:r>
          <w:fldChar w:fldCharType="separate"/>
        </w:r>
        <w:r>
          <w:t>18</w:t>
        </w:r>
        <w:r>
          <w:fldChar w:fldCharType="end"/>
        </w:r>
      </w:hyperlink>
    </w:p>
    <w:p>
      <w:pPr>
        <w:pStyle w:val="TOC1"/>
        <w:tabs>
          <w:tab w:val="right" w:leader="dot" w:pos="8312"/>
          <w:tab w:val="clear" w:pos="8780"/>
        </w:tabs>
      </w:pPr>
      <w:hyperlink w:anchor="_Toc4325" w:history="1">
        <w:r>
          <w:rPr>
            <w:rFonts w:hint="default"/>
            <w:lang w:val="en-US" w:eastAsia="zh-CN"/>
          </w:rPr>
          <w:t xml:space="preserve">5. </w:t>
        </w:r>
        <w:r>
          <w:rPr>
            <w:rFonts w:hint="eastAsia"/>
            <w:lang w:val="en-US" w:eastAsia="zh-CN"/>
          </w:rPr>
          <w:t>结论</w:t>
        </w:r>
        <w:r>
          <w:tab/>
        </w:r>
        <w:r>
          <w:fldChar w:fldCharType="begin"/>
        </w:r>
        <w:r>
          <w:instrText xml:space="preserve"> PAGEREF _Toc4325 \h </w:instrText>
        </w:r>
        <w:r>
          <w:fldChar w:fldCharType="separate"/>
        </w:r>
        <w:r>
          <w:t>21</w:t>
        </w:r>
        <w:r>
          <w:fldChar w:fldCharType="end"/>
        </w:r>
      </w:hyperlink>
    </w:p>
    <w:p>
      <w:pPr>
        <w:ind w:firstLine="480" w:firstLineChars="200"/>
        <w:outlineLvl w:val="1"/>
        <w:sectPr>
          <w:headerReference w:type="default" r:id="rId29"/>
          <w:footerReference w:type="even" r:id="rId30"/>
          <w:footerReference w:type="default" r:id="rId31"/>
          <w:headerReference w:type="first" r:id="rId32"/>
          <w:footerReference w:type="first" r:id="rId33"/>
          <w:pgSz w:w="11906" w:h="16838"/>
          <w:pgMar w:top="1440" w:right="1797" w:bottom="1440" w:left="1797" w:header="709" w:footer="709" w:gutter="0"/>
          <w:pgNumType w:start="1"/>
          <w:cols w:num="1" w:space="708"/>
          <w:titlePg/>
          <w:docGrid w:linePitch="360" w:charSpace="0"/>
        </w:sectPr>
      </w:pPr>
      <w:r>
        <w:fldChar w:fldCharType="end"/>
      </w:r>
    </w:p>
    <w:p>
      <w:pPr>
        <w:pStyle w:val="Heading1"/>
        <w:numPr>
          <w:ilvl w:val="0"/>
          <w:numId w:val="0"/>
        </w:numPr>
        <w:bidi w:val="0"/>
        <w:ind w:leftChars="0"/>
        <w:jc w:val="center"/>
        <w:rPr>
          <w:rFonts w:hint="eastAsia"/>
        </w:rPr>
        <w:sectPr>
          <w:headerReference w:type="default" r:id="rId34"/>
          <w:footerReference w:type="even" r:id="rId35"/>
          <w:footerReference w:type="default" r:id="rId36"/>
          <w:headerReference w:type="first" r:id="rId37"/>
          <w:footerReference w:type="first" r:id="rId38"/>
          <w:type w:val="continuous"/>
          <w:pgSz w:w="11906" w:h="16838"/>
          <w:pgMar w:top="2098" w:right="1474" w:bottom="1985" w:left="1588" w:header="709" w:footer="709" w:gutter="0"/>
          <w:pgNumType w:fmt="decimal" w:start="1"/>
          <w:cols w:num="1" w:space="708"/>
          <w:titlePg/>
          <w:docGrid w:linePitch="360" w:charSpace="0"/>
        </w:sectPr>
      </w:pPr>
      <w:bookmarkStart w:id="23" w:name="_Toc6320332"/>
      <w:bookmarkStart w:id="24" w:name="_Toc6393087"/>
      <w:bookmarkStart w:id="25" w:name="_Toc10773"/>
    </w:p>
    <w:bookmarkEnd w:id="23"/>
    <w:bookmarkEnd w:id="24"/>
    <w:bookmarkEnd w:id="25"/>
    <w:p>
      <w:pPr>
        <w:sectPr>
          <w:headerReference w:type="default" r:id="rId39"/>
          <w:footerReference w:type="even" r:id="rId40"/>
          <w:footerReference w:type="default" r:id="rId41"/>
          <w:headerReference w:type="first" r:id="rId42"/>
          <w:footerReference w:type="first" r:id="rId43"/>
          <w:pgSz w:w="11906" w:h="16838"/>
          <w:pgMar w:top="2098" w:right="1474" w:bottom="1985" w:left="1588" w:header="709" w:footer="709" w:gutter="0"/>
          <w:pgNumType w:fmt="decimal" w:start="2"/>
          <w:cols w:num="1" w:space="708"/>
          <w:docGrid w:linePitch="360" w:charSpace="0"/>
        </w:sectPr>
      </w:pPr>
    </w:p>
    <w:p>
      <w:pPr>
        <w:pStyle w:val="Heading1"/>
        <w:bidi w:val="0"/>
        <w:rPr>
          <w:rFonts w:hint="eastAsia"/>
          <w:lang w:val="en-US" w:eastAsia="zh-CN"/>
        </w:rPr>
      </w:pPr>
      <w:bookmarkStart w:id="26" w:name="_Toc7994"/>
      <w:r>
        <w:rPr>
          <w:rFonts w:hint="eastAsia"/>
          <w:lang w:val="en-US" w:eastAsia="zh-CN"/>
        </w:rPr>
        <w:t>绪论</w:t>
      </w:r>
      <w:bookmarkEnd w:id="26"/>
    </w:p>
    <w:p>
      <w:pPr>
        <w:pStyle w:val="Heading2"/>
        <w:bidi w:val="0"/>
        <w:rPr>
          <w:rFonts w:hint="eastAsia"/>
          <w:lang w:val="en-US" w:eastAsia="zh-CN"/>
        </w:rPr>
      </w:pPr>
      <w:bookmarkStart w:id="27" w:name="_Toc2975"/>
      <w:bookmarkStart w:id="28" w:name="_Toc25461"/>
      <w:r>
        <w:rPr>
          <w:rFonts w:hint="eastAsia"/>
          <w:lang w:val="en-US" w:eastAsia="zh-CN"/>
        </w:rPr>
        <w:t>研究背景</w:t>
      </w:r>
      <w:bookmarkEnd w:id="27"/>
      <w:bookmarkEnd w:id="28"/>
      <w:bookmarkStart w:id="29" w:name="_GoBack"/>
      <w:bookmarkEnd w:id="29"/>
    </w:p>
    <w:p>
      <w:pPr>
        <w:rPr>
          <w:rFonts w:cs="Times New Roman" w:hint="eastAsia"/>
          <w:kern w:val="2"/>
          <w:szCs w:val="24"/>
        </w:rPr>
      </w:pPr>
      <w:r>
        <w:rPr>
          <w:rFonts w:cs="Times New Roman" w:hint="eastAsia"/>
          <w:kern w:val="2"/>
          <w:sz w:val="24"/>
          <w:szCs w:val="24"/>
          <w:lang w:val="en-US" w:eastAsia="zh-CN" w:bidi="ar-SA"/>
        </w:rPr>
        <w:t>随着中国经济发展进到“新常态”发展环节，受经济发展条件的限制，企业运营模式由总需求发展向规模化、品质化发展变化。固定资产的管理效率与企业的运营效率相关。应对严峻考验的挑战，务必变化企业理财方法，开展调整，尽早发展和融入新常态。</w:t>
      </w:r>
    </w:p>
    <w:p>
      <w:pPr>
        <w:rPr>
          <w:rFonts w:cs="Times New Roman" w:hint="eastAsia"/>
          <w:kern w:val="2"/>
          <w:szCs w:val="24"/>
        </w:rPr>
      </w:pPr>
      <w:r>
        <w:rPr>
          <w:rFonts w:cs="Times New Roman" w:hint="eastAsia"/>
          <w:kern w:val="2"/>
          <w:sz w:val="24"/>
          <w:szCs w:val="24"/>
          <w:lang w:val="en-US" w:eastAsia="zh-CN" w:bidi="ar-SA"/>
        </w:rPr>
        <w:t>项目投资质量是企业运营的，唯有通过设施完善良好的物质环境，才可以有效科学地开展企业和财务公司的经营活动。进一步扩大公司总资产和所有资产的流动性。2018年至今，企业业务流程增速回落，但固定资产经营规模已经非常巨大，并把再次提高。除此之外，新常态下，企业间市场竞争更加激烈，投资风险伴随着经济形势不确定性而扩大，传统粗放式系统软件管理机制尚需提升。在新环境下，当企业可以把握机遇，完善绩效评价标准，提升运营模式，积极推动企业成长型转型发展，将成为我国企业发展进一步可持续发展的源动力。</w:t>
      </w:r>
    </w:p>
    <w:p>
      <w:pPr>
        <w:rPr>
          <w:rFonts w:cs="Times New Roman" w:hint="eastAsia"/>
          <w:kern w:val="2"/>
          <w:szCs w:val="24"/>
        </w:rPr>
      </w:pPr>
      <w:r>
        <w:rPr>
          <w:rFonts w:cs="Times New Roman" w:hint="eastAsia"/>
          <w:kern w:val="2"/>
          <w:sz w:val="24"/>
          <w:szCs w:val="24"/>
          <w:lang w:val="en-US" w:eastAsia="zh-CN" w:bidi="ar-SA"/>
        </w:rPr>
        <w:t>近些年，在我国企业在理财方面取得了令人瞩目的造就，首先设立了理财架构，一些企业对理财必要性认识不到位，缺乏责任感，理财盲目跟风；一部分公司资产管理不完善，政策措施发展落后，管理制度和品质监管不到位，一部分企业设立了信息技术管理服务平台，固定资产排查信息反馈不完善，固定资产精益化管理存有落后、脱轨、步骤不完善等诸多问题各种问题无法得到综合考虑，变成危害公司与金融投资公司身心健康发展的薄弱点，怎么优化和优化固定资产管理方法，创建更全面、有效高效率的精细化管理固定资产管理方法。</w:t>
      </w:r>
    </w:p>
    <w:p>
      <w:pPr>
        <w:pStyle w:val="Heading2"/>
        <w:bidi w:val="0"/>
        <w:rPr>
          <w:rFonts w:hint="eastAsia"/>
          <w:lang w:val="en-US" w:eastAsia="zh-CN"/>
        </w:rPr>
      </w:pPr>
      <w:bookmarkStart w:id="30" w:name="_Toc2291"/>
      <w:bookmarkStart w:id="31" w:name="_Toc25924"/>
      <w:r>
        <w:rPr>
          <w:rFonts w:hint="eastAsia"/>
          <w:lang w:val="en-US" w:eastAsia="zh-CN"/>
        </w:rPr>
        <w:t>研究意义</w:t>
      </w:r>
      <w:bookmarkEnd w:id="30"/>
      <w:bookmarkEnd w:id="31"/>
    </w:p>
    <w:p>
      <w:pPr>
        <w:rPr>
          <w:rFonts w:cs="Times New Roman" w:hint="eastAsia"/>
          <w:kern w:val="2"/>
          <w:szCs w:val="24"/>
        </w:rPr>
        <w:sectPr>
          <w:headerReference w:type="default" r:id="rId44"/>
          <w:footerReference w:type="even" r:id="rId45"/>
          <w:footerReference w:type="default" r:id="rId46"/>
          <w:headerReference w:type="first" r:id="rId47"/>
          <w:footerReference w:type="first" r:id="rId48"/>
          <w:type w:val="nextPage"/>
          <w:pgSz w:w="11906" w:h="16838"/>
          <w:pgMar w:top="2098" w:right="1474" w:bottom="1985" w:left="1588" w:header="709" w:footer="709" w:gutter="0"/>
          <w:pgNumType w:fmt="decimal" w:start="3"/>
          <w:cols w:num="1" w:space="708"/>
          <w:titlePg w:val="0"/>
          <w:docGrid w:linePitch="360" w:charSpace="0"/>
        </w:sectPr>
      </w:pPr>
    </w:p>
    <w:p>
      <w:pPr>
        <w:rPr>
          <w:rFonts w:cs="Times New Roman" w:hint="eastAsia"/>
          <w:kern w:val="2"/>
          <w:szCs w:val="24"/>
        </w:rPr>
      </w:pPr>
      <w:r>
        <w:rPr>
          <w:rFonts w:cs="Times New Roman" w:hint="eastAsia"/>
          <w:kern w:val="2"/>
          <w:sz w:val="24"/>
          <w:szCs w:val="24"/>
          <w:lang w:val="en-US" w:eastAsia="zh-CN" w:bidi="ar-SA"/>
        </w:rPr>
        <w:t>近些年，因为经济持续增长和当地财政政策调节，我国企业保持着极速扩张的势头，预估我国企业的极速扩张将继续很长一段时间，但资产质量、管理与风险管控等多个方面依然存在诸多问题，国有制企业面临企业自主创新等严峻考验假如疏忽大意，企业难题将成为我国经济可持续性发展的障碍，也有可能中国影响力经济的稳定运行。随着全球经济一体化自然环境的不断完善，企业间市场竞争激烈，企业种类不断增长，投资管理规定越来越严，投资理财水准也非常重要。</w:t>
      </w:r>
    </w:p>
    <w:p>
      <w:pPr>
        <w:rPr>
          <w:rFonts w:cs="Times New Roman" w:hint="eastAsia"/>
          <w:kern w:val="2"/>
          <w:szCs w:val="24"/>
        </w:rPr>
      </w:pPr>
      <w:r>
        <w:rPr>
          <w:rFonts w:cs="Times New Roman" w:hint="eastAsia"/>
          <w:kern w:val="2"/>
          <w:sz w:val="24"/>
          <w:szCs w:val="24"/>
          <w:lang w:val="en-US" w:eastAsia="zh-CN" w:bidi="ar-SA"/>
        </w:rPr>
        <w:t>经济的不断迅速发展为金融业创造了良好的环境因素，经济和金融之间的互动慢慢发展，经济的不断迅速发展也促进了企业的高效发展。本文从在我国企业理财现况下手，论述了企业投资理财存在的问题，给出了对应的发展对策，以便更好地为企业的运营和发展服务项目。本毕业论文不但期待弥补这一领域的空缺，又为企业的发展给予参考信息。</w:t>
      </w:r>
    </w:p>
    <w:p>
      <w:pPr>
        <w:pStyle w:val="Heading2"/>
        <w:bidi w:val="0"/>
        <w:rPr>
          <w:rFonts w:hint="eastAsia"/>
          <w:lang w:val="en-US" w:eastAsia="zh-CN"/>
        </w:rPr>
      </w:pPr>
      <w:bookmarkStart w:id="32" w:name="_Toc3716"/>
      <w:bookmarkStart w:id="33" w:name="_Toc7791"/>
      <w:r>
        <w:rPr>
          <w:rFonts w:hint="eastAsia"/>
          <w:lang w:val="en-US" w:eastAsia="zh-CN"/>
        </w:rPr>
        <w:t>国内外研究现状</w:t>
      </w:r>
      <w:bookmarkEnd w:id="32"/>
      <w:bookmarkEnd w:id="33"/>
      <w:bookmarkStart w:id="34" w:name="_Toc26888"/>
    </w:p>
    <w:p>
      <w:pPr>
        <w:pStyle w:val="Heading3"/>
        <w:bidi w:val="0"/>
        <w:rPr>
          <w:rFonts w:hint="eastAsia"/>
          <w:lang w:val="en-US" w:eastAsia="zh-CN"/>
        </w:rPr>
      </w:pPr>
      <w:r>
        <w:rPr>
          <w:rFonts w:hint="eastAsia"/>
          <w:lang w:val="en-US" w:eastAsia="zh-CN"/>
        </w:rPr>
        <w:t>国内研究现状</w:t>
      </w:r>
      <w:bookmarkEnd w:id="34"/>
    </w:p>
    <w:p>
      <w:pPr>
        <w:rPr>
          <w:rFonts w:cs="Times New Roman" w:hint="eastAsia"/>
          <w:kern w:val="2"/>
          <w:szCs w:val="24"/>
        </w:rPr>
      </w:pPr>
      <w:r>
        <w:rPr>
          <w:rFonts w:cs="Times New Roman" w:hint="eastAsia"/>
          <w:kern w:val="2"/>
          <w:sz w:val="24"/>
          <w:szCs w:val="24"/>
          <w:lang w:val="en-US" w:eastAsia="zh-CN" w:bidi="ar-SA"/>
        </w:rPr>
        <w:t>因为较好的市场环境、强悍的综合竞争力辽阔的业务范围与投资资产的大力支持紧密联系，投资资产也引发了商业界和经济师的高度关注，近些年人们对于投资资产的认知不断提升。</w:t>
      </w:r>
    </w:p>
    <w:p>
      <w:pPr>
        <w:rPr>
          <w:rFonts w:cs="Times New Roman" w:hint="eastAsia"/>
          <w:kern w:val="2"/>
          <w:szCs w:val="24"/>
        </w:rPr>
      </w:pPr>
      <w:r>
        <w:rPr>
          <w:rFonts w:cs="Times New Roman" w:hint="eastAsia"/>
          <w:kern w:val="2"/>
          <w:sz w:val="24"/>
          <w:szCs w:val="24"/>
          <w:lang w:val="en-US" w:eastAsia="zh-CN" w:bidi="ar-SA"/>
        </w:rPr>
        <w:t>陆刘萍(2017)将严苛固定资产计算，提升固定资产损坏结算计算，创建资产管理方法问责机制，根据电子摄像头方式，执行固定资产高效管理。</w:t>
      </w:r>
    </w:p>
    <w:p>
      <w:pPr>
        <w:rPr>
          <w:rFonts w:cs="Times New Roman" w:hint="eastAsia"/>
          <w:kern w:val="2"/>
          <w:szCs w:val="24"/>
        </w:rPr>
      </w:pPr>
      <w:r>
        <w:rPr>
          <w:rFonts w:cs="Times New Roman" w:hint="eastAsia"/>
          <w:kern w:val="2"/>
          <w:sz w:val="24"/>
          <w:szCs w:val="24"/>
          <w:lang w:val="en-US" w:eastAsia="zh-CN" w:bidi="ar-SA"/>
        </w:rPr>
        <w:t>董英英(2018)研究了金融市场改革创新中小企业理财方式在金融市场改革中证券投资全过程存在的问题。</w:t>
      </w:r>
    </w:p>
    <w:p>
      <w:pPr>
        <w:rPr>
          <w:rFonts w:cs="Times New Roman" w:hint="eastAsia"/>
          <w:kern w:val="2"/>
          <w:szCs w:val="24"/>
        </w:rPr>
      </w:pPr>
      <w:r>
        <w:rPr>
          <w:rFonts w:cs="Times New Roman" w:hint="eastAsia"/>
          <w:kern w:val="2"/>
          <w:sz w:val="24"/>
          <w:szCs w:val="24"/>
          <w:lang w:val="en-US" w:eastAsia="zh-CN" w:bidi="ar-SA"/>
        </w:rPr>
        <w:t>严彬宇(2018)考察了底层企业固定资产应用情况，阐述了底层企业固定资产应用存在的问题，给出了进一步优化固定资产构造、利用效率的举措与建议。</w:t>
      </w:r>
    </w:p>
    <w:p>
      <w:pPr>
        <w:rPr>
          <w:rFonts w:cs="Times New Roman" w:hint="eastAsia"/>
          <w:kern w:val="2"/>
          <w:szCs w:val="24"/>
        </w:rPr>
      </w:pPr>
      <w:r>
        <w:rPr>
          <w:rFonts w:cs="Times New Roman" w:hint="eastAsia"/>
          <w:kern w:val="2"/>
          <w:sz w:val="24"/>
          <w:szCs w:val="24"/>
          <w:lang w:val="en-US" w:eastAsia="zh-CN" w:bidi="ar-SA"/>
        </w:rPr>
        <w:t>世界各国专家十分重视固定资产管理方法，给出了提升固定资产管理方法、完成固定资产收益最大化解决方案。</w:t>
      </w:r>
    </w:p>
    <w:p>
      <w:pPr>
        <w:pStyle w:val="Heading3"/>
        <w:bidi w:val="0"/>
        <w:rPr>
          <w:rFonts w:hint="eastAsia"/>
          <w:lang w:val="en-US" w:eastAsia="zh-CN"/>
        </w:rPr>
      </w:pPr>
      <w:bookmarkStart w:id="35" w:name="_Toc3523"/>
      <w:r>
        <w:rPr>
          <w:rFonts w:hint="eastAsia"/>
          <w:lang w:val="en-US" w:eastAsia="zh-CN"/>
        </w:rPr>
        <w:t>国外研究现状</w:t>
      </w:r>
      <w:bookmarkEnd w:id="35"/>
    </w:p>
    <w:p>
      <w:pPr>
        <w:rPr>
          <w:rFonts w:cs="Times New Roman" w:hint="eastAsia"/>
          <w:kern w:val="2"/>
          <w:szCs w:val="24"/>
        </w:rPr>
        <w:sectPr>
          <w:headerReference w:type="default" r:id="rId49"/>
          <w:footerReference w:type="even" r:id="rId50"/>
          <w:footerReference w:type="default" r:id="rId51"/>
          <w:headerReference w:type="first" r:id="rId52"/>
          <w:footerReference w:type="first" r:id="rId53"/>
          <w:type w:val="nextPage"/>
          <w:pgSz w:w="11906" w:h="16838"/>
          <w:pgMar w:top="2098" w:right="1474" w:bottom="1985" w:left="1588" w:header="709" w:footer="709" w:gutter="0"/>
          <w:pgNumType w:fmt="decimal" w:start="4"/>
          <w:cols w:num="1" w:space="708"/>
          <w:titlePg w:val="0"/>
          <w:docGrid w:linePitch="360" w:charSpace="0"/>
        </w:sectPr>
      </w:pPr>
      <w:r>
        <w:rPr>
          <w:rFonts w:cs="Times New Roman" w:hint="eastAsia"/>
          <w:kern w:val="2"/>
          <w:sz w:val="24"/>
          <w:szCs w:val="24"/>
          <w:lang w:val="en-US" w:eastAsia="zh-CN" w:bidi="ar-SA"/>
        </w:rPr>
        <w:t>很多外国科学家、机构、目前已经意识到项目投资资产在社会经济发展中的重要身份和功效，在这里展开了全面的科学研究。</w:t>
      </w:r>
    </w:p>
    <w:p>
      <w:pPr>
        <w:rPr>
          <w:rFonts w:cs="Times New Roman" w:hint="eastAsia"/>
          <w:kern w:val="2"/>
          <w:szCs w:val="24"/>
        </w:rPr>
      </w:pPr>
      <w:r>
        <w:rPr>
          <w:rFonts w:cs="Times New Roman" w:hint="eastAsia"/>
          <w:kern w:val="2"/>
          <w:sz w:val="24"/>
          <w:szCs w:val="24"/>
          <w:lang w:val="en-US" w:eastAsia="zh-CN" w:bidi="ar-SA"/>
        </w:rPr>
        <w:t>Evollanded(2017)紧紧围绕内控制度在理财过程的危害与作用，给出了不一样风险基准点以防止不同类型的理财阶段，并指出了怎样进一步完善固定资产基本建设方向。</w:t>
      </w:r>
    </w:p>
    <w:p>
      <w:pPr>
        <w:rPr>
          <w:rFonts w:cs="Times New Roman" w:hint="eastAsia"/>
          <w:kern w:val="2"/>
          <w:szCs w:val="24"/>
        </w:rPr>
      </w:pPr>
      <w:r>
        <w:rPr>
          <w:rFonts w:cs="Times New Roman" w:hint="eastAsia"/>
          <w:kern w:val="2"/>
          <w:sz w:val="24"/>
          <w:szCs w:val="24"/>
          <w:lang w:val="en-US" w:eastAsia="zh-CN" w:bidi="ar-SA"/>
        </w:rPr>
        <w:t>Davidcarrand(2018)在《资产全过程管理方法》文中表明，公司固定资产管理方法作为一个整体，目的在于完成固定资产管理的全过程。在、标准、高效率前提下，融洽固定资产整体规划、设计方案、购置、工程施工全过程，完成固定资产高效率的改善和更大化。</w:t>
      </w:r>
    </w:p>
    <w:p>
      <w:pPr>
        <w:rPr>
          <w:rFonts w:cs="Times New Roman" w:hint="eastAsia"/>
          <w:kern w:val="2"/>
          <w:szCs w:val="24"/>
        </w:rPr>
        <w:sectPr>
          <w:headerReference w:type="default" r:id="rId54"/>
          <w:footerReference w:type="even" r:id="rId55"/>
          <w:footerReference w:type="default" r:id="rId56"/>
          <w:headerReference w:type="first" r:id="rId57"/>
          <w:footerReference w:type="first" r:id="rId58"/>
          <w:type w:val="nextPage"/>
          <w:pgSz w:w="11906" w:h="16838"/>
          <w:pgMar w:top="2098" w:right="1474" w:bottom="1985" w:left="1588" w:header="709" w:footer="709" w:gutter="0"/>
          <w:pgNumType w:fmt="decimal" w:start="5"/>
          <w:cols w:num="1" w:space="708"/>
          <w:titlePg w:val="0"/>
          <w:docGrid w:linePitch="360" w:charSpace="0"/>
        </w:sectPr>
      </w:pPr>
      <w:bookmarkStart w:id="36" w:name="_Toc24812"/>
    </w:p>
    <w:p>
      <w:pPr>
        <w:pStyle w:val="Heading1"/>
        <w:bidi w:val="0"/>
        <w:rPr>
          <w:rFonts w:hint="eastAsia"/>
          <w:lang w:val="en-US" w:eastAsia="zh-CN"/>
        </w:rPr>
      </w:pPr>
      <w:bookmarkStart w:id="37" w:name="_Toc30763"/>
      <w:r>
        <w:rPr>
          <w:rFonts w:hint="eastAsia"/>
          <w:lang w:val="en-US" w:eastAsia="zh-CN"/>
        </w:rPr>
        <w:t>相关理论概念</w:t>
      </w:r>
      <w:bookmarkEnd w:id="36"/>
      <w:bookmarkEnd w:id="37"/>
    </w:p>
    <w:p>
      <w:pPr>
        <w:pStyle w:val="Heading2"/>
        <w:bidi w:val="0"/>
        <w:rPr>
          <w:rFonts w:hint="eastAsia"/>
          <w:lang w:val="en-US" w:eastAsia="zh-CN"/>
        </w:rPr>
      </w:pPr>
      <w:bookmarkStart w:id="38" w:name="_Toc30384"/>
      <w:bookmarkStart w:id="39" w:name="_Toc30354"/>
      <w:r>
        <w:rPr>
          <w:rFonts w:hint="eastAsia"/>
          <w:lang w:val="en-US" w:eastAsia="zh-CN"/>
        </w:rPr>
        <w:t>固定资产的相关概念</w:t>
      </w:r>
      <w:bookmarkEnd w:id="38"/>
      <w:bookmarkEnd w:id="39"/>
    </w:p>
    <w:p>
      <w:pPr>
        <w:rPr>
          <w:rFonts w:cs="Times New Roman" w:hint="eastAsia"/>
          <w:kern w:val="2"/>
          <w:szCs w:val="24"/>
        </w:rPr>
      </w:pPr>
      <w:r>
        <w:rPr>
          <w:rFonts w:cs="Times New Roman" w:hint="eastAsia"/>
          <w:kern w:val="2"/>
          <w:sz w:val="24"/>
          <w:szCs w:val="24"/>
          <w:lang w:val="en-US" w:eastAsia="zh-CN" w:bidi="ar-SA"/>
        </w:rPr>
        <w:t>学界对理财的概念关键分为两个层面。另一方面，从理财总体目标界定理财，立即鉴别固定资产内控制度里的安全风险，采取相应措施规避风险的产生，根据合理的结构控制方法管理固定资产利用率，维护保养固定资产。北京觉得理财资产识别技术以及开发，理财是为加强、配备、维护保养、处置资产的项目生命周期管理，保证安全，确保目前资产的完整性和实效性。掌握上述内容后，本文作者侧重于选用步骤管理完成固定资产的高效管理，步骤管理注重步骤管理这个概念，在其中重视单独联系和资产从代到代等各个环节联络。长期股权投资是一种以固定资产利用效率、无形中或是化学物质损害降低资产应用，充分运用固定资产效应，对固定资产包含选购、迁移、应用、维护保养、处置、处置以内的全流程开展管理。统一和价值，这种联络并不是在一定的时间内单独存有的，反而是根植于工厂生产的全流程，想要实现固定资产的高效管理，务必牢牢把握每一个阶段，保证对每一个环节最大管理。</w:t>
      </w:r>
    </w:p>
    <w:p>
      <w:pPr>
        <w:pStyle w:val="Heading2"/>
        <w:bidi w:val="0"/>
        <w:rPr>
          <w:rFonts w:hint="eastAsia"/>
          <w:lang w:val="en-US" w:eastAsia="zh-CN"/>
        </w:rPr>
      </w:pPr>
      <w:bookmarkStart w:id="40" w:name="_Toc17826"/>
      <w:bookmarkStart w:id="41" w:name="_Toc20146"/>
      <w:r>
        <w:rPr>
          <w:rFonts w:hint="eastAsia"/>
          <w:lang w:val="en-US" w:eastAsia="zh-CN"/>
        </w:rPr>
        <w:t>固定资产管理涉及的相关理论</w:t>
      </w:r>
      <w:bookmarkEnd w:id="40"/>
      <w:bookmarkEnd w:id="41"/>
    </w:p>
    <w:p>
      <w:pPr>
        <w:pStyle w:val="Heading3"/>
        <w:bidi w:val="0"/>
        <w:rPr>
          <w:rFonts w:hint="eastAsia"/>
          <w:lang w:val="en-US" w:eastAsia="zh-CN"/>
        </w:rPr>
      </w:pPr>
      <w:bookmarkStart w:id="42" w:name="_Toc26568"/>
      <w:r>
        <w:rPr>
          <w:rFonts w:hint="eastAsia"/>
          <w:lang w:val="en-US" w:eastAsia="zh-CN"/>
        </w:rPr>
        <w:t>固定资产全生命周期理论</w:t>
      </w:r>
      <w:bookmarkEnd w:id="42"/>
    </w:p>
    <w:p>
      <w:pPr>
        <w:rPr>
          <w:rFonts w:cs="Times New Roman" w:hint="eastAsia"/>
          <w:kern w:val="2"/>
          <w:szCs w:val="24"/>
        </w:rPr>
        <w:sectPr>
          <w:headerReference w:type="default" r:id="rId59"/>
          <w:footerReference w:type="even" r:id="rId60"/>
          <w:footerReference w:type="default" r:id="rId61"/>
          <w:headerReference w:type="first" r:id="rId62"/>
          <w:footerReference w:type="first" r:id="rId63"/>
          <w:type w:val="nextPage"/>
          <w:pgSz w:w="11906" w:h="16838"/>
          <w:pgMar w:top="2098" w:right="1474" w:bottom="1985" w:left="1588" w:header="709" w:footer="709" w:gutter="0"/>
          <w:pgNumType w:fmt="decimal" w:start="6"/>
          <w:cols w:num="1" w:space="708"/>
          <w:titlePg w:val="0"/>
          <w:docGrid w:linePitch="360" w:charSpace="0"/>
        </w:sectPr>
      </w:pPr>
      <w:r>
        <w:rPr>
          <w:rFonts w:cs="Times New Roman" w:hint="eastAsia"/>
          <w:kern w:val="2"/>
          <w:sz w:val="24"/>
          <w:szCs w:val="24"/>
          <w:lang w:val="en-US" w:eastAsia="zh-CN" w:bidi="ar-SA"/>
        </w:rPr>
        <w:t>固定不动资产管理就是指固定不动资产投入使用后，对整体规划、设计方案、购置、组装、调节、检测、检修、入场、损毁、退伍等全生命周期管理。一个新的理财理念应包含会计、购置、生产制造、使用等各个部门。管理上要确定各部门职责，融洽全部资产管理，优化流程，再次评估流程，实现业务总体目标。要强化资产管理，执行资产生命周期合理管理，生命期管理既需要资产中后期管理，还要健全固定资产管理管理体系，包含投入和资产早期工程项目管理。有关管理关联包含建设中固定不动资产管理、资产管理等辅助管理关联，可以这么说固定不动资产管理包括了公司治理结构的各个方面。</w:t>
      </w:r>
    </w:p>
    <w:p>
      <w:pPr>
        <w:rPr>
          <w:rFonts w:cs="Times New Roman" w:hint="eastAsia"/>
          <w:kern w:val="2"/>
          <w:szCs w:val="24"/>
        </w:rPr>
      </w:pPr>
      <w:r>
        <w:rPr>
          <w:rFonts w:cs="Times New Roman" w:hint="eastAsia"/>
          <w:kern w:val="2"/>
          <w:sz w:val="24"/>
          <w:szCs w:val="24"/>
          <w:lang w:val="en-US" w:eastAsia="zh-CN" w:bidi="ar-SA"/>
        </w:rPr>
        <w:t>集团公司资产的全方位管理对固定不动资产的管理具有一定的必要性。最先，由于金融危机、房地产业紧缩政策或其他原因的外部环境，集团公司资产在金融市场的竞争越来越激烈。上海源存机械制造有限公司遭遇盈利空间减少的局势。从前的高投入中低收入发展方式并不是可持续发展的。将来盈利很大程度上取决于上海源储机械制造有限公司资产的发掘与完成。应用较好的管理能力和科学的管理核心理念管理资本是突破现状的重要方面。次之，上海源存机械制造有限公司固定不动资产具备总金额高、数量庞大、遍布广、资产配备经常、管理艰难等优点。帐本、信用卡、客观事实难以维持一致性，必须具体的管理水准。与此同时，资本市场充足开放和严格销售市场约束还要求上海源存机械制造有限公司健全企业管理，减少运营成本，进一步提高公司盈利。金融市场上公司的投资报酬率和银行利率调整力度较大，为了确保固定不动资产的高效管理，企业必须以全方位的结果导向和科学的管理核心理念，避开经营风险，完成项目效益平衡。</w:t>
      </w:r>
    </w:p>
    <w:p>
      <w:pPr>
        <w:pStyle w:val="Heading3"/>
        <w:bidi w:val="0"/>
        <w:rPr>
          <w:rFonts w:hint="eastAsia"/>
          <w:lang w:val="en-US" w:eastAsia="zh-CN"/>
        </w:rPr>
      </w:pPr>
      <w:bookmarkStart w:id="43" w:name="_Toc12822"/>
      <w:r>
        <w:rPr>
          <w:rFonts w:hint="eastAsia"/>
          <w:lang w:val="en-US" w:eastAsia="zh-CN"/>
        </w:rPr>
        <w:t>委托代理理论</w:t>
      </w:r>
      <w:bookmarkEnd w:id="43"/>
    </w:p>
    <w:p>
      <w:pPr>
        <w:rPr>
          <w:rFonts w:cs="Times New Roman" w:hint="eastAsia"/>
          <w:kern w:val="2"/>
          <w:szCs w:val="24"/>
        </w:rPr>
      </w:pPr>
      <w:r>
        <w:rPr>
          <w:rFonts w:cs="Times New Roman" w:hint="eastAsia"/>
          <w:kern w:val="2"/>
          <w:sz w:val="24"/>
          <w:szCs w:val="24"/>
          <w:lang w:val="en-US" w:eastAsia="zh-CN" w:bidi="ar-SA"/>
        </w:rPr>
        <w:t>股份制改造使上海源存机械设备制造有限公司再也不是国有独资公司。农业、工业生产建设四大公司已转变为国有制股份制公司。从股本结构看，上海源存机械设备制造有限公司四家支行绝对控制着全国各地过半数的股权。</w:t>
      </w:r>
    </w:p>
    <w:p>
      <w:pPr>
        <w:rPr>
          <w:rFonts w:cs="Times New Roman" w:hint="eastAsia"/>
          <w:kern w:val="2"/>
          <w:szCs w:val="24"/>
        </w:rPr>
      </w:pPr>
      <w:r>
        <w:rPr>
          <w:rFonts w:cs="Times New Roman" w:hint="eastAsia"/>
          <w:kern w:val="2"/>
          <w:sz w:val="24"/>
          <w:szCs w:val="24"/>
          <w:lang w:val="en-US" w:eastAsia="zh-CN" w:bidi="ar-SA"/>
        </w:rPr>
        <w:t>改革调整，国民健康公司南京支行运作模式出现了改变，但委托代理难题依然决定着国民健康公司的发展。上海源存机械设备制造有限公司推行一级法人授权经营管理方案，总行具有法人资格，分总行下级行为，总行受权从业运营管理活动。上海源存机械设备制造有限公司主管与股东之间有委托代理关联难题。因为管理人员与股东的效应总体目标不一致，管理人员试图在上海源存机械设备制造有限公司的监管中获得自己的理想使用价值，这也许危害股东权益，危害财产实效性。</w:t>
      </w:r>
    </w:p>
    <w:p>
      <w:pPr>
        <w:pStyle w:val="Heading3"/>
        <w:bidi w:val="0"/>
        <w:rPr>
          <w:rFonts w:hint="eastAsia"/>
          <w:lang w:val="en-US" w:eastAsia="zh-CN"/>
        </w:rPr>
      </w:pPr>
      <w:bookmarkStart w:id="44" w:name="_Toc25775"/>
      <w:r>
        <w:rPr>
          <w:rFonts w:hint="eastAsia"/>
          <w:lang w:val="en-US" w:eastAsia="zh-CN"/>
        </w:rPr>
        <w:t>效率理论</w:t>
      </w:r>
      <w:bookmarkEnd w:id="44"/>
    </w:p>
    <w:p>
      <w:pPr>
        <w:rPr>
          <w:rFonts w:cs="Times New Roman" w:hint="eastAsia"/>
          <w:kern w:val="2"/>
          <w:szCs w:val="24"/>
        </w:rPr>
        <w:sectPr>
          <w:headerReference w:type="default" r:id="rId64"/>
          <w:footerReference w:type="even" r:id="rId65"/>
          <w:footerReference w:type="default" r:id="rId66"/>
          <w:headerReference w:type="first" r:id="rId67"/>
          <w:footerReference w:type="first" r:id="rId68"/>
          <w:type w:val="nextPage"/>
          <w:pgSz w:w="11906" w:h="16838"/>
          <w:pgMar w:top="2098" w:right="1474" w:bottom="1985" w:left="1588" w:header="709" w:footer="709" w:gutter="0"/>
          <w:pgNumType w:fmt="decimal" w:start="7"/>
          <w:cols w:num="1" w:space="708"/>
          <w:titlePg w:val="0"/>
          <w:docGrid w:linePitch="360" w:charSpace="0"/>
        </w:sectPr>
      </w:pPr>
    </w:p>
    <w:p>
      <w:pPr>
        <w:rPr>
          <w:rFonts w:cs="Times New Roman" w:hint="eastAsia"/>
          <w:kern w:val="2"/>
          <w:szCs w:val="24"/>
        </w:rPr>
      </w:pPr>
      <w:r>
        <w:rPr>
          <w:rFonts w:cs="Times New Roman" w:hint="eastAsia"/>
          <w:kern w:val="2"/>
          <w:sz w:val="24"/>
          <w:szCs w:val="24"/>
          <w:lang w:val="en-US" w:eastAsia="zh-CN" w:bidi="ar-SA"/>
        </w:rPr>
        <w:t>1966年，列文斯坦在《美国经济评论》上发布了有关分派效率和x效率论文。标志着X-效率理论的出现。X-效率理论的主要思想是：最先，个体是完全的决策模块。莱布斯坦觉得企业及个人的举动不一致。本人是决策和理论科学研究的出发点。个体是x效率科学研究的对象，个体是决策和理论科学研究的出发点，本研究致力于认证个体实效性。次之，个体的理性是选择性的，莱斯特觉得个体是不完整的。依据合理原则，我们常常具有一定的选择性。选择性大小在于人的性格，个人行动是不确定性的量，依据布雷斯坦的立场，具备选择性理智的人能选他们的行为。总而言之，实效性理论觉得一个人在企业经营管理里的努力与个人得失也会导致管理不当和效率不高。</w:t>
      </w:r>
    </w:p>
    <w:p>
      <w:pPr>
        <w:rPr>
          <w:rFonts w:cs="Times New Roman" w:hint="eastAsia"/>
          <w:kern w:val="2"/>
          <w:szCs w:val="24"/>
        </w:rPr>
      </w:pPr>
      <w:r>
        <w:rPr>
          <w:rFonts w:cs="Times New Roman" w:hint="eastAsia"/>
          <w:kern w:val="2"/>
          <w:sz w:val="24"/>
          <w:szCs w:val="24"/>
          <w:lang w:val="en-US" w:eastAsia="zh-CN" w:bidi="ar-SA"/>
        </w:rPr>
        <w:t>从企业固定资产管理方法效率理论能够得知，固定资产管理人员在企业固定资产管理方面起着非常重要的作用，公司股东没法考量个人价值管理方法的程度，一个人在固定资产管理方法中起着决定性的作用，本人松懈、勤奋降低也会导致房地产经营效率不高。那也是应当提升固定资产内控制度及管理理由。妥当开展，公司建设，员工的积极性与努力性，有益于完成固定资产的主要权益，有益于上海源存机械制造有限公司的可持续发展观。</w:t>
      </w:r>
      <w:r>
        <w:rPr>
          <w:rFonts w:cs="Times New Roman" w:hint="eastAsia"/>
          <w:kern w:val="2"/>
          <w:szCs w:val="24"/>
        </w:rPr>
        <w:br/>
      </w:r>
      <w:r>
        <w:rPr>
          <w:rFonts w:cs="Times New Roman" w:hint="eastAsia"/>
          <w:kern w:val="2"/>
          <w:szCs w:val="24"/>
        </w:rPr>
        <w:br/>
      </w:r>
    </w:p>
    <w:p>
      <w:pPr>
        <w:adjustRightInd/>
        <w:snapToGrid/>
        <w:spacing w:after="0" w:line="240" w:lineRule="auto"/>
        <w:ind w:firstLine="0" w:firstLineChars="0"/>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9" w:history="1">
        <w:r>
          <w:rPr>
            <w:rFonts w:ascii="SimSun" w:eastAsia="SimSun" w:hAnsi="SimSun" w:cs="SimSun"/>
            <w:b/>
            <w:bCs/>
            <w:color w:val="0000EE"/>
            <w:sz w:val="30"/>
            <w:szCs w:val="30"/>
            <w:u w:val="single" w:color="0000EE"/>
          </w:rPr>
          <w:t>https://d.book118.com/028074131036006043</w:t>
        </w:r>
      </w:hyperlink>
    </w:p>
    <w:p>
      <w:pPr>
        <w:rPr>
          <w:rFonts w:cs="Times New Roman" w:hint="eastAsia"/>
          <w:kern w:val="2"/>
          <w:szCs w:val="24"/>
        </w:rPr>
      </w:pPr>
    </w:p>
    <w:sectPr>
      <w:headerReference w:type="default" r:id="rId70"/>
      <w:footerReference w:type="even" r:id="rId71"/>
      <w:footerReference w:type="default" r:id="rId72"/>
      <w:headerReference w:type="first" r:id="rId73"/>
      <w:footerReference w:type="first" r:id="rId74"/>
      <w:type w:val="nextPage"/>
      <w:pgSz w:w="11906" w:h="16838"/>
      <w:pgMar w:top="2098" w:right="1474" w:bottom="1985" w:left="1588" w:header="709" w:footer="709" w:gutter="0"/>
      <w:pgNumType w:fmt="decimal" w:start="8"/>
      <w:cols w:num="1" w:space="708"/>
      <w:titlePg w:val="0"/>
      <w:docGrid w:linePitch="360" w:charSpace="0"/>
    </w:sectPr>
  </w:body>
</w:document>
</file>

<file path=word/customizations.xml><?xml version="1.0" encoding="utf-8"?>
<wne:tcg xmlns:r="http://schemas.openxmlformats.org/officeDocument/2006/relationships" xmlns:wne="http://schemas.microsoft.com/office/word/2006/wordml">
  <wne:keymaps>
    <wne:keymap wne:kcmPrimary="0431">
      <wne:acd wne:acdName="acd-1"/>
    </wne:keymap>
    <wne:keymap wne:kcmPrimary="0251">
      <wne:acd wne:acdName="acd-1"/>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AFF" w:usb1="C0007841"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方正大标宋简体">
    <w:altName w:val="黑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39548787"/>
        <w:docPartObj>
          <w:docPartGallery w:val="autotext"/>
        </w:docPartObj>
      </w:sdtPr>
      <w:sdtContent>
        <w:r>
          <w:rPr>
            <w:rFonts w:hint="eastAsia"/>
          </w:rPr>
          <w:t>1</w:t>
        </w:r>
      </w:sdtContent>
    </w:sdt>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1</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423759906"/>
        <w:docPartObj>
          <w:docPartGallery w:val="autotext"/>
        </w:docPartObj>
      </w:sdtPr>
      <w:sdtContent>
        <w:r>
          <w:rPr>
            <w:rFonts w:hint="eastAsia"/>
          </w:rPr>
          <w:t>1</w:t>
        </w:r>
      </w:sdtContent>
    </w:sdt>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8680304"/>
        <w:docPartObj>
          <w:docPartGallery w:val="autotext"/>
        </w:docPartObj>
      </w:sdtPr>
      <w:sdtContent>
        <w:sdt>
          <w:sdtPr>
            <w:id w:val="8680303"/>
            <w:docPartObj>
              <w:docPartGallery w:val="autotext"/>
            </w:docPartObj>
          </w:sdtPr>
          <w:sdtContent/>
        </w:sdt>
      </w:sdtContent>
    </w:sdt>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1</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679793180"/>
        <w:docPartObj>
          <w:docPartGallery w:val="autotext"/>
        </w:docPartObj>
      </w:sdtPr>
      <w:sdtContent>
        <w:r>
          <w:rPr>
            <w:rFonts w:hint="eastAsia"/>
          </w:rPr>
          <w:t>1</w:t>
        </w:r>
      </w:sdtContent>
    </w:sdt>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399751920"/>
        <w:docPartObj>
          <w:docPartGallery w:val="autotext"/>
        </w:docPartObj>
      </w:sdtPr>
      <w:sdtContent>
        <w:sdt>
          <w:sdtPr>
            <w:id w:val="469916262"/>
            <w:docPartObj>
              <w:docPartGallery w:val="autotext"/>
            </w:docPartObj>
          </w:sdtPr>
          <w:sdtContent/>
        </w:sdt>
      </w:sdtContent>
    </w:sdt>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39548939"/>
        <w:docPartObj>
          <w:docPartGallery w:val="autotext"/>
        </w:docPartObj>
      </w:sdtPr>
      <w:sdtContent/>
    </w:sdt>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after="0"/>
    </w:pPr>
    <w:sdt>
      <w:sdtPr>
        <w:id w:val="39548921"/>
        <w:docPartObj>
          <w:docPartGallery w:val="autotext"/>
        </w:docPartObj>
      </w:sdtPr>
      <w:sdtContent/>
    </w:sdt>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39548919"/>
        <w:docPartObj>
          <w:docPartGallery w:val="autotext"/>
        </w:docPartObj>
      </w:sdtPr>
      <w:sdtContent/>
    </w:sdt>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0"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r>
                            <w:t xml:space="preserve"> / </w:t>
                          </w:r>
                          <w:r>
                            <w:fldChar w:fldCharType="begin"/>
                          </w:r>
                          <w:r>
                            <w:instrText xml:space="preserve"> NUMPAGES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r>
                      <w:t xml:space="preserve"> / </w:t>
                    </w:r>
                    <w:r>
                      <w:fldChar w:fldCharType="begin"/>
                    </w:r>
                    <w:r>
                      <w:instrText xml:space="preserve"> NUMPAGES  \* MERGEFORMAT </w:instrText>
                    </w:r>
                    <w:r>
                      <w:fldChar w:fldCharType="separate"/>
                    </w:r>
                    <w:r>
                      <w:t>14</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860053686"/>
        <w:docPartObj>
          <w:docPartGallery w:val="autotext"/>
        </w:docPartObj>
      </w:sdtPr>
      <w:sdtContent/>
    </w:sdt>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38732555"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r>
                            <w:t xml:space="preserve"> / </w:t>
                          </w:r>
                          <w:r>
                            <w:fldChar w:fldCharType="begin"/>
                          </w:r>
                          <w:r>
                            <w:instrText xml:space="preserve"> NUMPAGES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r>
                      <w:t xml:space="preserve"> / </w:t>
                    </w:r>
                    <w:r>
                      <w:fldChar w:fldCharType="begin"/>
                    </w:r>
                    <w:r>
                      <w:instrText xml:space="preserve"> NUMPAGES  \* MERGEFORMAT </w:instrText>
                    </w:r>
                    <w:r>
                      <w:fldChar w:fldCharType="separate"/>
                    </w:r>
                    <w:r>
                      <w:t>14</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641275788"/>
        <w:docPartObj>
          <w:docPartGallery w:val="autotext"/>
        </w:docPartObj>
      </w:sdtPr>
      <w:sdtContent/>
    </w:sdt>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5211110"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r>
                            <w:t xml:space="preserve"> / </w:t>
                          </w:r>
                          <w:r>
                            <w:fldChar w:fldCharType="begin"/>
                          </w:r>
                          <w:r>
                            <w:instrText xml:space="preserve"> NUMPAGES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r>
                      <w:t xml:space="preserve"> / </w:t>
                    </w:r>
                    <w:r>
                      <w:fldChar w:fldCharType="begin"/>
                    </w:r>
                    <w:r>
                      <w:instrText xml:space="preserve"> NUMPAGES  \* MERGEFORMAT </w:instrText>
                    </w:r>
                    <w:r>
                      <w:fldChar w:fldCharType="separate"/>
                    </w:r>
                    <w:r>
                      <w:t>14</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345228635"/>
        <w:docPartObj>
          <w:docPartGallery w:val="autotext"/>
        </w:docPartObj>
      </w:sdtPr>
      <w:sdtContent/>
    </w:sdt>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46104899"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r>
                            <w:t xml:space="preserve"> / </w:t>
                          </w:r>
                          <w:r>
                            <w:fldChar w:fldCharType="begin"/>
                          </w:r>
                          <w:r>
                            <w:instrText xml:space="preserve"> NUMPAGES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r>
                      <w:t xml:space="preserve"> / </w:t>
                    </w:r>
                    <w:r>
                      <w:fldChar w:fldCharType="begin"/>
                    </w:r>
                    <w:r>
                      <w:instrText xml:space="preserve"> NUMPAGES  \* MERGEFORMAT </w:instrText>
                    </w:r>
                    <w:r>
                      <w:fldChar w:fldCharType="separate"/>
                    </w:r>
                    <w:r>
                      <w:t>14</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265136944"/>
        <w:docPartObj>
          <w:docPartGallery w:val="autotext"/>
        </w:docPartObj>
      </w:sdtPr>
      <w:sdtContent/>
    </w:sdt>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752934305"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r>
                            <w:t xml:space="preserve"> / </w:t>
                          </w:r>
                          <w:r>
                            <w:fldChar w:fldCharType="begin"/>
                          </w:r>
                          <w:r>
                            <w:instrText xml:space="preserve"> NUMPAGES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r>
                      <w:t xml:space="preserve"> / </w:t>
                    </w:r>
                    <w:r>
                      <w:fldChar w:fldCharType="begin"/>
                    </w:r>
                    <w:r>
                      <w:instrText xml:space="preserve"> NUMPAGES  \* MERGEFORMAT </w:instrText>
                    </w:r>
                    <w:r>
                      <w:fldChar w:fldCharType="separate"/>
                    </w:r>
                    <w:r>
                      <w:t>14</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190212678"/>
        <w:docPartObj>
          <w:docPartGallery w:val="autotext"/>
        </w:docPartObj>
      </w:sdtPr>
      <w:sdtContent/>
    </w:sdt>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40847878"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r>
                            <w:t xml:space="preserve"> / </w:t>
                          </w:r>
                          <w:r>
                            <w:fldChar w:fldCharType="begin"/>
                          </w:r>
                          <w:r>
                            <w:instrText xml:space="preserve"> NUMPAGES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r>
                      <w:t xml:space="preserve"> / </w:t>
                    </w:r>
                    <w:r>
                      <w:fldChar w:fldCharType="begin"/>
                    </w:r>
                    <w:r>
                      <w:instrText xml:space="preserve"> NUMPAGES  \* MERGEFORMAT </w:instrText>
                    </w:r>
                    <w:r>
                      <w:fldChar w:fldCharType="separate"/>
                    </w:r>
                    <w:r>
                      <w:t>14</w:t>
                    </w:r>
                    <w:r>
                      <w:fldChar w:fldCharType="end"/>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649572858"/>
        <w:docPartObj>
          <w:docPartGallery w:val="autotext"/>
        </w:docPartObj>
      </w:sdtPr>
      <w:sdtContent/>
    </w:sdt>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rFonts w:hint="eastAsia"/>
      </w:rPr>
      <w:t>3</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814620218" name="文本框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r>
                            <w:t xml:space="preserve"> / </w:t>
                          </w:r>
                          <w:r>
                            <w:fldChar w:fldCharType="begin"/>
                          </w:r>
                          <w:r>
                            <w:instrText xml:space="preserve"> NUMPAGES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0"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r>
                      <w:t xml:space="preserve"> / </w:t>
                    </w:r>
                    <w:r>
                      <w:fldChar w:fldCharType="begin"/>
                    </w:r>
                    <w:r>
                      <w:instrText xml:space="preserve"> NUMPAGES  \* MERGEFORMAT </w:instrText>
                    </w:r>
                    <w:r>
                      <w:fldChar w:fldCharType="separate"/>
                    </w:r>
                    <w:r>
                      <w:t>14</w:t>
                    </w:r>
                    <w:r>
                      <w:fldChar w:fldCharType="end"/>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sdt>
      <w:sdtPr>
        <w:id w:val="192970358"/>
        <w:docPartObj>
          <w:docPartGallery w:val="autotext"/>
        </w:docPartObj>
      </w:sdtPr>
      <w:sdtContent/>
    </w:sdt>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北京科技大学远程与成人教育学院本科生毕业设计（论文）任务书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after="0"/>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p>
    <w:pPr>
      <w:pStyle w:val="Header"/>
      <w:pBdr>
        <w:bottom w:val="none" w:sz="0" w:space="1" w:color="auto"/>
      </w:pBdr>
      <w:rPr>
        <w:rFonts w:hint="eastAsia"/>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Theme="minorEastAsia" w:eastAsiaTheme="minorEastAsia" w:hAnsiTheme="minorEastAsia"/>
        <w:sz w:val="21"/>
        <w:szCs w:val="21"/>
      </w:rPr>
    </w:pPr>
    <w:r>
      <w:rPr>
        <w:rFonts w:asciiTheme="minorEastAsia" w:eastAsiaTheme="minorEastAsia" w:hAnsiTheme="minorEastAsia" w:hint="eastAsia"/>
        <w:sz w:val="21"/>
        <w:szCs w:val="21"/>
      </w:rPr>
      <w:t>北京科技大学远程与成人教育学院本科生毕业设计（论文）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1422EEC"/>
    <w:multiLevelType w:val="multilevel"/>
    <w:tmpl w:val="71422EEC"/>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5" w:hanging="575"/>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drawingGridHorizontalSpacing w:val="110"/>
  <w:noPunctuationKerning/>
  <w:characterSpacingControl w:val="doNotCompress"/>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D50"/>
    <w:rsid w:val="00012B44"/>
    <w:rsid w:val="000216BF"/>
    <w:rsid w:val="0003616B"/>
    <w:rsid w:val="00036EF1"/>
    <w:rsid w:val="00065FBD"/>
    <w:rsid w:val="000C005B"/>
    <w:rsid w:val="000E1B8F"/>
    <w:rsid w:val="0010358E"/>
    <w:rsid w:val="00134544"/>
    <w:rsid w:val="00135471"/>
    <w:rsid w:val="00165C2A"/>
    <w:rsid w:val="001935DD"/>
    <w:rsid w:val="001C7EAA"/>
    <w:rsid w:val="00200B78"/>
    <w:rsid w:val="00225272"/>
    <w:rsid w:val="00226690"/>
    <w:rsid w:val="00232019"/>
    <w:rsid w:val="0027004C"/>
    <w:rsid w:val="002C6D73"/>
    <w:rsid w:val="00303A53"/>
    <w:rsid w:val="00314C62"/>
    <w:rsid w:val="00323B43"/>
    <w:rsid w:val="0032648D"/>
    <w:rsid w:val="00334608"/>
    <w:rsid w:val="00340897"/>
    <w:rsid w:val="003674CC"/>
    <w:rsid w:val="00367EFD"/>
    <w:rsid w:val="00381C0C"/>
    <w:rsid w:val="003D37D8"/>
    <w:rsid w:val="00426133"/>
    <w:rsid w:val="004358AB"/>
    <w:rsid w:val="0045052E"/>
    <w:rsid w:val="004529D1"/>
    <w:rsid w:val="004658D7"/>
    <w:rsid w:val="004A44DB"/>
    <w:rsid w:val="004B4CE9"/>
    <w:rsid w:val="004E0BA9"/>
    <w:rsid w:val="004F550C"/>
    <w:rsid w:val="004F60E0"/>
    <w:rsid w:val="004F7FC7"/>
    <w:rsid w:val="00501C02"/>
    <w:rsid w:val="00514A8D"/>
    <w:rsid w:val="005212CE"/>
    <w:rsid w:val="0053119D"/>
    <w:rsid w:val="00537A7C"/>
    <w:rsid w:val="00565F7D"/>
    <w:rsid w:val="0058110C"/>
    <w:rsid w:val="005D6840"/>
    <w:rsid w:val="005D6CAD"/>
    <w:rsid w:val="005E41F1"/>
    <w:rsid w:val="005F262A"/>
    <w:rsid w:val="00615BAE"/>
    <w:rsid w:val="00624027"/>
    <w:rsid w:val="006607BF"/>
    <w:rsid w:val="00687299"/>
    <w:rsid w:val="00696427"/>
    <w:rsid w:val="007141C9"/>
    <w:rsid w:val="00734162"/>
    <w:rsid w:val="00740784"/>
    <w:rsid w:val="00745DA5"/>
    <w:rsid w:val="00752920"/>
    <w:rsid w:val="007642BD"/>
    <w:rsid w:val="007B188C"/>
    <w:rsid w:val="007C46A3"/>
    <w:rsid w:val="007D25AB"/>
    <w:rsid w:val="007F2405"/>
    <w:rsid w:val="00816A68"/>
    <w:rsid w:val="0087637A"/>
    <w:rsid w:val="008858BF"/>
    <w:rsid w:val="008A3BC1"/>
    <w:rsid w:val="008B68CF"/>
    <w:rsid w:val="008B7726"/>
    <w:rsid w:val="008F4877"/>
    <w:rsid w:val="009263BB"/>
    <w:rsid w:val="0093404A"/>
    <w:rsid w:val="00942402"/>
    <w:rsid w:val="00943453"/>
    <w:rsid w:val="0094499F"/>
    <w:rsid w:val="00993A8E"/>
    <w:rsid w:val="009A0644"/>
    <w:rsid w:val="009A28AE"/>
    <w:rsid w:val="009C050E"/>
    <w:rsid w:val="009C5A97"/>
    <w:rsid w:val="009D34B4"/>
    <w:rsid w:val="009E7D39"/>
    <w:rsid w:val="00A033C7"/>
    <w:rsid w:val="00A17570"/>
    <w:rsid w:val="00A21090"/>
    <w:rsid w:val="00A22E20"/>
    <w:rsid w:val="00A35DAF"/>
    <w:rsid w:val="00A44276"/>
    <w:rsid w:val="00A611DB"/>
    <w:rsid w:val="00A848C9"/>
    <w:rsid w:val="00AA094C"/>
    <w:rsid w:val="00AA5F63"/>
    <w:rsid w:val="00AC3151"/>
    <w:rsid w:val="00AC430F"/>
    <w:rsid w:val="00AC757C"/>
    <w:rsid w:val="00AE5914"/>
    <w:rsid w:val="00B20722"/>
    <w:rsid w:val="00B33D1D"/>
    <w:rsid w:val="00B3737D"/>
    <w:rsid w:val="00B60B69"/>
    <w:rsid w:val="00BA71A2"/>
    <w:rsid w:val="00BD03A7"/>
    <w:rsid w:val="00BD71CD"/>
    <w:rsid w:val="00C01981"/>
    <w:rsid w:val="00C14AF8"/>
    <w:rsid w:val="00C23520"/>
    <w:rsid w:val="00C3376C"/>
    <w:rsid w:val="00CD6351"/>
    <w:rsid w:val="00D12FF4"/>
    <w:rsid w:val="00D31D50"/>
    <w:rsid w:val="00D33683"/>
    <w:rsid w:val="00D40153"/>
    <w:rsid w:val="00D52D11"/>
    <w:rsid w:val="00D6309C"/>
    <w:rsid w:val="00D86645"/>
    <w:rsid w:val="00DB2C77"/>
    <w:rsid w:val="00DC5684"/>
    <w:rsid w:val="00DF78C6"/>
    <w:rsid w:val="00E128F9"/>
    <w:rsid w:val="00E43347"/>
    <w:rsid w:val="00EA08FB"/>
    <w:rsid w:val="00EA69D8"/>
    <w:rsid w:val="00EB7F91"/>
    <w:rsid w:val="00EC6FC6"/>
    <w:rsid w:val="00ED1448"/>
    <w:rsid w:val="00F224E4"/>
    <w:rsid w:val="00F257CB"/>
    <w:rsid w:val="00F72A97"/>
    <w:rsid w:val="00FA3B52"/>
    <w:rsid w:val="00FC339A"/>
    <w:rsid w:val="00FE1649"/>
    <w:rsid w:val="00FF06F3"/>
    <w:rsid w:val="03265DBE"/>
    <w:rsid w:val="04B66309"/>
    <w:rsid w:val="0E5327F0"/>
    <w:rsid w:val="113E50B9"/>
    <w:rsid w:val="1262045D"/>
    <w:rsid w:val="13FB1C18"/>
    <w:rsid w:val="17484FAE"/>
    <w:rsid w:val="20287858"/>
    <w:rsid w:val="20FD5B35"/>
    <w:rsid w:val="21FA437B"/>
    <w:rsid w:val="25000405"/>
    <w:rsid w:val="28334A4D"/>
    <w:rsid w:val="29D91633"/>
    <w:rsid w:val="2B0C46EB"/>
    <w:rsid w:val="2B3072A5"/>
    <w:rsid w:val="2EFA4539"/>
    <w:rsid w:val="32FE28E3"/>
    <w:rsid w:val="39FA1832"/>
    <w:rsid w:val="3DB94ADE"/>
    <w:rsid w:val="436556CA"/>
    <w:rsid w:val="44D403ED"/>
    <w:rsid w:val="44DE47A3"/>
    <w:rsid w:val="486A6B1C"/>
    <w:rsid w:val="489A0EED"/>
    <w:rsid w:val="4D111B52"/>
    <w:rsid w:val="4D3A0CB5"/>
    <w:rsid w:val="50862FEB"/>
    <w:rsid w:val="5D6C6D4C"/>
    <w:rsid w:val="5DC3743F"/>
    <w:rsid w:val="5E6A6AA9"/>
    <w:rsid w:val="60BB6E0B"/>
    <w:rsid w:val="712C3A2E"/>
    <w:rsid w:val="797F0137"/>
    <w:rsid w:val="7DB32755"/>
  </w:rsids>
  <w:docVars>
    <w:docVar w:name="commondata" w:val="eyJoZGlkIjoiNTkxN2EwOWU2ZDhiNmJkYWZjYzQ1ZTc5NjA2N2EwN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uiPriority="0" w:unhideWhenUsed="0" w:qFormat="1"/>
    <w:lsdException w:name="annotation text" w:semiHidden="0" w:uiPriority="0" w:unhideWhenUsed="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semiHidden="0" w:uiPriority="0" w:unhideWhenUsed="0" w:qFormat="1"/>
    <w:lsdException w:name="annotation reference" w:semiHidden="0" w:uiPriority="0" w:unhideWhenUsed="0" w:qFormat="1"/>
    <w:lsdException w:name="line number"/>
    <w:lsdException w:name="page number" w:semiHidden="0" w:uiPriority="0" w:unhideWhenUsed="0" w:qFormat="1"/>
    <w:lsdException w:name="endnote reference" w:semiHidden="0" w:uiPriority="0" w:unhideWhenUsed="0" w:qFormat="1"/>
    <w:lsdException w:name="endnote text" w:semiHidden="0" w:uiPriority="0" w:unhideWhenUsed="0" w:qFormat="1"/>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semiHidden="0" w:uiPriority="0" w:unhideWhenUsed="0" w:qFormat="1"/>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3"/>
    <w:qFormat/>
    <w:pPr>
      <w:adjustRightInd w:val="0"/>
      <w:snapToGrid w:val="0"/>
      <w:spacing w:after="200" w:line="360" w:lineRule="auto"/>
      <w:ind w:firstLine="480" w:firstLineChars="200"/>
    </w:pPr>
    <w:rPr>
      <w:rFonts w:ascii="Tahoma" w:eastAsia="宋体" w:hAnsi="Tahoma" w:cstheme="minorBidi"/>
      <w:sz w:val="24"/>
      <w:szCs w:val="22"/>
      <w:lang w:val="en-US" w:eastAsia="zh-CN" w:bidi="ar-SA"/>
    </w:rPr>
  </w:style>
  <w:style w:type="paragraph" w:styleId="Heading1">
    <w:name w:val="heading 1"/>
    <w:basedOn w:val="Normal"/>
    <w:next w:val="Normal"/>
    <w:link w:val="1Char"/>
    <w:uiPriority w:val="9"/>
    <w:qFormat/>
    <w:pPr>
      <w:keepNext/>
      <w:keepLines/>
      <w:numPr>
        <w:ilvl w:val="0"/>
        <w:numId w:val="1"/>
      </w:numPr>
      <w:spacing w:before="100" w:after="90" w:line="416" w:lineRule="auto"/>
      <w:ind w:firstLineChars="0"/>
      <w:jc w:val="left"/>
      <w:outlineLvl w:val="0"/>
    </w:pPr>
    <w:rPr>
      <w:rFonts w:eastAsia="宋体"/>
      <w:b/>
      <w:bCs/>
      <w:kern w:val="44"/>
      <w:sz w:val="28"/>
      <w:szCs w:val="44"/>
    </w:rPr>
  </w:style>
  <w:style w:type="paragraph" w:styleId="Heading2">
    <w:name w:val="heading 2"/>
    <w:basedOn w:val="Normal"/>
    <w:next w:val="Normal"/>
    <w:link w:val="2Char"/>
    <w:uiPriority w:val="9"/>
    <w:unhideWhenUsed/>
    <w:qFormat/>
    <w:pPr>
      <w:keepNext/>
      <w:keepLines/>
      <w:numPr>
        <w:ilvl w:val="1"/>
        <w:numId w:val="1"/>
      </w:numPr>
      <w:spacing w:before="140" w:after="140" w:line="416" w:lineRule="auto"/>
      <w:ind w:left="575" w:hanging="575" w:leftChars="0" w:firstLineChars="0"/>
      <w:outlineLvl w:val="1"/>
    </w:pPr>
    <w:rPr>
      <w:rFonts w:eastAsia="宋体" w:asciiTheme="majorAscii" w:hAnsiTheme="majorAscii" w:cstheme="majorBidi"/>
      <w:bCs/>
      <w:szCs w:val="32"/>
    </w:rPr>
  </w:style>
  <w:style w:type="paragraph" w:styleId="Heading3">
    <w:name w:val="heading 3"/>
    <w:basedOn w:val="Normal"/>
    <w:next w:val="Normal"/>
    <w:uiPriority w:val="9"/>
    <w:unhideWhenUsed/>
    <w:qFormat/>
    <w:pPr>
      <w:numPr>
        <w:ilvl w:val="2"/>
        <w:numId w:val="1"/>
      </w:numPr>
      <w:tabs>
        <w:tab w:val="left" w:pos="420"/>
      </w:tabs>
      <w:spacing w:before="50" w:beforeLines="50" w:after="0" w:afterLines="0"/>
      <w:ind w:left="720" w:hanging="720" w:firstLineChars="0"/>
      <w:outlineLvl w:val="2"/>
    </w:pPr>
    <w:rPr>
      <w:rFonts w:ascii="Times New Roman" w:eastAsia="宋体" w:hAnsi="Times New Roman"/>
      <w:bCs/>
      <w:sz w:val="24"/>
      <w:szCs w:val="28"/>
    </w:rPr>
  </w:style>
  <w:style w:type="paragraph" w:styleId="Heading4">
    <w:name w:val="heading 4"/>
    <w:basedOn w:val="Normal"/>
    <w:next w:val="Normal"/>
    <w:uiPriority w:val="9"/>
    <w:semiHidden/>
    <w:unhideWhenUsed/>
    <w:qFormat/>
    <w:pPr>
      <w:numPr>
        <w:ilvl w:val="3"/>
        <w:numId w:val="1"/>
      </w:numPr>
      <w:tabs>
        <w:tab w:val="left" w:pos="420"/>
      </w:tabs>
      <w:spacing w:before="0" w:beforeLines="0"/>
      <w:ind w:left="864" w:hanging="864" w:firstLineChars="0"/>
      <w:outlineLvl w:val="3"/>
    </w:pPr>
    <w:rPr>
      <w:rFonts w:ascii="Times New Roman" w:eastAsia="宋体" w:hAnsi="Times New Roman"/>
      <w:b/>
    </w:rPr>
  </w:style>
  <w:style w:type="paragraph" w:styleId="Heading5">
    <w:name w:val="heading 5"/>
    <w:basedOn w:val="Normal"/>
    <w:next w:val="Normal"/>
    <w:uiPriority w:val="9"/>
    <w:semiHidden/>
    <w:unhideWhenUsed/>
    <w:qFormat/>
    <w:pPr>
      <w:keepNext/>
      <w:keepLines/>
      <w:numPr>
        <w:ilvl w:val="4"/>
        <w:numId w:val="1"/>
      </w:numPr>
      <w:tabs>
        <w:tab w:val="left" w:pos="1008"/>
      </w:tabs>
      <w:spacing w:before="280" w:beforeLines="0" w:beforeAutospacing="0" w:after="290" w:afterLines="0" w:afterAutospacing="0" w:line="372" w:lineRule="auto"/>
      <w:ind w:left="1008" w:hanging="1008" w:leftChars="0" w:firstLineChars="0"/>
      <w:outlineLvl w:val="4"/>
    </w:pPr>
    <w:rPr>
      <w:b/>
      <w:sz w:val="28"/>
    </w:rPr>
  </w:style>
  <w:style w:type="paragraph" w:styleId="Heading6">
    <w:name w:val="heading 6"/>
    <w:basedOn w:val="Normal"/>
    <w:next w:val="Normal"/>
    <w:uiPriority w:val="9"/>
    <w:semiHidden/>
    <w:unhideWhenUsed/>
    <w:qFormat/>
    <w:pPr>
      <w:keepNext/>
      <w:keepLines/>
      <w:numPr>
        <w:ilvl w:val="5"/>
        <w:numId w:val="1"/>
      </w:numPr>
      <w:tabs>
        <w:tab w:val="left" w:pos="1151"/>
      </w:tabs>
      <w:spacing w:before="240" w:beforeLines="0" w:beforeAutospacing="0" w:after="64" w:afterLines="0" w:afterAutospacing="0" w:line="317" w:lineRule="auto"/>
      <w:ind w:left="1151" w:hanging="1151" w:leftChars="0" w:firstLineChars="0"/>
      <w:outlineLvl w:val="5"/>
    </w:pPr>
    <w:rPr>
      <w:rFonts w:ascii="Arial" w:eastAsia="黑体" w:hAnsi="Arial"/>
      <w:b/>
      <w:sz w:val="24"/>
    </w:rPr>
  </w:style>
  <w:style w:type="paragraph" w:styleId="Heading7">
    <w:name w:val="heading 7"/>
    <w:basedOn w:val="Normal"/>
    <w:next w:val="Normal"/>
    <w:uiPriority w:val="9"/>
    <w:semiHidden/>
    <w:unhideWhenUsed/>
    <w:qFormat/>
    <w:pPr>
      <w:keepNext/>
      <w:keepLines/>
      <w:numPr>
        <w:ilvl w:val="6"/>
        <w:numId w:val="1"/>
      </w:numPr>
      <w:tabs>
        <w:tab w:val="left" w:pos="1296"/>
      </w:tabs>
      <w:spacing w:before="240" w:beforeLines="0" w:beforeAutospacing="0" w:after="64" w:afterLines="0" w:afterAutospacing="0" w:line="317" w:lineRule="auto"/>
      <w:ind w:left="1296" w:hanging="1296" w:leftChars="0" w:firstLineChars="0"/>
      <w:outlineLvl w:val="6"/>
    </w:pPr>
    <w:rPr>
      <w:b/>
      <w:sz w:val="24"/>
    </w:rPr>
  </w:style>
  <w:style w:type="paragraph" w:styleId="Heading8">
    <w:name w:val="heading 8"/>
    <w:basedOn w:val="Normal"/>
    <w:next w:val="Normal"/>
    <w:uiPriority w:val="9"/>
    <w:semiHidden/>
    <w:unhideWhenUsed/>
    <w:qFormat/>
    <w:pPr>
      <w:keepNext/>
      <w:keepLines/>
      <w:numPr>
        <w:ilvl w:val="7"/>
        <w:numId w:val="1"/>
      </w:numPr>
      <w:tabs>
        <w:tab w:val="left" w:pos="1440"/>
      </w:tabs>
      <w:spacing w:before="240" w:beforeLines="0" w:beforeAutospacing="0" w:after="64" w:afterLines="0" w:afterAutospacing="0" w:line="317" w:lineRule="auto"/>
      <w:ind w:left="1440" w:hanging="1440" w:leftChars="0" w:firstLineChars="0"/>
      <w:outlineLvl w:val="7"/>
    </w:pPr>
    <w:rPr>
      <w:rFonts w:ascii="Arial" w:eastAsia="黑体" w:hAnsi="Arial"/>
      <w:sz w:val="24"/>
    </w:rPr>
  </w:style>
  <w:style w:type="paragraph" w:styleId="Heading9">
    <w:name w:val="heading 9"/>
    <w:basedOn w:val="Normal"/>
    <w:next w:val="Normal"/>
    <w:uiPriority w:val="9"/>
    <w:semiHidden/>
    <w:unhideWhenUsed/>
    <w:qFormat/>
    <w:pPr>
      <w:keepNext/>
      <w:keepLines/>
      <w:numPr>
        <w:ilvl w:val="8"/>
        <w:numId w:val="1"/>
      </w:numPr>
      <w:tabs>
        <w:tab w:val="left" w:pos="1583"/>
      </w:tabs>
      <w:spacing w:before="240" w:beforeLines="0" w:beforeAutospacing="0" w:after="64" w:afterLines="0" w:afterAutospacing="0" w:line="317" w:lineRule="auto"/>
      <w:ind w:left="1583" w:hanging="1583" w:leftChars="0"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2"/>
    <w:qFormat/>
    <w:pPr>
      <w:keepLines/>
      <w:adjustRightInd/>
      <w:snapToGrid/>
      <w:spacing w:after="220" w:line="200" w:lineRule="atLeast"/>
      <w:ind w:firstLine="476"/>
      <w:jc w:val="both"/>
    </w:pPr>
    <w:rPr>
      <w:rFonts w:ascii="Times New Roman" w:eastAsia="宋体" w:hAnsi="Times New Roman" w:cs="Times New Roman"/>
      <w:b/>
      <w:color w:val="FF0000"/>
      <w:spacing w:val="-5"/>
      <w:sz w:val="16"/>
      <w:szCs w:val="20"/>
    </w:rPr>
  </w:style>
  <w:style w:type="paragraph" w:styleId="BodyTextIndent">
    <w:name w:val="Body Text Indent"/>
    <w:basedOn w:val="Normal"/>
    <w:qFormat/>
    <w:pPr>
      <w:ind w:firstLine="359" w:firstLineChars="171"/>
    </w:pPr>
    <w:rPr>
      <w:szCs w:val="20"/>
    </w:rPr>
  </w:style>
  <w:style w:type="paragraph" w:styleId="TOC3">
    <w:name w:val="toc 3"/>
    <w:basedOn w:val="Normal"/>
    <w:next w:val="Normal"/>
    <w:uiPriority w:val="39"/>
    <w:qFormat/>
    <w:pPr>
      <w:adjustRightInd/>
      <w:snapToGrid/>
      <w:spacing w:after="40" w:line="360" w:lineRule="auto"/>
      <w:ind w:left="839" w:firstLine="476"/>
    </w:pPr>
    <w:rPr>
      <w:rFonts w:ascii="Times New Roman" w:eastAsia="宋体" w:hAnsi="Times New Roman" w:cs="Times New Roman"/>
      <w:spacing w:val="-5"/>
      <w:sz w:val="24"/>
      <w:szCs w:val="20"/>
    </w:rPr>
  </w:style>
  <w:style w:type="paragraph" w:styleId="PlainText">
    <w:name w:val="Plain Text"/>
    <w:basedOn w:val="Normal"/>
    <w:qFormat/>
    <w:rPr>
      <w:rFonts w:ascii="宋体" w:hAnsi="Courier New"/>
      <w:szCs w:val="20"/>
    </w:rPr>
  </w:style>
  <w:style w:type="paragraph" w:styleId="EndnoteText">
    <w:name w:val="endnote text"/>
    <w:basedOn w:val="Normal"/>
    <w:qFormat/>
    <w:pPr>
      <w:snapToGrid w:val="0"/>
      <w:jc w:val="left"/>
    </w:pPr>
  </w:style>
  <w:style w:type="paragraph" w:styleId="BalloonText">
    <w:name w:val="Balloon Text"/>
    <w:basedOn w:val="Normal"/>
    <w:link w:val="Char1"/>
    <w:uiPriority w:val="99"/>
    <w:semiHidden/>
    <w:unhideWhenUsed/>
    <w:qFormat/>
    <w:pPr>
      <w:spacing w:after="0"/>
    </w:pPr>
    <w:rPr>
      <w:sz w:val="18"/>
      <w:szCs w:val="18"/>
    </w:rPr>
  </w:style>
  <w:style w:type="paragraph" w:styleId="Footer">
    <w:name w:val="footer"/>
    <w:basedOn w:val="Normal"/>
    <w:link w:val="Char0"/>
    <w:uiPriority w:val="99"/>
    <w:unhideWhenUsed/>
    <w:qFormat/>
    <w:pPr>
      <w:tabs>
        <w:tab w:val="center" w:pos="4153"/>
        <w:tab w:val="right" w:pos="8306"/>
      </w:tabs>
      <w:jc w:val="center"/>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jc w:val="center"/>
    </w:pPr>
    <w:rPr>
      <w:sz w:val="18"/>
      <w:szCs w:val="18"/>
    </w:rPr>
  </w:style>
  <w:style w:type="paragraph" w:styleId="TOC1">
    <w:name w:val="toc 1"/>
    <w:basedOn w:val="Normal"/>
    <w:next w:val="Normal"/>
    <w:uiPriority w:val="39"/>
    <w:qFormat/>
    <w:pPr>
      <w:tabs>
        <w:tab w:val="right" w:leader="dot" w:pos="8780"/>
      </w:tabs>
      <w:adjustRightInd/>
      <w:snapToGrid/>
      <w:spacing w:after="80" w:line="360" w:lineRule="auto"/>
      <w:ind w:firstLine="476"/>
    </w:pPr>
    <w:rPr>
      <w:rFonts w:ascii="Times New Roman" w:eastAsia="宋体" w:hAnsi="Times New Roman" w:cs="Times New Roman"/>
      <w:spacing w:val="-5"/>
      <w:sz w:val="24"/>
      <w:szCs w:val="20"/>
    </w:rPr>
  </w:style>
  <w:style w:type="paragraph" w:styleId="FootnoteText">
    <w:name w:val="footnote text"/>
    <w:basedOn w:val="Normal"/>
    <w:link w:val="Char3"/>
    <w:qFormat/>
    <w:pPr>
      <w:widowControl w:val="0"/>
      <w:adjustRightInd/>
      <w:spacing w:after="0"/>
    </w:pPr>
    <w:rPr>
      <w:rFonts w:ascii="Calibri" w:eastAsia="宋体" w:hAnsi="Calibri" w:cs="Times New Roman"/>
      <w:kern w:val="2"/>
      <w:sz w:val="18"/>
      <w:szCs w:val="24"/>
    </w:rPr>
  </w:style>
  <w:style w:type="paragraph" w:styleId="TOC2">
    <w:name w:val="toc 2"/>
    <w:basedOn w:val="Normal"/>
    <w:next w:val="Normal"/>
    <w:uiPriority w:val="39"/>
    <w:qFormat/>
    <w:pPr>
      <w:adjustRightInd/>
      <w:snapToGrid/>
      <w:spacing w:after="40" w:line="360" w:lineRule="auto"/>
      <w:ind w:left="420" w:firstLine="476"/>
    </w:pPr>
    <w:rPr>
      <w:rFonts w:ascii="Times New Roman" w:eastAsia="宋体" w:hAnsi="Times New Roman" w:cs="Times New Roman"/>
      <w:spacing w:val="-5"/>
      <w:sz w:val="24"/>
      <w:szCs w:val="20"/>
    </w:rPr>
  </w:style>
  <w:style w:type="paragraph" w:styleId="BodyTextFirstIndent2">
    <w:name w:val="Body Text First Indent 2"/>
    <w:basedOn w:val="BodyTextIndent"/>
    <w:qFormat/>
    <w:pPr>
      <w:ind w:firstLine="420" w:firstLineChars="200"/>
    </w:pPr>
  </w:style>
  <w:style w:type="table" w:styleId="TableGrid">
    <w:name w:val="Table Grid"/>
    <w:basedOn w:val="TableNormal"/>
    <w:uiPriority w:val="59"/>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ndnoteReference">
    <w:name w:val="endnote reference"/>
    <w:qFormat/>
    <w:rPr>
      <w:vertAlign w:val="superscript"/>
    </w:rPr>
  </w:style>
  <w:style w:type="character" w:styleId="PageNumber">
    <w:name w:val="page number"/>
    <w:basedOn w:val="DefaultParagraphFont"/>
    <w:qFormat/>
  </w:style>
  <w:style w:type="character" w:styleId="Hyperlink">
    <w:name w:val="Hyperlink"/>
    <w:uiPriority w:val="99"/>
    <w:qFormat/>
    <w:rPr>
      <w:color w:val="0000FF"/>
      <w:u w:val="single"/>
    </w:rPr>
  </w:style>
  <w:style w:type="character" w:styleId="CommentReference">
    <w:name w:val="annotation reference"/>
    <w:qFormat/>
    <w:rPr>
      <w:sz w:val="16"/>
    </w:rPr>
  </w:style>
  <w:style w:type="character" w:styleId="FootnoteReference">
    <w:name w:val="footnote reference"/>
    <w:basedOn w:val="DefaultParagraphFont"/>
    <w:qFormat/>
    <w:rPr>
      <w:rFonts w:cs="Times New Roman"/>
      <w:vertAlign w:val="superscript"/>
    </w:rPr>
  </w:style>
  <w:style w:type="character" w:customStyle="1" w:styleId="1Char">
    <w:name w:val="标题 1 Char"/>
    <w:basedOn w:val="DefaultParagraphFont"/>
    <w:link w:val="Heading1"/>
    <w:uiPriority w:val="9"/>
    <w:qFormat/>
    <w:rPr>
      <w:rFonts w:ascii="Tahoma" w:eastAsia="宋体" w:hAnsi="Tahoma"/>
      <w:b/>
      <w:bCs/>
      <w:kern w:val="44"/>
      <w:sz w:val="28"/>
      <w:szCs w:val="44"/>
    </w:rPr>
  </w:style>
  <w:style w:type="character" w:customStyle="1" w:styleId="2Char">
    <w:name w:val="标题 2 Char"/>
    <w:basedOn w:val="DefaultParagraphFont"/>
    <w:link w:val="Heading2"/>
    <w:uiPriority w:val="9"/>
    <w:qFormat/>
    <w:rPr>
      <w:rFonts w:eastAsia="宋体" w:asciiTheme="majorAscii" w:hAnsiTheme="majorAscii" w:cstheme="majorBidi"/>
      <w:bCs/>
      <w:sz w:val="24"/>
      <w:szCs w:val="32"/>
    </w:rPr>
  </w:style>
  <w:style w:type="character" w:customStyle="1" w:styleId="Char">
    <w:name w:val="页眉 Char"/>
    <w:basedOn w:val="DefaultParagraphFont"/>
    <w:link w:val="Header"/>
    <w:uiPriority w:val="99"/>
    <w:qFormat/>
    <w:rPr>
      <w:rFonts w:ascii="Tahoma" w:hAnsi="Tahoma"/>
      <w:sz w:val="18"/>
      <w:szCs w:val="18"/>
    </w:rPr>
  </w:style>
  <w:style w:type="character" w:customStyle="1" w:styleId="Char0">
    <w:name w:val="页脚 Char"/>
    <w:basedOn w:val="DefaultParagraphFont"/>
    <w:link w:val="Footer"/>
    <w:uiPriority w:val="99"/>
    <w:qFormat/>
    <w:rPr>
      <w:rFonts w:ascii="Tahoma" w:hAnsi="Tahoma"/>
      <w:sz w:val="18"/>
      <w:szCs w:val="18"/>
    </w:rPr>
  </w:style>
  <w:style w:type="paragraph" w:styleId="ListParagraph">
    <w:name w:val="List Paragraph"/>
    <w:basedOn w:val="Normal"/>
    <w:uiPriority w:val="99"/>
    <w:qFormat/>
    <w:pPr>
      <w:ind w:firstLine="420" w:firstLineChars="200"/>
    </w:pPr>
  </w:style>
  <w:style w:type="character" w:customStyle="1" w:styleId="Char1">
    <w:name w:val="批注框文本 Char"/>
    <w:basedOn w:val="DefaultParagraphFont"/>
    <w:link w:val="BalloonText"/>
    <w:uiPriority w:val="99"/>
    <w:semiHidden/>
    <w:qFormat/>
    <w:rPr>
      <w:rFonts w:ascii="Tahoma" w:hAnsi="Tahoma"/>
      <w:sz w:val="18"/>
      <w:szCs w:val="18"/>
    </w:rPr>
  </w:style>
  <w:style w:type="paragraph" w:customStyle="1" w:styleId="b">
    <w:name w:val="b标题 不编号"/>
    <w:basedOn w:val="Heading1"/>
    <w:next w:val="Normal"/>
    <w:qFormat/>
    <w:pPr>
      <w:pageBreakBefore/>
      <w:widowControl w:val="0"/>
      <w:adjustRightInd/>
      <w:snapToGrid/>
      <w:spacing w:after="340"/>
      <w:jc w:val="center"/>
    </w:pPr>
    <w:rPr>
      <w:rFonts w:ascii="Times New Roman" w:eastAsia="黑体" w:hAnsi="Times New Roman" w:cs="Times New Roman"/>
      <w:sz w:val="30"/>
    </w:rPr>
  </w:style>
  <w:style w:type="character" w:customStyle="1" w:styleId="c">
    <w:name w:val="c关键词"/>
    <w:qFormat/>
    <w:rPr>
      <w:rFonts w:ascii="Times New Roman" w:eastAsia="黑体" w:hAnsi="Times New Roman"/>
      <w:b/>
      <w:sz w:val="24"/>
    </w:rPr>
  </w:style>
  <w:style w:type="character" w:customStyle="1" w:styleId="Char2">
    <w:name w:val="批注文字 Char"/>
    <w:basedOn w:val="DefaultParagraphFont"/>
    <w:link w:val="CommentText"/>
    <w:qFormat/>
    <w:rPr>
      <w:rFonts w:ascii="Times New Roman" w:eastAsia="宋体" w:hAnsi="Times New Roman" w:cs="Times New Roman"/>
      <w:b/>
      <w:color w:val="FF0000"/>
      <w:spacing w:val="-5"/>
      <w:sz w:val="16"/>
      <w:szCs w:val="20"/>
      <w:lang w:val="en-US" w:eastAsia="zh-CN"/>
    </w:rPr>
  </w:style>
  <w:style w:type="character" w:customStyle="1" w:styleId="Char3">
    <w:name w:val="脚注文本 Char"/>
    <w:basedOn w:val="DefaultParagraphFont"/>
    <w:link w:val="FootnoteText"/>
    <w:qFormat/>
    <w:rPr>
      <w:rFonts w:ascii="Calibri" w:eastAsia="宋体" w:hAnsi="Calibri" w:cs="Times New Roman"/>
      <w:kern w:val="2"/>
      <w:sz w:val="18"/>
      <w:szCs w:val="24"/>
    </w:rPr>
  </w:style>
  <w:style w:type="paragraph" w:customStyle="1" w:styleId="TableParagraph">
    <w:name w:val="Table Paragraph"/>
    <w:basedOn w:val="Normal"/>
    <w:uiPriority w:val="1"/>
    <w:qFormat/>
    <w:pPr>
      <w:spacing w:before="65"/>
      <w:jc w:val="center"/>
    </w:pPr>
    <w:rPr>
      <w:rFonts w:ascii="宋体" w:eastAsia="宋体" w:hAnsi="宋体" w:cs="宋体"/>
      <w:lang w:val="en-US" w:eastAsia="en-US" w:bidi="en-US"/>
    </w:rPr>
  </w:style>
  <w:style w:type="table" w:customStyle="1" w:styleId="TableGrid0">
    <w:name w:val="Table Grid_0"/>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header" Target="header3.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header" Target="header4.xml" /><Relationship Id="rId18" Type="http://schemas.openxmlformats.org/officeDocument/2006/relationships/footer" Target="footer9.xml"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footer" Target="footer11.xml" /><Relationship Id="rId22" Type="http://schemas.openxmlformats.org/officeDocument/2006/relationships/header" Target="header6.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16.xml" /><Relationship Id="rId31" Type="http://schemas.openxmlformats.org/officeDocument/2006/relationships/footer" Target="footer17.xml" /><Relationship Id="rId32" Type="http://schemas.openxmlformats.org/officeDocument/2006/relationships/header" Target="header10.xml" /><Relationship Id="rId33" Type="http://schemas.openxmlformats.org/officeDocument/2006/relationships/footer" Target="footer18.xml" /><Relationship Id="rId34" Type="http://schemas.openxmlformats.org/officeDocument/2006/relationships/header" Target="header11.xml" /><Relationship Id="rId35" Type="http://schemas.openxmlformats.org/officeDocument/2006/relationships/footer" Target="footer19.xml" /><Relationship Id="rId36" Type="http://schemas.openxmlformats.org/officeDocument/2006/relationships/footer" Target="footer20.xml" /><Relationship Id="rId37" Type="http://schemas.openxmlformats.org/officeDocument/2006/relationships/header" Target="header12.xml" /><Relationship Id="rId38" Type="http://schemas.openxmlformats.org/officeDocument/2006/relationships/footer" Target="footer21.xml" /><Relationship Id="rId39" Type="http://schemas.openxmlformats.org/officeDocument/2006/relationships/header" Target="header13.xml" /><Relationship Id="rId4" Type="http://schemas.openxmlformats.org/officeDocument/2006/relationships/customXml" Target="../customXml/item1.xml" /><Relationship Id="rId40" Type="http://schemas.openxmlformats.org/officeDocument/2006/relationships/footer" Target="footer22.xml" /><Relationship Id="rId41" Type="http://schemas.openxmlformats.org/officeDocument/2006/relationships/footer" Target="footer23.xml" /><Relationship Id="rId42" Type="http://schemas.openxmlformats.org/officeDocument/2006/relationships/header" Target="header14.xml" /><Relationship Id="rId43" Type="http://schemas.openxmlformats.org/officeDocument/2006/relationships/footer" Target="footer24.xml" /><Relationship Id="rId44" Type="http://schemas.openxmlformats.org/officeDocument/2006/relationships/header" Target="header15.xml" /><Relationship Id="rId45" Type="http://schemas.openxmlformats.org/officeDocument/2006/relationships/footer" Target="footer25.xml" /><Relationship Id="rId46" Type="http://schemas.openxmlformats.org/officeDocument/2006/relationships/footer" Target="footer26.xml" /><Relationship Id="rId47" Type="http://schemas.openxmlformats.org/officeDocument/2006/relationships/header" Target="header16.xml" /><Relationship Id="rId48" Type="http://schemas.openxmlformats.org/officeDocument/2006/relationships/footer" Target="footer27.xml" /><Relationship Id="rId49" Type="http://schemas.openxmlformats.org/officeDocument/2006/relationships/header" Target="header17.xml" /><Relationship Id="rId5" Type="http://schemas.openxmlformats.org/officeDocument/2006/relationships/customXml" Target="../customXml/item2.xml" /><Relationship Id="rId50" Type="http://schemas.openxmlformats.org/officeDocument/2006/relationships/footer" Target="footer28.xml" /><Relationship Id="rId51" Type="http://schemas.openxmlformats.org/officeDocument/2006/relationships/footer" Target="footer29.xml" /><Relationship Id="rId52" Type="http://schemas.openxmlformats.org/officeDocument/2006/relationships/header" Target="header18.xml" /><Relationship Id="rId53" Type="http://schemas.openxmlformats.org/officeDocument/2006/relationships/footer" Target="footer30.xml" /><Relationship Id="rId54" Type="http://schemas.openxmlformats.org/officeDocument/2006/relationships/header" Target="header19.xml" /><Relationship Id="rId55" Type="http://schemas.openxmlformats.org/officeDocument/2006/relationships/footer" Target="footer31.xml" /><Relationship Id="rId56" Type="http://schemas.openxmlformats.org/officeDocument/2006/relationships/footer" Target="footer32.xml" /><Relationship Id="rId57" Type="http://schemas.openxmlformats.org/officeDocument/2006/relationships/header" Target="header20.xml" /><Relationship Id="rId58" Type="http://schemas.openxmlformats.org/officeDocument/2006/relationships/footer" Target="footer33.xml" /><Relationship Id="rId59" Type="http://schemas.openxmlformats.org/officeDocument/2006/relationships/header" Target="header21.xml" /><Relationship Id="rId6" Type="http://schemas.openxmlformats.org/officeDocument/2006/relationships/header" Target="header1.xml" /><Relationship Id="rId60" Type="http://schemas.openxmlformats.org/officeDocument/2006/relationships/footer" Target="footer34.xml" /><Relationship Id="rId61" Type="http://schemas.openxmlformats.org/officeDocument/2006/relationships/footer" Target="footer35.xml" /><Relationship Id="rId62" Type="http://schemas.openxmlformats.org/officeDocument/2006/relationships/header" Target="header22.xml" /><Relationship Id="rId63" Type="http://schemas.openxmlformats.org/officeDocument/2006/relationships/footer" Target="footer36.xml" /><Relationship Id="rId64" Type="http://schemas.openxmlformats.org/officeDocument/2006/relationships/header" Target="header23.xml" /><Relationship Id="rId65" Type="http://schemas.openxmlformats.org/officeDocument/2006/relationships/footer" Target="footer37.xml" /><Relationship Id="rId66" Type="http://schemas.openxmlformats.org/officeDocument/2006/relationships/footer" Target="footer38.xml" /><Relationship Id="rId67" Type="http://schemas.openxmlformats.org/officeDocument/2006/relationships/header" Target="header24.xml" /><Relationship Id="rId68" Type="http://schemas.openxmlformats.org/officeDocument/2006/relationships/footer" Target="footer39.xml" /><Relationship Id="rId69" Type="http://schemas.openxmlformats.org/officeDocument/2006/relationships/hyperlink" Target="https://d.book118.com/028074131036006043" TargetMode="External" /><Relationship Id="rId7" Type="http://schemas.openxmlformats.org/officeDocument/2006/relationships/footer" Target="footer1.xml" /><Relationship Id="rId70" Type="http://schemas.openxmlformats.org/officeDocument/2006/relationships/header" Target="header25.xml" /><Relationship Id="rId71" Type="http://schemas.openxmlformats.org/officeDocument/2006/relationships/footer" Target="footer40.xml" /><Relationship Id="rId72" Type="http://schemas.openxmlformats.org/officeDocument/2006/relationships/footer" Target="footer41.xml" /><Relationship Id="rId73" Type="http://schemas.openxmlformats.org/officeDocument/2006/relationships/header" Target="header26.xml" /><Relationship Id="rId74" Type="http://schemas.openxmlformats.org/officeDocument/2006/relationships/footer" Target="footer42.xml" /><Relationship Id="rId75" Type="http://schemas.microsoft.com/office/2006/relationships/keyMapCustomizations" Target="customizations.xml" /><Relationship Id="rId76" Type="http://schemas.openxmlformats.org/officeDocument/2006/relationships/theme" Target="theme/theme1.xml" /><Relationship Id="rId77" Type="http://schemas.openxmlformats.org/officeDocument/2006/relationships/numbering" Target="numbering.xml" /><Relationship Id="rId78" Type="http://schemas.openxmlformats.org/officeDocument/2006/relationships/styles" Target="styles.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8A8509-34BD-4765-942A-DA1DAB735426}">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10408</Words>
  <Characters>12162</Characters>
  <Application>Microsoft Office Word</Application>
  <DocSecurity>0</DocSecurity>
  <Lines>90</Lines>
  <Paragraphs>25</Paragraphs>
  <ScaleCrop>false</ScaleCrop>
  <Company/>
  <LinksUpToDate>false</LinksUpToDate>
  <CharactersWithSpaces>13599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罗芳</cp:lastModifiedBy>
  <cp:revision>20</cp:revision>
  <dcterms:created xsi:type="dcterms:W3CDTF">2021-04-10T13:57:00Z</dcterms:created>
  <dcterms:modified xsi:type="dcterms:W3CDTF">2023-02-07T05:58:58Z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FFD6DC9C21B34A47B8210D7AA47D5BE6</vt:lpwstr>
  </property>
  <property fmtid="{D5CDD505-2E9C-101B-9397-08002B2CF9AE}" pid="3" name="KSOProductBuildVer">
    <vt:lpwstr>2052-11.1.0.13703</vt:lpwstr>
  </property>
</Properties>
</file>