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汽、柴油深度加氢催化剂项目规划设计方案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114" w:history="1">
        <w:r>
          <w:rPr>
            <w:rFonts w:ascii="仿宋" w:eastAsia="仿宋" w:hAnsi="仿宋" w:cs="仿宋" w:hint="eastAsia"/>
            <w:lang w:eastAsia="zh-CN"/>
          </w:rPr>
          <w:t>前言</w:t>
        </w:r>
        <w:r>
          <w:tab/>
        </w:r>
        <w:r>
          <w:fldChar w:fldCharType="begin"/>
        </w:r>
        <w:r>
          <w:instrText xml:space="preserve"> PAGEREF _Toc25114 \h </w:instrText>
        </w:r>
        <w:r>
          <w:fldChar w:fldCharType="separate"/>
        </w:r>
        <w:r>
          <w:t>3</w:t>
        </w:r>
        <w:r>
          <w:fldChar w:fldCharType="end"/>
        </w:r>
      </w:hyperlink>
    </w:p>
    <w:p>
      <w:pPr>
        <w:pStyle w:val="TOC1"/>
        <w:tabs>
          <w:tab w:val="right" w:leader="dot" w:pos="8306"/>
        </w:tabs>
      </w:pPr>
      <w:hyperlink w:anchor="_Toc2278" w:history="1">
        <w:r>
          <w:rPr>
            <w:rFonts w:ascii="仿宋" w:eastAsia="仿宋" w:hAnsi="仿宋" w:cs="仿宋" w:hint="eastAsia"/>
            <w:lang w:eastAsia="zh-CN"/>
          </w:rPr>
          <w:t>一、汽、柴油深度加氢催化剂项目建设单位说明</w:t>
        </w:r>
        <w:r>
          <w:tab/>
        </w:r>
        <w:r>
          <w:fldChar w:fldCharType="begin"/>
        </w:r>
        <w:r>
          <w:instrText xml:space="preserve"> PAGEREF _Toc2278 \h </w:instrText>
        </w:r>
        <w:r>
          <w:fldChar w:fldCharType="separate"/>
        </w:r>
        <w:r>
          <w:t>3</w:t>
        </w:r>
        <w:r>
          <w:fldChar w:fldCharType="end"/>
        </w:r>
      </w:hyperlink>
    </w:p>
    <w:p>
      <w:pPr>
        <w:pStyle w:val="TOC2"/>
        <w:tabs>
          <w:tab w:val="right" w:leader="dot" w:pos="8306"/>
        </w:tabs>
      </w:pPr>
      <w:hyperlink w:anchor="_Toc16022" w:history="1">
        <w:r>
          <w:rPr>
            <w:rFonts w:ascii="仿宋" w:eastAsia="仿宋" w:hAnsi="仿宋" w:cs="仿宋" w:hint="eastAsia"/>
            <w:lang w:eastAsia="zh-CN"/>
          </w:rPr>
          <w:t>(一)、汽、柴油深度加氢催化剂项目承办单位基本情况</w:t>
        </w:r>
        <w:r>
          <w:tab/>
        </w:r>
        <w:r>
          <w:fldChar w:fldCharType="begin"/>
        </w:r>
        <w:r>
          <w:instrText xml:space="preserve"> PAGEREF _Toc16022 \h </w:instrText>
        </w:r>
        <w:r>
          <w:fldChar w:fldCharType="separate"/>
        </w:r>
        <w:r>
          <w:t>3</w:t>
        </w:r>
        <w:r>
          <w:fldChar w:fldCharType="end"/>
        </w:r>
      </w:hyperlink>
    </w:p>
    <w:p>
      <w:pPr>
        <w:pStyle w:val="TOC2"/>
        <w:tabs>
          <w:tab w:val="right" w:leader="dot" w:pos="8306"/>
        </w:tabs>
      </w:pPr>
      <w:hyperlink w:anchor="_Toc27134" w:history="1">
        <w:r>
          <w:rPr>
            <w:rFonts w:ascii="仿宋" w:eastAsia="仿宋" w:hAnsi="仿宋" w:cs="仿宋" w:hint="eastAsia"/>
            <w:lang w:eastAsia="zh-CN"/>
          </w:rPr>
          <w:t>(二)、公司经济效益分析</w:t>
        </w:r>
        <w:r>
          <w:tab/>
        </w:r>
        <w:r>
          <w:fldChar w:fldCharType="begin"/>
        </w:r>
        <w:r>
          <w:instrText xml:space="preserve"> PAGEREF _Toc27134 \h </w:instrText>
        </w:r>
        <w:r>
          <w:fldChar w:fldCharType="separate"/>
        </w:r>
        <w:r>
          <w:t>4</w:t>
        </w:r>
        <w:r>
          <w:fldChar w:fldCharType="end"/>
        </w:r>
      </w:hyperlink>
    </w:p>
    <w:p>
      <w:pPr>
        <w:pStyle w:val="TOC1"/>
        <w:tabs>
          <w:tab w:val="right" w:leader="dot" w:pos="8306"/>
        </w:tabs>
      </w:pPr>
      <w:hyperlink w:anchor="_Toc25169" w:history="1">
        <w:r>
          <w:rPr>
            <w:rFonts w:ascii="仿宋" w:eastAsia="仿宋" w:hAnsi="仿宋" w:cs="仿宋" w:hint="eastAsia"/>
            <w:lang w:eastAsia="zh-CN"/>
          </w:rPr>
          <w:t>二、汽、柴油深度加氢催化剂项目危机管理</w:t>
        </w:r>
        <w:r>
          <w:tab/>
        </w:r>
        <w:r>
          <w:fldChar w:fldCharType="begin"/>
        </w:r>
        <w:r>
          <w:instrText xml:space="preserve"> PAGEREF _Toc25169 \h </w:instrText>
        </w:r>
        <w:r>
          <w:fldChar w:fldCharType="separate"/>
        </w:r>
        <w:r>
          <w:t>5</w:t>
        </w:r>
        <w:r>
          <w:fldChar w:fldCharType="end"/>
        </w:r>
      </w:hyperlink>
    </w:p>
    <w:p>
      <w:pPr>
        <w:pStyle w:val="TOC2"/>
        <w:tabs>
          <w:tab w:val="right" w:leader="dot" w:pos="8306"/>
        </w:tabs>
      </w:pPr>
      <w:hyperlink w:anchor="_Toc10728" w:history="1">
        <w:r>
          <w:rPr>
            <w:rFonts w:ascii="仿宋" w:eastAsia="仿宋" w:hAnsi="仿宋" w:cs="仿宋" w:hint="eastAsia"/>
            <w:lang w:eastAsia="zh-CN"/>
          </w:rPr>
          <w:t>(一)、危机预警与识别</w:t>
        </w:r>
        <w:r>
          <w:tab/>
        </w:r>
        <w:r>
          <w:fldChar w:fldCharType="begin"/>
        </w:r>
        <w:r>
          <w:instrText xml:space="preserve"> PAGEREF _Toc10728 \h </w:instrText>
        </w:r>
        <w:r>
          <w:fldChar w:fldCharType="separate"/>
        </w:r>
        <w:r>
          <w:t>5</w:t>
        </w:r>
        <w:r>
          <w:fldChar w:fldCharType="end"/>
        </w:r>
      </w:hyperlink>
    </w:p>
    <w:p>
      <w:pPr>
        <w:pStyle w:val="TOC2"/>
        <w:tabs>
          <w:tab w:val="right" w:leader="dot" w:pos="8306"/>
        </w:tabs>
      </w:pPr>
      <w:hyperlink w:anchor="_Toc8415" w:history="1">
        <w:r>
          <w:rPr>
            <w:rFonts w:ascii="仿宋" w:eastAsia="仿宋" w:hAnsi="仿宋" w:cs="仿宋" w:hint="eastAsia"/>
            <w:lang w:eastAsia="zh-CN"/>
          </w:rPr>
          <w:t>(二)、危机应对与恢复</w:t>
        </w:r>
        <w:r>
          <w:tab/>
        </w:r>
        <w:r>
          <w:fldChar w:fldCharType="begin"/>
        </w:r>
        <w:r>
          <w:instrText xml:space="preserve"> PAGEREF _Toc8415 \h </w:instrText>
        </w:r>
        <w:r>
          <w:fldChar w:fldCharType="separate"/>
        </w:r>
        <w:r>
          <w:t>6</w:t>
        </w:r>
        <w:r>
          <w:fldChar w:fldCharType="end"/>
        </w:r>
      </w:hyperlink>
    </w:p>
    <w:p>
      <w:pPr>
        <w:pStyle w:val="TOC1"/>
        <w:tabs>
          <w:tab w:val="right" w:leader="dot" w:pos="8306"/>
        </w:tabs>
      </w:pPr>
      <w:hyperlink w:anchor="_Toc29811" w:history="1">
        <w:r>
          <w:rPr>
            <w:rFonts w:ascii="仿宋" w:eastAsia="仿宋" w:hAnsi="仿宋" w:cs="仿宋" w:hint="eastAsia"/>
            <w:lang w:eastAsia="zh-CN"/>
          </w:rPr>
          <w:t>三、汽、柴油深度加氢催化剂项目可持续发展</w:t>
        </w:r>
        <w:r>
          <w:tab/>
        </w:r>
        <w:r>
          <w:fldChar w:fldCharType="begin"/>
        </w:r>
        <w:r>
          <w:instrText xml:space="preserve"> PAGEREF _Toc29811 \h </w:instrText>
        </w:r>
        <w:r>
          <w:fldChar w:fldCharType="separate"/>
        </w:r>
        <w:r>
          <w:t>7</w:t>
        </w:r>
        <w:r>
          <w:fldChar w:fldCharType="end"/>
        </w:r>
      </w:hyperlink>
    </w:p>
    <w:p>
      <w:pPr>
        <w:pStyle w:val="TOC2"/>
        <w:tabs>
          <w:tab w:val="right" w:leader="dot" w:pos="8306"/>
        </w:tabs>
      </w:pPr>
      <w:hyperlink w:anchor="_Toc11066" w:history="1">
        <w:r>
          <w:rPr>
            <w:rFonts w:ascii="仿宋" w:eastAsia="仿宋" w:hAnsi="仿宋" w:cs="仿宋" w:hint="eastAsia"/>
            <w:lang w:eastAsia="zh-CN"/>
          </w:rPr>
          <w:t>(一)、可持续战略与实践</w:t>
        </w:r>
        <w:r>
          <w:tab/>
        </w:r>
        <w:r>
          <w:fldChar w:fldCharType="begin"/>
        </w:r>
        <w:r>
          <w:instrText xml:space="preserve"> PAGEREF _Toc11066 \h </w:instrText>
        </w:r>
        <w:r>
          <w:fldChar w:fldCharType="separate"/>
        </w:r>
        <w:r>
          <w:t>7</w:t>
        </w:r>
        <w:r>
          <w:fldChar w:fldCharType="end"/>
        </w:r>
      </w:hyperlink>
    </w:p>
    <w:p>
      <w:pPr>
        <w:pStyle w:val="TOC2"/>
        <w:tabs>
          <w:tab w:val="right" w:leader="dot" w:pos="8306"/>
        </w:tabs>
      </w:pPr>
      <w:hyperlink w:anchor="_Toc8590" w:history="1">
        <w:r>
          <w:rPr>
            <w:rFonts w:ascii="仿宋" w:eastAsia="仿宋" w:hAnsi="仿宋" w:cs="仿宋" w:hint="eastAsia"/>
            <w:lang w:eastAsia="zh-CN"/>
          </w:rPr>
          <w:t>(二)、环保与社会责任</w:t>
        </w:r>
        <w:r>
          <w:tab/>
        </w:r>
        <w:r>
          <w:fldChar w:fldCharType="begin"/>
        </w:r>
        <w:r>
          <w:instrText xml:space="preserve"> PAGEREF _Toc8590 \h </w:instrText>
        </w:r>
        <w:r>
          <w:fldChar w:fldCharType="separate"/>
        </w:r>
        <w:r>
          <w:t>8</w:t>
        </w:r>
        <w:r>
          <w:fldChar w:fldCharType="end"/>
        </w:r>
      </w:hyperlink>
    </w:p>
    <w:p>
      <w:pPr>
        <w:pStyle w:val="TOC1"/>
        <w:tabs>
          <w:tab w:val="right" w:leader="dot" w:pos="8306"/>
        </w:tabs>
      </w:pPr>
      <w:hyperlink w:anchor="_Toc8454" w:history="1">
        <w:r>
          <w:rPr>
            <w:rFonts w:ascii="仿宋" w:eastAsia="仿宋" w:hAnsi="仿宋" w:cs="仿宋" w:hint="eastAsia"/>
            <w:lang w:eastAsia="zh-CN"/>
          </w:rPr>
          <w:t>四、汽、柴油深度加氢催化剂项目选址可行性分析</w:t>
        </w:r>
        <w:r>
          <w:tab/>
        </w:r>
        <w:r>
          <w:fldChar w:fldCharType="begin"/>
        </w:r>
        <w:r>
          <w:instrText xml:space="preserve"> PAGEREF _Toc8454 \h </w:instrText>
        </w:r>
        <w:r>
          <w:fldChar w:fldCharType="separate"/>
        </w:r>
        <w:r>
          <w:t>9</w:t>
        </w:r>
        <w:r>
          <w:fldChar w:fldCharType="end"/>
        </w:r>
      </w:hyperlink>
    </w:p>
    <w:p>
      <w:pPr>
        <w:pStyle w:val="TOC2"/>
        <w:tabs>
          <w:tab w:val="right" w:leader="dot" w:pos="8306"/>
        </w:tabs>
      </w:pPr>
      <w:hyperlink w:anchor="_Toc9205" w:history="1">
        <w:r>
          <w:rPr>
            <w:rFonts w:ascii="仿宋" w:eastAsia="仿宋" w:hAnsi="仿宋" w:cs="仿宋" w:hint="eastAsia"/>
            <w:lang w:eastAsia="zh-CN"/>
          </w:rPr>
          <w:t>(一)、汽、柴油深度加氢催化剂项目选址</w:t>
        </w:r>
        <w:r>
          <w:tab/>
        </w:r>
        <w:r>
          <w:fldChar w:fldCharType="begin"/>
        </w:r>
        <w:r>
          <w:instrText xml:space="preserve"> PAGEREF _Toc9205 \h </w:instrText>
        </w:r>
        <w:r>
          <w:fldChar w:fldCharType="separate"/>
        </w:r>
        <w:r>
          <w:t>9</w:t>
        </w:r>
        <w:r>
          <w:fldChar w:fldCharType="end"/>
        </w:r>
      </w:hyperlink>
    </w:p>
    <w:p>
      <w:pPr>
        <w:pStyle w:val="TOC2"/>
        <w:tabs>
          <w:tab w:val="right" w:leader="dot" w:pos="8306"/>
        </w:tabs>
      </w:pPr>
      <w:hyperlink w:anchor="_Toc23823" w:history="1">
        <w:r>
          <w:rPr>
            <w:rFonts w:ascii="仿宋" w:eastAsia="仿宋" w:hAnsi="仿宋" w:cs="仿宋" w:hint="eastAsia"/>
            <w:lang w:eastAsia="zh-CN"/>
          </w:rPr>
          <w:t>(二)、用地控制指标</w:t>
        </w:r>
        <w:r>
          <w:tab/>
        </w:r>
        <w:r>
          <w:fldChar w:fldCharType="begin"/>
        </w:r>
        <w:r>
          <w:instrText xml:space="preserve"> PAGEREF _Toc23823 \h </w:instrText>
        </w:r>
        <w:r>
          <w:fldChar w:fldCharType="separate"/>
        </w:r>
        <w:r>
          <w:t>9</w:t>
        </w:r>
        <w:r>
          <w:fldChar w:fldCharType="end"/>
        </w:r>
      </w:hyperlink>
    </w:p>
    <w:p>
      <w:pPr>
        <w:pStyle w:val="TOC2"/>
        <w:tabs>
          <w:tab w:val="right" w:leader="dot" w:pos="8306"/>
        </w:tabs>
      </w:pPr>
      <w:hyperlink w:anchor="_Toc23105" w:history="1">
        <w:r>
          <w:rPr>
            <w:rFonts w:ascii="仿宋" w:eastAsia="仿宋" w:hAnsi="仿宋" w:cs="仿宋" w:hint="eastAsia"/>
            <w:lang w:eastAsia="zh-CN"/>
          </w:rPr>
          <w:t>(三)、节约用地措施</w:t>
        </w:r>
        <w:r>
          <w:tab/>
        </w:r>
        <w:r>
          <w:fldChar w:fldCharType="begin"/>
        </w:r>
        <w:r>
          <w:instrText xml:space="preserve"> PAGEREF _Toc23105 \h </w:instrText>
        </w:r>
        <w:r>
          <w:fldChar w:fldCharType="separate"/>
        </w:r>
        <w:r>
          <w:t>11</w:t>
        </w:r>
        <w:r>
          <w:fldChar w:fldCharType="end"/>
        </w:r>
      </w:hyperlink>
    </w:p>
    <w:p>
      <w:pPr>
        <w:pStyle w:val="TOC2"/>
        <w:tabs>
          <w:tab w:val="right" w:leader="dot" w:pos="8306"/>
        </w:tabs>
      </w:pPr>
      <w:hyperlink w:anchor="_Toc24222" w:history="1">
        <w:r>
          <w:rPr>
            <w:rFonts w:ascii="仿宋" w:eastAsia="仿宋" w:hAnsi="仿宋" w:cs="仿宋" w:hint="eastAsia"/>
            <w:lang w:eastAsia="zh-CN"/>
          </w:rPr>
          <w:t>(四)、总图布置方案</w:t>
        </w:r>
        <w:r>
          <w:tab/>
        </w:r>
        <w:r>
          <w:fldChar w:fldCharType="begin"/>
        </w:r>
        <w:r>
          <w:instrText xml:space="preserve"> PAGEREF _Toc24222 \h </w:instrText>
        </w:r>
        <w:r>
          <w:fldChar w:fldCharType="separate"/>
        </w:r>
        <w:r>
          <w:t>13</w:t>
        </w:r>
        <w:r>
          <w:fldChar w:fldCharType="end"/>
        </w:r>
      </w:hyperlink>
    </w:p>
    <w:p>
      <w:pPr>
        <w:pStyle w:val="TOC2"/>
        <w:tabs>
          <w:tab w:val="right" w:leader="dot" w:pos="8306"/>
        </w:tabs>
      </w:pPr>
      <w:hyperlink w:anchor="_Toc15705" w:history="1">
        <w:r>
          <w:rPr>
            <w:rFonts w:ascii="仿宋" w:eastAsia="仿宋" w:hAnsi="仿宋" w:cs="仿宋" w:hint="eastAsia"/>
            <w:lang w:eastAsia="zh-CN"/>
          </w:rPr>
          <w:t>(五)、选址综合评价</w:t>
        </w:r>
        <w:r>
          <w:tab/>
        </w:r>
        <w:r>
          <w:fldChar w:fldCharType="begin"/>
        </w:r>
        <w:r>
          <w:instrText xml:space="preserve"> PAGEREF _Toc15705 \h </w:instrText>
        </w:r>
        <w:r>
          <w:fldChar w:fldCharType="separate"/>
        </w:r>
        <w:r>
          <w:t>14</w:t>
        </w:r>
        <w:r>
          <w:fldChar w:fldCharType="end"/>
        </w:r>
      </w:hyperlink>
    </w:p>
    <w:p>
      <w:pPr>
        <w:pStyle w:val="TOC1"/>
        <w:tabs>
          <w:tab w:val="right" w:leader="dot" w:pos="8306"/>
        </w:tabs>
      </w:pPr>
      <w:hyperlink w:anchor="_Toc32414" w:history="1">
        <w:r>
          <w:rPr>
            <w:rFonts w:ascii="仿宋" w:eastAsia="仿宋" w:hAnsi="仿宋" w:cs="仿宋" w:hint="eastAsia"/>
            <w:lang w:eastAsia="zh-CN"/>
          </w:rPr>
          <w:t>五、市场分析、调研</w:t>
        </w:r>
        <w:r>
          <w:tab/>
        </w:r>
        <w:r>
          <w:fldChar w:fldCharType="begin"/>
        </w:r>
        <w:r>
          <w:instrText xml:space="preserve"> PAGEREF _Toc32414 \h </w:instrText>
        </w:r>
        <w:r>
          <w:fldChar w:fldCharType="separate"/>
        </w:r>
        <w:r>
          <w:t>15</w:t>
        </w:r>
        <w:r>
          <w:fldChar w:fldCharType="end"/>
        </w:r>
      </w:hyperlink>
    </w:p>
    <w:p>
      <w:pPr>
        <w:pStyle w:val="TOC2"/>
        <w:tabs>
          <w:tab w:val="right" w:leader="dot" w:pos="8306"/>
        </w:tabs>
      </w:pPr>
      <w:hyperlink w:anchor="_Toc32671" w:history="1">
        <w:r>
          <w:rPr>
            <w:rFonts w:ascii="仿宋" w:eastAsia="仿宋" w:hAnsi="仿宋" w:cs="仿宋" w:hint="eastAsia"/>
            <w:lang w:eastAsia="zh-CN"/>
          </w:rPr>
          <w:t>(一)、汽、柴油深度加氢催化剂行业分析</w:t>
        </w:r>
        <w:r>
          <w:tab/>
        </w:r>
        <w:r>
          <w:fldChar w:fldCharType="begin"/>
        </w:r>
        <w:r>
          <w:instrText xml:space="preserve"> PAGEREF _Toc32671 \h </w:instrText>
        </w:r>
        <w:r>
          <w:fldChar w:fldCharType="separate"/>
        </w:r>
        <w:r>
          <w:t>15</w:t>
        </w:r>
        <w:r>
          <w:fldChar w:fldCharType="end"/>
        </w:r>
      </w:hyperlink>
    </w:p>
    <w:p>
      <w:pPr>
        <w:pStyle w:val="TOC2"/>
        <w:tabs>
          <w:tab w:val="right" w:leader="dot" w:pos="8306"/>
        </w:tabs>
      </w:pPr>
      <w:hyperlink w:anchor="_Toc22174" w:history="1">
        <w:r>
          <w:rPr>
            <w:rFonts w:ascii="仿宋" w:eastAsia="仿宋" w:hAnsi="仿宋" w:cs="仿宋" w:hint="eastAsia"/>
            <w:lang w:eastAsia="zh-CN"/>
          </w:rPr>
          <w:t>(二)、汽、柴油深度加氢催化剂市场分析预测</w:t>
        </w:r>
        <w:r>
          <w:tab/>
        </w:r>
        <w:r>
          <w:fldChar w:fldCharType="begin"/>
        </w:r>
        <w:r>
          <w:instrText xml:space="preserve"> PAGEREF _Toc22174 \h </w:instrText>
        </w:r>
        <w:r>
          <w:fldChar w:fldCharType="separate"/>
        </w:r>
        <w:r>
          <w:t>16</w:t>
        </w:r>
        <w:r>
          <w:fldChar w:fldCharType="end"/>
        </w:r>
      </w:hyperlink>
    </w:p>
    <w:p>
      <w:pPr>
        <w:pStyle w:val="TOC1"/>
        <w:tabs>
          <w:tab w:val="right" w:leader="dot" w:pos="8306"/>
        </w:tabs>
      </w:pPr>
      <w:hyperlink w:anchor="_Toc2635" w:history="1">
        <w:r>
          <w:rPr>
            <w:rFonts w:ascii="仿宋" w:eastAsia="仿宋" w:hAnsi="仿宋" w:cs="仿宋" w:hint="eastAsia"/>
            <w:lang w:eastAsia="zh-CN"/>
          </w:rPr>
          <w:t>六、汽、柴油深度加氢催化剂项目绩效评估</w:t>
        </w:r>
        <w:r>
          <w:tab/>
        </w:r>
        <w:r>
          <w:fldChar w:fldCharType="begin"/>
        </w:r>
        <w:r>
          <w:instrText xml:space="preserve"> PAGEREF _Toc2635 \h </w:instrText>
        </w:r>
        <w:r>
          <w:fldChar w:fldCharType="separate"/>
        </w:r>
        <w:r>
          <w:t>17</w:t>
        </w:r>
        <w:r>
          <w:fldChar w:fldCharType="end"/>
        </w:r>
      </w:hyperlink>
    </w:p>
    <w:p>
      <w:pPr>
        <w:pStyle w:val="TOC2"/>
        <w:tabs>
          <w:tab w:val="right" w:leader="dot" w:pos="8306"/>
        </w:tabs>
      </w:pPr>
      <w:hyperlink w:anchor="_Toc12599" w:history="1">
        <w:r>
          <w:rPr>
            <w:rFonts w:ascii="仿宋" w:eastAsia="仿宋" w:hAnsi="仿宋" w:cs="仿宋" w:hint="eastAsia"/>
            <w:lang w:eastAsia="zh-CN"/>
          </w:rPr>
          <w:t>(一)、绩效评估指标</w:t>
        </w:r>
        <w:r>
          <w:tab/>
        </w:r>
        <w:r>
          <w:fldChar w:fldCharType="begin"/>
        </w:r>
        <w:r>
          <w:instrText xml:space="preserve"> PAGEREF _Toc12599 \h </w:instrText>
        </w:r>
        <w:r>
          <w:fldChar w:fldCharType="separate"/>
        </w:r>
        <w:r>
          <w:t>17</w:t>
        </w:r>
        <w:r>
          <w:fldChar w:fldCharType="end"/>
        </w:r>
      </w:hyperlink>
    </w:p>
    <w:p>
      <w:pPr>
        <w:pStyle w:val="TOC2"/>
        <w:tabs>
          <w:tab w:val="right" w:leader="dot" w:pos="8306"/>
        </w:tabs>
      </w:pPr>
      <w:hyperlink w:anchor="_Toc29390" w:history="1">
        <w:r>
          <w:rPr>
            <w:rFonts w:ascii="仿宋" w:eastAsia="仿宋" w:hAnsi="仿宋" w:cs="仿宋" w:hint="eastAsia"/>
            <w:lang w:eastAsia="zh-CN"/>
          </w:rPr>
          <w:t>(二)、绩效评估方法</w:t>
        </w:r>
        <w:r>
          <w:tab/>
        </w:r>
        <w:r>
          <w:fldChar w:fldCharType="begin"/>
        </w:r>
        <w:r>
          <w:instrText xml:space="preserve"> PAGEREF _Toc29390 \h </w:instrText>
        </w:r>
        <w:r>
          <w:fldChar w:fldCharType="separate"/>
        </w:r>
        <w:r>
          <w:t>18</w:t>
        </w:r>
        <w:r>
          <w:fldChar w:fldCharType="end"/>
        </w:r>
      </w:hyperlink>
    </w:p>
    <w:p>
      <w:pPr>
        <w:pStyle w:val="TOC2"/>
        <w:tabs>
          <w:tab w:val="right" w:leader="dot" w:pos="8306"/>
        </w:tabs>
      </w:pPr>
      <w:hyperlink w:anchor="_Toc22116" w:history="1">
        <w:r>
          <w:rPr>
            <w:rFonts w:ascii="仿宋" w:eastAsia="仿宋" w:hAnsi="仿宋" w:cs="仿宋" w:hint="eastAsia"/>
            <w:lang w:eastAsia="zh-CN"/>
          </w:rPr>
          <w:t>(三)、绩效评估周期</w:t>
        </w:r>
        <w:r>
          <w:tab/>
        </w:r>
        <w:r>
          <w:fldChar w:fldCharType="begin"/>
        </w:r>
        <w:r>
          <w:instrText xml:space="preserve"> PAGEREF _Toc22116 \h </w:instrText>
        </w:r>
        <w:r>
          <w:fldChar w:fldCharType="separate"/>
        </w:r>
        <w:r>
          <w:t>19</w:t>
        </w:r>
        <w:r>
          <w:fldChar w:fldCharType="end"/>
        </w:r>
      </w:hyperlink>
    </w:p>
    <w:p>
      <w:pPr>
        <w:pStyle w:val="TOC1"/>
        <w:tabs>
          <w:tab w:val="right" w:leader="dot" w:pos="8306"/>
        </w:tabs>
      </w:pPr>
      <w:hyperlink w:anchor="_Toc4159" w:history="1">
        <w:r>
          <w:rPr>
            <w:rFonts w:ascii="仿宋" w:eastAsia="仿宋" w:hAnsi="仿宋" w:cs="仿宋" w:hint="eastAsia"/>
            <w:lang w:eastAsia="zh-CN"/>
          </w:rPr>
          <w:t>七、汽、柴油深度加氢催化剂项目技术管理</w:t>
        </w:r>
        <w:r>
          <w:tab/>
        </w:r>
        <w:r>
          <w:fldChar w:fldCharType="begin"/>
        </w:r>
        <w:r>
          <w:instrText xml:space="preserve"> PAGEREF _Toc4159 \h </w:instrText>
        </w:r>
        <w:r>
          <w:fldChar w:fldCharType="separate"/>
        </w:r>
        <w:r>
          <w:t>20</w:t>
        </w:r>
        <w:r>
          <w:fldChar w:fldCharType="end"/>
        </w:r>
      </w:hyperlink>
    </w:p>
    <w:p>
      <w:pPr>
        <w:pStyle w:val="TOC2"/>
        <w:tabs>
          <w:tab w:val="right" w:leader="dot" w:pos="8306"/>
        </w:tabs>
      </w:pPr>
      <w:hyperlink w:anchor="_Toc23496" w:history="1">
        <w:r>
          <w:rPr>
            <w:rFonts w:ascii="仿宋" w:eastAsia="仿宋" w:hAnsi="仿宋" w:cs="仿宋" w:hint="eastAsia"/>
            <w:lang w:eastAsia="zh-CN"/>
          </w:rPr>
          <w:t>(一)、技术方案选用方向</w:t>
        </w:r>
        <w:r>
          <w:tab/>
        </w:r>
        <w:r>
          <w:fldChar w:fldCharType="begin"/>
        </w:r>
        <w:r>
          <w:instrText xml:space="preserve"> PAGEREF _Toc23496 \h </w:instrText>
        </w:r>
        <w:r>
          <w:fldChar w:fldCharType="separate"/>
        </w:r>
        <w:r>
          <w:t>20</w:t>
        </w:r>
        <w:r>
          <w:fldChar w:fldCharType="end"/>
        </w:r>
      </w:hyperlink>
    </w:p>
    <w:p>
      <w:pPr>
        <w:pStyle w:val="TOC2"/>
        <w:tabs>
          <w:tab w:val="right" w:leader="dot" w:pos="8306"/>
        </w:tabs>
      </w:pPr>
      <w:hyperlink w:anchor="_Toc22800" w:history="1">
        <w:r>
          <w:rPr>
            <w:rFonts w:ascii="仿宋" w:eastAsia="仿宋" w:hAnsi="仿宋" w:cs="仿宋" w:hint="eastAsia"/>
            <w:lang w:eastAsia="zh-CN"/>
          </w:rPr>
          <w:t>(二)、工艺技术方案选用原则</w:t>
        </w:r>
        <w:r>
          <w:tab/>
        </w:r>
        <w:r>
          <w:fldChar w:fldCharType="begin"/>
        </w:r>
        <w:r>
          <w:instrText xml:space="preserve"> PAGEREF _Toc22800 \h </w:instrText>
        </w:r>
        <w:r>
          <w:fldChar w:fldCharType="separate"/>
        </w:r>
        <w:r>
          <w:t>22</w:t>
        </w:r>
        <w:r>
          <w:fldChar w:fldCharType="end"/>
        </w:r>
      </w:hyperlink>
    </w:p>
    <w:p>
      <w:pPr>
        <w:pStyle w:val="TOC2"/>
        <w:tabs>
          <w:tab w:val="right" w:leader="dot" w:pos="8306"/>
        </w:tabs>
      </w:pPr>
      <w:hyperlink w:anchor="_Toc8186" w:history="1">
        <w:r>
          <w:rPr>
            <w:rFonts w:ascii="仿宋" w:eastAsia="仿宋" w:hAnsi="仿宋" w:cs="仿宋" w:hint="eastAsia"/>
            <w:lang w:eastAsia="zh-CN"/>
          </w:rPr>
          <w:t>(三)、工艺技术方案要求</w:t>
        </w:r>
        <w:r>
          <w:tab/>
        </w:r>
        <w:r>
          <w:fldChar w:fldCharType="begin"/>
        </w:r>
        <w:r>
          <w:instrText xml:space="preserve"> PAGEREF _Toc8186 \h </w:instrText>
        </w:r>
        <w:r>
          <w:fldChar w:fldCharType="separate"/>
        </w:r>
        <w:r>
          <w:t>24</w:t>
        </w:r>
        <w:r>
          <w:fldChar w:fldCharType="end"/>
        </w:r>
      </w:hyperlink>
    </w:p>
    <w:p>
      <w:pPr>
        <w:pStyle w:val="TOC1"/>
        <w:tabs>
          <w:tab w:val="right" w:leader="dot" w:pos="8306"/>
        </w:tabs>
      </w:pPr>
      <w:hyperlink w:anchor="_Toc13226" w:history="1">
        <w:r>
          <w:rPr>
            <w:rFonts w:ascii="仿宋" w:eastAsia="仿宋" w:hAnsi="仿宋" w:cs="仿宋" w:hint="eastAsia"/>
            <w:lang w:eastAsia="zh-CN"/>
          </w:rPr>
          <w:t>八、生产安全保护</w:t>
        </w:r>
        <w:r>
          <w:tab/>
        </w:r>
        <w:r>
          <w:fldChar w:fldCharType="begin"/>
        </w:r>
        <w:r>
          <w:instrText xml:space="preserve"> PAGEREF _Toc13226 \h </w:instrText>
        </w:r>
        <w:r>
          <w:fldChar w:fldCharType="separate"/>
        </w:r>
        <w:r>
          <w:t>27</w:t>
        </w:r>
        <w:r>
          <w:fldChar w:fldCharType="end"/>
        </w:r>
      </w:hyperlink>
    </w:p>
    <w:p>
      <w:pPr>
        <w:pStyle w:val="TOC2"/>
        <w:tabs>
          <w:tab w:val="right" w:leader="dot" w:pos="8306"/>
        </w:tabs>
      </w:pPr>
      <w:hyperlink w:anchor="_Toc4423" w:history="1">
        <w:r>
          <w:rPr>
            <w:rFonts w:ascii="仿宋" w:eastAsia="仿宋" w:hAnsi="仿宋" w:cs="仿宋" w:hint="eastAsia"/>
            <w:lang w:eastAsia="zh-CN"/>
          </w:rPr>
          <w:t>(一)、消防安全</w:t>
        </w:r>
        <w:r>
          <w:tab/>
        </w:r>
        <w:r>
          <w:fldChar w:fldCharType="begin"/>
        </w:r>
        <w:r>
          <w:instrText xml:space="preserve"> PAGEREF _Toc4423 \h </w:instrText>
        </w:r>
        <w:r>
          <w:fldChar w:fldCharType="separate"/>
        </w:r>
        <w:r>
          <w:t>27</w:t>
        </w:r>
        <w:r>
          <w:fldChar w:fldCharType="end"/>
        </w:r>
      </w:hyperlink>
    </w:p>
    <w:p>
      <w:pPr>
        <w:pStyle w:val="TOC2"/>
        <w:tabs>
          <w:tab w:val="right" w:leader="dot" w:pos="8306"/>
        </w:tabs>
      </w:pPr>
      <w:hyperlink w:anchor="_Toc30872" w:history="1">
        <w:r>
          <w:rPr>
            <w:rFonts w:ascii="仿宋" w:eastAsia="仿宋" w:hAnsi="仿宋" w:cs="仿宋" w:hint="eastAsia"/>
            <w:lang w:eastAsia="zh-CN"/>
          </w:rPr>
          <w:t>(二)、防火防爆总图布置措施</w:t>
        </w:r>
        <w:r>
          <w:tab/>
        </w:r>
        <w:r>
          <w:fldChar w:fldCharType="begin"/>
        </w:r>
        <w:r>
          <w:instrText xml:space="preserve"> PAGEREF _Toc30872 \h </w:instrText>
        </w:r>
        <w:r>
          <w:fldChar w:fldCharType="separate"/>
        </w:r>
        <w:r>
          <w:t>28</w:t>
        </w:r>
        <w:r>
          <w:fldChar w:fldCharType="end"/>
        </w:r>
      </w:hyperlink>
    </w:p>
    <w:p>
      <w:pPr>
        <w:pStyle w:val="TOC2"/>
        <w:tabs>
          <w:tab w:val="right" w:leader="dot" w:pos="8306"/>
        </w:tabs>
      </w:pPr>
      <w:hyperlink w:anchor="_Toc9111" w:history="1">
        <w:r>
          <w:rPr>
            <w:rFonts w:ascii="仿宋" w:eastAsia="仿宋" w:hAnsi="仿宋" w:cs="仿宋" w:hint="eastAsia"/>
            <w:lang w:eastAsia="zh-CN"/>
          </w:rPr>
          <w:t>(三)、自然灾害防范措施</w:t>
        </w:r>
        <w:r>
          <w:tab/>
        </w:r>
        <w:r>
          <w:fldChar w:fldCharType="begin"/>
        </w:r>
        <w:r>
          <w:instrText xml:space="preserve"> PAGEREF _Toc9111 \h </w:instrText>
        </w:r>
        <w:r>
          <w:fldChar w:fldCharType="separate"/>
        </w:r>
        <w:r>
          <w:t>29</w:t>
        </w:r>
        <w:r>
          <w:fldChar w:fldCharType="end"/>
        </w:r>
      </w:hyperlink>
    </w:p>
    <w:p>
      <w:pPr>
        <w:pStyle w:val="TOC2"/>
        <w:tabs>
          <w:tab w:val="right" w:leader="dot" w:pos="8306"/>
        </w:tabs>
      </w:pPr>
      <w:hyperlink w:anchor="_Toc7025" w:history="1">
        <w:r>
          <w:rPr>
            <w:rFonts w:ascii="仿宋" w:eastAsia="仿宋" w:hAnsi="仿宋" w:cs="仿宋" w:hint="eastAsia"/>
            <w:lang w:eastAsia="zh-CN"/>
          </w:rPr>
          <w:t>(四)、安全色及安全标志使用要求</w:t>
        </w:r>
        <w:r>
          <w:tab/>
        </w:r>
        <w:r>
          <w:fldChar w:fldCharType="begin"/>
        </w:r>
        <w:r>
          <w:instrText xml:space="preserve"> PAGEREF _Toc7025 \h </w:instrText>
        </w:r>
        <w:r>
          <w:fldChar w:fldCharType="separate"/>
        </w:r>
        <w:r>
          <w:t>31</w:t>
        </w:r>
        <w:r>
          <w:fldChar w:fldCharType="end"/>
        </w:r>
      </w:hyperlink>
    </w:p>
    <w:p>
      <w:pPr>
        <w:pStyle w:val="TOC2"/>
        <w:tabs>
          <w:tab w:val="right" w:leader="dot" w:pos="8306"/>
        </w:tabs>
      </w:pPr>
      <w:hyperlink w:anchor="_Toc13904" w:history="1">
        <w:r>
          <w:rPr>
            <w:rFonts w:ascii="仿宋" w:eastAsia="仿宋" w:hAnsi="仿宋" w:cs="仿宋" w:hint="eastAsia"/>
            <w:lang w:eastAsia="zh-CN"/>
          </w:rPr>
          <w:t>(五)、防尘防毒措施</w:t>
        </w:r>
        <w:r>
          <w:tab/>
        </w:r>
        <w:r>
          <w:fldChar w:fldCharType="begin"/>
        </w:r>
        <w:r>
          <w:instrText xml:space="preserve"> PAGEREF _Toc13904 \h </w:instrText>
        </w:r>
        <w:r>
          <w:fldChar w:fldCharType="separate"/>
        </w:r>
        <w:r>
          <w:t>32</w:t>
        </w:r>
        <w:r>
          <w:fldChar w:fldCharType="end"/>
        </w:r>
      </w:hyperlink>
    </w:p>
    <w:p>
      <w:pPr>
        <w:pStyle w:val="TOC2"/>
        <w:tabs>
          <w:tab w:val="right" w:leader="dot" w:pos="8306"/>
        </w:tabs>
      </w:pPr>
      <w:hyperlink w:anchor="_Toc22429" w:history="1">
        <w:r>
          <w:rPr>
            <w:rFonts w:ascii="仿宋" w:eastAsia="仿宋" w:hAnsi="仿宋" w:cs="仿宋" w:hint="eastAsia"/>
            <w:lang w:eastAsia="zh-CN"/>
          </w:rPr>
          <w:t>(六)、防静电、触电防护及防雷措施</w:t>
        </w:r>
        <w:r>
          <w:tab/>
        </w:r>
        <w:r>
          <w:fldChar w:fldCharType="begin"/>
        </w:r>
        <w:r>
          <w:instrText xml:space="preserve"> PAGEREF _Toc22429 \h </w:instrText>
        </w:r>
        <w:r>
          <w:fldChar w:fldCharType="separate"/>
        </w:r>
        <w:r>
          <w:t>33</w:t>
        </w:r>
        <w:r>
          <w:fldChar w:fldCharType="end"/>
        </w:r>
      </w:hyperlink>
    </w:p>
    <w:p>
      <w:pPr>
        <w:pStyle w:val="TOC2"/>
        <w:tabs>
          <w:tab w:val="right" w:leader="dot" w:pos="8306"/>
        </w:tabs>
      </w:pPr>
      <w:hyperlink w:anchor="_Toc29289" w:history="1">
        <w:r>
          <w:rPr>
            <w:rFonts w:ascii="仿宋" w:eastAsia="仿宋" w:hAnsi="仿宋" w:cs="仿宋" w:hint="eastAsia"/>
            <w:lang w:eastAsia="zh-CN"/>
          </w:rPr>
          <w:t>(七)、机械设备安全保障措施</w:t>
        </w:r>
        <w:r>
          <w:tab/>
        </w:r>
        <w:r>
          <w:fldChar w:fldCharType="begin"/>
        </w:r>
        <w:r>
          <w:instrText xml:space="preserve"> PAGEREF _Toc29289 \h </w:instrText>
        </w:r>
        <w:r>
          <w:fldChar w:fldCharType="separate"/>
        </w:r>
        <w:r>
          <w:t>34</w:t>
        </w:r>
        <w:r>
          <w:fldChar w:fldCharType="end"/>
        </w:r>
      </w:hyperlink>
    </w:p>
    <w:p>
      <w:pPr>
        <w:pStyle w:val="TOC1"/>
        <w:tabs>
          <w:tab w:val="right" w:leader="dot" w:pos="8306"/>
        </w:tabs>
      </w:pPr>
      <w:hyperlink w:anchor="_Toc26785" w:history="1">
        <w:r>
          <w:rPr>
            <w:rFonts w:ascii="仿宋" w:eastAsia="仿宋" w:hAnsi="仿宋" w:cs="仿宋" w:hint="eastAsia"/>
            <w:lang w:eastAsia="zh-CN"/>
          </w:rPr>
          <w:t>九、汽、柴油深度加氢催化剂项目风险管理</w:t>
        </w:r>
        <w:r>
          <w:tab/>
        </w:r>
        <w:r>
          <w:fldChar w:fldCharType="begin"/>
        </w:r>
        <w:r>
          <w:instrText xml:space="preserve"> PAGEREF _Toc26785 \h </w:instrText>
        </w:r>
        <w:r>
          <w:fldChar w:fldCharType="separate"/>
        </w:r>
        <w:r>
          <w:t>36</w:t>
        </w:r>
        <w:r>
          <w:fldChar w:fldCharType="end"/>
        </w:r>
      </w:hyperlink>
    </w:p>
    <w:p>
      <w:pPr>
        <w:pStyle w:val="TOC2"/>
        <w:tabs>
          <w:tab w:val="right" w:leader="dot" w:pos="8306"/>
        </w:tabs>
      </w:pPr>
      <w:hyperlink w:anchor="_Toc10768" w:history="1">
        <w:r>
          <w:rPr>
            <w:rFonts w:ascii="仿宋" w:eastAsia="仿宋" w:hAnsi="仿宋" w:cs="仿宋" w:hint="eastAsia"/>
            <w:lang w:eastAsia="zh-CN"/>
          </w:rPr>
          <w:t>(一)、风险识别与评估</w:t>
        </w:r>
        <w:r>
          <w:tab/>
        </w:r>
        <w:r>
          <w:fldChar w:fldCharType="begin"/>
        </w:r>
        <w:r>
          <w:instrText xml:space="preserve"> PAGEREF _Toc10768 \h </w:instrText>
        </w:r>
        <w:r>
          <w:fldChar w:fldCharType="separate"/>
        </w:r>
        <w:r>
          <w:t>36</w:t>
        </w:r>
        <w:r>
          <w:fldChar w:fldCharType="end"/>
        </w:r>
      </w:hyperlink>
    </w:p>
    <w:p>
      <w:pPr>
        <w:pStyle w:val="TOC2"/>
        <w:tabs>
          <w:tab w:val="right" w:leader="dot" w:pos="8306"/>
        </w:tabs>
      </w:pPr>
      <w:hyperlink w:anchor="_Toc20908" w:history="1">
        <w:r>
          <w:rPr>
            <w:rFonts w:ascii="仿宋" w:eastAsia="仿宋" w:hAnsi="仿宋" w:cs="仿宋" w:hint="eastAsia"/>
            <w:lang w:eastAsia="zh-CN"/>
          </w:rPr>
          <w:t>(二)、风险应对策略</w:t>
        </w:r>
        <w:r>
          <w:tab/>
        </w:r>
        <w:r>
          <w:fldChar w:fldCharType="begin"/>
        </w:r>
        <w:r>
          <w:instrText xml:space="preserve"> PAGEREF _Toc20908 \h </w:instrText>
        </w:r>
        <w:r>
          <w:fldChar w:fldCharType="separate"/>
        </w:r>
        <w:r>
          <w:t>37</w:t>
        </w:r>
        <w:r>
          <w:fldChar w:fldCharType="end"/>
        </w:r>
      </w:hyperlink>
    </w:p>
    <w:p>
      <w:pPr>
        <w:pStyle w:val="TOC2"/>
        <w:tabs>
          <w:tab w:val="right" w:leader="dot" w:pos="8306"/>
        </w:tabs>
      </w:pPr>
      <w:hyperlink w:anchor="_Toc20113" w:history="1">
        <w:r>
          <w:rPr>
            <w:rFonts w:ascii="仿宋" w:eastAsia="仿宋" w:hAnsi="仿宋" w:cs="仿宋" w:hint="eastAsia"/>
            <w:lang w:eastAsia="zh-CN"/>
          </w:rPr>
          <w:t>(三)、风险监控与控制</w:t>
        </w:r>
        <w:r>
          <w:tab/>
        </w:r>
        <w:r>
          <w:fldChar w:fldCharType="begin"/>
        </w:r>
        <w:r>
          <w:instrText xml:space="preserve"> PAGEREF _Toc20113 \h </w:instrText>
        </w:r>
        <w:r>
          <w:fldChar w:fldCharType="separate"/>
        </w:r>
        <w:r>
          <w:t>39</w:t>
        </w:r>
        <w:r>
          <w:fldChar w:fldCharType="end"/>
        </w:r>
      </w:hyperlink>
    </w:p>
    <w:p>
      <w:pPr>
        <w:pStyle w:val="TOC1"/>
        <w:tabs>
          <w:tab w:val="right" w:leader="dot" w:pos="8306"/>
        </w:tabs>
      </w:pPr>
      <w:hyperlink w:anchor="_Toc5730" w:history="1">
        <w:r>
          <w:rPr>
            <w:rFonts w:ascii="仿宋" w:eastAsia="仿宋" w:hAnsi="仿宋" w:cs="仿宋" w:hint="eastAsia"/>
            <w:lang w:eastAsia="zh-CN"/>
          </w:rPr>
          <w:t>十、汽、柴油深度加氢催化剂项目财务管理</w:t>
        </w:r>
        <w:r>
          <w:tab/>
        </w:r>
        <w:r>
          <w:fldChar w:fldCharType="begin"/>
        </w:r>
        <w:r>
          <w:instrText xml:space="preserve"> PAGEREF _Toc5730 \h </w:instrText>
        </w:r>
        <w:r>
          <w:fldChar w:fldCharType="separate"/>
        </w:r>
        <w:r>
          <w:t>40</w:t>
        </w:r>
        <w:r>
          <w:fldChar w:fldCharType="end"/>
        </w:r>
      </w:hyperlink>
    </w:p>
    <w:p>
      <w:pPr>
        <w:pStyle w:val="TOC2"/>
        <w:tabs>
          <w:tab w:val="right" w:leader="dot" w:pos="8306"/>
        </w:tabs>
      </w:pPr>
      <w:hyperlink w:anchor="_Toc30305" w:history="1">
        <w:r>
          <w:rPr>
            <w:rFonts w:ascii="仿宋" w:eastAsia="仿宋" w:hAnsi="仿宋" w:cs="仿宋" w:hint="eastAsia"/>
            <w:lang w:eastAsia="zh-CN"/>
          </w:rPr>
          <w:t>(一)、资金需求大</w:t>
        </w:r>
        <w:r>
          <w:tab/>
        </w:r>
        <w:r>
          <w:fldChar w:fldCharType="begin"/>
        </w:r>
        <w:r>
          <w:instrText xml:space="preserve"> PAGEREF _Toc30305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954" w:history="1">
        <w:r>
          <w:rPr>
            <w:rFonts w:ascii="仿宋" w:eastAsia="仿宋" w:hAnsi="仿宋" w:cs="仿宋" w:hint="eastAsia"/>
            <w:lang w:eastAsia="zh-CN"/>
          </w:rPr>
          <w:t>(二)、研发周期长</w:t>
        </w:r>
        <w:r>
          <w:tab/>
        </w:r>
        <w:r>
          <w:fldChar w:fldCharType="begin"/>
        </w:r>
        <w:r>
          <w:instrText xml:space="preserve"> PAGEREF _Toc5954 \h </w:instrText>
        </w:r>
        <w:r>
          <w:fldChar w:fldCharType="separate"/>
        </w:r>
        <w:r>
          <w:t>41</w:t>
        </w:r>
        <w:r>
          <w:fldChar w:fldCharType="end"/>
        </w:r>
      </w:hyperlink>
    </w:p>
    <w:p>
      <w:pPr>
        <w:pStyle w:val="TOC2"/>
        <w:tabs>
          <w:tab w:val="right" w:leader="dot" w:pos="8306"/>
        </w:tabs>
      </w:pPr>
      <w:hyperlink w:anchor="_Toc31856" w:history="1">
        <w:r>
          <w:rPr>
            <w:rFonts w:ascii="仿宋" w:eastAsia="仿宋" w:hAnsi="仿宋" w:cs="仿宋" w:hint="eastAsia"/>
            <w:lang w:eastAsia="zh-CN"/>
          </w:rPr>
          <w:t>(三)、市场风险大</w:t>
        </w:r>
        <w:r>
          <w:tab/>
        </w:r>
        <w:r>
          <w:fldChar w:fldCharType="begin"/>
        </w:r>
        <w:r>
          <w:instrText xml:space="preserve"> PAGEREF _Toc31856 \h </w:instrText>
        </w:r>
        <w:r>
          <w:fldChar w:fldCharType="separate"/>
        </w:r>
        <w:r>
          <w:t>42</w:t>
        </w:r>
        <w:r>
          <w:fldChar w:fldCharType="end"/>
        </w:r>
      </w:hyperlink>
    </w:p>
    <w:p>
      <w:pPr>
        <w:pStyle w:val="TOC2"/>
        <w:tabs>
          <w:tab w:val="right" w:leader="dot" w:pos="8306"/>
        </w:tabs>
      </w:pPr>
      <w:hyperlink w:anchor="_Toc5670" w:history="1">
        <w:r>
          <w:rPr>
            <w:rFonts w:ascii="仿宋" w:eastAsia="仿宋" w:hAnsi="仿宋" w:cs="仿宋" w:hint="eastAsia"/>
            <w:lang w:eastAsia="zh-CN"/>
          </w:rPr>
          <w:t>(四)、利润率高</w:t>
        </w:r>
        <w:r>
          <w:tab/>
        </w:r>
        <w:r>
          <w:fldChar w:fldCharType="begin"/>
        </w:r>
        <w:r>
          <w:instrText xml:space="preserve"> PAGEREF _Toc5670 \h </w:instrText>
        </w:r>
        <w:r>
          <w:fldChar w:fldCharType="separate"/>
        </w:r>
        <w:r>
          <w:t>45</w:t>
        </w:r>
        <w:r>
          <w:fldChar w:fldCharType="end"/>
        </w:r>
      </w:hyperlink>
    </w:p>
    <w:p>
      <w:pPr>
        <w:pStyle w:val="TOC1"/>
        <w:tabs>
          <w:tab w:val="right" w:leader="dot" w:pos="8306"/>
        </w:tabs>
      </w:pPr>
      <w:hyperlink w:anchor="_Toc19254" w:history="1">
        <w:r>
          <w:rPr>
            <w:rFonts w:ascii="仿宋" w:eastAsia="仿宋" w:hAnsi="仿宋" w:cs="仿宋" w:hint="eastAsia"/>
            <w:lang w:eastAsia="zh-CN"/>
          </w:rPr>
          <w:t>十一、汽、柴油深度加氢催化剂项目社会影响</w:t>
        </w:r>
        <w:r>
          <w:tab/>
        </w:r>
        <w:r>
          <w:fldChar w:fldCharType="begin"/>
        </w:r>
        <w:r>
          <w:instrText xml:space="preserve"> PAGEREF _Toc19254 \h </w:instrText>
        </w:r>
        <w:r>
          <w:fldChar w:fldCharType="separate"/>
        </w:r>
        <w:r>
          <w:t>47</w:t>
        </w:r>
        <w:r>
          <w:fldChar w:fldCharType="end"/>
        </w:r>
      </w:hyperlink>
    </w:p>
    <w:p>
      <w:pPr>
        <w:pStyle w:val="TOC2"/>
        <w:tabs>
          <w:tab w:val="right" w:leader="dot" w:pos="8306"/>
        </w:tabs>
      </w:pPr>
      <w:hyperlink w:anchor="_Toc19354" w:history="1">
        <w:r>
          <w:rPr>
            <w:rFonts w:ascii="仿宋" w:eastAsia="仿宋" w:hAnsi="仿宋" w:cs="仿宋" w:hint="eastAsia"/>
            <w:lang w:eastAsia="zh-CN"/>
          </w:rPr>
          <w:t>(一)、社会责任与义务</w:t>
        </w:r>
        <w:r>
          <w:tab/>
        </w:r>
        <w:r>
          <w:fldChar w:fldCharType="begin"/>
        </w:r>
        <w:r>
          <w:instrText xml:space="preserve"> PAGEREF _Toc19354 \h </w:instrText>
        </w:r>
        <w:r>
          <w:fldChar w:fldCharType="separate"/>
        </w:r>
        <w:r>
          <w:t>47</w:t>
        </w:r>
        <w:r>
          <w:fldChar w:fldCharType="end"/>
        </w:r>
      </w:hyperlink>
    </w:p>
    <w:p>
      <w:pPr>
        <w:pStyle w:val="TOC2"/>
        <w:tabs>
          <w:tab w:val="right" w:leader="dot" w:pos="8306"/>
        </w:tabs>
      </w:pPr>
      <w:hyperlink w:anchor="_Toc14625" w:history="1">
        <w:r>
          <w:rPr>
            <w:rFonts w:ascii="仿宋" w:eastAsia="仿宋" w:hAnsi="仿宋" w:cs="仿宋" w:hint="eastAsia"/>
            <w:lang w:eastAsia="zh-CN"/>
          </w:rPr>
          <w:t>(二)、社会参与与沟通</w:t>
        </w:r>
        <w:r>
          <w:tab/>
        </w:r>
        <w:r>
          <w:fldChar w:fldCharType="begin"/>
        </w:r>
        <w:r>
          <w:instrText xml:space="preserve"> PAGEREF _Toc14625 \h </w:instrText>
        </w:r>
        <w:r>
          <w:fldChar w:fldCharType="separate"/>
        </w:r>
        <w:r>
          <w:t>48</w:t>
        </w:r>
        <w:r>
          <w:fldChar w:fldCharType="end"/>
        </w:r>
      </w:hyperlink>
    </w:p>
    <w:p>
      <w:pPr>
        <w:pStyle w:val="TOC1"/>
        <w:tabs>
          <w:tab w:val="right" w:leader="dot" w:pos="8306"/>
        </w:tabs>
      </w:pPr>
      <w:hyperlink w:anchor="_Toc31782" w:history="1">
        <w:r>
          <w:rPr>
            <w:rFonts w:ascii="仿宋" w:eastAsia="仿宋" w:hAnsi="仿宋" w:cs="仿宋" w:hint="eastAsia"/>
            <w:lang w:eastAsia="zh-CN"/>
          </w:rPr>
          <w:t>十二、汽、柴油深度加氢催化剂项目计划安排</w:t>
        </w:r>
        <w:r>
          <w:tab/>
        </w:r>
        <w:r>
          <w:fldChar w:fldCharType="begin"/>
        </w:r>
        <w:r>
          <w:instrText xml:space="preserve"> PAGEREF _Toc31782 \h </w:instrText>
        </w:r>
        <w:r>
          <w:fldChar w:fldCharType="separate"/>
        </w:r>
        <w:r>
          <w:t>49</w:t>
        </w:r>
        <w:r>
          <w:fldChar w:fldCharType="end"/>
        </w:r>
      </w:hyperlink>
    </w:p>
    <w:p>
      <w:pPr>
        <w:pStyle w:val="TOC2"/>
        <w:tabs>
          <w:tab w:val="right" w:leader="dot" w:pos="8306"/>
        </w:tabs>
      </w:pPr>
      <w:hyperlink w:anchor="_Toc18746" w:history="1">
        <w:r>
          <w:rPr>
            <w:rFonts w:ascii="仿宋" w:eastAsia="仿宋" w:hAnsi="仿宋" w:cs="仿宋" w:hint="eastAsia"/>
            <w:lang w:eastAsia="zh-CN"/>
          </w:rPr>
          <w:t>(一)、建设周期</w:t>
        </w:r>
        <w:r>
          <w:tab/>
        </w:r>
        <w:r>
          <w:fldChar w:fldCharType="begin"/>
        </w:r>
        <w:r>
          <w:instrText xml:space="preserve"> PAGEREF _Toc18746 \h </w:instrText>
        </w:r>
        <w:r>
          <w:fldChar w:fldCharType="separate"/>
        </w:r>
        <w:r>
          <w:t>49</w:t>
        </w:r>
        <w:r>
          <w:fldChar w:fldCharType="end"/>
        </w:r>
      </w:hyperlink>
    </w:p>
    <w:p>
      <w:pPr>
        <w:pStyle w:val="TOC2"/>
        <w:tabs>
          <w:tab w:val="right" w:leader="dot" w:pos="8306"/>
        </w:tabs>
      </w:pPr>
      <w:hyperlink w:anchor="_Toc13508" w:history="1">
        <w:r>
          <w:rPr>
            <w:rFonts w:ascii="仿宋" w:eastAsia="仿宋" w:hAnsi="仿宋" w:cs="仿宋" w:hint="eastAsia"/>
            <w:lang w:eastAsia="zh-CN"/>
          </w:rPr>
          <w:t>(二)、建设进度</w:t>
        </w:r>
        <w:r>
          <w:tab/>
        </w:r>
        <w:r>
          <w:fldChar w:fldCharType="begin"/>
        </w:r>
        <w:r>
          <w:instrText xml:space="preserve"> PAGEREF _Toc13508 \h </w:instrText>
        </w:r>
        <w:r>
          <w:fldChar w:fldCharType="separate"/>
        </w:r>
        <w:r>
          <w:t>50</w:t>
        </w:r>
        <w:r>
          <w:fldChar w:fldCharType="end"/>
        </w:r>
      </w:hyperlink>
    </w:p>
    <w:p>
      <w:pPr>
        <w:pStyle w:val="TOC2"/>
        <w:tabs>
          <w:tab w:val="right" w:leader="dot" w:pos="8306"/>
        </w:tabs>
      </w:pPr>
      <w:hyperlink w:anchor="_Toc31302" w:history="1">
        <w:r>
          <w:rPr>
            <w:rFonts w:ascii="仿宋" w:eastAsia="仿宋" w:hAnsi="仿宋" w:cs="仿宋" w:hint="eastAsia"/>
            <w:lang w:eastAsia="zh-CN"/>
          </w:rPr>
          <w:t>(三)、进度安排注意事项</w:t>
        </w:r>
        <w:r>
          <w:tab/>
        </w:r>
        <w:r>
          <w:fldChar w:fldCharType="begin"/>
        </w:r>
        <w:r>
          <w:instrText xml:space="preserve"> PAGEREF _Toc31302 \h </w:instrText>
        </w:r>
        <w:r>
          <w:fldChar w:fldCharType="separate"/>
        </w:r>
        <w:r>
          <w:t>51</w:t>
        </w:r>
        <w:r>
          <w:fldChar w:fldCharType="end"/>
        </w:r>
      </w:hyperlink>
    </w:p>
    <w:p>
      <w:pPr>
        <w:pStyle w:val="TOC2"/>
        <w:tabs>
          <w:tab w:val="right" w:leader="dot" w:pos="8306"/>
        </w:tabs>
      </w:pPr>
      <w:hyperlink w:anchor="_Toc20495" w:history="1">
        <w:r>
          <w:rPr>
            <w:rFonts w:ascii="仿宋" w:eastAsia="仿宋" w:hAnsi="仿宋" w:cs="仿宋" w:hint="eastAsia"/>
            <w:lang w:eastAsia="zh-CN"/>
          </w:rPr>
          <w:t>(四)、人力资源配置</w:t>
        </w:r>
        <w:r>
          <w:tab/>
        </w:r>
        <w:r>
          <w:fldChar w:fldCharType="begin"/>
        </w:r>
        <w:r>
          <w:instrText xml:space="preserve"> PAGEREF _Toc20495 \h </w:instrText>
        </w:r>
        <w:r>
          <w:fldChar w:fldCharType="separate"/>
        </w:r>
        <w:r>
          <w:t>53</w:t>
        </w:r>
        <w:r>
          <w:fldChar w:fldCharType="end"/>
        </w:r>
      </w:hyperlink>
    </w:p>
    <w:p>
      <w:pPr>
        <w:pStyle w:val="TOC1"/>
        <w:tabs>
          <w:tab w:val="right" w:leader="dot" w:pos="8306"/>
        </w:tabs>
      </w:pPr>
      <w:hyperlink w:anchor="_Toc24500" w:history="1">
        <w:r>
          <w:rPr>
            <w:rFonts w:ascii="仿宋" w:eastAsia="仿宋" w:hAnsi="仿宋" w:cs="仿宋" w:hint="eastAsia"/>
            <w:lang w:eastAsia="zh-CN"/>
          </w:rPr>
          <w:t>十三、利益相关者分析与沟通计划</w:t>
        </w:r>
        <w:r>
          <w:tab/>
        </w:r>
        <w:r>
          <w:fldChar w:fldCharType="begin"/>
        </w:r>
        <w:r>
          <w:instrText xml:space="preserve"> PAGEREF _Toc24500 \h </w:instrText>
        </w:r>
        <w:r>
          <w:fldChar w:fldCharType="separate"/>
        </w:r>
        <w:r>
          <w:t>54</w:t>
        </w:r>
        <w:r>
          <w:fldChar w:fldCharType="end"/>
        </w:r>
      </w:hyperlink>
    </w:p>
    <w:p>
      <w:pPr>
        <w:pStyle w:val="TOC2"/>
        <w:tabs>
          <w:tab w:val="right" w:leader="dot" w:pos="8306"/>
        </w:tabs>
      </w:pPr>
      <w:hyperlink w:anchor="_Toc12791" w:history="1">
        <w:r>
          <w:rPr>
            <w:rFonts w:ascii="仿宋" w:eastAsia="仿宋" w:hAnsi="仿宋" w:cs="仿宋" w:hint="eastAsia"/>
            <w:lang w:eastAsia="zh-CN"/>
          </w:rPr>
          <w:t>(一)、利益相关者分析</w:t>
        </w:r>
        <w:r>
          <w:tab/>
        </w:r>
        <w:r>
          <w:fldChar w:fldCharType="begin"/>
        </w:r>
        <w:r>
          <w:instrText xml:space="preserve"> PAGEREF _Toc12791 \h </w:instrText>
        </w:r>
        <w:r>
          <w:fldChar w:fldCharType="separate"/>
        </w:r>
        <w:r>
          <w:t>54</w:t>
        </w:r>
        <w:r>
          <w:fldChar w:fldCharType="end"/>
        </w:r>
      </w:hyperlink>
    </w:p>
    <w:p>
      <w:pPr>
        <w:pStyle w:val="TOC2"/>
        <w:tabs>
          <w:tab w:val="right" w:leader="dot" w:pos="8306"/>
        </w:tabs>
      </w:pPr>
      <w:hyperlink w:anchor="_Toc23304" w:history="1">
        <w:r>
          <w:rPr>
            <w:rFonts w:ascii="仿宋" w:eastAsia="仿宋" w:hAnsi="仿宋" w:cs="仿宋" w:hint="eastAsia"/>
            <w:lang w:eastAsia="zh-CN"/>
          </w:rPr>
          <w:t>(二)、沟通计划</w:t>
        </w:r>
        <w:r>
          <w:tab/>
        </w:r>
        <w:r>
          <w:fldChar w:fldCharType="begin"/>
        </w:r>
        <w:r>
          <w:instrText xml:space="preserve"> PAGEREF _Toc23304 \h </w:instrText>
        </w:r>
        <w:r>
          <w:fldChar w:fldCharType="separate"/>
        </w:r>
        <w:r>
          <w:t>55</w:t>
        </w:r>
        <w:r>
          <w:fldChar w:fldCharType="end"/>
        </w:r>
      </w:hyperlink>
    </w:p>
    <w:p>
      <w:pPr>
        <w:pStyle w:val="TOC1"/>
        <w:tabs>
          <w:tab w:val="right" w:leader="dot" w:pos="8306"/>
        </w:tabs>
      </w:pPr>
      <w:hyperlink w:anchor="_Toc22008" w:history="1">
        <w:r>
          <w:rPr>
            <w:rFonts w:ascii="仿宋" w:eastAsia="仿宋" w:hAnsi="仿宋" w:cs="仿宋" w:hint="eastAsia"/>
            <w:lang w:eastAsia="zh-CN"/>
          </w:rPr>
          <w:t>十四、营销与推广策略</w:t>
        </w:r>
        <w:r>
          <w:tab/>
        </w:r>
        <w:r>
          <w:fldChar w:fldCharType="begin"/>
        </w:r>
        <w:r>
          <w:instrText xml:space="preserve"> PAGEREF _Toc22008 \h </w:instrText>
        </w:r>
        <w:r>
          <w:fldChar w:fldCharType="separate"/>
        </w:r>
        <w:r>
          <w:t>56</w:t>
        </w:r>
        <w:r>
          <w:fldChar w:fldCharType="end"/>
        </w:r>
      </w:hyperlink>
    </w:p>
    <w:p>
      <w:pPr>
        <w:pStyle w:val="TOC2"/>
        <w:tabs>
          <w:tab w:val="right" w:leader="dot" w:pos="8306"/>
        </w:tabs>
      </w:pPr>
      <w:hyperlink w:anchor="_Toc16814" w:history="1">
        <w:r>
          <w:rPr>
            <w:rFonts w:ascii="仿宋" w:eastAsia="仿宋" w:hAnsi="仿宋" w:cs="仿宋" w:hint="eastAsia"/>
            <w:lang w:eastAsia="zh-CN"/>
          </w:rPr>
          <w:t>(一)、产品/服务定位与特点</w:t>
        </w:r>
        <w:r>
          <w:tab/>
        </w:r>
        <w:r>
          <w:fldChar w:fldCharType="begin"/>
        </w:r>
        <w:r>
          <w:instrText xml:space="preserve"> PAGEREF _Toc16814 \h </w:instrText>
        </w:r>
        <w:r>
          <w:fldChar w:fldCharType="separate"/>
        </w:r>
        <w:r>
          <w:t>56</w:t>
        </w:r>
        <w:r>
          <w:fldChar w:fldCharType="end"/>
        </w:r>
      </w:hyperlink>
    </w:p>
    <w:p>
      <w:pPr>
        <w:pStyle w:val="TOC2"/>
        <w:tabs>
          <w:tab w:val="right" w:leader="dot" w:pos="8306"/>
        </w:tabs>
      </w:pPr>
      <w:hyperlink w:anchor="_Toc27688" w:history="1">
        <w:r>
          <w:rPr>
            <w:rFonts w:ascii="仿宋" w:eastAsia="仿宋" w:hAnsi="仿宋" w:cs="仿宋" w:hint="eastAsia"/>
            <w:lang w:eastAsia="zh-CN"/>
          </w:rPr>
          <w:t>(二)、市场定位与竞争分析</w:t>
        </w:r>
        <w:r>
          <w:tab/>
        </w:r>
        <w:r>
          <w:fldChar w:fldCharType="begin"/>
        </w:r>
        <w:r>
          <w:instrText xml:space="preserve"> PAGEREF _Toc27688 \h </w:instrText>
        </w:r>
        <w:r>
          <w:fldChar w:fldCharType="separate"/>
        </w:r>
        <w:r>
          <w:t>57</w:t>
        </w:r>
        <w:r>
          <w:fldChar w:fldCharType="end"/>
        </w:r>
      </w:hyperlink>
    </w:p>
    <w:p>
      <w:pPr>
        <w:pStyle w:val="TOC2"/>
        <w:tabs>
          <w:tab w:val="right" w:leader="dot" w:pos="8306"/>
        </w:tabs>
      </w:pPr>
      <w:hyperlink w:anchor="_Toc23129" w:history="1">
        <w:r>
          <w:rPr>
            <w:rFonts w:ascii="仿宋" w:eastAsia="仿宋" w:hAnsi="仿宋" w:cs="仿宋" w:hint="eastAsia"/>
            <w:lang w:eastAsia="zh-CN"/>
          </w:rPr>
          <w:t>(三)、营销渠道与策略</w:t>
        </w:r>
        <w:r>
          <w:tab/>
        </w:r>
        <w:r>
          <w:fldChar w:fldCharType="begin"/>
        </w:r>
        <w:r>
          <w:instrText xml:space="preserve"> PAGEREF _Toc23129 \h </w:instrText>
        </w:r>
        <w:r>
          <w:fldChar w:fldCharType="separate"/>
        </w:r>
        <w:r>
          <w:t>59</w:t>
        </w:r>
        <w:r>
          <w:fldChar w:fldCharType="end"/>
        </w:r>
      </w:hyperlink>
    </w:p>
    <w:p>
      <w:pPr>
        <w:pStyle w:val="TOC2"/>
        <w:tabs>
          <w:tab w:val="right" w:leader="dot" w:pos="8306"/>
        </w:tabs>
      </w:pPr>
      <w:hyperlink w:anchor="_Toc25496" w:history="1">
        <w:r>
          <w:rPr>
            <w:rFonts w:ascii="仿宋" w:eastAsia="仿宋" w:hAnsi="仿宋" w:cs="仿宋" w:hint="eastAsia"/>
            <w:lang w:eastAsia="zh-CN"/>
          </w:rPr>
          <w:t>(四)、推广与宣传活动</w:t>
        </w:r>
        <w:r>
          <w:tab/>
        </w:r>
        <w:r>
          <w:fldChar w:fldCharType="begin"/>
        </w:r>
        <w:r>
          <w:instrText xml:space="preserve"> PAGEREF _Toc25496 \h </w:instrText>
        </w:r>
        <w:r>
          <w:fldChar w:fldCharType="separate"/>
        </w:r>
        <w:r>
          <w:t>60</w:t>
        </w:r>
        <w:r>
          <w:fldChar w:fldCharType="end"/>
        </w:r>
      </w:hyperlink>
    </w:p>
    <w:p>
      <w:pPr>
        <w:pStyle w:val="TOC1"/>
        <w:tabs>
          <w:tab w:val="right" w:leader="dot" w:pos="8306"/>
        </w:tabs>
      </w:pPr>
      <w:hyperlink w:anchor="_Toc13910" w:history="1">
        <w:r>
          <w:rPr>
            <w:rFonts w:ascii="仿宋" w:eastAsia="仿宋" w:hAnsi="仿宋" w:cs="仿宋" w:hint="eastAsia"/>
            <w:lang w:eastAsia="zh-CN"/>
          </w:rPr>
          <w:t>十五、供应链管理</w:t>
        </w:r>
        <w:r>
          <w:tab/>
        </w:r>
        <w:r>
          <w:fldChar w:fldCharType="begin"/>
        </w:r>
        <w:r>
          <w:instrText xml:space="preserve"> PAGEREF _Toc13910 \h </w:instrText>
        </w:r>
        <w:r>
          <w:fldChar w:fldCharType="separate"/>
        </w:r>
        <w:r>
          <w:t>65</w:t>
        </w:r>
        <w:r>
          <w:fldChar w:fldCharType="end"/>
        </w:r>
      </w:hyperlink>
    </w:p>
    <w:p>
      <w:pPr>
        <w:pStyle w:val="TOC2"/>
        <w:tabs>
          <w:tab w:val="right" w:leader="dot" w:pos="8306"/>
        </w:tabs>
      </w:pPr>
      <w:hyperlink w:anchor="_Toc29915" w:history="1">
        <w:r>
          <w:rPr>
            <w:rFonts w:ascii="仿宋" w:eastAsia="仿宋" w:hAnsi="仿宋" w:cs="仿宋" w:hint="eastAsia"/>
            <w:lang w:eastAsia="zh-CN"/>
          </w:rPr>
          <w:t>(一)、供应链战略规划</w:t>
        </w:r>
        <w:r>
          <w:tab/>
        </w:r>
        <w:r>
          <w:fldChar w:fldCharType="begin"/>
        </w:r>
        <w:r>
          <w:instrText xml:space="preserve"> PAGEREF _Toc29915 \h </w:instrText>
        </w:r>
        <w:r>
          <w:fldChar w:fldCharType="separate"/>
        </w:r>
        <w:r>
          <w:t>65</w:t>
        </w:r>
        <w:r>
          <w:fldChar w:fldCharType="end"/>
        </w:r>
      </w:hyperlink>
    </w:p>
    <w:p>
      <w:pPr>
        <w:pStyle w:val="TOC2"/>
        <w:tabs>
          <w:tab w:val="right" w:leader="dot" w:pos="8306"/>
        </w:tabs>
      </w:pPr>
      <w:hyperlink w:anchor="_Toc20092" w:history="1">
        <w:r>
          <w:rPr>
            <w:rFonts w:ascii="仿宋" w:eastAsia="仿宋" w:hAnsi="仿宋" w:cs="仿宋" w:hint="eastAsia"/>
            <w:lang w:eastAsia="zh-CN"/>
          </w:rPr>
          <w:t>(二)、供应商选择与合作</w:t>
        </w:r>
        <w:r>
          <w:tab/>
        </w:r>
        <w:r>
          <w:fldChar w:fldCharType="begin"/>
        </w:r>
        <w:r>
          <w:instrText xml:space="preserve"> PAGEREF _Toc20092 \h </w:instrText>
        </w:r>
        <w:r>
          <w:fldChar w:fldCharType="separate"/>
        </w:r>
        <w:r>
          <w:t>67</w:t>
        </w:r>
        <w:r>
          <w:fldChar w:fldCharType="end"/>
        </w:r>
      </w:hyperlink>
    </w:p>
    <w:p>
      <w:pPr>
        <w:pStyle w:val="TOC2"/>
        <w:tabs>
          <w:tab w:val="right" w:leader="dot" w:pos="8306"/>
        </w:tabs>
      </w:pPr>
      <w:hyperlink w:anchor="_Toc5558" w:history="1">
        <w:r>
          <w:rPr>
            <w:rFonts w:ascii="仿宋" w:eastAsia="仿宋" w:hAnsi="仿宋" w:cs="仿宋" w:hint="eastAsia"/>
            <w:lang w:eastAsia="zh-CN"/>
          </w:rPr>
          <w:t>(三)、物流与库存管理</w:t>
        </w:r>
        <w:r>
          <w:tab/>
        </w:r>
        <w:r>
          <w:fldChar w:fldCharType="begin"/>
        </w:r>
        <w:r>
          <w:instrText xml:space="preserve"> PAGEREF _Toc5558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11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278"/>
      <w:r>
        <w:rPr>
          <w:rFonts w:ascii="仿宋" w:eastAsia="仿宋" w:hAnsi="仿宋" w:cs="仿宋" w:hint="eastAsia"/>
          <w:sz w:val="28"/>
          <w:lang w:eastAsia="zh-CN"/>
        </w:rPr>
        <w:t>一、汽、柴油深度加氢催化剂项目建设单位说明</w:t>
      </w:r>
      <w:bookmarkEnd w:id="2"/>
    </w:p>
    <w:p>
      <w:pPr>
        <w:pStyle w:val="Heading2"/>
        <w:rPr>
          <w:rFonts w:ascii="仿宋" w:eastAsia="仿宋" w:hAnsi="仿宋" w:cs="仿宋" w:hint="eastAsia"/>
          <w:lang w:eastAsia="zh-CN"/>
        </w:rPr>
      </w:pPr>
      <w:bookmarkStart w:id="3" w:name="_Toc16022"/>
      <w:r>
        <w:rPr>
          <w:rFonts w:ascii="仿宋" w:eastAsia="仿宋" w:hAnsi="仿宋" w:cs="仿宋" w:hint="eastAsia"/>
          <w:lang w:eastAsia="zh-CN"/>
        </w:rPr>
        <w:t>(一)、汽、柴油深度加氢催化剂项目承办单位基本情况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7134"/>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汽、柴油深度加氢催化剂项目承办单位的XXXX，我们着眼于实现可持续的经济效益。通过技术创新和解决方案的提供，公司预计在汽、柴油深度加氢催化剂项目执行期间将获得可观的收入增长。这一收入来源主要包括汽、柴油深度加氢催化剂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同时，我们注重成本控制和效率提升，以确保汽、柴油深度加氢催化剂项目的可持续盈利。透过精细的管理和资源优化，公司期望实现汽、柴油深度加氢催化剂项目利润最大化。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汽、柴油深度加氢催化剂项目实施进行全面的投资评估，包括汽、柴油深度加氢催化剂项目启动阶段的资金投入和后续运营成本。通过对汽、柴油深度加氢催化剂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汽、柴油深度加氢催化剂项目实施过程中具备足够的资金流动性，公司将进行详尽的现金流分析。这包括资金需求的合理预测、汽、柴油深度加氢催化剂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25169"/>
      <w:r>
        <w:rPr>
          <w:rFonts w:ascii="仿宋" w:eastAsia="仿宋" w:hAnsi="仿宋" w:cs="仿宋" w:hint="eastAsia"/>
          <w:sz w:val="28"/>
          <w:lang w:eastAsia="zh-CN"/>
        </w:rPr>
        <w:t>二、汽、柴油深度加氢催化剂项目危机管理</w:t>
      </w:r>
      <w:bookmarkEnd w:id="5"/>
    </w:p>
    <w:p>
      <w:pPr>
        <w:pStyle w:val="Heading2"/>
        <w:rPr>
          <w:rFonts w:ascii="仿宋" w:eastAsia="仿宋" w:hAnsi="仿宋" w:cs="仿宋" w:hint="eastAsia"/>
          <w:lang w:eastAsia="zh-CN"/>
        </w:rPr>
      </w:pPr>
      <w:bookmarkStart w:id="6" w:name="_Toc10728"/>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汽、柴油深度加氢催化剂项目危机管理中，危机预警与识别是确保汽、柴油深度加氢催化剂项目稳健运行的核心步骤。通过建立全面的监测机制，汽、柴油深度加氢催化剂项目团队旨在及时发现和理解潜在的风险和危机因素，以便采取及时的预防和应对措施，确保汽、柴油深度加氢催化剂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汽、柴油深度加氢催化剂项目团队全面分析了整个汽、柴油深度加氢催化剂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汽、柴油深度加氢催化剂项目团队着重于明确定义汽、柴油深度加氢催化剂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汽、柴油深度加氢催化剂项目进展的持续监控，团队能够及时发现潜在问题并作出迅速反应。汽、柴油深度加氢催化剂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汽、柴油深度加氢催化剂项目得以更有序、可控地推进。</w:t>
      </w:r>
    </w:p>
    <w:p>
      <w:pPr>
        <w:pStyle w:val="Heading2"/>
        <w:ind w:firstLine="560" w:firstLineChars="200"/>
        <w:rPr>
          <w:rFonts w:ascii="仿宋" w:eastAsia="仿宋" w:hAnsi="仿宋" w:cs="仿宋" w:hint="eastAsia"/>
          <w:sz w:val="28"/>
          <w:lang w:eastAsia="zh-CN"/>
        </w:rPr>
      </w:pPr>
      <w:bookmarkStart w:id="7" w:name="_Toc8415"/>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在危机发生时，汽、柴油深度加氢催化剂项目团队立即行动，成立了应急小组。该小组的任务是迅速制定并实施紧急应对措施，以最小化潜在损失。以下是采取的主要措施：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暂停汽、柴油深度加氢催化剂项目进度：为遏制危机蔓延，汽、柴油深度加氢催化剂项目暂时停止进行，以便全面评估当前状况。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资源重新分配：重新评估汽、柴油深度加氢催化剂项目资源的分配，确保最大限度地减小损失。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实时沟通：与关键利益相关者建立实时沟通机制，向他们传递汽、柴油深度加氢催化剂项目危机的实际状况，保障汽、柴油深度加氢催化剂项目核心利益。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在紧急应对的同时，汽、柴油深度加氢催化剂项目团队强调了团队协作和有效沟通的重要性。以下是团队协作的关键举措：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信息共享机制：建立了信息共享平台，确保团队成员能够及时获取汽、柴油深度加氢催化剂项目危机的实时信息。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领导者沟通：汽、柴油深度加氢催化剂项目领导者通过定期会议和即时沟通工具，指导团队应对危机，保持团队稳定运行。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随着危机得到初步控制，汽、柴油深度加氢催化剂项目团队转向制定恢复计划，以确保汽、柴油深度加氢催化剂项目能够从中迅速恢复。主要恢复计划包括：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修复受损的进度计划：重新评估汽、柴油深度加氢催化剂项目进度，制定修复计划，确保汽、柴油深度加氢催化剂项目尽快回归正常进程。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重新调整资源分配：优化资源分配，确保汽、柴油深度加氢催化剂项目在有限资源下高效运转。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风险管理机制加强：对汽、柴油深度加氢催化剂项目风险进行全面评估，制定更强化的风险管理策略，以预防未来可能的危机。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29811"/>
      <w:r>
        <w:rPr>
          <w:rFonts w:ascii="仿宋" w:eastAsia="仿宋" w:hAnsi="仿宋" w:cs="仿宋" w:hint="eastAsia"/>
          <w:sz w:val="28"/>
          <w:lang w:eastAsia="zh-CN"/>
        </w:rPr>
        <w:t>三、汽、柴油深度加氢催化剂项目可持续发展</w:t>
      </w:r>
      <w:bookmarkEnd w:id="8"/>
    </w:p>
    <w:p>
      <w:pPr>
        <w:pStyle w:val="Heading2"/>
        <w:rPr>
          <w:rFonts w:ascii="仿宋" w:eastAsia="仿宋" w:hAnsi="仿宋" w:cs="仿宋" w:hint="eastAsia"/>
          <w:lang w:eastAsia="zh-CN"/>
        </w:rPr>
      </w:pPr>
      <w:bookmarkStart w:id="9" w:name="_Toc11066"/>
      <w:r>
        <w:rPr>
          <w:rFonts w:ascii="仿宋" w:eastAsia="仿宋" w:hAnsi="仿宋" w:cs="仿宋" w:hint="eastAsia"/>
          <w:lang w:eastAsia="zh-CN"/>
        </w:rPr>
        <w:t>(一)、可持续战略与实践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汽、柴油深度加氢催化剂项目中，汽、柴油深度加氢催化剂项目团队着眼于未来，明确了可持续发展的战略方向。制定的具体可持续发展目标包括降低资源使用、采用环保技术、最大化社会效益等。这一步骤不仅有助于汽、柴油深度加氢催化剂项目在环保和社会责任方面达到最高标准，也为未来提供了明确的指引，确保汽、柴油深度加氢催化剂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可持续实践的融入汽、柴油深度加氢催化剂项目管理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汽、柴油深度加氢催化剂项目管理周期。从汽、柴油深度加氢催化剂项目规划开始，汽、柴油深度加氢催化剂项目团队就考虑了环境和社会的因素。在执行阶段，汽、柴油深度加氢催化剂项目团队积极推动绿色技术的应用，优化资源利用。此外，关注员工的社会责任，通过培训和沟通活动提高员工对可持续发展的认知，使他们能够在日常工作中践行可持续实践。这些举措不仅为汽、柴油深度加氢催化剂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0" w:name="_Toc8590"/>
      <w:r>
        <w:rPr>
          <w:rFonts w:ascii="仿宋" w:eastAsia="仿宋" w:hAnsi="仿宋" w:cs="仿宋" w:hint="eastAsia"/>
          <w:sz w:val="28"/>
          <w:lang w:eastAsia="zh-CN"/>
        </w:rPr>
        <w:t>(二)、环保与社会责任</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汽、柴油深度加氢催化剂项目的可持续发展理念，我们深信环保与社会责任是汽、柴油深度加氢催化剂项目成功的关键支柱。在汽、柴油深度加氢催化剂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汽、柴油深度加氢催化剂项目团队通过引入先进的环保技术、建立高效的废物处理系统以及推动能源节约措施，积极履行环保责任。定期的环保监测和评估确保汽、柴油深度加氢催化剂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汽、柴油深度加氢催化剂项目不仅致力于自身可持续发展，还注重对社会的回馈。通过支持社区汽、柴油深度加氢催化剂项目、参与慈善事业、提供培训机会等方式，汽、柴油深度加氢催化剂项目积极履行社会责任。与当地社区建立积极互动，关注员工的工作与生活平衡，以及员工的身心健康，是汽、柴油深度加氢催化剂项目在社会责任层面的关键举措。这样的实践不仅增强了汽、柴油深度加氢催化剂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1" w:name="_Toc8454"/>
      <w:r>
        <w:rPr>
          <w:rFonts w:ascii="仿宋" w:eastAsia="仿宋" w:hAnsi="仿宋" w:cs="仿宋" w:hint="eastAsia"/>
          <w:sz w:val="28"/>
          <w:lang w:eastAsia="zh-CN"/>
        </w:rPr>
        <w:t>四、汽、柴油深度加氢催化剂项目选址可行性分析</w:t>
      </w:r>
      <w:bookmarkEnd w:id="11"/>
    </w:p>
    <w:p>
      <w:pPr>
        <w:pStyle w:val="Heading2"/>
        <w:rPr>
          <w:rFonts w:ascii="仿宋" w:eastAsia="仿宋" w:hAnsi="仿宋" w:cs="仿宋" w:hint="eastAsia"/>
          <w:lang w:eastAsia="zh-CN"/>
        </w:rPr>
      </w:pPr>
      <w:bookmarkStart w:id="12" w:name="_Toc9205"/>
      <w:r>
        <w:rPr>
          <w:rFonts w:ascii="仿宋" w:eastAsia="仿宋" w:hAnsi="仿宋" w:cs="仿宋" w:hint="eastAsia"/>
          <w:lang w:eastAsia="zh-CN"/>
        </w:rPr>
        <w:t>(一)、汽、柴油深度加氢催化剂项目选址</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该汽、柴油深度加氢催化剂项目选址位于XX省XX市XX区XXX街道</w:t>
      </w:r>
    </w:p>
    <w:p>
      <w:pPr>
        <w:pStyle w:val="Heading2"/>
        <w:ind w:firstLine="560" w:firstLineChars="200"/>
        <w:rPr>
          <w:rFonts w:ascii="仿宋" w:eastAsia="仿宋" w:hAnsi="仿宋" w:cs="仿宋" w:hint="eastAsia"/>
          <w:sz w:val="28"/>
          <w:lang w:eastAsia="zh-CN"/>
        </w:rPr>
      </w:pPr>
      <w:bookmarkStart w:id="13" w:name="_Toc23823"/>
      <w:r>
        <w:rPr>
          <w:rFonts w:ascii="仿宋" w:eastAsia="仿宋" w:hAnsi="仿宋" w:cs="仿宋" w:hint="eastAsia"/>
          <w:sz w:val="28"/>
          <w:lang w:eastAsia="zh-CN"/>
        </w:rPr>
        <w:t>(二)、用地控制指标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汽、柴油深度加氢催化剂项目的征地面积将根据汽、柴油深度加氢催化剂项目的实际规模和需求进行精确规划。具体面积XXX平方米，旨在确保汽、柴油深度加氢催化剂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净用地面积是在征地面积基础上去除不可利用面积后的实际可开发用地。具体面积XXX平方米，考虑到环保、交通、安全等多方面因素，以确保汽、柴油深度加氢催化剂项目在整体利用效率上达到最优。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汽、柴油深度加氢催化剂项目计划建设的建筑总规模具体面积XXX平方米。这一规模的确定综合考虑了汽、柴油深度加氢催化剂项目的性质、规模，以及城市规划的相关要求，确保建筑布局与周边环境协调一致。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绿地率是汽、柴油深度加氢催化剂项目用地中被规划为绿地的比例。具体面积XXX平方米，旨在通过合理规划绿地，改善汽、柴油深度加氢催化剂项目周边环境，提升居民生活质量，并符合城市整体绿化规划。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容积率是用地上可以建设的建筑总体积与用地面积之比。具体面积XXX，通过合理的容积率规划，确保汽、柴油深度加氢催化剂项目建筑规模与周边环境和谐共生。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汽、柴油深度加氢催化剂项目选址与当地城市规划相一致，具体面积XXX平方米。通过与城市规划部门深入沟通，确保汽、柴油深度加氢催化剂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7. 产业政策符合性： 充分了解并确保汽、柴油深度加氢催化剂项目选址符合当地产业政策，具体面积XXX平方米。这包括汽、柴油深度加氢催化剂项目对当地经济的促进作用，以及对相关产业的带动效应，确保汽、柴油深度加氢催化剂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汽、柴油深度加氢催化剂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确保汽、柴油深度加氢催化剂项目选址具备必要的公共设施配套，具体面积XXX平方米。这包括交通便利性、教育、医疗等基础设施，以提高居民生活品质，使得汽、柴油深度加氢催化剂项目选址更具吸引力。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考虑用地总体要求对当地社会稳定性的影响，具体面积XXX平方米。通过深入了解当地社区反馈，确保汽、柴油深度加氢催化剂项目的选址和建设过程对当地社会和谐稳定产生积极作用。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汽、柴油深度加氢催化剂项目选址不仅符合法规和规划，还在实际操作中具有可行性。这一全面规划将为汽、柴油深度加氢催化剂项目的成功实施提供坚实的基础，确保汽、柴油深度加氢催化剂项目选址阶段就能够奠定良好的发展基础。</w:t>
      </w:r>
    </w:p>
    <w:p>
      <w:pPr>
        <w:pStyle w:val="Heading2"/>
        <w:ind w:firstLine="560" w:firstLineChars="200"/>
        <w:rPr>
          <w:rFonts w:ascii="仿宋" w:eastAsia="仿宋" w:hAnsi="仿宋" w:cs="仿宋" w:hint="eastAsia"/>
          <w:sz w:val="28"/>
          <w:lang w:eastAsia="zh-CN"/>
        </w:rPr>
      </w:pPr>
      <w:bookmarkStart w:id="14" w:name="_Toc23105"/>
      <w:r>
        <w:rPr>
          <w:rFonts w:ascii="仿宋" w:eastAsia="仿宋" w:hAnsi="仿宋" w:cs="仿宋" w:hint="eastAsia"/>
          <w:sz w:val="28"/>
          <w:lang w:eastAsia="zh-CN"/>
        </w:rPr>
        <w:t>(三)、节约用地措施</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汽、柴油深度加氢催化剂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汽、柴油深度加氢催化剂项目的设备规划和空间设计中，我们将采取灵活设备布局的措施。设备布局将根据实际需求进行灵活设计，避免不必要的浪费。通过合理规划设备摆放位置，我们将提高设备的利用率，减少设备间距，以确保汽、柴油深度加氢催化剂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进一步，我们计划在汽、柴油深度加氢催化剂项目内部引入共享设施的概念，例如共享会议室、办公区等。通过这种方式，我们可以减少对资源的重复建设，提高资源共享效率，从而减小汽、柴油深度加氢催化剂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5" w:name="_Toc24222"/>
      <w:r>
        <w:rPr>
          <w:rFonts w:ascii="仿宋" w:eastAsia="仿宋" w:hAnsi="仿宋" w:cs="仿宋" w:hint="eastAsia"/>
          <w:sz w:val="28"/>
          <w:lang w:eastAsia="zh-CN"/>
        </w:rPr>
        <w:t>(四)、总图布置方案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汽、柴油深度加氢催化剂项目的总图布置中，我们将不同功能区域进行明确的规划，以最大程度满足汽、柴油深度加氢催化剂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6" w:name="_Toc15705"/>
      <w:r>
        <w:rPr>
          <w:rFonts w:ascii="仿宋" w:eastAsia="仿宋" w:hAnsi="仿宋" w:cs="仿宋" w:hint="eastAsia"/>
          <w:sz w:val="28"/>
          <w:lang w:eastAsia="zh-CN"/>
        </w:rPr>
        <w:t>(五)、选址综合评价</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汽、柴油深度加氢催化剂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汽、柴油深度加氢催化剂项目对环境的影响是综合评价的重要因素之一。我们将详细考虑选址周边的自然环境、生态保护区、水源地等情况，确保汽、柴油深度加氢催化剂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汽、柴油深度加氢催化剂项目所在地的相关政策，确保汽、柴油深度加氢催化剂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考虑到社会稳定性对企业运营的重要性，我们将评估选址地区的社会安全情况、劳工关系、社区反馈等方面，以确保汽、柴油深度加氢催化剂项目的建设和运营不会受到社会稳定性的负面影响。</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用地成本：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最后，我们将综合考虑用地成本，包括土地购置费用、土地开发成本等。通过对用地成本的详细评估，我们能够做出更为精确的经济效益分析，为汽、柴油深度加氢催化剂项目的投资决策提供有力支持。</w:t>
      </w:r>
    </w:p>
    <w:p>
      <w:pPr>
        <w:pStyle w:val="Heading1"/>
        <w:ind w:firstLine="560" w:firstLineChars="200"/>
        <w:rPr>
          <w:rFonts w:ascii="仿宋" w:eastAsia="仿宋" w:hAnsi="仿宋" w:cs="仿宋" w:hint="eastAsia"/>
          <w:sz w:val="28"/>
          <w:lang w:eastAsia="zh-CN"/>
        </w:rPr>
      </w:pPr>
      <w:bookmarkStart w:id="17" w:name="_Toc32414"/>
      <w:r>
        <w:rPr>
          <w:rFonts w:ascii="仿宋" w:eastAsia="仿宋" w:hAnsi="仿宋" w:cs="仿宋" w:hint="eastAsia"/>
          <w:sz w:val="28"/>
          <w:lang w:eastAsia="zh-CN"/>
        </w:rPr>
        <w:t>五、市场分析、调研</w:t>
      </w:r>
      <w:bookmarkEnd w:id="17"/>
    </w:p>
    <w:p>
      <w:pPr>
        <w:pStyle w:val="Heading2"/>
        <w:rPr>
          <w:rFonts w:ascii="仿宋" w:eastAsia="仿宋" w:hAnsi="仿宋" w:cs="仿宋" w:hint="eastAsia"/>
          <w:lang w:eastAsia="zh-CN"/>
        </w:rPr>
      </w:pPr>
      <w:bookmarkStart w:id="18" w:name="_Toc32671"/>
      <w:r>
        <w:rPr>
          <w:rFonts w:ascii="仿宋" w:eastAsia="仿宋" w:hAnsi="仿宋" w:cs="仿宋" w:hint="eastAsia"/>
          <w:lang w:eastAsia="zh-CN"/>
        </w:rPr>
        <w:t>(一)、汽、柴油深度加氢催化剂行业分析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汽、柴油深度加氢催化剂行业一直以来都是市场的关注焦点。行业内的发展趋势、竞争态势以及潜在机会都对汽、柴油深度加氢催化剂项目的推进产生深远的影响。通过深入研究行业的整体概貌，我们将更好地理解行业的核心特征，为汽、柴油深度加氢催化剂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汽、柴油深度加氢催化剂行业，技术一直是推动创新和发展的关键因素。我们将对当前技术趋势进行详尽分析，包括但不限于人工智能、大数据应用、先进制造技术等。这有助于汽、柴油深度加氢催化剂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汽、柴油深度加氢催化剂项目成功的基础。我们将对主要竞争对手进行深入研究，包括其市场份额、产品特点、市场定位等。通过全面了解竞争对手的优势和劣势，汽、柴油深度加氢催化剂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9" w:name="_Toc22174"/>
      <w:r>
        <w:rPr>
          <w:rFonts w:ascii="仿宋" w:eastAsia="仿宋" w:hAnsi="仿宋" w:cs="仿宋" w:hint="eastAsia"/>
          <w:sz w:val="28"/>
          <w:lang w:eastAsia="zh-CN"/>
        </w:rPr>
        <w:t>(二)、汽、柴油深度加氢催化剂市场分析预测</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汽、柴油深度加氢催化剂市场未来的增长趋势。这包括市场的整体规模、各细分领域的发展趋势等。汽、柴油深度加氢催化剂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汽、柴油深度加氢催化剂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汽、柴油深度加氢催化剂项目实施过程中需要充分考虑的因素。我们将对市场风险进行全面评估，包括但不限于政策法规风险、市场竞争风险、技术变革风险等。通过对潜在风险的深入分析，汽、柴油深度加氢催化剂项目可以制定相应的风险缓解策略，降低不确定性对汽、柴油深度加氢催化剂项目的影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https://d.book118.com/035203110243011121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汽、柴油深度加氢催化剂项目规划设计方案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汽、柴油深度加氢催化剂项目规划设计方案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汽、柴油深度加氢催化剂项目规划设计方案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汽、柴油深度加氢催化剂项目规划设计方案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汽、柴油深度加氢催化剂项目规划设计方案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汽、柴油深度加氢催化剂项目规划设计方案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汽、柴油深度加氢催化剂项目规划设计方案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汽、柴油深度加氢催化剂项目规划设计方案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汽、柴油深度加氢催化剂项目规划设计方案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汽、柴油深度加氢催化剂项目规划设计方案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汽、柴油深度加氢催化剂项目规划设计方案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汽、柴油深度加氢催化剂项目规划设计方案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汽、柴油深度加氢催化剂项目规划设计方案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汽、柴油深度加氢催化剂项目规划设计方案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汽、柴油深度加氢催化剂项目规划设计方案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汽、柴油深度加氢催化剂项目规划设计方案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汽、柴油深度加氢催化剂项目规划设计方案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5E23935"/>
    <w:rsid w:val="45E2393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3520311024301112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2024-03-02T03:43:00Z</dcterms:created>
  <dcterms:modified xsi:type="dcterms:W3CDTF">2024-03-02T03:43:34Z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54186329698A486CB40DD76F933323B3_11</vt:lpwstr>
  </property>
  <property fmtid="{D5CDD505-2E9C-101B-9397-08002B2CF9AE}" pid="3" name="KSOProductBuildVer">
    <vt:lpwstr>2052-12.1.0.16388</vt:lpwstr>
  </property>
</Properties>
</file>