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SPC战略市场规划报告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843" w:history="1">
        <w:r>
          <w:rPr>
            <w:rFonts w:ascii="仿宋" w:eastAsia="仿宋" w:hAnsi="仿宋" w:cs="仿宋" w:hint="eastAsia"/>
            <w:lang w:val="en-GB"/>
          </w:rPr>
          <w:t>前言</w:t>
        </w:r>
        <w:r>
          <w:tab/>
        </w:r>
        <w:r>
          <w:fldChar w:fldCharType="begin"/>
        </w:r>
        <w:r>
          <w:instrText xml:space="preserve"> PAGEREF _Toc13843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48" w:history="1">
        <w:r>
          <w:rPr>
            <w:rFonts w:ascii="仿宋" w:eastAsia="仿宋" w:hAnsi="仿宋" w:cs="仿宋" w:hint="eastAsia"/>
            <w:lang w:val="en-GB"/>
          </w:rPr>
          <w:t>一、SPC危机管理与应对策略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8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_Toc19358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4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_Toc15314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2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_Toc14002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_Toc860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_Toc1575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_Toc5909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7" w:history="1">
        <w:r>
          <w:rPr>
            <w:rFonts w:ascii="仿宋" w:eastAsia="仿宋" w:hAnsi="仿宋" w:cs="仿宋" w:hint="eastAsia"/>
            <w:lang w:val="en-GB"/>
          </w:rPr>
          <w:t>四、SPC行业发展现状</w:t>
        </w:r>
        <w:r>
          <w:tab/>
        </w:r>
        <w:r>
          <w:fldChar w:fldCharType="begin"/>
        </w:r>
        <w:r>
          <w:instrText xml:space="preserve"> PAGEREF _Toc28447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5" w:history="1">
        <w:r>
          <w:rPr>
            <w:rFonts w:ascii="仿宋" w:eastAsia="仿宋" w:hAnsi="仿宋" w:cs="仿宋" w:hint="eastAsia"/>
            <w:lang w:val="en-GB"/>
          </w:rPr>
          <w:t>(一)、SPC行业整体概况</w:t>
        </w:r>
        <w:r>
          <w:tab/>
        </w:r>
        <w:r>
          <w:fldChar w:fldCharType="begin"/>
        </w:r>
        <w:r>
          <w:instrText xml:space="preserve"> PAGEREF _Toc16585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9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_Toc6809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86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_Toc15386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5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_Toc13515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_Toc26191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2" w:history="1">
        <w:r>
          <w:rPr>
            <w:rFonts w:ascii="仿宋" w:eastAsia="仿宋" w:hAnsi="仿宋" w:cs="仿宋" w:hint="eastAsia"/>
            <w:lang w:val="en-GB"/>
          </w:rPr>
          <w:t>六、SPC新型运营方式</w:t>
        </w:r>
        <w:r>
          <w:tab/>
        </w:r>
        <w:r>
          <w:fldChar w:fldCharType="begin"/>
        </w:r>
        <w:r>
          <w:instrText xml:space="preserve"> PAGEREF _Toc9582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3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_Toc14783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9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_Toc25009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1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_Toc27991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0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_Toc26980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1" w:history="1">
        <w:r>
          <w:rPr>
            <w:rFonts w:ascii="仿宋" w:eastAsia="仿宋" w:hAnsi="仿宋" w:cs="仿宋" w:hint="eastAsia"/>
            <w:lang w:val="en-GB"/>
          </w:rPr>
          <w:t>七、SPC行业竞争对选址的影响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1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_Toc17671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4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_Toc10414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5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_Toc15765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0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_Toc10750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val="en-GB"/>
          </w:rPr>
          <w:t>八、SPC组织市场分析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9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_Toc31689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5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_Toc25715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8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_Toc22038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1" w:history="1">
        <w:r>
          <w:rPr>
            <w:rFonts w:ascii="仿宋" w:eastAsia="仿宋" w:hAnsi="仿宋" w:cs="仿宋" w:hint="eastAsia"/>
            <w:lang w:val="en-GB"/>
          </w:rPr>
          <w:t>九、SPC消费者市场分析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2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_Toc6922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_Toc8105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1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_Toc9401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377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_Toc27377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3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_Toc11653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7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_Toc9667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_Toc15878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2" w:history="1">
        <w:r>
          <w:rPr>
            <w:rFonts w:ascii="仿宋" w:eastAsia="仿宋" w:hAnsi="仿宋" w:cs="仿宋" w:hint="eastAsia"/>
            <w:lang w:val="en-GB"/>
          </w:rPr>
          <w:t>十一、SPC行业高质量发展</w:t>
        </w:r>
        <w:r>
          <w:tab/>
        </w:r>
        <w:r>
          <w:fldChar w:fldCharType="begin"/>
        </w:r>
        <w:r>
          <w:instrText xml:space="preserve"> PAGEREF _Toc28532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_Toc13556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6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_Toc15816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9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_Toc3859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4" w:history="1">
        <w:r>
          <w:rPr>
            <w:rFonts w:ascii="仿宋" w:eastAsia="仿宋" w:hAnsi="仿宋" w:cs="仿宋" w:hint="eastAsia"/>
            <w:lang w:val="en-GB"/>
          </w:rPr>
          <w:t>十二、SPC人才战略与团队建设</w:t>
        </w:r>
        <w:r>
          <w:tab/>
        </w:r>
        <w:r>
          <w:fldChar w:fldCharType="begin"/>
        </w:r>
        <w:r>
          <w:instrText xml:space="preserve"> PAGEREF _Toc25164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_Toc8805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5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_Toc31675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7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_Toc31407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2" w:history="1">
        <w:r>
          <w:rPr>
            <w:rFonts w:ascii="仿宋" w:eastAsia="仿宋" w:hAnsi="仿宋" w:cs="仿宋" w:hint="eastAsia"/>
            <w:lang w:val="en-GB"/>
          </w:rPr>
          <w:t>十三、SPC风险管理与合规</w:t>
        </w:r>
        <w:r>
          <w:tab/>
        </w:r>
        <w:r>
          <w:fldChar w:fldCharType="begin"/>
        </w:r>
        <w:r>
          <w:instrText xml:space="preserve"> PAGEREF _Toc3782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4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_Toc32504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2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_Toc26862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6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_Toc6666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0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_Toc6680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13843"/>
      <w:r>
        <w:rPr>
          <w:rFonts w:ascii="仿宋" w:eastAsia="仿宋" w:hAnsi="仿宋" w:cs="仿宋" w:hint="eastAsia"/>
          <w:lang w:val="en-GB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动荡不定的商业环境中，精准的SPC市场分析及创新的竞争策略对于企业的生存与发展至关重要。本报告深入调研各种市场因素，如需求动态、供给状况、技术革新及政策限制等，继而构建一套综合的市场分析框架。结合案例研究与数据统计，报告提出了针对性的竞争策略，以指导企业在复杂多变的市场中顺利导航。特此声明，本文档内容不可作为商业用途，仅供学习与交流之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0448"/>
      <w:r>
        <w:rPr>
          <w:rFonts w:ascii="仿宋" w:eastAsia="仿宋" w:hAnsi="仿宋" w:cs="仿宋" w:hint="eastAsia"/>
          <w:sz w:val="28"/>
          <w:lang w:val="en-GB"/>
        </w:rPr>
        <w:t>一、SPC危机管理与应对策略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9358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5314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SPC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7488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SPC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https://d.book118.com/035341243131011043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SPC战略市场规划报告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8F57BA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8F57BA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534124313101104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2024-01-08T13:48:00Z</dcterms:created>
  <dcterms:modified xsi:type="dcterms:W3CDTF">2024-01-08T13:48:35Z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A10D30AADA304EFA9DF23E1B2BFBDD65_11</vt:lpwstr>
  </property>
  <property fmtid="{D5CDD505-2E9C-101B-9397-08002B2CF9AE}" pid="3" name="KSOProductBuildVer">
    <vt:lpwstr>2052-12.1.0.16120</vt:lpwstr>
  </property>
</Properties>
</file>