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0"/>
        <w:keepLines w:val="0"/>
        <w:pageBreakBefore w:val="0"/>
        <w:widowControl/>
        <w:kinsoku/>
        <w:wordWrap/>
        <w:overflowPunct/>
        <w:topLinePunct w:val="0"/>
        <w:autoSpaceDE/>
        <w:autoSpaceDN/>
        <w:bidi w:val="0"/>
        <w:adjustRightInd/>
        <w:snapToGrid/>
        <w:spacing w:before="0" w:beforeAutospacing="0" w:after="0" w:afterAutospacing="0"/>
        <w:jc w:val="center"/>
        <w:textAlignment w:val="auto"/>
        <w:outlineLvl w:val="0"/>
        <w:rPr>
          <w:rFonts w:ascii="黑体" w:eastAsia="黑体" w:hAnsi="黑体" w:hint="eastAsia"/>
          <w:snapToGrid w:val="0"/>
          <w:color w:val="auto"/>
          <w:sz w:val="30"/>
          <w:szCs w:val="30"/>
          <w:highlight w:val="none"/>
        </w:rPr>
      </w:pPr>
      <w:r>
        <w:rPr>
          <w:rFonts w:ascii="黑体" w:eastAsia="黑体" w:hAnsi="黑体" w:hint="eastAsia"/>
          <w:snapToGrid w:val="0"/>
          <w:color w:val="auto"/>
          <w:sz w:val="30"/>
          <w:szCs w:val="30"/>
          <w:highlight w:val="none"/>
        </w:rPr>
        <w:t>一、建设项目基本情况</w:t>
      </w:r>
    </w:p>
    <w:tbl>
      <w:tblPr>
        <w:tblStyle w:val="TableNormal"/>
        <w:tblW w:w="0" w:type="auto"/>
        <w:jc w:val="center"/>
        <w:tblInd w:w="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0" w:type="dxa"/>
          <w:bottom w:w="0" w:type="dxa"/>
          <w:right w:w="0" w:type="dxa"/>
        </w:tblCellMar>
        <w:tblLook w:val="0000"/>
      </w:tblPr>
      <w:tblGrid>
        <w:gridCol w:w="1788"/>
        <w:gridCol w:w="2401"/>
        <w:gridCol w:w="1757"/>
        <w:gridCol w:w="2925"/>
      </w:tblGrid>
      <w:tr>
        <w:tblPrEx>
          <w:tblW w:w="0" w:type="auto"/>
          <w:jc w:val="center"/>
          <w:tblInd w:w="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0" w:type="dxa"/>
            <w:bottom w:w="0" w:type="dxa"/>
            <w:right w:w="0" w:type="dxa"/>
          </w:tblCellMar>
          <w:tblLook w:val="0000"/>
        </w:tblPrEx>
        <w:trPr>
          <w:trHeight w:val="454"/>
          <w:jc w:val="center"/>
        </w:trPr>
        <w:tc>
          <w:tcPr>
            <w:tcW w:w="1788" w:type="dxa"/>
            <w:tcBorders>
              <w:tl2br w:val="nil"/>
              <w:tr2bl w:val="nil"/>
            </w:tcBorders>
            <w:tcMar>
              <w:top w:w="16" w:type="dxa"/>
              <w:left w:w="16" w:type="dxa"/>
              <w:right w:w="16" w:type="dxa"/>
            </w:tcMar>
            <w:vAlign w:val="center"/>
          </w:tcPr>
          <w:p>
            <w:pPr>
              <w:adjustRightInd w:val="0"/>
              <w:snapToGrid w:val="0"/>
              <w:jc w:val="center"/>
              <w:rPr>
                <w:rFonts w:cs="Times New Roman" w:hint="default"/>
                <w:b/>
                <w:bCs/>
                <w:color w:val="auto"/>
                <w:sz w:val="24"/>
                <w:highlight w:val="none"/>
              </w:rPr>
            </w:pPr>
            <w:r>
              <w:rPr>
                <w:rFonts w:ascii="Times New Roman" w:hAnsi="Times New Roman" w:cs="Times New Roman" w:hint="default"/>
                <w:b/>
                <w:bCs/>
                <w:color w:val="auto"/>
                <w:sz w:val="24"/>
                <w:szCs w:val="24"/>
                <w:highlight w:val="none"/>
              </w:rPr>
              <w:t>建设项目名称</w:t>
            </w:r>
          </w:p>
        </w:tc>
        <w:tc>
          <w:tcPr>
            <w:tcW w:w="7083" w:type="dxa"/>
            <w:gridSpan w:val="3"/>
            <w:tcBorders>
              <w:tl2br w:val="nil"/>
              <w:tr2bl w:val="nil"/>
            </w:tcBorders>
            <w:vAlign w:val="center"/>
          </w:tcPr>
          <w:p>
            <w:pPr>
              <w:adjustRightInd w:val="0"/>
              <w:snapToGrid w:val="0"/>
              <w:jc w:val="center"/>
              <w:rPr>
                <w:rFonts w:cs="Times New Roman" w:hint="eastAsia"/>
                <w:color w:val="auto"/>
                <w:sz w:val="24"/>
                <w:highlight w:val="none"/>
              </w:rPr>
            </w:pPr>
            <w:r>
              <w:rPr>
                <w:rFonts w:cs="Times New Roman" w:hint="eastAsia"/>
                <w:color w:val="auto"/>
                <w:sz w:val="24"/>
                <w:szCs w:val="24"/>
                <w:highlight w:val="none"/>
                <w:lang w:eastAsia="zh-CN"/>
              </w:rPr>
              <w:t>陕西建工装配式智造科技有限公司PC工厂天然气蒸汽发生器项目</w:t>
            </w:r>
          </w:p>
        </w:tc>
      </w:tr>
      <w:tr>
        <w:tblPrEx>
          <w:tblW w:w="0" w:type="auto"/>
          <w:jc w:val="center"/>
          <w:tblInd w:w="1" w:type="dxa"/>
          <w:tblLayout w:type="fixed"/>
          <w:tblCellMar>
            <w:top w:w="0" w:type="dxa"/>
            <w:left w:w="0" w:type="dxa"/>
            <w:bottom w:w="0" w:type="dxa"/>
            <w:right w:w="0" w:type="dxa"/>
          </w:tblCellMar>
          <w:tblLook w:val="0000"/>
        </w:tblPrEx>
        <w:trPr>
          <w:trHeight w:val="454"/>
          <w:jc w:val="center"/>
        </w:trPr>
        <w:tc>
          <w:tcPr>
            <w:tcW w:w="1788" w:type="dxa"/>
            <w:tcBorders>
              <w:tl2br w:val="nil"/>
              <w:tr2bl w:val="nil"/>
            </w:tcBorders>
            <w:tcMar>
              <w:top w:w="16" w:type="dxa"/>
              <w:left w:w="16" w:type="dxa"/>
              <w:right w:w="16" w:type="dxa"/>
            </w:tcMar>
            <w:vAlign w:val="center"/>
          </w:tcPr>
          <w:p>
            <w:pPr>
              <w:adjustRightInd w:val="0"/>
              <w:snapToGrid w:val="0"/>
              <w:jc w:val="center"/>
              <w:rPr>
                <w:rFonts w:cs="Times New Roman" w:hint="default"/>
                <w:b/>
                <w:bCs/>
                <w:color w:val="auto"/>
                <w:sz w:val="24"/>
                <w:highlight w:val="none"/>
              </w:rPr>
            </w:pPr>
            <w:r>
              <w:rPr>
                <w:rFonts w:ascii="Times New Roman" w:hAnsi="Times New Roman" w:cs="Times New Roman" w:hint="default"/>
                <w:b/>
                <w:bCs/>
                <w:color w:val="auto"/>
                <w:sz w:val="24"/>
                <w:szCs w:val="24"/>
                <w:highlight w:val="none"/>
              </w:rPr>
              <w:t>项目代码</w:t>
            </w:r>
          </w:p>
        </w:tc>
        <w:tc>
          <w:tcPr>
            <w:tcW w:w="7083" w:type="dxa"/>
            <w:gridSpan w:val="3"/>
            <w:tcBorders>
              <w:tl2br w:val="nil"/>
              <w:tr2bl w:val="nil"/>
            </w:tcBorders>
            <w:vAlign w:val="center"/>
          </w:tcPr>
          <w:p>
            <w:pPr>
              <w:adjustRightInd w:val="0"/>
              <w:snapToGrid w:val="0"/>
              <w:jc w:val="center"/>
              <w:rPr>
                <w:rFonts w:cs="Times New Roman" w:hint="default"/>
                <w:color w:val="auto"/>
                <w:sz w:val="24"/>
                <w:highlight w:val="none"/>
              </w:rPr>
            </w:pPr>
            <w:r>
              <w:rPr>
                <w:rFonts w:ascii="Times New Roman" w:eastAsia="宋体" w:hAnsi="Times New Roman" w:cs="Times New Roman" w:hint="eastAsia"/>
                <w:color w:val="auto"/>
                <w:sz w:val="24"/>
                <w:szCs w:val="24"/>
                <w:highlight w:val="none"/>
                <w:lang w:val="en-US" w:eastAsia="zh-CN"/>
              </w:rPr>
              <w:t>2208-610261-04-02-217753</w:t>
            </w:r>
          </w:p>
        </w:tc>
      </w:tr>
      <w:tr>
        <w:tblPrEx>
          <w:tblW w:w="0" w:type="auto"/>
          <w:jc w:val="center"/>
          <w:tblInd w:w="1" w:type="dxa"/>
          <w:tblLayout w:type="fixed"/>
          <w:tblCellMar>
            <w:top w:w="0" w:type="dxa"/>
            <w:left w:w="0" w:type="dxa"/>
            <w:bottom w:w="0" w:type="dxa"/>
            <w:right w:w="0" w:type="dxa"/>
          </w:tblCellMar>
          <w:tblLook w:val="0000"/>
        </w:tblPrEx>
        <w:trPr>
          <w:trHeight w:val="454"/>
          <w:jc w:val="center"/>
        </w:trPr>
        <w:tc>
          <w:tcPr>
            <w:tcW w:w="1788" w:type="dxa"/>
            <w:tcBorders>
              <w:tl2br w:val="nil"/>
              <w:tr2bl w:val="nil"/>
            </w:tcBorders>
            <w:tcMar>
              <w:top w:w="16" w:type="dxa"/>
              <w:left w:w="16" w:type="dxa"/>
              <w:right w:w="16" w:type="dxa"/>
            </w:tcMar>
            <w:vAlign w:val="center"/>
          </w:tcPr>
          <w:p>
            <w:pPr>
              <w:adjustRightInd w:val="0"/>
              <w:snapToGrid w:val="0"/>
              <w:jc w:val="center"/>
              <w:rPr>
                <w:rFonts w:cs="Times New Roman" w:hint="default"/>
                <w:b/>
                <w:bCs/>
                <w:color w:val="auto"/>
                <w:sz w:val="24"/>
                <w:highlight w:val="none"/>
              </w:rPr>
            </w:pPr>
            <w:r>
              <w:rPr>
                <w:rFonts w:ascii="Times New Roman" w:hAnsi="Times New Roman" w:cs="Times New Roman" w:hint="default"/>
                <w:b/>
                <w:bCs/>
                <w:color w:val="auto"/>
                <w:sz w:val="24"/>
                <w:szCs w:val="24"/>
                <w:highlight w:val="none"/>
              </w:rPr>
              <w:t>建设单位联系人</w:t>
            </w:r>
          </w:p>
        </w:tc>
        <w:tc>
          <w:tcPr>
            <w:tcW w:w="2401" w:type="dxa"/>
            <w:tcBorders>
              <w:tl2br w:val="nil"/>
              <w:tr2bl w:val="nil"/>
            </w:tcBorders>
            <w:vAlign w:val="center"/>
          </w:tcPr>
          <w:p>
            <w:pPr>
              <w:adjustRightInd w:val="0"/>
              <w:snapToGrid w:val="0"/>
              <w:jc w:val="center"/>
              <w:rPr>
                <w:rFonts w:cs="Times New Roman" w:hint="default"/>
                <w:color w:val="auto"/>
                <w:sz w:val="24"/>
                <w:highlight w:val="none"/>
              </w:rPr>
            </w:pPr>
          </w:p>
        </w:tc>
        <w:tc>
          <w:tcPr>
            <w:tcW w:w="1757" w:type="dxa"/>
            <w:tcBorders>
              <w:tl2br w:val="nil"/>
              <w:tr2bl w:val="nil"/>
            </w:tcBorders>
            <w:vAlign w:val="center"/>
          </w:tcPr>
          <w:p>
            <w:pPr>
              <w:adjustRightInd w:val="0"/>
              <w:snapToGrid w:val="0"/>
              <w:jc w:val="center"/>
              <w:rPr>
                <w:rFonts w:cs="Times New Roman" w:hint="default"/>
                <w:color w:val="auto"/>
                <w:sz w:val="24"/>
                <w:highlight w:val="none"/>
              </w:rPr>
            </w:pPr>
            <w:r>
              <w:rPr>
                <w:rFonts w:ascii="Times New Roman" w:hAnsi="Times New Roman" w:cs="Times New Roman" w:hint="default"/>
                <w:b/>
                <w:bCs/>
                <w:color w:val="auto"/>
                <w:sz w:val="24"/>
                <w:szCs w:val="24"/>
                <w:highlight w:val="none"/>
              </w:rPr>
              <w:t>联系方式</w:t>
            </w:r>
          </w:p>
        </w:tc>
        <w:tc>
          <w:tcPr>
            <w:tcW w:w="2925" w:type="dxa"/>
            <w:tcBorders>
              <w:tl2br w:val="nil"/>
              <w:tr2bl w:val="nil"/>
            </w:tcBorders>
            <w:vAlign w:val="center"/>
          </w:tcPr>
          <w:p>
            <w:pPr>
              <w:adjustRightInd w:val="0"/>
              <w:snapToGrid w:val="0"/>
              <w:jc w:val="center"/>
              <w:rPr>
                <w:rFonts w:cs="Times New Roman" w:hint="default"/>
                <w:color w:val="auto"/>
                <w:sz w:val="24"/>
                <w:highlight w:val="none"/>
              </w:rPr>
            </w:pPr>
          </w:p>
        </w:tc>
      </w:tr>
      <w:tr>
        <w:tblPrEx>
          <w:tblW w:w="0" w:type="auto"/>
          <w:jc w:val="center"/>
          <w:tblInd w:w="1" w:type="dxa"/>
          <w:tblLayout w:type="fixed"/>
          <w:tblCellMar>
            <w:top w:w="0" w:type="dxa"/>
            <w:left w:w="0" w:type="dxa"/>
            <w:bottom w:w="0" w:type="dxa"/>
            <w:right w:w="0" w:type="dxa"/>
          </w:tblCellMar>
          <w:tblLook w:val="0000"/>
        </w:tblPrEx>
        <w:trPr>
          <w:trHeight w:val="454"/>
          <w:jc w:val="center"/>
        </w:trPr>
        <w:tc>
          <w:tcPr>
            <w:tcW w:w="1788" w:type="dxa"/>
            <w:tcBorders>
              <w:tl2br w:val="nil"/>
              <w:tr2bl w:val="nil"/>
            </w:tcBorders>
            <w:tcMar>
              <w:top w:w="16" w:type="dxa"/>
              <w:left w:w="16" w:type="dxa"/>
              <w:right w:w="16" w:type="dxa"/>
            </w:tcMar>
            <w:vAlign w:val="center"/>
          </w:tcPr>
          <w:p>
            <w:pPr>
              <w:adjustRightInd w:val="0"/>
              <w:snapToGrid w:val="0"/>
              <w:jc w:val="center"/>
              <w:rPr>
                <w:rFonts w:cs="Times New Roman" w:hint="default"/>
                <w:b/>
                <w:bCs/>
                <w:color w:val="auto"/>
                <w:sz w:val="24"/>
                <w:highlight w:val="none"/>
              </w:rPr>
            </w:pPr>
            <w:r>
              <w:rPr>
                <w:rFonts w:ascii="Times New Roman" w:hAnsi="Times New Roman" w:cs="Times New Roman" w:hint="default"/>
                <w:b/>
                <w:bCs/>
                <w:color w:val="auto"/>
                <w:sz w:val="24"/>
                <w:szCs w:val="24"/>
                <w:highlight w:val="none"/>
              </w:rPr>
              <w:t>建设地点</w:t>
            </w:r>
          </w:p>
        </w:tc>
        <w:tc>
          <w:tcPr>
            <w:tcW w:w="7083" w:type="dxa"/>
            <w:gridSpan w:val="3"/>
            <w:tcBorders>
              <w:tl2br w:val="nil"/>
              <w:tr2bl w:val="nil"/>
            </w:tcBorders>
            <w:vAlign w:val="center"/>
          </w:tcPr>
          <w:p>
            <w:pPr>
              <w:adjustRightInd w:val="0"/>
              <w:snapToGrid w:val="0"/>
              <w:jc w:val="center"/>
              <w:rPr>
                <w:rFonts w:cs="Times New Roman" w:hint="eastAsia"/>
                <w:color w:val="auto"/>
                <w:sz w:val="24"/>
                <w:highlight w:val="none"/>
                <w:u w:val="none"/>
              </w:rPr>
            </w:pPr>
            <w:r>
              <w:rPr>
                <w:rFonts w:cs="Times New Roman" w:hint="eastAsia"/>
                <w:color w:val="auto"/>
                <w:sz w:val="24"/>
                <w:szCs w:val="24"/>
                <w:highlight w:val="none"/>
                <w:u w:val="none"/>
                <w:lang w:val="en-US" w:eastAsia="zh-CN"/>
              </w:rPr>
              <w:t>陕西省铜川市新区新材料产业园照金路与经三路十字西北角</w:t>
            </w:r>
          </w:p>
          <w:p>
            <w:pPr>
              <w:adjustRightInd w:val="0"/>
              <w:snapToGrid w:val="0"/>
              <w:jc w:val="center"/>
              <w:rPr>
                <w:rFonts w:cs="Times New Roman" w:hint="default"/>
                <w:color w:val="auto"/>
                <w:sz w:val="24"/>
                <w:highlight w:val="none"/>
              </w:rPr>
            </w:pPr>
            <w:r>
              <w:rPr>
                <w:rFonts w:cs="Times New Roman" w:hint="eastAsia"/>
                <w:color w:val="auto"/>
                <w:sz w:val="24"/>
                <w:szCs w:val="24"/>
                <w:highlight w:val="none"/>
                <w:u w:val="none"/>
                <w:lang w:val="en-US" w:eastAsia="zh-CN"/>
              </w:rPr>
              <w:t>PC车间西北角</w:t>
            </w:r>
          </w:p>
        </w:tc>
      </w:tr>
      <w:tr>
        <w:tblPrEx>
          <w:tblW w:w="0" w:type="auto"/>
          <w:jc w:val="center"/>
          <w:tblInd w:w="1" w:type="dxa"/>
          <w:tblLayout w:type="fixed"/>
          <w:tblCellMar>
            <w:top w:w="0" w:type="dxa"/>
            <w:left w:w="0" w:type="dxa"/>
            <w:bottom w:w="0" w:type="dxa"/>
            <w:right w:w="0" w:type="dxa"/>
          </w:tblCellMar>
          <w:tblLook w:val="0000"/>
        </w:tblPrEx>
        <w:trPr>
          <w:trHeight w:val="454"/>
          <w:jc w:val="center"/>
        </w:trPr>
        <w:tc>
          <w:tcPr>
            <w:tcW w:w="1788" w:type="dxa"/>
            <w:tcBorders>
              <w:tl2br w:val="nil"/>
              <w:tr2bl w:val="nil"/>
            </w:tcBorders>
            <w:tcMar>
              <w:top w:w="16" w:type="dxa"/>
              <w:left w:w="16" w:type="dxa"/>
              <w:right w:w="16" w:type="dxa"/>
            </w:tcMar>
            <w:vAlign w:val="center"/>
          </w:tcPr>
          <w:p>
            <w:pPr>
              <w:adjustRightInd w:val="0"/>
              <w:snapToGrid w:val="0"/>
              <w:jc w:val="center"/>
              <w:rPr>
                <w:rFonts w:cs="Times New Roman" w:hint="default"/>
                <w:b/>
                <w:bCs/>
                <w:color w:val="auto"/>
                <w:sz w:val="24"/>
                <w:highlight w:val="none"/>
              </w:rPr>
            </w:pPr>
            <w:r>
              <w:rPr>
                <w:rFonts w:ascii="Times New Roman" w:hAnsi="Times New Roman" w:cs="Times New Roman" w:hint="default"/>
                <w:b/>
                <w:bCs/>
                <w:color w:val="auto"/>
                <w:sz w:val="24"/>
                <w:szCs w:val="24"/>
                <w:highlight w:val="none"/>
              </w:rPr>
              <w:t>地理坐标</w:t>
            </w:r>
          </w:p>
        </w:tc>
        <w:tc>
          <w:tcPr>
            <w:tcW w:w="7083" w:type="dxa"/>
            <w:gridSpan w:val="3"/>
            <w:tcBorders>
              <w:tl2br w:val="nil"/>
              <w:tr2bl w:val="nil"/>
            </w:tcBorders>
            <w:vAlign w:val="center"/>
          </w:tcPr>
          <w:p>
            <w:pPr>
              <w:jc w:val="center"/>
              <w:rPr>
                <w:rFonts w:cs="Times New Roman" w:hint="default"/>
                <w:color w:val="auto"/>
                <w:sz w:val="24"/>
                <w:highlight w:val="none"/>
              </w:rPr>
            </w:pPr>
            <w:r>
              <w:rPr>
                <w:rFonts w:ascii="Times New Roman" w:hAnsi="Times New Roman" w:cs="Times New Roman" w:hint="default"/>
                <w:color w:val="auto"/>
                <w:sz w:val="24"/>
                <w:szCs w:val="24"/>
                <w:highlight w:val="none"/>
              </w:rPr>
              <w:t>（</w:t>
            </w:r>
            <w:r>
              <w:rPr>
                <w:rFonts w:ascii="Times New Roman" w:hAnsi="Times New Roman" w:cs="Times New Roman" w:hint="default"/>
                <w:color w:val="auto"/>
                <w:sz w:val="24"/>
                <w:szCs w:val="24"/>
                <w:highlight w:val="none"/>
                <w:u w:val="single"/>
              </w:rPr>
              <w:t xml:space="preserve"> 10</w:t>
            </w:r>
            <w:r>
              <w:rPr>
                <w:rFonts w:cs="Times New Roman" w:hint="eastAsia"/>
                <w:color w:val="auto"/>
                <w:sz w:val="24"/>
                <w:szCs w:val="24"/>
                <w:highlight w:val="none"/>
                <w:u w:val="single"/>
                <w:lang w:val="en-US" w:eastAsia="zh-CN"/>
              </w:rPr>
              <w:t>8</w:t>
            </w:r>
            <w:r>
              <w:rPr>
                <w:rFonts w:ascii="Times New Roman" w:hAnsi="Times New Roman" w:cs="Times New Roman" w:hint="default"/>
                <w:color w:val="auto"/>
                <w:sz w:val="24"/>
                <w:szCs w:val="24"/>
                <w:highlight w:val="none"/>
                <w:u w:val="single"/>
              </w:rPr>
              <w:t xml:space="preserve"> </w:t>
            </w:r>
            <w:r>
              <w:rPr>
                <w:rFonts w:ascii="Times New Roman" w:hAnsi="Times New Roman" w:cs="Times New Roman" w:hint="default"/>
                <w:color w:val="auto"/>
                <w:sz w:val="24"/>
                <w:szCs w:val="24"/>
                <w:highlight w:val="none"/>
              </w:rPr>
              <w:t>度</w:t>
            </w:r>
            <w:r>
              <w:rPr>
                <w:rFonts w:ascii="Times New Roman" w:hAnsi="Times New Roman" w:cs="Times New Roman" w:hint="default"/>
                <w:color w:val="auto"/>
                <w:sz w:val="24"/>
                <w:szCs w:val="24"/>
                <w:highlight w:val="none"/>
                <w:u w:val="single"/>
              </w:rPr>
              <w:t xml:space="preserve"> </w:t>
            </w:r>
            <w:r>
              <w:rPr>
                <w:rFonts w:cs="Times New Roman" w:hint="eastAsia"/>
                <w:color w:val="auto"/>
                <w:sz w:val="24"/>
                <w:szCs w:val="24"/>
                <w:highlight w:val="none"/>
                <w:u w:val="single"/>
                <w:lang w:val="en-US" w:eastAsia="zh-CN"/>
              </w:rPr>
              <w:t xml:space="preserve">52 </w:t>
            </w:r>
            <w:r>
              <w:rPr>
                <w:rFonts w:ascii="Times New Roman" w:hAnsi="Times New Roman" w:cs="Times New Roman" w:hint="default"/>
                <w:color w:val="auto"/>
                <w:sz w:val="24"/>
                <w:szCs w:val="24"/>
                <w:highlight w:val="none"/>
              </w:rPr>
              <w:t>分</w:t>
            </w:r>
            <w:r>
              <w:rPr>
                <w:rFonts w:ascii="Times New Roman" w:hAnsi="Times New Roman" w:cs="Times New Roman" w:hint="default"/>
                <w:color w:val="auto"/>
                <w:sz w:val="24"/>
                <w:szCs w:val="24"/>
                <w:highlight w:val="none"/>
                <w:u w:val="single"/>
              </w:rPr>
              <w:t xml:space="preserve"> </w:t>
            </w:r>
            <w:r>
              <w:rPr>
                <w:rFonts w:cs="Times New Roman" w:hint="eastAsia"/>
                <w:color w:val="auto"/>
                <w:sz w:val="24"/>
                <w:szCs w:val="24"/>
                <w:highlight w:val="none"/>
                <w:u w:val="single"/>
                <w:lang w:val="en-US" w:eastAsia="zh-CN"/>
              </w:rPr>
              <w:t>30.859</w:t>
            </w:r>
            <w:r>
              <w:rPr>
                <w:rFonts w:ascii="Times New Roman" w:hAnsi="Times New Roman" w:cs="Times New Roman" w:hint="default"/>
                <w:color w:val="auto"/>
                <w:sz w:val="24"/>
                <w:szCs w:val="24"/>
                <w:highlight w:val="none"/>
                <w:u w:val="single"/>
              </w:rPr>
              <w:t xml:space="preserve"> </w:t>
            </w:r>
            <w:r>
              <w:rPr>
                <w:rFonts w:ascii="Times New Roman" w:hAnsi="Times New Roman" w:cs="Times New Roman" w:hint="default"/>
                <w:color w:val="auto"/>
                <w:sz w:val="24"/>
                <w:szCs w:val="24"/>
                <w:highlight w:val="none"/>
              </w:rPr>
              <w:t>秒，</w:t>
            </w:r>
            <w:r>
              <w:rPr>
                <w:rFonts w:ascii="Times New Roman" w:hAnsi="Times New Roman" w:cs="Times New Roman" w:hint="default"/>
                <w:color w:val="auto"/>
                <w:sz w:val="24"/>
                <w:szCs w:val="24"/>
                <w:highlight w:val="none"/>
                <w:u w:val="single"/>
              </w:rPr>
              <w:t xml:space="preserve"> 34 </w:t>
            </w:r>
            <w:r>
              <w:rPr>
                <w:rFonts w:ascii="Times New Roman" w:hAnsi="Times New Roman" w:cs="Times New Roman" w:hint="default"/>
                <w:color w:val="auto"/>
                <w:sz w:val="24"/>
                <w:szCs w:val="24"/>
                <w:highlight w:val="none"/>
              </w:rPr>
              <w:t>度</w:t>
            </w:r>
            <w:r>
              <w:rPr>
                <w:rFonts w:ascii="Times New Roman" w:hAnsi="Times New Roman" w:cs="Times New Roman" w:hint="default"/>
                <w:color w:val="auto"/>
                <w:sz w:val="24"/>
                <w:szCs w:val="24"/>
                <w:highlight w:val="none"/>
                <w:u w:val="single"/>
              </w:rPr>
              <w:t xml:space="preserve"> </w:t>
            </w:r>
            <w:r>
              <w:rPr>
                <w:rFonts w:cs="Times New Roman" w:hint="eastAsia"/>
                <w:color w:val="auto"/>
                <w:sz w:val="24"/>
                <w:szCs w:val="24"/>
                <w:highlight w:val="none"/>
                <w:u w:val="single"/>
                <w:lang w:val="en-US" w:eastAsia="zh-CN"/>
              </w:rPr>
              <w:t xml:space="preserve">51 </w:t>
            </w:r>
            <w:r>
              <w:rPr>
                <w:rFonts w:ascii="Times New Roman" w:hAnsi="Times New Roman" w:cs="Times New Roman" w:hint="default"/>
                <w:color w:val="auto"/>
                <w:sz w:val="24"/>
                <w:szCs w:val="24"/>
                <w:highlight w:val="none"/>
              </w:rPr>
              <w:t>分</w:t>
            </w:r>
            <w:r>
              <w:rPr>
                <w:rFonts w:ascii="Times New Roman" w:hAnsi="Times New Roman" w:cs="Times New Roman" w:hint="default"/>
                <w:color w:val="auto"/>
                <w:sz w:val="24"/>
                <w:szCs w:val="24"/>
                <w:highlight w:val="none"/>
                <w:u w:val="single"/>
              </w:rPr>
              <w:t xml:space="preserve"> </w:t>
            </w:r>
            <w:r>
              <w:rPr>
                <w:rFonts w:cs="Times New Roman" w:hint="eastAsia"/>
                <w:color w:val="auto"/>
                <w:sz w:val="24"/>
                <w:szCs w:val="24"/>
                <w:highlight w:val="none"/>
                <w:u w:val="single"/>
                <w:lang w:val="en-US" w:eastAsia="zh-CN"/>
              </w:rPr>
              <w:t>41.336</w:t>
            </w:r>
            <w:r>
              <w:rPr>
                <w:rFonts w:ascii="Times New Roman" w:hAnsi="Times New Roman" w:cs="Times New Roman" w:hint="default"/>
                <w:color w:val="auto"/>
                <w:sz w:val="24"/>
                <w:szCs w:val="24"/>
                <w:highlight w:val="none"/>
                <w:u w:val="single"/>
              </w:rPr>
              <w:t xml:space="preserve"> </w:t>
            </w:r>
            <w:r>
              <w:rPr>
                <w:rFonts w:ascii="Times New Roman" w:hAnsi="Times New Roman" w:cs="Times New Roman" w:hint="default"/>
                <w:color w:val="auto"/>
                <w:sz w:val="24"/>
                <w:szCs w:val="24"/>
                <w:highlight w:val="none"/>
              </w:rPr>
              <w:t>秒）</w:t>
            </w:r>
          </w:p>
        </w:tc>
      </w:tr>
      <w:tr>
        <w:tblPrEx>
          <w:tblW w:w="0" w:type="auto"/>
          <w:jc w:val="center"/>
          <w:tblInd w:w="1" w:type="dxa"/>
          <w:tblLayout w:type="fixed"/>
          <w:tblCellMar>
            <w:top w:w="0" w:type="dxa"/>
            <w:left w:w="0" w:type="dxa"/>
            <w:bottom w:w="0" w:type="dxa"/>
            <w:right w:w="0" w:type="dxa"/>
          </w:tblCellMar>
          <w:tblLook w:val="0000"/>
        </w:tblPrEx>
        <w:trPr>
          <w:trHeight w:val="454"/>
          <w:jc w:val="center"/>
        </w:trPr>
        <w:tc>
          <w:tcPr>
            <w:tcW w:w="1788" w:type="dxa"/>
            <w:tcBorders>
              <w:tl2br w:val="nil"/>
              <w:tr2bl w:val="nil"/>
            </w:tcBorders>
            <w:tcMar>
              <w:top w:w="16" w:type="dxa"/>
              <w:left w:w="16" w:type="dxa"/>
              <w:right w:w="16" w:type="dxa"/>
            </w:tcMar>
            <w:vAlign w:val="center"/>
          </w:tcPr>
          <w:p>
            <w:pPr>
              <w:adjustRightInd w:val="0"/>
              <w:snapToGrid w:val="0"/>
              <w:jc w:val="center"/>
              <w:rPr>
                <w:rFonts w:cs="Times New Roman" w:hint="default"/>
                <w:b/>
                <w:bCs/>
                <w:color w:val="auto"/>
                <w:sz w:val="24"/>
                <w:highlight w:val="none"/>
              </w:rPr>
            </w:pPr>
            <w:r>
              <w:rPr>
                <w:rFonts w:ascii="Times New Roman" w:hAnsi="Times New Roman" w:cs="Times New Roman" w:hint="default"/>
                <w:b/>
                <w:bCs/>
                <w:color w:val="auto"/>
                <w:sz w:val="24"/>
                <w:szCs w:val="24"/>
                <w:highlight w:val="none"/>
              </w:rPr>
              <w:t>国民经济</w:t>
            </w:r>
          </w:p>
          <w:p>
            <w:pPr>
              <w:adjustRightInd w:val="0"/>
              <w:snapToGrid w:val="0"/>
              <w:jc w:val="center"/>
              <w:rPr>
                <w:rFonts w:cs="Times New Roman" w:hint="default"/>
                <w:b/>
                <w:bCs/>
                <w:color w:val="auto"/>
                <w:sz w:val="24"/>
                <w:highlight w:val="none"/>
              </w:rPr>
            </w:pPr>
            <w:r>
              <w:rPr>
                <w:rFonts w:ascii="Times New Roman" w:hAnsi="Times New Roman" w:cs="Times New Roman" w:hint="default"/>
                <w:b/>
                <w:bCs/>
                <w:color w:val="auto"/>
                <w:sz w:val="24"/>
                <w:szCs w:val="24"/>
                <w:highlight w:val="none"/>
              </w:rPr>
              <w:t>行业类别</w:t>
            </w:r>
          </w:p>
        </w:tc>
        <w:tc>
          <w:tcPr>
            <w:tcW w:w="2401" w:type="dxa"/>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leftChars="0" w:rightChars="0" w:firstLineChars="0"/>
              <w:jc w:val="center"/>
              <w:textAlignment w:val="auto"/>
              <w:outlineLvl w:val="9"/>
              <w:rPr>
                <w:rFonts w:cs="Times New Roman" w:hint="default"/>
                <w:color w:val="auto"/>
                <w:sz w:val="24"/>
                <w:highlight w:val="none"/>
              </w:rPr>
            </w:pPr>
            <w:r>
              <w:rPr>
                <w:rFonts w:ascii="Times New Roman" w:hAnsi="Times New Roman" w:cs="Times New Roman" w:hint="default"/>
                <w:color w:val="auto"/>
                <w:sz w:val="24"/>
                <w:szCs w:val="24"/>
                <w:highlight w:val="none"/>
              </w:rPr>
              <w:t>D4430热力生</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leftChars="0" w:rightChars="0" w:firstLineChars="0"/>
              <w:jc w:val="center"/>
              <w:textAlignment w:val="auto"/>
              <w:outlineLvl w:val="9"/>
              <w:rPr>
                <w:rFonts w:cs="Times New Roman" w:hint="default"/>
                <w:color w:val="auto"/>
                <w:sz w:val="24"/>
                <w:highlight w:val="none"/>
              </w:rPr>
            </w:pPr>
            <w:r>
              <w:rPr>
                <w:rFonts w:ascii="Times New Roman" w:hAnsi="Times New Roman" w:cs="Times New Roman" w:hint="default"/>
                <w:color w:val="auto"/>
                <w:sz w:val="24"/>
                <w:szCs w:val="24"/>
                <w:highlight w:val="none"/>
              </w:rPr>
              <w:t>产和供应</w:t>
            </w:r>
          </w:p>
        </w:tc>
        <w:tc>
          <w:tcPr>
            <w:tcW w:w="1757" w:type="dxa"/>
            <w:tcBorders>
              <w:tl2br w:val="nil"/>
              <w:tr2bl w:val="nil"/>
            </w:tcBorders>
            <w:vAlign w:val="center"/>
          </w:tcPr>
          <w:p>
            <w:pPr>
              <w:adjustRightInd w:val="0"/>
              <w:snapToGrid w:val="0"/>
              <w:jc w:val="center"/>
              <w:rPr>
                <w:rFonts w:cs="Times New Roman" w:hint="default"/>
                <w:b/>
                <w:bCs/>
                <w:color w:val="auto"/>
                <w:sz w:val="24"/>
                <w:highlight w:val="none"/>
              </w:rPr>
            </w:pPr>
            <w:bookmarkStart w:id="0" w:name="_Hlk49843745"/>
            <w:r>
              <w:rPr>
                <w:rFonts w:ascii="Times New Roman" w:hAnsi="Times New Roman" w:cs="Times New Roman" w:hint="default"/>
                <w:b/>
                <w:bCs/>
                <w:color w:val="auto"/>
                <w:sz w:val="24"/>
                <w:szCs w:val="24"/>
                <w:highlight w:val="none"/>
              </w:rPr>
              <w:t>建设项目</w:t>
            </w:r>
          </w:p>
          <w:p>
            <w:pPr>
              <w:adjustRightInd w:val="0"/>
              <w:snapToGrid w:val="0"/>
              <w:jc w:val="center"/>
              <w:rPr>
                <w:rFonts w:cs="Times New Roman" w:hint="default"/>
                <w:b/>
                <w:bCs/>
                <w:color w:val="auto"/>
                <w:sz w:val="24"/>
                <w:highlight w:val="none"/>
              </w:rPr>
            </w:pPr>
            <w:r>
              <w:rPr>
                <w:rFonts w:ascii="Times New Roman" w:hAnsi="Times New Roman" w:cs="Times New Roman" w:hint="default"/>
                <w:b/>
                <w:bCs/>
                <w:color w:val="auto"/>
                <w:sz w:val="24"/>
                <w:szCs w:val="24"/>
                <w:highlight w:val="none"/>
              </w:rPr>
              <w:t>行业类别</w:t>
            </w:r>
            <w:bookmarkEnd w:id="0"/>
          </w:p>
        </w:tc>
        <w:tc>
          <w:tcPr>
            <w:tcW w:w="2925" w:type="dxa"/>
            <w:tcBorders>
              <w:tl2br w:val="nil"/>
              <w:tr2bl w:val="nil"/>
            </w:tcBorders>
            <w:vAlign w:val="center"/>
          </w:tcPr>
          <w:p>
            <w:pPr>
              <w:adjustRightInd w:val="0"/>
              <w:snapToGrid w:val="0"/>
              <w:rPr>
                <w:rFonts w:cs="Times New Roman" w:hint="default"/>
                <w:color w:val="auto"/>
                <w:sz w:val="24"/>
                <w:highlight w:val="none"/>
              </w:rPr>
            </w:pPr>
            <w:r>
              <w:rPr>
                <w:rFonts w:ascii="Times New Roman" w:hAnsi="Times New Roman" w:cs="Times New Roman" w:hint="default"/>
                <w:color w:val="auto"/>
                <w:sz w:val="24"/>
                <w:szCs w:val="24"/>
                <w:highlight w:val="none"/>
              </w:rPr>
              <w:t>“</w:t>
            </w:r>
            <w:r>
              <w:rPr>
                <w:rFonts w:ascii="Times New Roman" w:hAnsi="Times New Roman" w:cs="Times New Roman" w:hint="default"/>
                <w:color w:val="auto"/>
                <w:sz w:val="24"/>
                <w:szCs w:val="24"/>
                <w:highlight w:val="none"/>
              </w:rPr>
              <w:t>四十一电力、热力生产和供应业</w:t>
            </w:r>
            <w:r>
              <w:rPr>
                <w:rFonts w:ascii="Times New Roman" w:hAnsi="Times New Roman" w:cs="Times New Roman" w:hint="default"/>
                <w:color w:val="auto"/>
                <w:sz w:val="24"/>
                <w:szCs w:val="24"/>
                <w:highlight w:val="none"/>
              </w:rPr>
              <w:t>”</w:t>
            </w:r>
            <w:r>
              <w:rPr>
                <w:rFonts w:ascii="Times New Roman" w:hAnsi="Times New Roman" w:cs="Times New Roman" w:hint="default"/>
                <w:color w:val="auto"/>
                <w:sz w:val="24"/>
                <w:szCs w:val="24"/>
                <w:highlight w:val="none"/>
              </w:rPr>
              <w:t>中</w:t>
            </w:r>
            <w:r>
              <w:rPr>
                <w:rFonts w:ascii="Times New Roman" w:hAnsi="Times New Roman" w:cs="Times New Roman" w:hint="default"/>
                <w:color w:val="auto"/>
                <w:sz w:val="24"/>
                <w:szCs w:val="24"/>
                <w:highlight w:val="none"/>
              </w:rPr>
              <w:t>“</w:t>
            </w:r>
            <w:r>
              <w:rPr>
                <w:rFonts w:ascii="Times New Roman" w:hAnsi="Times New Roman" w:cs="Times New Roman" w:hint="default"/>
                <w:color w:val="auto"/>
                <w:sz w:val="24"/>
                <w:szCs w:val="24"/>
                <w:highlight w:val="none"/>
              </w:rPr>
              <w:t>91、热力生产和供应工程</w:t>
            </w:r>
            <w:r>
              <w:rPr>
                <w:rFonts w:ascii="Times New Roman" w:hAnsi="Times New Roman" w:cs="Times New Roman" w:hint="default"/>
                <w:color w:val="auto"/>
                <w:sz w:val="24"/>
                <w:szCs w:val="24"/>
                <w:highlight w:val="none"/>
              </w:rPr>
              <w:t>”</w:t>
            </w:r>
          </w:p>
        </w:tc>
      </w:tr>
      <w:tr>
        <w:tblPrEx>
          <w:tblW w:w="0" w:type="auto"/>
          <w:jc w:val="center"/>
          <w:tblInd w:w="1" w:type="dxa"/>
          <w:tblLayout w:type="fixed"/>
          <w:tblCellMar>
            <w:top w:w="0" w:type="dxa"/>
            <w:left w:w="0" w:type="dxa"/>
            <w:bottom w:w="0" w:type="dxa"/>
            <w:right w:w="0" w:type="dxa"/>
          </w:tblCellMar>
          <w:tblLook w:val="0000"/>
        </w:tblPrEx>
        <w:trPr>
          <w:trHeight w:val="454"/>
          <w:jc w:val="center"/>
        </w:trPr>
        <w:tc>
          <w:tcPr>
            <w:tcW w:w="1788" w:type="dxa"/>
            <w:tcBorders>
              <w:tl2br w:val="nil"/>
              <w:tr2bl w:val="nil"/>
            </w:tcBorders>
            <w:tcMar>
              <w:top w:w="16" w:type="dxa"/>
              <w:left w:w="16" w:type="dxa"/>
              <w:right w:w="16" w:type="dxa"/>
            </w:tcMar>
            <w:vAlign w:val="center"/>
          </w:tcPr>
          <w:p>
            <w:pPr>
              <w:adjustRightInd w:val="0"/>
              <w:snapToGrid w:val="0"/>
              <w:jc w:val="center"/>
              <w:rPr>
                <w:rFonts w:cs="Times New Roman" w:hint="default"/>
                <w:b/>
                <w:bCs/>
                <w:color w:val="auto"/>
                <w:sz w:val="24"/>
                <w:highlight w:val="none"/>
              </w:rPr>
            </w:pPr>
            <w:r>
              <w:rPr>
                <w:rFonts w:ascii="Times New Roman" w:hAnsi="Times New Roman" w:cs="Times New Roman" w:hint="default"/>
                <w:b/>
                <w:bCs/>
                <w:color w:val="auto"/>
                <w:sz w:val="24"/>
                <w:szCs w:val="24"/>
                <w:highlight w:val="none"/>
              </w:rPr>
              <w:t>建设性质</w:t>
            </w:r>
          </w:p>
        </w:tc>
        <w:tc>
          <w:tcPr>
            <w:tcW w:w="2401" w:type="dxa"/>
            <w:tcBorders>
              <w:tl2br w:val="nil"/>
              <w:tr2bl w:val="nil"/>
            </w:tcBorders>
            <w:vAlign w:val="center"/>
          </w:tcPr>
          <w:p>
            <w:pPr>
              <w:pageBreakBefore w:val="0"/>
              <w:kinsoku/>
              <w:wordWrap/>
              <w:overflowPunct/>
              <w:topLinePunct w:val="0"/>
              <w:bidi w:val="0"/>
              <w:adjustRightInd w:val="0"/>
              <w:snapToGrid w:val="0"/>
              <w:spacing w:beforeAutospacing="0" w:afterAutospacing="0"/>
              <w:jc w:val="left"/>
              <w:rPr>
                <w:rFonts w:cs="Times New Roman" w:hint="default"/>
                <w:color w:val="auto"/>
                <w:sz w:val="24"/>
                <w:highlight w:val="none"/>
              </w:rPr>
            </w:pPr>
            <w:r>
              <w:rPr>
                <w:rFonts w:ascii="Wingdings 2" w:hAnsi="Wingdings 2" w:cs="Times New Roman"/>
                <w:color w:val="auto"/>
                <w:sz w:val="24"/>
                <w:szCs w:val="24"/>
                <w:highlight w:val="none"/>
                <w:lang w:eastAsia="zh-CN"/>
              </w:rPr>
              <w:sym w:font="Wingdings 2" w:char="F0A3"/>
            </w:r>
            <w:r>
              <w:rPr>
                <w:rFonts w:ascii="Times New Roman" w:eastAsia="宋体" w:hAnsi="Times New Roman" w:cs="Times New Roman" w:hint="default"/>
                <w:color w:val="auto"/>
                <w:sz w:val="24"/>
                <w:szCs w:val="24"/>
                <w:highlight w:val="none"/>
              </w:rPr>
              <w:t>新建（迁建）</w:t>
            </w:r>
          </w:p>
          <w:p>
            <w:pPr>
              <w:pageBreakBefore w:val="0"/>
              <w:kinsoku/>
              <w:wordWrap/>
              <w:overflowPunct/>
              <w:topLinePunct w:val="0"/>
              <w:bidi w:val="0"/>
              <w:adjustRightInd w:val="0"/>
              <w:snapToGrid w:val="0"/>
              <w:spacing w:beforeAutospacing="0" w:afterAutospacing="0"/>
              <w:jc w:val="left"/>
              <w:rPr>
                <w:rFonts w:cs="Times New Roman" w:hint="default"/>
                <w:color w:val="auto"/>
                <w:sz w:val="24"/>
                <w:highlight w:val="none"/>
              </w:rPr>
            </w:pPr>
            <w:r>
              <w:rPr>
                <w:rFonts w:ascii="Wingdings 2" w:hAnsi="Wingdings 2" w:cs="Times New Roman"/>
                <w:color w:val="auto"/>
                <w:sz w:val="24"/>
                <w:szCs w:val="24"/>
                <w:highlight w:val="none"/>
                <w:lang w:eastAsia="zh-CN"/>
              </w:rPr>
              <w:sym w:font="Wingdings 2" w:char="F052"/>
            </w:r>
            <w:r>
              <w:rPr>
                <w:rFonts w:ascii="Times New Roman" w:eastAsia="宋体" w:hAnsi="Times New Roman" w:cs="Times New Roman" w:hint="default"/>
                <w:color w:val="auto"/>
                <w:sz w:val="24"/>
                <w:szCs w:val="24"/>
                <w:highlight w:val="none"/>
              </w:rPr>
              <w:t>改建</w:t>
            </w:r>
          </w:p>
          <w:p>
            <w:pPr>
              <w:pageBreakBefore w:val="0"/>
              <w:kinsoku/>
              <w:wordWrap/>
              <w:overflowPunct/>
              <w:topLinePunct w:val="0"/>
              <w:bidi w:val="0"/>
              <w:adjustRightInd w:val="0"/>
              <w:snapToGrid w:val="0"/>
              <w:spacing w:beforeAutospacing="0" w:afterAutospacing="0"/>
              <w:jc w:val="left"/>
              <w:rPr>
                <w:rFonts w:cs="Times New Roman" w:hint="default"/>
                <w:color w:val="auto"/>
                <w:sz w:val="24"/>
                <w:highlight w:val="none"/>
              </w:rPr>
            </w:pPr>
            <w:r>
              <w:rPr>
                <w:rFonts w:ascii="Times New Roman" w:eastAsia="宋体" w:hAnsi="Times New Roman" w:cs="Times New Roman" w:hint="eastAsia"/>
                <w:color w:val="auto"/>
                <w:sz w:val="24"/>
                <w:szCs w:val="24"/>
                <w:highlight w:val="none"/>
                <w:lang w:eastAsia="zh-CN"/>
              </w:rPr>
              <w:t>□</w:t>
            </w:r>
            <w:r>
              <w:rPr>
                <w:rFonts w:ascii="Times New Roman" w:eastAsia="宋体" w:hAnsi="Times New Roman" w:cs="Times New Roman" w:hint="default"/>
                <w:color w:val="auto"/>
                <w:sz w:val="24"/>
                <w:szCs w:val="24"/>
                <w:highlight w:val="none"/>
              </w:rPr>
              <w:t>扩建</w:t>
            </w:r>
          </w:p>
          <w:p>
            <w:pPr>
              <w:jc w:val="left"/>
              <w:rPr>
                <w:rFonts w:cs="Times New Roman" w:hint="default"/>
                <w:color w:val="auto"/>
                <w:sz w:val="24"/>
                <w:highlight w:val="none"/>
              </w:rPr>
            </w:pPr>
            <w:r>
              <w:rPr>
                <w:rFonts w:cs="Times New Roman" w:hint="eastAsia"/>
                <w:color w:val="auto"/>
                <w:sz w:val="24"/>
                <w:szCs w:val="24"/>
                <w:highlight w:val="none"/>
                <w:lang w:eastAsia="zh-CN"/>
              </w:rPr>
              <w:t>□</w:t>
            </w:r>
            <w:r>
              <w:rPr>
                <w:rFonts w:ascii="Times New Roman" w:eastAsia="宋体" w:hAnsi="Times New Roman" w:cs="Times New Roman" w:hint="default"/>
                <w:color w:val="auto"/>
                <w:sz w:val="24"/>
                <w:szCs w:val="24"/>
                <w:highlight w:val="none"/>
              </w:rPr>
              <w:t>技术改造</w:t>
            </w:r>
          </w:p>
        </w:tc>
        <w:tc>
          <w:tcPr>
            <w:tcW w:w="1757" w:type="dxa"/>
            <w:tcBorders>
              <w:tl2br w:val="nil"/>
              <w:tr2bl w:val="nil"/>
            </w:tcBorders>
            <w:vAlign w:val="center"/>
          </w:tcPr>
          <w:p>
            <w:pPr>
              <w:adjustRightInd w:val="0"/>
              <w:snapToGrid w:val="0"/>
              <w:jc w:val="center"/>
              <w:rPr>
                <w:rFonts w:cs="Times New Roman" w:hint="default"/>
                <w:b/>
                <w:bCs/>
                <w:color w:val="auto"/>
                <w:sz w:val="24"/>
                <w:highlight w:val="none"/>
              </w:rPr>
            </w:pPr>
            <w:r>
              <w:rPr>
                <w:rFonts w:ascii="Times New Roman" w:hAnsi="Times New Roman" w:cs="Times New Roman" w:hint="default"/>
                <w:b/>
                <w:bCs/>
                <w:color w:val="auto"/>
                <w:sz w:val="24"/>
                <w:szCs w:val="24"/>
                <w:highlight w:val="none"/>
              </w:rPr>
              <w:t>建设项目</w:t>
            </w:r>
          </w:p>
          <w:p>
            <w:pPr>
              <w:adjustRightInd w:val="0"/>
              <w:snapToGrid w:val="0"/>
              <w:jc w:val="center"/>
              <w:rPr>
                <w:rFonts w:cs="Times New Roman" w:hint="default"/>
                <w:b/>
                <w:bCs/>
                <w:color w:val="auto"/>
                <w:sz w:val="24"/>
                <w:highlight w:val="none"/>
              </w:rPr>
            </w:pPr>
            <w:r>
              <w:rPr>
                <w:rFonts w:ascii="Times New Roman" w:hAnsi="Times New Roman" w:cs="Times New Roman" w:hint="default"/>
                <w:b/>
                <w:bCs/>
                <w:color w:val="auto"/>
                <w:sz w:val="24"/>
                <w:szCs w:val="24"/>
                <w:highlight w:val="none"/>
              </w:rPr>
              <w:t>申报情形</w:t>
            </w:r>
          </w:p>
        </w:tc>
        <w:tc>
          <w:tcPr>
            <w:tcW w:w="2925" w:type="dxa"/>
            <w:tcBorders>
              <w:tl2br w:val="nil"/>
              <w:tr2bl w:val="nil"/>
            </w:tcBorders>
            <w:vAlign w:val="center"/>
          </w:tcPr>
          <w:p>
            <w:pPr>
              <w:pageBreakBefore w:val="0"/>
              <w:kinsoku/>
              <w:wordWrap/>
              <w:overflowPunct/>
              <w:topLinePunct w:val="0"/>
              <w:bidi w:val="0"/>
              <w:adjustRightInd w:val="0"/>
              <w:snapToGrid w:val="0"/>
              <w:spacing w:beforeAutospacing="0" w:afterAutospacing="0"/>
              <w:jc w:val="left"/>
              <w:rPr>
                <w:rFonts w:cs="Times New Roman" w:hint="default"/>
                <w:color w:val="auto"/>
                <w:sz w:val="24"/>
                <w:highlight w:val="none"/>
              </w:rPr>
            </w:pPr>
            <w:r>
              <w:rPr>
                <w:rFonts w:ascii="Times New Roman" w:hAnsi="Times New Roman" w:cs="Times New Roman" w:hint="eastAsia"/>
                <w:color w:val="auto"/>
                <w:sz w:val="24"/>
                <w:szCs w:val="24"/>
                <w:highlight w:val="none"/>
                <w:lang w:eastAsia="zh-CN"/>
              </w:rPr>
              <w:t>☑</w:t>
            </w:r>
            <w:r>
              <w:rPr>
                <w:rFonts w:ascii="Times New Roman" w:eastAsia="宋体" w:hAnsi="Times New Roman" w:cs="Times New Roman" w:hint="default"/>
                <w:color w:val="auto"/>
                <w:sz w:val="24"/>
                <w:szCs w:val="24"/>
                <w:highlight w:val="none"/>
              </w:rPr>
              <w:t xml:space="preserve">首次申报项目             </w:t>
            </w:r>
          </w:p>
          <w:p>
            <w:pPr>
              <w:pageBreakBefore w:val="0"/>
              <w:kinsoku/>
              <w:wordWrap/>
              <w:overflowPunct/>
              <w:topLinePunct w:val="0"/>
              <w:bidi w:val="0"/>
              <w:adjustRightInd w:val="0"/>
              <w:snapToGrid w:val="0"/>
              <w:spacing w:beforeAutospacing="0" w:afterAutospacing="0"/>
              <w:jc w:val="left"/>
              <w:rPr>
                <w:rFonts w:cs="Times New Roman" w:hint="default"/>
                <w:color w:val="auto"/>
                <w:sz w:val="24"/>
                <w:highlight w:val="none"/>
              </w:rPr>
            </w:pPr>
            <w:r>
              <w:rPr>
                <w:rFonts w:ascii="Times New Roman" w:eastAsia="宋体" w:hAnsi="Times New Roman" w:cs="Times New Roman" w:hint="eastAsia"/>
                <w:color w:val="auto"/>
                <w:sz w:val="24"/>
                <w:szCs w:val="24"/>
                <w:highlight w:val="none"/>
                <w:lang w:eastAsia="zh-CN"/>
              </w:rPr>
              <w:t>□</w:t>
            </w:r>
            <w:r>
              <w:rPr>
                <w:rFonts w:ascii="Times New Roman" w:eastAsia="宋体" w:hAnsi="Times New Roman" w:cs="Times New Roman" w:hint="default"/>
                <w:color w:val="auto"/>
                <w:sz w:val="24"/>
                <w:szCs w:val="24"/>
                <w:highlight w:val="none"/>
              </w:rPr>
              <w:t>不予批准后再次申报项目</w:t>
            </w:r>
          </w:p>
          <w:p>
            <w:pPr>
              <w:pageBreakBefore w:val="0"/>
              <w:kinsoku/>
              <w:wordWrap/>
              <w:overflowPunct/>
              <w:topLinePunct w:val="0"/>
              <w:bidi w:val="0"/>
              <w:adjustRightInd w:val="0"/>
              <w:snapToGrid w:val="0"/>
              <w:spacing w:beforeAutospacing="0" w:afterAutospacing="0"/>
              <w:jc w:val="left"/>
              <w:rPr>
                <w:rFonts w:cs="Times New Roman" w:hint="default"/>
                <w:color w:val="auto"/>
                <w:sz w:val="24"/>
                <w:highlight w:val="none"/>
              </w:rPr>
            </w:pPr>
            <w:r>
              <w:rPr>
                <w:rFonts w:ascii="Times New Roman" w:eastAsia="宋体" w:hAnsi="Times New Roman" w:cs="Times New Roman" w:hint="eastAsia"/>
                <w:color w:val="auto"/>
                <w:sz w:val="24"/>
                <w:szCs w:val="24"/>
                <w:highlight w:val="none"/>
                <w:lang w:eastAsia="zh-CN"/>
              </w:rPr>
              <w:t>□</w:t>
            </w:r>
            <w:r>
              <w:rPr>
                <w:rFonts w:ascii="Times New Roman" w:eastAsia="宋体" w:hAnsi="Times New Roman" w:cs="Times New Roman" w:hint="default"/>
                <w:color w:val="auto"/>
                <w:sz w:val="24"/>
                <w:szCs w:val="24"/>
                <w:highlight w:val="none"/>
              </w:rPr>
              <w:t xml:space="preserve">超五年重新审核项目     </w:t>
            </w:r>
          </w:p>
          <w:p>
            <w:pPr>
              <w:jc w:val="left"/>
              <w:rPr>
                <w:rFonts w:cs="Times New Roman" w:hint="default"/>
                <w:color w:val="auto"/>
                <w:sz w:val="24"/>
                <w:highlight w:val="none"/>
              </w:rPr>
            </w:pPr>
            <w:r>
              <w:rPr>
                <w:rFonts w:ascii="Times New Roman" w:eastAsia="宋体" w:hAnsi="Times New Roman" w:cs="Times New Roman" w:hint="eastAsia"/>
                <w:color w:val="auto"/>
                <w:sz w:val="24"/>
                <w:szCs w:val="24"/>
                <w:highlight w:val="none"/>
                <w:lang w:eastAsia="zh-CN"/>
              </w:rPr>
              <w:t>□</w:t>
            </w:r>
            <w:r>
              <w:rPr>
                <w:rFonts w:ascii="Times New Roman" w:eastAsia="宋体" w:hAnsi="Times New Roman" w:cs="Times New Roman" w:hint="default"/>
                <w:color w:val="auto"/>
                <w:sz w:val="24"/>
                <w:szCs w:val="24"/>
                <w:highlight w:val="none"/>
              </w:rPr>
              <w:t>重大变动重新报批项目</w:t>
            </w:r>
          </w:p>
        </w:tc>
      </w:tr>
      <w:tr>
        <w:tblPrEx>
          <w:tblW w:w="0" w:type="auto"/>
          <w:jc w:val="center"/>
          <w:tblInd w:w="1" w:type="dxa"/>
          <w:tblLayout w:type="fixed"/>
          <w:tblCellMar>
            <w:top w:w="0" w:type="dxa"/>
            <w:left w:w="0" w:type="dxa"/>
            <w:bottom w:w="0" w:type="dxa"/>
            <w:right w:w="0" w:type="dxa"/>
          </w:tblCellMar>
          <w:tblLook w:val="0000"/>
        </w:tblPrEx>
        <w:trPr>
          <w:trHeight w:val="454"/>
          <w:jc w:val="center"/>
        </w:trPr>
        <w:tc>
          <w:tcPr>
            <w:tcW w:w="1788" w:type="dxa"/>
            <w:tcBorders>
              <w:tl2br w:val="nil"/>
              <w:tr2bl w:val="nil"/>
            </w:tcBorders>
            <w:tcMar>
              <w:top w:w="16" w:type="dxa"/>
              <w:left w:w="16" w:type="dxa"/>
              <w:right w:w="16" w:type="dxa"/>
            </w:tcMar>
            <w:vAlign w:val="center"/>
          </w:tcPr>
          <w:p>
            <w:pPr>
              <w:adjustRightInd w:val="0"/>
              <w:snapToGrid w:val="0"/>
              <w:jc w:val="center"/>
              <w:rPr>
                <w:rFonts w:cs="Times New Roman" w:hint="default"/>
                <w:b/>
                <w:bCs/>
                <w:color w:val="auto"/>
                <w:sz w:val="24"/>
                <w:highlight w:val="none"/>
              </w:rPr>
            </w:pPr>
            <w:r>
              <w:rPr>
                <w:rFonts w:ascii="Times New Roman" w:hAnsi="Times New Roman" w:cs="Times New Roman" w:hint="default"/>
                <w:b/>
                <w:bCs/>
                <w:color w:val="auto"/>
                <w:sz w:val="24"/>
                <w:szCs w:val="24"/>
                <w:highlight w:val="none"/>
              </w:rPr>
              <w:t>项目审批部门</w:t>
            </w:r>
          </w:p>
        </w:tc>
        <w:tc>
          <w:tcPr>
            <w:tcW w:w="2401" w:type="dxa"/>
            <w:tcBorders>
              <w:tl2br w:val="nil"/>
              <w:tr2bl w:val="nil"/>
            </w:tcBorders>
            <w:vAlign w:val="center"/>
          </w:tcPr>
          <w:p>
            <w:pPr>
              <w:adjustRightInd w:val="0"/>
              <w:snapToGrid w:val="0"/>
              <w:jc w:val="center"/>
              <w:rPr>
                <w:rFonts w:cs="Times New Roman" w:hint="eastAsia"/>
                <w:color w:val="auto"/>
                <w:sz w:val="24"/>
                <w:highlight w:val="none"/>
              </w:rPr>
            </w:pPr>
            <w:r>
              <w:rPr>
                <w:rFonts w:cs="Times New Roman" w:hint="eastAsia"/>
                <w:color w:val="auto"/>
                <w:sz w:val="24"/>
                <w:szCs w:val="24"/>
                <w:highlight w:val="none"/>
                <w:lang w:val="en-US" w:eastAsia="zh-CN"/>
              </w:rPr>
              <w:t>/</w:t>
            </w:r>
          </w:p>
        </w:tc>
        <w:tc>
          <w:tcPr>
            <w:tcW w:w="1757" w:type="dxa"/>
            <w:tcBorders>
              <w:tl2br w:val="nil"/>
              <w:tr2bl w:val="nil"/>
            </w:tcBorders>
            <w:vAlign w:val="center"/>
          </w:tcPr>
          <w:p>
            <w:pPr>
              <w:adjustRightInd w:val="0"/>
              <w:snapToGrid w:val="0"/>
              <w:jc w:val="center"/>
              <w:rPr>
                <w:rFonts w:cs="Times New Roman" w:hint="default"/>
                <w:b/>
                <w:bCs/>
                <w:color w:val="auto"/>
                <w:sz w:val="24"/>
                <w:highlight w:val="none"/>
              </w:rPr>
            </w:pPr>
            <w:r>
              <w:rPr>
                <w:rFonts w:ascii="Times New Roman" w:hAnsi="Times New Roman" w:cs="Times New Roman" w:hint="default"/>
                <w:b/>
                <w:bCs/>
                <w:color w:val="auto"/>
                <w:sz w:val="24"/>
                <w:szCs w:val="24"/>
                <w:highlight w:val="none"/>
              </w:rPr>
              <w:t>项目审批文号</w:t>
            </w:r>
          </w:p>
        </w:tc>
        <w:tc>
          <w:tcPr>
            <w:tcW w:w="2925" w:type="dxa"/>
            <w:tcBorders>
              <w:tl2br w:val="nil"/>
              <w:tr2bl w:val="nil"/>
            </w:tcBorders>
            <w:vAlign w:val="center"/>
          </w:tcPr>
          <w:p>
            <w:pPr>
              <w:adjustRightInd w:val="0"/>
              <w:snapToGrid w:val="0"/>
              <w:jc w:val="center"/>
              <w:rPr>
                <w:rFonts w:cs="Times New Roman" w:hint="eastAsia"/>
                <w:color w:val="auto"/>
                <w:sz w:val="24"/>
                <w:highlight w:val="none"/>
              </w:rPr>
            </w:pPr>
            <w:r>
              <w:rPr>
                <w:rFonts w:cs="Times New Roman" w:hint="eastAsia"/>
                <w:color w:val="auto"/>
                <w:sz w:val="24"/>
                <w:szCs w:val="24"/>
                <w:highlight w:val="none"/>
                <w:lang w:val="en-US" w:eastAsia="zh-CN"/>
              </w:rPr>
              <w:t>/</w:t>
            </w:r>
          </w:p>
        </w:tc>
      </w:tr>
      <w:tr>
        <w:tblPrEx>
          <w:tblW w:w="0" w:type="auto"/>
          <w:jc w:val="center"/>
          <w:tblInd w:w="1" w:type="dxa"/>
          <w:tblLayout w:type="fixed"/>
          <w:tblCellMar>
            <w:top w:w="0" w:type="dxa"/>
            <w:left w:w="0" w:type="dxa"/>
            <w:bottom w:w="0" w:type="dxa"/>
            <w:right w:w="0" w:type="dxa"/>
          </w:tblCellMar>
          <w:tblLook w:val="0000"/>
        </w:tblPrEx>
        <w:trPr>
          <w:trHeight w:val="454"/>
          <w:jc w:val="center"/>
        </w:trPr>
        <w:tc>
          <w:tcPr>
            <w:tcW w:w="1788" w:type="dxa"/>
            <w:tcBorders>
              <w:tl2br w:val="nil"/>
              <w:tr2bl w:val="nil"/>
            </w:tcBorders>
            <w:tcMar>
              <w:top w:w="16" w:type="dxa"/>
              <w:left w:w="16" w:type="dxa"/>
              <w:right w:w="16" w:type="dxa"/>
            </w:tcMar>
            <w:vAlign w:val="center"/>
          </w:tcPr>
          <w:p>
            <w:pPr>
              <w:adjustRightInd w:val="0"/>
              <w:snapToGrid w:val="0"/>
              <w:jc w:val="center"/>
              <w:rPr>
                <w:rFonts w:cs="Times New Roman" w:hint="default"/>
                <w:b/>
                <w:bCs/>
                <w:color w:val="auto"/>
                <w:sz w:val="24"/>
                <w:highlight w:val="none"/>
              </w:rPr>
            </w:pPr>
            <w:r>
              <w:rPr>
                <w:rFonts w:ascii="Times New Roman" w:hAnsi="Times New Roman" w:cs="Times New Roman" w:hint="default"/>
                <w:b/>
                <w:bCs/>
                <w:color w:val="auto"/>
                <w:sz w:val="24"/>
                <w:szCs w:val="24"/>
                <w:highlight w:val="none"/>
              </w:rPr>
              <w:t>总投资（万元）</w:t>
            </w:r>
          </w:p>
        </w:tc>
        <w:tc>
          <w:tcPr>
            <w:tcW w:w="2401" w:type="dxa"/>
            <w:tcBorders>
              <w:tl2br w:val="nil"/>
              <w:tr2bl w:val="nil"/>
            </w:tcBorders>
            <w:vAlign w:val="center"/>
          </w:tcPr>
          <w:p>
            <w:pPr>
              <w:adjustRightInd w:val="0"/>
              <w:snapToGrid w:val="0"/>
              <w:jc w:val="center"/>
              <w:rPr>
                <w:rFonts w:cs="Times New Roman" w:hint="default"/>
                <w:color w:val="auto"/>
                <w:sz w:val="24"/>
                <w:highlight w:val="none"/>
              </w:rPr>
            </w:pPr>
            <w:r>
              <w:rPr>
                <w:rFonts w:cs="Times New Roman" w:hint="eastAsia"/>
                <w:color w:val="auto"/>
                <w:sz w:val="24"/>
                <w:szCs w:val="24"/>
                <w:highlight w:val="none"/>
                <w:lang w:val="en-US" w:eastAsia="zh-CN"/>
              </w:rPr>
              <w:t>60</w:t>
            </w:r>
          </w:p>
        </w:tc>
        <w:tc>
          <w:tcPr>
            <w:tcW w:w="1757" w:type="dxa"/>
            <w:tcBorders>
              <w:tl2br w:val="nil"/>
              <w:tr2bl w:val="nil"/>
            </w:tcBorders>
            <w:tcMar>
              <w:top w:w="16" w:type="dxa"/>
              <w:left w:w="16" w:type="dxa"/>
              <w:right w:w="16" w:type="dxa"/>
            </w:tcMar>
            <w:vAlign w:val="center"/>
          </w:tcPr>
          <w:p>
            <w:pPr>
              <w:adjustRightInd w:val="0"/>
              <w:snapToGrid w:val="0"/>
              <w:jc w:val="center"/>
              <w:rPr>
                <w:rFonts w:cs="Times New Roman" w:hint="default"/>
                <w:b/>
                <w:bCs/>
                <w:color w:val="auto"/>
                <w:sz w:val="24"/>
                <w:highlight w:val="none"/>
              </w:rPr>
            </w:pPr>
            <w:r>
              <w:rPr>
                <w:rFonts w:ascii="Times New Roman" w:hAnsi="Times New Roman" w:cs="Times New Roman" w:hint="default"/>
                <w:b/>
                <w:bCs/>
                <w:color w:val="auto"/>
                <w:sz w:val="24"/>
                <w:szCs w:val="24"/>
                <w:highlight w:val="none"/>
              </w:rPr>
              <w:t>环保投资（万元）</w:t>
            </w:r>
          </w:p>
        </w:tc>
        <w:tc>
          <w:tcPr>
            <w:tcW w:w="2925" w:type="dxa"/>
            <w:tcBorders>
              <w:tl2br w:val="nil"/>
              <w:tr2bl w:val="nil"/>
            </w:tcBorders>
            <w:vAlign w:val="center"/>
          </w:tcPr>
          <w:p>
            <w:pPr>
              <w:adjustRightInd w:val="0"/>
              <w:snapToGrid w:val="0"/>
              <w:jc w:val="center"/>
              <w:rPr>
                <w:rFonts w:cs="Times New Roman" w:hint="default"/>
                <w:color w:val="auto"/>
                <w:sz w:val="24"/>
                <w:highlight w:val="none"/>
              </w:rPr>
            </w:pPr>
            <w:r>
              <w:rPr>
                <w:rFonts w:cs="Times New Roman" w:hint="eastAsia"/>
                <w:color w:val="auto"/>
                <w:sz w:val="24"/>
                <w:szCs w:val="24"/>
                <w:highlight w:val="none"/>
                <w:lang w:val="en-US" w:eastAsia="zh-CN"/>
              </w:rPr>
              <w:t>18</w:t>
            </w:r>
          </w:p>
        </w:tc>
      </w:tr>
      <w:tr>
        <w:tblPrEx>
          <w:tblW w:w="0" w:type="auto"/>
          <w:jc w:val="center"/>
          <w:tblInd w:w="1" w:type="dxa"/>
          <w:tblLayout w:type="fixed"/>
          <w:tblCellMar>
            <w:top w:w="0" w:type="dxa"/>
            <w:left w:w="0" w:type="dxa"/>
            <w:bottom w:w="0" w:type="dxa"/>
            <w:right w:w="0" w:type="dxa"/>
          </w:tblCellMar>
          <w:tblLook w:val="0000"/>
        </w:tblPrEx>
        <w:trPr>
          <w:trHeight w:val="454"/>
          <w:jc w:val="center"/>
        </w:trPr>
        <w:tc>
          <w:tcPr>
            <w:tcW w:w="1788" w:type="dxa"/>
            <w:tcBorders>
              <w:tl2br w:val="nil"/>
              <w:tr2bl w:val="nil"/>
            </w:tcBorders>
            <w:tcMar>
              <w:top w:w="16" w:type="dxa"/>
              <w:left w:w="16" w:type="dxa"/>
              <w:right w:w="16" w:type="dxa"/>
            </w:tcMar>
            <w:vAlign w:val="center"/>
          </w:tcPr>
          <w:p>
            <w:pPr>
              <w:adjustRightInd w:val="0"/>
              <w:snapToGrid w:val="0"/>
              <w:jc w:val="center"/>
              <w:rPr>
                <w:rFonts w:cs="Times New Roman" w:hint="default"/>
                <w:b/>
                <w:bCs/>
                <w:color w:val="auto"/>
                <w:sz w:val="24"/>
                <w:highlight w:val="none"/>
              </w:rPr>
            </w:pPr>
            <w:r>
              <w:rPr>
                <w:rFonts w:ascii="Times New Roman" w:hAnsi="Times New Roman" w:cs="Times New Roman" w:hint="default"/>
                <w:b/>
                <w:bCs/>
                <w:color w:val="auto"/>
                <w:sz w:val="24"/>
                <w:szCs w:val="24"/>
                <w:highlight w:val="none"/>
              </w:rPr>
              <w:t>环保投资占比（%）</w:t>
            </w:r>
          </w:p>
        </w:tc>
        <w:tc>
          <w:tcPr>
            <w:tcW w:w="2401" w:type="dxa"/>
            <w:tcBorders>
              <w:tl2br w:val="nil"/>
              <w:tr2bl w:val="nil"/>
            </w:tcBorders>
            <w:vAlign w:val="center"/>
          </w:tcPr>
          <w:p>
            <w:pPr>
              <w:adjustRightInd w:val="0"/>
              <w:snapToGrid w:val="0"/>
              <w:jc w:val="center"/>
              <w:rPr>
                <w:rFonts w:cs="Times New Roman" w:hint="default"/>
                <w:color w:val="auto"/>
                <w:sz w:val="24"/>
                <w:highlight w:val="none"/>
              </w:rPr>
            </w:pPr>
            <w:r>
              <w:rPr>
                <w:rFonts w:cs="Times New Roman" w:hint="eastAsia"/>
                <w:color w:val="auto"/>
                <w:sz w:val="24"/>
                <w:szCs w:val="24"/>
                <w:highlight w:val="none"/>
                <w:lang w:val="en-US" w:eastAsia="zh-CN"/>
              </w:rPr>
              <w:t>30</w:t>
            </w:r>
          </w:p>
        </w:tc>
        <w:tc>
          <w:tcPr>
            <w:tcW w:w="1757" w:type="dxa"/>
            <w:tcBorders>
              <w:tl2br w:val="nil"/>
              <w:tr2bl w:val="nil"/>
            </w:tcBorders>
            <w:tcMar>
              <w:top w:w="16" w:type="dxa"/>
              <w:left w:w="16" w:type="dxa"/>
              <w:right w:w="16" w:type="dxa"/>
            </w:tcMar>
            <w:vAlign w:val="center"/>
          </w:tcPr>
          <w:p>
            <w:pPr>
              <w:adjustRightInd w:val="0"/>
              <w:snapToGrid w:val="0"/>
              <w:jc w:val="center"/>
              <w:rPr>
                <w:rFonts w:cs="Times New Roman" w:hint="default"/>
                <w:b/>
                <w:bCs/>
                <w:color w:val="auto"/>
                <w:sz w:val="24"/>
                <w:highlight w:val="none"/>
              </w:rPr>
            </w:pPr>
            <w:r>
              <w:rPr>
                <w:rFonts w:ascii="Times New Roman" w:hAnsi="Times New Roman" w:cs="Times New Roman" w:hint="default"/>
                <w:b/>
                <w:bCs/>
                <w:color w:val="auto"/>
                <w:sz w:val="24"/>
                <w:szCs w:val="24"/>
                <w:highlight w:val="none"/>
              </w:rPr>
              <w:t>施工工期</w:t>
            </w:r>
          </w:p>
        </w:tc>
        <w:tc>
          <w:tcPr>
            <w:tcW w:w="2925" w:type="dxa"/>
            <w:tcBorders>
              <w:tl2br w:val="nil"/>
              <w:tr2bl w:val="nil"/>
            </w:tcBorders>
            <w:vAlign w:val="center"/>
          </w:tcPr>
          <w:p>
            <w:pPr>
              <w:adjustRightInd w:val="0"/>
              <w:snapToGrid w:val="0"/>
              <w:jc w:val="center"/>
              <w:rPr>
                <w:rFonts w:cs="Times New Roman" w:hint="default"/>
                <w:color w:val="auto"/>
                <w:sz w:val="24"/>
                <w:highlight w:val="none"/>
              </w:rPr>
            </w:pPr>
            <w:r>
              <w:rPr>
                <w:rFonts w:cs="Times New Roman" w:hint="eastAsia"/>
                <w:color w:val="auto"/>
                <w:sz w:val="24"/>
                <w:szCs w:val="24"/>
                <w:highlight w:val="none"/>
                <w:lang w:val="en-US" w:eastAsia="zh-CN"/>
              </w:rPr>
              <w:t>/</w:t>
            </w:r>
          </w:p>
        </w:tc>
      </w:tr>
      <w:tr>
        <w:tblPrEx>
          <w:tblW w:w="0" w:type="auto"/>
          <w:jc w:val="center"/>
          <w:tblInd w:w="1" w:type="dxa"/>
          <w:tblLayout w:type="fixed"/>
          <w:tblCellMar>
            <w:top w:w="0" w:type="dxa"/>
            <w:left w:w="0" w:type="dxa"/>
            <w:bottom w:w="0" w:type="dxa"/>
            <w:right w:w="0" w:type="dxa"/>
          </w:tblCellMar>
          <w:tblLook w:val="0000"/>
        </w:tblPrEx>
        <w:trPr>
          <w:trHeight w:val="259"/>
          <w:jc w:val="center"/>
        </w:trPr>
        <w:tc>
          <w:tcPr>
            <w:tcW w:w="1788" w:type="dxa"/>
            <w:tcBorders>
              <w:tl2br w:val="nil"/>
              <w:tr2bl w:val="nil"/>
            </w:tcBorders>
            <w:tcMar>
              <w:top w:w="16" w:type="dxa"/>
              <w:left w:w="16" w:type="dxa"/>
              <w:right w:w="16" w:type="dxa"/>
            </w:tcMar>
            <w:vAlign w:val="center"/>
          </w:tcPr>
          <w:p>
            <w:pPr>
              <w:adjustRightInd w:val="0"/>
              <w:snapToGrid w:val="0"/>
              <w:jc w:val="center"/>
              <w:rPr>
                <w:rFonts w:cs="Times New Roman" w:hint="default"/>
                <w:b/>
                <w:bCs/>
                <w:color w:val="auto"/>
                <w:sz w:val="24"/>
                <w:highlight w:val="none"/>
              </w:rPr>
            </w:pPr>
            <w:r>
              <w:rPr>
                <w:rFonts w:ascii="Times New Roman" w:hAnsi="Times New Roman" w:cs="Times New Roman" w:hint="default"/>
                <w:b/>
                <w:bCs/>
                <w:color w:val="auto"/>
                <w:sz w:val="24"/>
                <w:szCs w:val="24"/>
                <w:highlight w:val="none"/>
              </w:rPr>
              <w:t>是否开工建设</w:t>
            </w:r>
          </w:p>
        </w:tc>
        <w:tc>
          <w:tcPr>
            <w:tcW w:w="2401" w:type="dxa"/>
            <w:tcBorders>
              <w:tl2br w:val="nil"/>
              <w:tr2bl w:val="nil"/>
            </w:tcBorders>
            <w:vAlign w:val="center"/>
          </w:tcPr>
          <w:p>
            <w:pPr>
              <w:pageBreakBefore w:val="0"/>
              <w:kinsoku/>
              <w:wordWrap/>
              <w:overflowPunct/>
              <w:topLinePunct w:val="0"/>
              <w:bidi w:val="0"/>
              <w:adjustRightInd w:val="0"/>
              <w:snapToGrid w:val="0"/>
              <w:spacing w:beforeAutospacing="0" w:afterAutospacing="0"/>
              <w:jc w:val="center"/>
              <w:rPr>
                <w:rFonts w:cs="Times New Roman" w:hint="default"/>
                <w:color w:val="auto"/>
                <w:sz w:val="24"/>
                <w:highlight w:val="none"/>
              </w:rPr>
            </w:pPr>
            <w:r>
              <w:rPr>
                <w:rFonts w:ascii="Wingdings 2" w:eastAsia="宋体" w:hAnsi="Wingdings 2" w:cs="Times New Roman"/>
                <w:color w:val="auto"/>
                <w:sz w:val="24"/>
                <w:szCs w:val="24"/>
                <w:highlight w:val="none"/>
                <w:lang w:eastAsia="zh-CN"/>
              </w:rPr>
              <w:sym w:font="Wingdings 2" w:char="F052"/>
            </w:r>
            <w:r>
              <w:rPr>
                <w:rFonts w:ascii="Times New Roman" w:eastAsia="宋体" w:hAnsi="Times New Roman" w:cs="Times New Roman" w:hint="default"/>
                <w:color w:val="auto"/>
                <w:sz w:val="24"/>
                <w:szCs w:val="24"/>
                <w:highlight w:val="none"/>
              </w:rPr>
              <w:t>否</w:t>
            </w:r>
          </w:p>
          <w:p>
            <w:pPr>
              <w:adjustRightInd w:val="0"/>
              <w:snapToGrid w:val="0"/>
              <w:jc w:val="center"/>
              <w:rPr>
                <w:rFonts w:cs="Times New Roman" w:hint="default"/>
                <w:color w:val="auto"/>
                <w:sz w:val="24"/>
                <w:highlight w:val="none"/>
              </w:rPr>
            </w:pPr>
            <w:r>
              <w:rPr>
                <w:rFonts w:ascii="Wingdings 2" w:hAnsi="Wingdings 2" w:cs="Times New Roman"/>
                <w:color w:val="auto"/>
                <w:sz w:val="24"/>
                <w:szCs w:val="24"/>
                <w:highlight w:val="none"/>
                <w:lang w:val="en-US" w:eastAsia="zh-CN"/>
              </w:rPr>
              <w:sym w:font="Wingdings 2" w:char="F0A3"/>
            </w:r>
            <w:r>
              <w:rPr>
                <w:rFonts w:ascii="Times New Roman" w:eastAsia="宋体" w:hAnsi="Times New Roman" w:cs="Times New Roman" w:hint="default"/>
                <w:color w:val="auto"/>
                <w:sz w:val="24"/>
                <w:szCs w:val="24"/>
                <w:highlight w:val="none"/>
              </w:rPr>
              <w:t>是</w:t>
            </w:r>
          </w:p>
        </w:tc>
        <w:tc>
          <w:tcPr>
            <w:tcW w:w="1757" w:type="dxa"/>
            <w:tcBorders>
              <w:tl2br w:val="nil"/>
              <w:tr2bl w:val="nil"/>
            </w:tcBorders>
            <w:tcMar>
              <w:top w:w="16" w:type="dxa"/>
              <w:left w:w="16" w:type="dxa"/>
              <w:right w:w="16" w:type="dxa"/>
            </w:tcMar>
            <w:vAlign w:val="center"/>
          </w:tcPr>
          <w:p>
            <w:pPr>
              <w:adjustRightInd w:val="0"/>
              <w:snapToGrid w:val="0"/>
              <w:jc w:val="center"/>
              <w:rPr>
                <w:rFonts w:cs="Times New Roman" w:hint="default"/>
                <w:b/>
                <w:bCs/>
                <w:color w:val="auto"/>
                <w:sz w:val="24"/>
                <w:highlight w:val="none"/>
              </w:rPr>
            </w:pPr>
            <w:r>
              <w:rPr>
                <w:rFonts w:ascii="Times New Roman" w:hAnsi="Times New Roman" w:cs="Times New Roman" w:hint="default"/>
                <w:b/>
                <w:bCs/>
                <w:color w:val="auto"/>
                <w:spacing w:val="-6"/>
                <w:sz w:val="24"/>
                <w:szCs w:val="24"/>
                <w:highlight w:val="none"/>
              </w:rPr>
              <w:t>用地面积（m</w:t>
            </w:r>
            <w:r>
              <w:rPr>
                <w:rFonts w:ascii="Times New Roman" w:hAnsi="Times New Roman" w:cs="Times New Roman" w:hint="default"/>
                <w:b/>
                <w:bCs/>
                <w:color w:val="auto"/>
                <w:spacing w:val="-6"/>
                <w:sz w:val="24"/>
                <w:szCs w:val="24"/>
                <w:highlight w:val="none"/>
                <w:vertAlign w:val="superscript"/>
              </w:rPr>
              <w:t>2</w:t>
            </w:r>
            <w:r>
              <w:rPr>
                <w:rFonts w:ascii="Times New Roman" w:hAnsi="Times New Roman" w:cs="Times New Roman" w:hint="default"/>
                <w:b/>
                <w:bCs/>
                <w:color w:val="auto"/>
                <w:spacing w:val="-6"/>
                <w:sz w:val="24"/>
                <w:szCs w:val="24"/>
                <w:highlight w:val="none"/>
              </w:rPr>
              <w:t>）</w:t>
            </w:r>
          </w:p>
        </w:tc>
        <w:tc>
          <w:tcPr>
            <w:tcW w:w="2925" w:type="dxa"/>
            <w:tcBorders>
              <w:tl2br w:val="nil"/>
              <w:tr2bl w:val="nil"/>
            </w:tcBorders>
            <w:vAlign w:val="center"/>
          </w:tcPr>
          <w:p>
            <w:pPr>
              <w:adjustRightInd w:val="0"/>
              <w:snapToGrid w:val="0"/>
              <w:jc w:val="center"/>
              <w:rPr>
                <w:rFonts w:cs="Times New Roman" w:hint="default"/>
                <w:color w:val="auto"/>
                <w:sz w:val="24"/>
                <w:highlight w:val="none"/>
              </w:rPr>
            </w:pPr>
            <w:r>
              <w:rPr>
                <w:rFonts w:hint="eastAsia"/>
                <w:color w:val="auto"/>
                <w:sz w:val="24"/>
                <w:szCs w:val="24"/>
                <w:highlight w:val="none"/>
                <w:lang w:val="en-US" w:eastAsia="zh-CN"/>
              </w:rPr>
              <w:t>无新增用地</w:t>
            </w:r>
          </w:p>
        </w:tc>
      </w:tr>
      <w:tr>
        <w:tblPrEx>
          <w:tblW w:w="0" w:type="auto"/>
          <w:jc w:val="center"/>
          <w:tblInd w:w="1" w:type="dxa"/>
          <w:tblLayout w:type="fixed"/>
          <w:tblCellMar>
            <w:top w:w="0" w:type="dxa"/>
            <w:left w:w="108" w:type="dxa"/>
            <w:bottom w:w="0" w:type="dxa"/>
            <w:right w:w="108" w:type="dxa"/>
          </w:tblCellMar>
          <w:tblLook w:val="0000"/>
        </w:tblPrEx>
        <w:trPr>
          <w:trHeight w:val="90"/>
          <w:jc w:val="center"/>
        </w:trPr>
        <w:tc>
          <w:tcPr>
            <w:tcW w:w="1788" w:type="dxa"/>
            <w:tcBorders>
              <w:tl2br w:val="nil"/>
              <w:tr2bl w:val="nil"/>
            </w:tcBorders>
            <w:vAlign w:val="center"/>
          </w:tcPr>
          <w:p>
            <w:pPr>
              <w:autoSpaceDE w:val="0"/>
              <w:autoSpaceDN w:val="0"/>
              <w:adjustRightInd w:val="0"/>
              <w:snapToGrid w:val="0"/>
              <w:jc w:val="center"/>
              <w:rPr>
                <w:rFonts w:cs="Times New Roman" w:hint="default"/>
                <w:b/>
                <w:bCs/>
                <w:color w:val="auto"/>
                <w:kern w:val="0"/>
                <w:sz w:val="24"/>
                <w:highlight w:val="none"/>
              </w:rPr>
            </w:pPr>
            <w:r>
              <w:rPr>
                <w:rFonts w:ascii="Times New Roman" w:hAnsi="Times New Roman" w:cs="Times New Roman" w:hint="default"/>
                <w:b/>
                <w:bCs/>
                <w:color w:val="auto"/>
                <w:kern w:val="0"/>
                <w:sz w:val="24"/>
                <w:szCs w:val="24"/>
                <w:highlight w:val="none"/>
              </w:rPr>
              <w:t>专项评价设置情况</w:t>
            </w:r>
          </w:p>
        </w:tc>
        <w:tc>
          <w:tcPr>
            <w:tcW w:w="7083" w:type="dxa"/>
            <w:gridSpan w:val="3"/>
            <w:tcBorders>
              <w:tl2br w:val="nil"/>
              <w:tr2bl w:val="nil"/>
            </w:tcBorders>
            <w:vAlign w:val="center"/>
          </w:tcPr>
          <w:p>
            <w:pPr>
              <w:autoSpaceDE w:val="0"/>
              <w:autoSpaceDN w:val="0"/>
              <w:adjustRightInd w:val="0"/>
              <w:snapToGrid w:val="0"/>
              <w:jc w:val="center"/>
              <w:rPr>
                <w:rFonts w:cs="Times New Roman" w:hint="eastAsia"/>
                <w:color w:val="auto"/>
                <w:kern w:val="0"/>
                <w:sz w:val="24"/>
                <w:highlight w:val="none"/>
              </w:rPr>
            </w:pPr>
            <w:r>
              <w:rPr>
                <w:rFonts w:cs="Times New Roman" w:hint="eastAsia"/>
                <w:color w:val="auto"/>
                <w:kern w:val="0"/>
                <w:sz w:val="24"/>
                <w:szCs w:val="24"/>
                <w:highlight w:val="none"/>
                <w:lang w:val="en-US" w:eastAsia="zh-CN"/>
              </w:rPr>
              <w:t>/</w:t>
            </w:r>
          </w:p>
        </w:tc>
      </w:tr>
      <w:tr>
        <w:tblPrEx>
          <w:tblW w:w="0" w:type="auto"/>
          <w:jc w:val="center"/>
          <w:tblInd w:w="1" w:type="dxa"/>
          <w:tblLayout w:type="fixed"/>
          <w:tblCellMar>
            <w:top w:w="0" w:type="dxa"/>
            <w:left w:w="108" w:type="dxa"/>
            <w:bottom w:w="0" w:type="dxa"/>
            <w:right w:w="108" w:type="dxa"/>
          </w:tblCellMar>
          <w:tblLook w:val="0000"/>
        </w:tblPrEx>
        <w:trPr>
          <w:trHeight w:val="90"/>
          <w:jc w:val="center"/>
        </w:trPr>
        <w:tc>
          <w:tcPr>
            <w:tcW w:w="1788" w:type="dxa"/>
            <w:tcBorders>
              <w:tl2br w:val="nil"/>
              <w:tr2bl w:val="nil"/>
            </w:tcBorders>
            <w:vAlign w:val="center"/>
          </w:tcPr>
          <w:p>
            <w:pPr>
              <w:autoSpaceDE w:val="0"/>
              <w:autoSpaceDN w:val="0"/>
              <w:adjustRightInd w:val="0"/>
              <w:snapToGrid w:val="0"/>
              <w:jc w:val="center"/>
              <w:rPr>
                <w:rFonts w:cs="Times New Roman" w:hint="default"/>
                <w:b/>
                <w:bCs/>
                <w:color w:val="auto"/>
                <w:kern w:val="0"/>
                <w:sz w:val="24"/>
                <w:highlight w:val="none"/>
              </w:rPr>
            </w:pPr>
            <w:r>
              <w:rPr>
                <w:rFonts w:ascii="Times New Roman" w:hAnsi="Times New Roman" w:cs="Times New Roman" w:hint="default"/>
                <w:b/>
                <w:bCs/>
                <w:color w:val="auto"/>
                <w:sz w:val="24"/>
                <w:szCs w:val="24"/>
                <w:highlight w:val="none"/>
              </w:rPr>
              <w:t>规划情况</w:t>
            </w:r>
          </w:p>
        </w:tc>
        <w:tc>
          <w:tcPr>
            <w:tcW w:w="7083" w:type="dxa"/>
            <w:gridSpan w:val="3"/>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line="288" w:lineRule="auto"/>
              <w:jc w:val="center"/>
              <w:textAlignment w:val="auto"/>
              <w:rPr>
                <w:rFonts w:cs="Times New Roman" w:hint="eastAsia"/>
                <w:color w:val="auto"/>
                <w:kern w:val="0"/>
                <w:sz w:val="24"/>
                <w:highlight w:val="none"/>
              </w:rPr>
            </w:pPr>
            <w:r>
              <w:rPr>
                <w:rFonts w:ascii="Times New Roman" w:hAnsi="Times New Roman" w:cs="Times New Roman"/>
                <w:color w:val="auto"/>
                <w:sz w:val="21"/>
                <w:szCs w:val="21"/>
              </w:rPr>
              <w:t>《铜川新材料产业园区总体规划》（2017~2035）</w:t>
            </w:r>
          </w:p>
        </w:tc>
      </w:tr>
      <w:tr>
        <w:tblPrEx>
          <w:tblW w:w="0" w:type="auto"/>
          <w:jc w:val="center"/>
          <w:tblInd w:w="1" w:type="dxa"/>
          <w:tblLayout w:type="fixed"/>
          <w:tblCellMar>
            <w:top w:w="0" w:type="dxa"/>
            <w:left w:w="108" w:type="dxa"/>
            <w:bottom w:w="0" w:type="dxa"/>
            <w:right w:w="108" w:type="dxa"/>
          </w:tblCellMar>
          <w:tblLook w:val="0000"/>
        </w:tblPrEx>
        <w:trPr>
          <w:trHeight w:val="103"/>
          <w:jc w:val="center"/>
        </w:trPr>
        <w:tc>
          <w:tcPr>
            <w:tcW w:w="1788" w:type="dxa"/>
            <w:tcBorders>
              <w:tl2br w:val="nil"/>
              <w:tr2bl w:val="nil"/>
            </w:tcBorders>
            <w:vAlign w:val="center"/>
          </w:tcPr>
          <w:p>
            <w:pPr>
              <w:adjustRightInd w:val="0"/>
              <w:snapToGrid w:val="0"/>
              <w:jc w:val="center"/>
              <w:rPr>
                <w:rFonts w:cs="Times New Roman" w:hint="default"/>
                <w:color w:val="auto"/>
                <w:kern w:val="0"/>
                <w:sz w:val="24"/>
                <w:highlight w:val="none"/>
              </w:rPr>
            </w:pPr>
            <w:r>
              <w:rPr>
                <w:rFonts w:ascii="Times New Roman" w:hAnsi="Times New Roman" w:cs="Times New Roman" w:hint="default"/>
                <w:b/>
                <w:bCs/>
                <w:color w:val="auto"/>
                <w:sz w:val="24"/>
                <w:szCs w:val="24"/>
                <w:highlight w:val="none"/>
              </w:rPr>
              <w:t>规划环境影响评价情况</w:t>
            </w:r>
          </w:p>
        </w:tc>
        <w:tc>
          <w:tcPr>
            <w:tcW w:w="7083" w:type="dxa"/>
            <w:gridSpan w:val="3"/>
            <w:tcBorders>
              <w:tl2br w:val="nil"/>
              <w:tr2bl w:val="nil"/>
            </w:tcBorders>
            <w:vAlign w:val="center"/>
          </w:tcPr>
          <w:p>
            <w:pPr>
              <w:jc w:val="center"/>
              <w:rPr>
                <w:rFonts w:hint="eastAsia"/>
                <w:color w:val="auto"/>
                <w:highlight w:val="none"/>
              </w:rPr>
            </w:pPr>
            <w:r>
              <w:rPr>
                <w:rFonts w:ascii="Times New Roman" w:hAnsi="Times New Roman" w:cs="Times New Roman"/>
                <w:color w:val="auto"/>
                <w:sz w:val="21"/>
                <w:szCs w:val="21"/>
              </w:rPr>
              <w:t>《铜川新材料产业园区总体规划环境影响报告书》及其审查意见</w:t>
            </w:r>
            <w:r>
              <w:rPr>
                <w:rFonts w:ascii="Times New Roman" w:eastAsia="宋体" w:hAnsi="Times New Roman" w:cs="Times New Roman" w:hint="eastAsia"/>
                <w:color w:val="auto"/>
                <w:sz w:val="21"/>
                <w:szCs w:val="21"/>
                <w:lang w:eastAsia="zh-CN"/>
              </w:rPr>
              <w:t>（</w:t>
            </w:r>
            <w:r>
              <w:rPr>
                <w:rFonts w:ascii="Times New Roman" w:eastAsia="宋体" w:hAnsi="Times New Roman" w:cs="Times New Roman" w:hint="eastAsia"/>
                <w:color w:val="auto"/>
                <w:sz w:val="21"/>
                <w:szCs w:val="21"/>
              </w:rPr>
              <w:t>铜环函【2018】166号</w:t>
            </w:r>
            <w:r>
              <w:rPr>
                <w:rFonts w:ascii="Times New Roman" w:eastAsia="宋体" w:hAnsi="Times New Roman" w:cs="Times New Roman" w:hint="eastAsia"/>
                <w:color w:val="auto"/>
                <w:sz w:val="21"/>
                <w:szCs w:val="21"/>
                <w:lang w:eastAsia="zh-CN"/>
              </w:rPr>
              <w:t>）</w:t>
            </w:r>
          </w:p>
        </w:tc>
      </w:tr>
      <w:tr>
        <w:tblPrEx>
          <w:tblW w:w="0" w:type="auto"/>
          <w:jc w:val="center"/>
          <w:tblInd w:w="1" w:type="dxa"/>
          <w:tblLayout w:type="fixed"/>
          <w:tblCellMar>
            <w:top w:w="0" w:type="dxa"/>
            <w:left w:w="108" w:type="dxa"/>
            <w:bottom w:w="0" w:type="dxa"/>
            <w:right w:w="108" w:type="dxa"/>
          </w:tblCellMar>
          <w:tblLook w:val="0000"/>
        </w:tblPrEx>
        <w:trPr>
          <w:trHeight w:val="90"/>
          <w:jc w:val="center"/>
        </w:trPr>
        <w:tc>
          <w:tcPr>
            <w:tcW w:w="1788"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cs="Times New Roman" w:hint="default"/>
                <w:color w:val="auto"/>
                <w:kern w:val="0"/>
                <w:sz w:val="24"/>
                <w:highlight w:val="none"/>
              </w:rPr>
            </w:pPr>
            <w:r>
              <w:rPr>
                <w:rFonts w:ascii="Times New Roman" w:hAnsi="Times New Roman" w:cs="Times New Roman" w:hint="default"/>
                <w:b/>
                <w:bCs/>
                <w:color w:val="auto"/>
                <w:kern w:val="0"/>
                <w:sz w:val="24"/>
                <w:szCs w:val="24"/>
                <w:highlight w:val="none"/>
              </w:rPr>
              <w:t>规划及规划环境影响评价符合性分析</w:t>
            </w:r>
          </w:p>
        </w:tc>
        <w:tc>
          <w:tcPr>
            <w:tcW w:w="7083" w:type="dxa"/>
            <w:gridSpan w:val="3"/>
            <w:tcBorders>
              <w:tl2br w:val="nil"/>
              <w:tr2bl w:val="nil"/>
            </w:tcBorders>
            <w:vAlign w:val="center"/>
          </w:tcPr>
          <w:p>
            <w:pPr>
              <w:adjustRightInd w:val="0"/>
              <w:snapToGrid w:val="0"/>
              <w:spacing w:line="240" w:lineRule="auto"/>
              <w:jc w:val="center"/>
              <w:rPr>
                <w:rFonts w:cs="Times New Roman" w:hint="default"/>
                <w:b/>
                <w:bCs/>
                <w:color w:val="auto"/>
                <w:sz w:val="24"/>
              </w:rPr>
            </w:pPr>
            <w:r>
              <w:rPr>
                <w:rFonts w:ascii="Times New Roman" w:eastAsia="宋体" w:hAnsi="Times New Roman" w:cs="Times New Roman" w:hint="default"/>
                <w:b/>
                <w:bCs/>
                <w:color w:val="auto"/>
                <w:sz w:val="24"/>
                <w:lang w:val="en-US"/>
              </w:rPr>
              <w:t>表1</w:t>
            </w:r>
            <w:r>
              <w:rPr>
                <w:rFonts w:ascii="Times New Roman" w:eastAsia="宋体" w:hAnsi="Times New Roman" w:cs="Times New Roman" w:hint="eastAsia"/>
                <w:b/>
                <w:bCs/>
                <w:color w:val="auto"/>
                <w:sz w:val="24"/>
                <w:lang w:val="en-US" w:eastAsia="zh-CN"/>
              </w:rPr>
              <w:t>-1</w:t>
            </w:r>
            <w:r>
              <w:rPr>
                <w:rFonts w:ascii="Times New Roman" w:eastAsia="宋体" w:hAnsi="Times New Roman" w:cs="Times New Roman" w:hint="default"/>
                <w:b/>
                <w:bCs/>
                <w:color w:val="auto"/>
                <w:sz w:val="24"/>
                <w:lang w:val="en-US"/>
              </w:rPr>
              <w:t xml:space="preserve">    本项目与相关规划相符性分析表</w:t>
            </w:r>
          </w:p>
          <w:tbl>
            <w:tblPr>
              <w:tblStyle w:val="TableNormal"/>
              <w:tblW w:w="6997"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152"/>
              <w:gridCol w:w="3438"/>
              <w:gridCol w:w="1371"/>
              <w:gridCol w:w="1036"/>
            </w:tblGrid>
            <w:tr>
              <w:tblPrEx>
                <w:tblW w:w="6997"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73"/>
                <w:tblHeader/>
                <w:jc w:val="center"/>
              </w:trPr>
              <w:tc>
                <w:tcPr>
                  <w:tcW w:w="1152" w:type="dxa"/>
                  <w:vAlign w:val="center"/>
                </w:tcPr>
                <w:p>
                  <w:pPr>
                    <w:spacing w:line="240" w:lineRule="auto"/>
                    <w:jc w:val="center"/>
                    <w:rPr>
                      <w:rFonts w:cs="Times New Roman" w:hint="default"/>
                      <w:b/>
                      <w:bCs w:val="0"/>
                      <w:color w:val="auto"/>
                      <w:szCs w:val="21"/>
                    </w:rPr>
                  </w:pPr>
                  <w:r>
                    <w:rPr>
                      <w:rFonts w:ascii="Times New Roman" w:eastAsia="宋体" w:hAnsi="Times New Roman" w:cs="Times New Roman" w:hint="default"/>
                      <w:b/>
                      <w:bCs w:val="0"/>
                      <w:color w:val="auto"/>
                      <w:sz w:val="21"/>
                      <w:szCs w:val="21"/>
                      <w:lang w:val="en-US" w:eastAsia="zh-CN"/>
                    </w:rPr>
                    <w:t>名称</w:t>
                  </w:r>
                </w:p>
              </w:tc>
              <w:tc>
                <w:tcPr>
                  <w:tcW w:w="3438" w:type="dxa"/>
                  <w:vAlign w:val="center"/>
                </w:tcPr>
                <w:p>
                  <w:pPr>
                    <w:spacing w:line="240" w:lineRule="auto"/>
                    <w:jc w:val="center"/>
                    <w:rPr>
                      <w:rFonts w:cs="Times New Roman" w:hint="default"/>
                      <w:b/>
                      <w:bCs w:val="0"/>
                      <w:color w:val="auto"/>
                      <w:szCs w:val="21"/>
                    </w:rPr>
                  </w:pPr>
                  <w:r>
                    <w:rPr>
                      <w:rFonts w:ascii="Times New Roman" w:eastAsia="宋体" w:hAnsi="Times New Roman" w:cs="Times New Roman" w:hint="default"/>
                      <w:b/>
                      <w:bCs w:val="0"/>
                      <w:color w:val="auto"/>
                      <w:sz w:val="21"/>
                      <w:szCs w:val="21"/>
                      <w:lang w:val="en-US" w:eastAsia="zh-CN"/>
                    </w:rPr>
                    <w:t>规划内容</w:t>
                  </w:r>
                </w:p>
              </w:tc>
              <w:tc>
                <w:tcPr>
                  <w:tcW w:w="1371" w:type="dxa"/>
                  <w:vAlign w:val="center"/>
                </w:tcPr>
                <w:p>
                  <w:pPr>
                    <w:spacing w:line="240" w:lineRule="auto"/>
                    <w:jc w:val="center"/>
                    <w:rPr>
                      <w:rFonts w:cs="Times New Roman" w:hint="default"/>
                      <w:b/>
                      <w:bCs w:val="0"/>
                      <w:color w:val="auto"/>
                      <w:szCs w:val="21"/>
                    </w:rPr>
                  </w:pPr>
                  <w:r>
                    <w:rPr>
                      <w:rFonts w:ascii="Times New Roman" w:eastAsia="宋体" w:hAnsi="Times New Roman" w:cs="Times New Roman" w:hint="default"/>
                      <w:b/>
                      <w:bCs w:val="0"/>
                      <w:color w:val="auto"/>
                      <w:sz w:val="21"/>
                      <w:szCs w:val="21"/>
                      <w:lang w:val="en-US" w:eastAsia="zh-CN"/>
                    </w:rPr>
                    <w:t>本项目情况</w:t>
                  </w:r>
                </w:p>
              </w:tc>
              <w:tc>
                <w:tcPr>
                  <w:tcW w:w="1036" w:type="dxa"/>
                  <w:vAlign w:val="center"/>
                </w:tcPr>
                <w:p>
                  <w:pPr>
                    <w:spacing w:line="240" w:lineRule="auto"/>
                    <w:jc w:val="center"/>
                    <w:rPr>
                      <w:rFonts w:cs="Times New Roman" w:hint="default"/>
                      <w:b/>
                      <w:bCs w:val="0"/>
                      <w:color w:val="auto"/>
                      <w:szCs w:val="21"/>
                    </w:rPr>
                  </w:pPr>
                  <w:r>
                    <w:rPr>
                      <w:rFonts w:ascii="Times New Roman" w:eastAsia="宋体" w:hAnsi="Times New Roman" w:cs="Times New Roman" w:hint="default"/>
                      <w:b/>
                      <w:bCs w:val="0"/>
                      <w:color w:val="auto"/>
                      <w:sz w:val="21"/>
                      <w:szCs w:val="21"/>
                      <w:lang w:val="en-US" w:eastAsia="zh-CN"/>
                    </w:rPr>
                    <w:t>相符性</w:t>
                  </w:r>
                </w:p>
              </w:tc>
            </w:tr>
            <w:tr>
              <w:tblPrEx>
                <w:tblW w:w="6997" w:type="dxa"/>
                <w:jc w:val="center"/>
                <w:tblInd w:w="113" w:type="dxa"/>
                <w:tblLayout w:type="fixed"/>
                <w:tblCellMar>
                  <w:top w:w="0" w:type="dxa"/>
                  <w:left w:w="108" w:type="dxa"/>
                  <w:bottom w:w="0" w:type="dxa"/>
                  <w:right w:w="108" w:type="dxa"/>
                </w:tblCellMar>
                <w:tblLook w:val="0000"/>
              </w:tblPrEx>
              <w:trPr>
                <w:trHeight w:val="3018"/>
                <w:jc w:val="center"/>
              </w:trPr>
              <w:tc>
                <w:tcPr>
                  <w:tcW w:w="1152" w:type="dxa"/>
                  <w:vAlign w:val="center"/>
                </w:tcPr>
                <w:p>
                  <w:pPr>
                    <w:spacing w:line="240" w:lineRule="auto"/>
                    <w:jc w:val="left"/>
                    <w:rPr>
                      <w:rFonts w:cs="Times New Roman" w:hint="default"/>
                      <w:bCs/>
                      <w:color w:val="auto"/>
                      <w:szCs w:val="21"/>
                    </w:rPr>
                  </w:pPr>
                  <w:r>
                    <w:rPr>
                      <w:rFonts w:ascii="Times New Roman" w:eastAsia="宋体" w:hAnsi="Times New Roman" w:cs="Times New Roman" w:hint="default"/>
                      <w:bCs/>
                      <w:color w:val="auto"/>
                      <w:sz w:val="21"/>
                      <w:szCs w:val="21"/>
                      <w:lang w:val="en-US" w:eastAsia="zh-CN"/>
                    </w:rPr>
                    <w:t>《铜川新材料产业园区总体规划》（2017~2035）</w:t>
                  </w:r>
                </w:p>
              </w:tc>
              <w:tc>
                <w:tcPr>
                  <w:tcW w:w="3438" w:type="dxa"/>
                  <w:vAlign w:val="center"/>
                </w:tcPr>
                <w:p>
                  <w:pPr>
                    <w:spacing w:line="240" w:lineRule="auto"/>
                    <w:jc w:val="left"/>
                    <w:rPr>
                      <w:rFonts w:cs="Times New Roman" w:hint="default"/>
                      <w:bCs/>
                      <w:color w:val="auto"/>
                      <w:szCs w:val="21"/>
                    </w:rPr>
                  </w:pPr>
                  <w:r>
                    <w:rPr>
                      <w:rFonts w:ascii="Times New Roman" w:eastAsia="宋体" w:hAnsi="Times New Roman" w:cs="Times New Roman" w:hint="eastAsia"/>
                      <w:bCs/>
                      <w:color w:val="auto"/>
                      <w:sz w:val="21"/>
                      <w:szCs w:val="21"/>
                      <w:lang w:val="en-US" w:eastAsia="zh-CN"/>
                    </w:rPr>
                    <w:t>功</w:t>
                  </w:r>
                  <w:r>
                    <w:rPr>
                      <w:rFonts w:ascii="Times New Roman" w:eastAsia="宋体" w:hAnsi="Times New Roman" w:cs="Times New Roman" w:hint="default"/>
                      <w:bCs/>
                      <w:color w:val="auto"/>
                      <w:sz w:val="21"/>
                      <w:szCs w:val="21"/>
                      <w:lang w:val="en-US" w:eastAsia="zh-CN"/>
                    </w:rPr>
                    <w:t>能定位：</w:t>
                  </w:r>
                  <w:r>
                    <w:rPr>
                      <w:rFonts w:ascii="Times New Roman" w:eastAsia="宋体" w:hAnsi="Times New Roman" w:cs="Times New Roman" w:hint="eastAsia"/>
                      <w:bCs/>
                      <w:color w:val="auto"/>
                      <w:sz w:val="21"/>
                      <w:szCs w:val="21"/>
                      <w:lang w:val="en-US" w:eastAsia="zh-CN"/>
                    </w:rPr>
                    <w:t>①</w:t>
                  </w:r>
                  <w:r>
                    <w:rPr>
                      <w:rFonts w:ascii="Times New Roman" w:eastAsia="宋体" w:hAnsi="Times New Roman" w:cs="Times New Roman" w:hint="default"/>
                      <w:bCs/>
                      <w:color w:val="auto"/>
                      <w:sz w:val="21"/>
                      <w:szCs w:val="21"/>
                      <w:lang w:val="en-US" w:eastAsia="zh-CN"/>
                    </w:rPr>
                    <w:t>新型材料与先进制造：包括新材料制造、新材料研制基地等功能。</w:t>
                  </w:r>
                  <w:r>
                    <w:rPr>
                      <w:rFonts w:ascii="Times New Roman" w:eastAsia="宋体" w:hAnsi="Times New Roman" w:cs="Times New Roman" w:hint="eastAsia"/>
                      <w:bCs/>
                      <w:color w:val="auto"/>
                      <w:sz w:val="21"/>
                      <w:szCs w:val="21"/>
                      <w:lang w:val="en-US" w:eastAsia="zh-CN"/>
                    </w:rPr>
                    <w:t>②</w:t>
                  </w:r>
                  <w:r>
                    <w:rPr>
                      <w:rFonts w:ascii="Times New Roman" w:eastAsia="宋体" w:hAnsi="Times New Roman" w:cs="Times New Roman" w:hint="default"/>
                      <w:bCs/>
                      <w:color w:val="auto"/>
                      <w:sz w:val="21"/>
                      <w:szCs w:val="21"/>
                      <w:lang w:val="en-US" w:eastAsia="zh-CN"/>
                    </w:rPr>
                    <w:t>载能循环与相关产业：包括燃煤电能、光电产业、新能源产业、废料再生产业等功能。</w:t>
                  </w:r>
                  <w:r>
                    <w:rPr>
                      <w:rFonts w:ascii="Times New Roman" w:eastAsia="宋体" w:hAnsi="Times New Roman" w:cs="Times New Roman" w:hint="eastAsia"/>
                      <w:bCs/>
                      <w:color w:val="auto"/>
                      <w:sz w:val="21"/>
                      <w:szCs w:val="21"/>
                      <w:lang w:val="en-US" w:eastAsia="zh-CN"/>
                    </w:rPr>
                    <w:t>③</w:t>
                  </w:r>
                  <w:r>
                    <w:rPr>
                      <w:rFonts w:ascii="Times New Roman" w:eastAsia="宋体" w:hAnsi="Times New Roman" w:cs="Times New Roman" w:hint="default"/>
                      <w:bCs/>
                      <w:color w:val="auto"/>
                      <w:sz w:val="21"/>
                      <w:szCs w:val="21"/>
                      <w:lang w:val="en-US" w:eastAsia="zh-CN"/>
                    </w:rPr>
                    <w:t>现代新兴与科技研发：包括医药制造、信息产业、高端精细化工、技术研发、产品发布等新兴产业功能。</w:t>
                  </w:r>
                  <w:r>
                    <w:rPr>
                      <w:rFonts w:ascii="Times New Roman" w:eastAsia="宋体" w:hAnsi="Times New Roman" w:cs="Times New Roman" w:hint="eastAsia"/>
                      <w:bCs/>
                      <w:color w:val="auto"/>
                      <w:sz w:val="21"/>
                      <w:szCs w:val="21"/>
                      <w:lang w:val="en-US" w:eastAsia="zh-CN"/>
                    </w:rPr>
                    <w:t>④</w:t>
                  </w:r>
                  <w:r>
                    <w:rPr>
                      <w:rFonts w:ascii="Times New Roman" w:eastAsia="宋体" w:hAnsi="Times New Roman" w:cs="Times New Roman" w:hint="default"/>
                      <w:bCs/>
                      <w:color w:val="auto"/>
                      <w:sz w:val="21"/>
                      <w:szCs w:val="21"/>
                      <w:lang w:val="en-US" w:eastAsia="zh-CN"/>
                    </w:rPr>
                    <w:t>现代物流与商务商业：包括总部经济、物流商贸、专业市场、金融创投等功能。</w:t>
                  </w:r>
                  <w:r>
                    <w:rPr>
                      <w:rFonts w:ascii="Times New Roman" w:eastAsia="宋体" w:hAnsi="Times New Roman" w:cs="Times New Roman" w:hint="eastAsia"/>
                      <w:bCs/>
                      <w:color w:val="auto"/>
                      <w:sz w:val="21"/>
                      <w:szCs w:val="21"/>
                      <w:lang w:val="en-US" w:eastAsia="zh-CN"/>
                    </w:rPr>
                    <w:t>⑤</w:t>
                  </w:r>
                  <w:r>
                    <w:rPr>
                      <w:rFonts w:ascii="Times New Roman" w:eastAsia="宋体" w:hAnsi="Times New Roman" w:cs="Times New Roman" w:hint="default"/>
                      <w:bCs/>
                      <w:color w:val="auto"/>
                      <w:sz w:val="21"/>
                      <w:szCs w:val="21"/>
                      <w:lang w:val="en-US" w:eastAsia="zh-CN"/>
                    </w:rPr>
                    <w:t>生态宜居与现代服务：包括人才公寓、生态社区、生产性服务、生活性服务等功能</w:t>
                  </w:r>
                </w:p>
              </w:tc>
              <w:tc>
                <w:tcPr>
                  <w:tcW w:w="1371" w:type="dxa"/>
                  <w:vAlign w:val="center"/>
                </w:tcPr>
                <w:p>
                  <w:pPr>
                    <w:spacing w:line="240" w:lineRule="auto"/>
                    <w:jc w:val="left"/>
                    <w:rPr>
                      <w:rFonts w:cs="Times New Roman" w:hint="default"/>
                      <w:bCs/>
                      <w:color w:val="auto"/>
                      <w:szCs w:val="21"/>
                    </w:rPr>
                  </w:pPr>
                  <w:r>
                    <w:rPr>
                      <w:rFonts w:ascii="Times New Roman" w:eastAsia="宋体" w:hAnsi="Times New Roman" w:cs="Times New Roman" w:hint="eastAsia"/>
                      <w:bCs/>
                      <w:color w:val="auto"/>
                      <w:sz w:val="21"/>
                      <w:szCs w:val="21"/>
                      <w:lang w:val="en-US" w:eastAsia="zh-CN"/>
                    </w:rPr>
                    <w:t>项目位于照金路与经三路十字西北角PC车间西北角，</w:t>
                  </w:r>
                  <w:r>
                    <w:rPr>
                      <w:rFonts w:ascii="Times New Roman" w:eastAsia="宋体" w:hAnsi="Times New Roman" w:cs="Times New Roman" w:hint="default"/>
                      <w:bCs/>
                      <w:color w:val="auto"/>
                      <w:sz w:val="21"/>
                      <w:szCs w:val="21"/>
                      <w:lang w:val="en-US" w:eastAsia="zh-CN"/>
                    </w:rPr>
                    <w:t>本项目位于北部新材料创新区，符合该功能区定位。</w:t>
                  </w:r>
                </w:p>
              </w:tc>
              <w:tc>
                <w:tcPr>
                  <w:tcW w:w="1036" w:type="dxa"/>
                  <w:vAlign w:val="center"/>
                </w:tcPr>
                <w:p>
                  <w:pPr>
                    <w:spacing w:line="240" w:lineRule="auto"/>
                    <w:jc w:val="left"/>
                    <w:rPr>
                      <w:rFonts w:cs="Times New Roman" w:hint="default"/>
                      <w:bCs/>
                      <w:color w:val="auto"/>
                      <w:szCs w:val="21"/>
                    </w:rPr>
                  </w:pPr>
                  <w:r>
                    <w:rPr>
                      <w:rFonts w:ascii="Times New Roman" w:eastAsia="宋体" w:hAnsi="Times New Roman" w:cs="Times New Roman" w:hint="default"/>
                      <w:bCs/>
                      <w:color w:val="auto"/>
                      <w:sz w:val="21"/>
                      <w:szCs w:val="21"/>
                      <w:lang w:val="en-US" w:eastAsia="zh-CN"/>
                    </w:rPr>
                    <w:t>符合</w:t>
                  </w:r>
                </w:p>
              </w:tc>
            </w:tr>
          </w:tbl>
          <w:p/>
        </w:tc>
      </w:tr>
    </w:tbl>
    <w:p>
      <w:pPr>
        <w:sectPr>
          <w:headerReference w:type="default" r:id="rId4"/>
          <w:footerReference w:type="default" r:id="rId5"/>
          <w:type w:val="nextPage"/>
          <w:pgSz w:w="11906" w:h="16838" w:orient="portrait"/>
          <w:pgMar w:top="1701" w:right="1531" w:bottom="1701" w:left="1531" w:header="851" w:footer="851" w:gutter="0"/>
          <w:pgBorders w:zOrder="front" w:display="allPages" w:offsetFrom="text">
            <w:top w:val="none" w:sz="0" w:space="0" w:color="auto"/>
            <w:left w:val="none" w:sz="0" w:space="0" w:color="auto"/>
            <w:bottom w:val="none" w:sz="0" w:space="0" w:color="auto"/>
            <w:right w:val="none" w:sz="0" w:space="0" w:color="auto"/>
          </w:pgBorders>
          <w:pgNumType w:fmt="decimal" w:start="1"/>
          <w:cols w:space="708"/>
          <w:docGrid w:linePitch="312"/>
        </w:sectPr>
      </w:pPr>
    </w:p>
    <w:tbl>
      <w:tblPr>
        <w:tblStyle w:val="TableNormal"/>
        <w:tblW w:w="0" w:type="auto"/>
        <w:jc w:val="center"/>
        <w:tblInd w:w="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88"/>
        <w:gridCol w:w="7083"/>
      </w:tblGrid>
      <w:tr>
        <w:tblPrEx>
          <w:tblW w:w="0" w:type="auto"/>
          <w:jc w:val="center"/>
          <w:tblInd w:w="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0"/>
          <w:jc w:val="center"/>
        </w:trPr>
        <w:tc>
          <w:tcPr>
            <w:tcW w:w="1788" w:type="dxa"/>
            <w:tcBorders>
              <w:tl2br w:val="nil"/>
              <w:tr2bl w:val="nil"/>
            </w:tcBorders>
            <w:vAlign w:val="center"/>
          </w:tcPr>
          <w:p/>
        </w:tc>
        <w:tc>
          <w:tcPr>
            <w:tcW w:w="7083" w:type="dxa"/>
            <w:tcBorders>
              <w:tl2br w:val="nil"/>
              <w:tr2bl w:val="nil"/>
            </w:tcBorders>
            <w:vAlign w:val="center"/>
          </w:tcPr>
          <w:tbl>
            <w:tblPr>
              <w:tblStyle w:val="TableNormal"/>
              <w:tblW w:w="6997"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152"/>
              <w:gridCol w:w="3438"/>
              <w:gridCol w:w="1371"/>
              <w:gridCol w:w="1036"/>
            </w:tblGrid>
            <w:tr>
              <w:tblPrEx>
                <w:tblW w:w="6997"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8617"/>
                <w:jc w:val="center"/>
              </w:trPr>
              <w:tc>
                <w:tcPr>
                  <w:tcW w:w="1152" w:type="dxa"/>
                  <w:vAlign w:val="center"/>
                </w:tcPr>
                <w:p>
                  <w:pPr>
                    <w:spacing w:line="240" w:lineRule="auto"/>
                    <w:jc w:val="left"/>
                    <w:rPr>
                      <w:rFonts w:cs="Times New Roman" w:hint="default"/>
                      <w:bCs/>
                      <w:color w:val="auto"/>
                      <w:szCs w:val="21"/>
                    </w:rPr>
                  </w:pPr>
                  <w:r>
                    <w:rPr>
                      <w:rFonts w:ascii="Times New Roman" w:eastAsia="宋体" w:hAnsi="Times New Roman" w:cs="Times New Roman" w:hint="default"/>
                      <w:bCs/>
                      <w:color w:val="auto"/>
                      <w:sz w:val="21"/>
                      <w:szCs w:val="21"/>
                      <w:lang w:val="en-US" w:eastAsia="zh-CN"/>
                    </w:rPr>
                    <w:t>《铜川新材料产业园区总体规划环境影响报告书》及其审查意见</w:t>
                  </w:r>
                </w:p>
              </w:tc>
              <w:tc>
                <w:tcPr>
                  <w:tcW w:w="3438" w:type="dxa"/>
                  <w:vAlign w:val="center"/>
                </w:tcPr>
                <w:p>
                  <w:pPr>
                    <w:spacing w:line="240" w:lineRule="auto"/>
                    <w:jc w:val="left"/>
                    <w:rPr>
                      <w:rFonts w:cs="Times New Roman" w:hint="default"/>
                      <w:bCs/>
                      <w:color w:val="auto"/>
                      <w:szCs w:val="21"/>
                    </w:rPr>
                  </w:pPr>
                  <w:r>
                    <w:rPr>
                      <w:rFonts w:ascii="Times New Roman" w:eastAsia="宋体" w:hAnsi="Times New Roman" w:cs="Times New Roman" w:hint="default"/>
                      <w:bCs/>
                      <w:color w:val="auto"/>
                      <w:sz w:val="21"/>
                      <w:szCs w:val="21"/>
                      <w:lang w:val="en-US" w:eastAsia="zh-CN"/>
                    </w:rPr>
                    <w:t>（1）园区建设集中污水处理厂，入区企业生产废水经预处理达到符合《污水排入城镇下水道水质标准》和《污水综合排放标准》三级标准后排入污水管网，进入园区污水处理厂处理达标后，部分回用于华能铜川电厂，部分回用于绿化、道路清扫、洗车等，其余排入新区作为景观用水，不外排。</w:t>
                  </w:r>
                </w:p>
                <w:p>
                  <w:pPr>
                    <w:spacing w:line="240" w:lineRule="auto"/>
                    <w:jc w:val="left"/>
                    <w:rPr>
                      <w:rFonts w:cs="Times New Roman" w:hint="default"/>
                      <w:bCs/>
                      <w:color w:val="auto"/>
                      <w:szCs w:val="21"/>
                    </w:rPr>
                  </w:pPr>
                  <w:r>
                    <w:rPr>
                      <w:rFonts w:ascii="Times New Roman" w:eastAsia="宋体" w:hAnsi="Times New Roman" w:cs="Times New Roman" w:hint="default"/>
                      <w:bCs/>
                      <w:color w:val="auto"/>
                      <w:sz w:val="21"/>
                      <w:szCs w:val="21"/>
                      <w:lang w:val="en-US" w:eastAsia="zh-CN"/>
                    </w:rPr>
                    <w:t>（2）不支持进入、严禁进入产业区的项目：对于达不到进区企业要求的建设项目不支持进入。主要体现为：对于达不到进区企业要求的建设项目不支持进入。主要体现为：1）不符合规划区及各产业园区产业定位、污染排放较大的行业。2）工业水回用率低于75%的项目。3）单位工业增加值新鲜水耗高于8t/万元、单位工业增加值COD排放量高于0.9kg/万元、单位工业增加值NH3-N排放量高于0.1kg/万元的项目。单位工业增加值SO2排放量大于1.0kg/万元、单位工业增加值NOX排放量大于0.6kg/万元的项目</w:t>
                  </w:r>
                </w:p>
                <w:p>
                  <w:pPr>
                    <w:spacing w:line="240" w:lineRule="auto"/>
                    <w:jc w:val="left"/>
                    <w:rPr>
                      <w:rFonts w:cs="Times New Roman" w:hint="default"/>
                      <w:bCs/>
                      <w:color w:val="auto"/>
                      <w:szCs w:val="21"/>
                    </w:rPr>
                  </w:pPr>
                  <w:r>
                    <w:rPr>
                      <w:rFonts w:ascii="Times New Roman" w:eastAsia="宋体" w:hAnsi="Times New Roman" w:cs="Times New Roman" w:hint="default"/>
                      <w:bCs/>
                      <w:color w:val="auto"/>
                      <w:sz w:val="21"/>
                      <w:szCs w:val="21"/>
                      <w:lang w:val="en-US" w:eastAsia="zh-CN"/>
                    </w:rPr>
                    <w:t>禁止进入园区；4）如进驻项目预处理水质达不到污水处理厂接管要求的项目。5）工艺尾气中含有难处理的、有毒有害物质的项目不支持引进。6）采用落后的生产工艺或生产设备，不符合国家相关产业政策、达不到规模经济的项目。包括：</w:t>
                  </w:r>
                  <w:r>
                    <w:rPr>
                      <w:rFonts w:ascii="Times New Roman" w:eastAsia="宋体" w:hAnsi="Times New Roman" w:cs="Times New Roman" w:hint="eastAsia"/>
                      <w:bCs/>
                      <w:color w:val="auto"/>
                      <w:sz w:val="21"/>
                      <w:szCs w:val="21"/>
                      <w:lang w:val="en-US" w:eastAsia="zh-CN"/>
                    </w:rPr>
                    <w:t>①</w:t>
                  </w:r>
                  <w:r>
                    <w:rPr>
                      <w:rFonts w:ascii="Times New Roman" w:eastAsia="宋体" w:hAnsi="Times New Roman" w:cs="Times New Roman" w:hint="default"/>
                      <w:bCs/>
                      <w:color w:val="auto"/>
                      <w:sz w:val="21"/>
                      <w:szCs w:val="21"/>
                      <w:lang w:val="en-US" w:eastAsia="zh-CN"/>
                    </w:rPr>
                    <w:t>国际上和国家各部门禁止或准备禁止生产的项目、明令淘汰项目；</w:t>
                  </w:r>
                  <w:r>
                    <w:rPr>
                      <w:rFonts w:ascii="Times New Roman" w:eastAsia="宋体" w:hAnsi="Times New Roman" w:cs="Times New Roman" w:hint="eastAsia"/>
                      <w:bCs/>
                      <w:color w:val="auto"/>
                      <w:sz w:val="21"/>
                      <w:szCs w:val="21"/>
                      <w:lang w:val="en-US" w:eastAsia="zh-CN"/>
                    </w:rPr>
                    <w:t>②</w:t>
                  </w:r>
                  <w:r>
                    <w:rPr>
                      <w:rFonts w:ascii="Times New Roman" w:eastAsia="宋体" w:hAnsi="Times New Roman" w:cs="Times New Roman" w:hint="default"/>
                      <w:bCs/>
                      <w:color w:val="auto"/>
                      <w:sz w:val="21"/>
                      <w:szCs w:val="21"/>
                      <w:lang w:val="en-US" w:eastAsia="zh-CN"/>
                    </w:rPr>
                    <w:t>生产方式落后、高能耗、严重浪费资源和污染资源的项目；</w:t>
                  </w:r>
                  <w:r>
                    <w:rPr>
                      <w:rFonts w:ascii="Times New Roman" w:eastAsia="宋体" w:hAnsi="Times New Roman" w:cs="Times New Roman" w:hint="eastAsia"/>
                      <w:bCs/>
                      <w:color w:val="auto"/>
                      <w:sz w:val="21"/>
                      <w:szCs w:val="21"/>
                      <w:lang w:val="en-US" w:eastAsia="zh-CN"/>
                    </w:rPr>
                    <w:t>③</w:t>
                  </w:r>
                  <w:r>
                    <w:rPr>
                      <w:rFonts w:ascii="Times New Roman" w:eastAsia="宋体" w:hAnsi="Times New Roman" w:cs="Times New Roman" w:hint="default"/>
                      <w:bCs/>
                      <w:color w:val="auto"/>
                      <w:sz w:val="21"/>
                      <w:szCs w:val="21"/>
                      <w:lang w:val="en-US" w:eastAsia="zh-CN"/>
                    </w:rPr>
                    <w:t>污染严重，破坏自然生态和损害人体健康又无治理技术或难以治理的项目，如剧毒、放射性物质的生产、储运项目、持久性污染和重金属等产生的项目等；</w:t>
                  </w:r>
                  <w:r>
                    <w:rPr>
                      <w:rFonts w:ascii="Times New Roman" w:eastAsia="宋体" w:hAnsi="Times New Roman" w:cs="Times New Roman" w:hint="eastAsia"/>
                      <w:bCs/>
                      <w:color w:val="auto"/>
                      <w:sz w:val="21"/>
                      <w:szCs w:val="21"/>
                      <w:lang w:val="en-US" w:eastAsia="zh-CN"/>
                    </w:rPr>
                    <w:t>④</w:t>
                  </w:r>
                  <w:r>
                    <w:rPr>
                      <w:rFonts w:ascii="Times New Roman" w:eastAsia="宋体" w:hAnsi="Times New Roman" w:cs="Times New Roman" w:hint="default"/>
                      <w:bCs/>
                      <w:color w:val="auto"/>
                      <w:sz w:val="21"/>
                      <w:szCs w:val="21"/>
                      <w:lang w:val="en-US" w:eastAsia="zh-CN"/>
                    </w:rPr>
                    <w:t>严禁引进不符合经济规模要求，经济效益差，污染严重的小钢铁、小有色金属、小铁合金、小化工、小炼油、小建材、小造纸、小制革、小电镀等</w:t>
                  </w:r>
                  <w:r>
                    <w:rPr>
                      <w:rFonts w:ascii="Times New Roman" w:eastAsia="宋体" w:hAnsi="Times New Roman" w:cs="Times New Roman" w:hint="default"/>
                      <w:bCs/>
                      <w:color w:val="auto"/>
                      <w:sz w:val="21"/>
                      <w:szCs w:val="21"/>
                      <w:lang w:val="en-US" w:eastAsia="zh-CN"/>
                    </w:rPr>
                    <w:t>“</w:t>
                  </w:r>
                  <w:r>
                    <w:rPr>
                      <w:rFonts w:ascii="Times New Roman" w:eastAsia="宋体" w:hAnsi="Times New Roman" w:cs="Times New Roman" w:hint="default"/>
                      <w:bCs/>
                      <w:color w:val="auto"/>
                      <w:sz w:val="21"/>
                      <w:szCs w:val="21"/>
                      <w:lang w:val="en-US" w:eastAsia="zh-CN"/>
                    </w:rPr>
                    <w:t>十五小</w:t>
                  </w:r>
                  <w:r>
                    <w:rPr>
                      <w:rFonts w:ascii="Times New Roman" w:eastAsia="宋体" w:hAnsi="Times New Roman" w:cs="Times New Roman" w:hint="default"/>
                      <w:bCs/>
                      <w:color w:val="auto"/>
                      <w:sz w:val="21"/>
                      <w:szCs w:val="21"/>
                      <w:lang w:val="en-US" w:eastAsia="zh-CN"/>
                    </w:rPr>
                    <w:t>”</w:t>
                  </w:r>
                  <w:r>
                    <w:rPr>
                      <w:rFonts w:ascii="Times New Roman" w:eastAsia="宋体" w:hAnsi="Times New Roman" w:cs="Times New Roman" w:hint="default"/>
                      <w:bCs/>
                      <w:color w:val="auto"/>
                      <w:sz w:val="21"/>
                      <w:szCs w:val="21"/>
                      <w:lang w:val="en-US" w:eastAsia="zh-CN"/>
                    </w:rPr>
                    <w:t>企业及</w:t>
                  </w:r>
                  <w:r>
                    <w:rPr>
                      <w:rFonts w:ascii="Times New Roman" w:eastAsia="宋体" w:hAnsi="Times New Roman" w:cs="Times New Roman" w:hint="default"/>
                      <w:bCs/>
                      <w:color w:val="auto"/>
                      <w:sz w:val="21"/>
                      <w:szCs w:val="21"/>
                      <w:lang w:val="en-US" w:eastAsia="zh-CN"/>
                    </w:rPr>
                    <w:t>“</w:t>
                  </w:r>
                  <w:r>
                    <w:rPr>
                      <w:rFonts w:ascii="Times New Roman" w:eastAsia="宋体" w:hAnsi="Times New Roman" w:cs="Times New Roman" w:hint="default"/>
                      <w:bCs/>
                      <w:color w:val="auto"/>
                      <w:sz w:val="21"/>
                      <w:szCs w:val="21"/>
                      <w:lang w:val="en-US" w:eastAsia="zh-CN"/>
                    </w:rPr>
                    <w:t>新五小</w:t>
                  </w:r>
                  <w:r>
                    <w:rPr>
                      <w:rFonts w:ascii="Times New Roman" w:eastAsia="宋体" w:hAnsi="Times New Roman" w:cs="Times New Roman" w:hint="default"/>
                      <w:bCs/>
                      <w:color w:val="auto"/>
                      <w:sz w:val="21"/>
                      <w:szCs w:val="21"/>
                      <w:lang w:val="en-US" w:eastAsia="zh-CN"/>
                    </w:rPr>
                    <w:t>”</w:t>
                  </w:r>
                  <w:r>
                    <w:rPr>
                      <w:rFonts w:ascii="Times New Roman" w:eastAsia="宋体" w:hAnsi="Times New Roman" w:cs="Times New Roman" w:hint="default"/>
                      <w:bCs/>
                      <w:color w:val="auto"/>
                      <w:sz w:val="21"/>
                      <w:szCs w:val="21"/>
                      <w:lang w:val="en-US" w:eastAsia="zh-CN"/>
                    </w:rPr>
                    <w:t>企业。在判断该类项目时要参考《产业结构调整指导目录（2011年）版》（修正）、《工商投资领域制止重复建设</w:t>
                  </w:r>
                </w:p>
                <w:p>
                  <w:pPr>
                    <w:spacing w:after="0" w:line="240" w:lineRule="auto"/>
                    <w:jc w:val="left"/>
                    <w:rPr>
                      <w:rFonts w:cs="Times New Roman" w:hint="default"/>
                      <w:bCs/>
                      <w:color w:val="auto"/>
                      <w:szCs w:val="21"/>
                    </w:rPr>
                  </w:pPr>
                </w:p>
              </w:tc>
              <w:tc>
                <w:tcPr>
                  <w:tcW w:w="1371" w:type="dxa"/>
                  <w:vAlign w:val="center"/>
                </w:tcPr>
                <w:p>
                  <w:pPr>
                    <w:spacing w:line="240" w:lineRule="auto"/>
                    <w:jc w:val="left"/>
                    <w:rPr>
                      <w:rFonts w:cs="Times New Roman" w:hint="default"/>
                      <w:bCs/>
                      <w:color w:val="auto"/>
                      <w:szCs w:val="21"/>
                    </w:rPr>
                  </w:pPr>
                  <w:r>
                    <w:rPr>
                      <w:rFonts w:ascii="Times New Roman" w:eastAsia="宋体" w:hAnsi="Times New Roman" w:cs="Times New Roman" w:hint="default"/>
                      <w:bCs/>
                      <w:color w:val="auto"/>
                      <w:sz w:val="21"/>
                      <w:szCs w:val="21"/>
                      <w:lang w:val="en-US" w:eastAsia="zh-CN"/>
                    </w:rPr>
                    <w:t>（1）</w:t>
                  </w:r>
                  <w:r>
                    <w:rPr>
                      <w:rFonts w:ascii="Times New Roman" w:eastAsia="宋体" w:hAnsi="Times New Roman" w:cs="Times New Roman" w:hint="eastAsia"/>
                      <w:bCs/>
                      <w:color w:val="auto"/>
                      <w:sz w:val="21"/>
                      <w:szCs w:val="21"/>
                      <w:lang w:val="en-US" w:eastAsia="zh-CN"/>
                    </w:rPr>
                    <w:t>本</w:t>
                  </w:r>
                  <w:r>
                    <w:rPr>
                      <w:rFonts w:ascii="Times New Roman" w:eastAsia="宋体" w:hAnsi="Times New Roman" w:cs="Times New Roman" w:hint="default"/>
                      <w:bCs/>
                      <w:color w:val="auto"/>
                      <w:sz w:val="21"/>
                      <w:szCs w:val="21"/>
                      <w:lang w:val="en-US" w:eastAsia="zh-CN"/>
                    </w:rPr>
                    <w:t>项目</w:t>
                  </w:r>
                  <w:r>
                    <w:rPr>
                      <w:rFonts w:ascii="Times New Roman" w:eastAsia="宋体" w:hAnsi="Times New Roman" w:cs="Times New Roman" w:hint="eastAsia"/>
                      <w:bCs/>
                      <w:color w:val="auto"/>
                      <w:sz w:val="21"/>
                      <w:szCs w:val="21"/>
                      <w:lang w:val="en-US" w:eastAsia="zh-CN"/>
                    </w:rPr>
                    <w:t>废水不外排</w:t>
                  </w:r>
                  <w:r>
                    <w:rPr>
                      <w:rFonts w:ascii="Times New Roman" w:eastAsia="宋体" w:hAnsi="Times New Roman" w:cs="Times New Roman" w:hint="default"/>
                      <w:bCs/>
                      <w:color w:val="auto"/>
                      <w:sz w:val="21"/>
                      <w:szCs w:val="21"/>
                      <w:lang w:val="en-US" w:eastAsia="zh-CN"/>
                    </w:rPr>
                    <w:t>；（2）本项目不在规划环评所提严禁进入产业区的项目范围之内。</w:t>
                  </w:r>
                </w:p>
              </w:tc>
              <w:tc>
                <w:tcPr>
                  <w:tcW w:w="1036" w:type="dxa"/>
                  <w:vAlign w:val="center"/>
                </w:tcPr>
                <w:p>
                  <w:pPr>
                    <w:spacing w:line="240" w:lineRule="auto"/>
                    <w:jc w:val="left"/>
                    <w:rPr>
                      <w:rFonts w:cs="Times New Roman" w:hint="default"/>
                      <w:bCs/>
                      <w:color w:val="auto"/>
                      <w:szCs w:val="21"/>
                    </w:rPr>
                  </w:pPr>
                  <w:r>
                    <w:rPr>
                      <w:rFonts w:ascii="Times New Roman" w:eastAsia="宋体" w:hAnsi="Times New Roman" w:cs="Times New Roman" w:hint="default"/>
                      <w:bCs/>
                      <w:color w:val="auto"/>
                      <w:sz w:val="21"/>
                      <w:szCs w:val="21"/>
                      <w:lang w:val="en-US" w:eastAsia="zh-CN"/>
                    </w:rPr>
                    <w:t>符合</w:t>
                  </w:r>
                </w:p>
              </w:tc>
            </w:tr>
          </w:tbl>
          <w:p/>
        </w:tc>
      </w:tr>
    </w:tbl>
    <w:p>
      <w:pPr>
        <w:sectPr>
          <w:headerReference w:type="default" r:id="rId6"/>
          <w:footerReference w:type="default" r:id="rId7"/>
          <w:type w:val="nextPage"/>
          <w:pgSz w:w="11906" w:h="16838" w:orient="portrait"/>
          <w:pgMar w:top="1701" w:right="1531" w:bottom="1701" w:left="1531" w:header="851" w:footer="851" w:gutter="0"/>
          <w:pgBorders w:zOrder="front" w:display="allPages" w:offsetFrom="text">
            <w:top w:val="none" w:sz="0" w:space="0" w:color="auto"/>
            <w:left w:val="none" w:sz="0" w:space="0" w:color="auto"/>
            <w:bottom w:val="none" w:sz="0" w:space="0" w:color="auto"/>
            <w:right w:val="none" w:sz="0" w:space="0" w:color="auto"/>
          </w:pgBorders>
          <w:pgNumType w:fmt="decimal" w:start="2"/>
          <w:cols w:space="708"/>
          <w:titlePg w:val="0"/>
          <w:docGrid w:linePitch="312"/>
        </w:sectPr>
      </w:pPr>
    </w:p>
    <w:tbl>
      <w:tblPr>
        <w:tblStyle w:val="TableNormal"/>
        <w:tblW w:w="0" w:type="auto"/>
        <w:jc w:val="center"/>
        <w:tblInd w:w="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88"/>
        <w:gridCol w:w="7083"/>
      </w:tblGrid>
      <w:tr>
        <w:tblPrEx>
          <w:tblW w:w="0" w:type="auto"/>
          <w:jc w:val="center"/>
          <w:tblInd w:w="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0"/>
          <w:jc w:val="center"/>
        </w:trPr>
        <w:tc>
          <w:tcPr>
            <w:tcW w:w="1788" w:type="dxa"/>
            <w:tcBorders>
              <w:tl2br w:val="nil"/>
              <w:tr2bl w:val="nil"/>
            </w:tcBorders>
            <w:vAlign w:val="center"/>
          </w:tcPr>
          <w:p/>
        </w:tc>
        <w:tc>
          <w:tcPr>
            <w:tcW w:w="7083" w:type="dxa"/>
            <w:tcBorders>
              <w:tl2br w:val="nil"/>
              <w:tr2bl w:val="nil"/>
            </w:tcBorders>
            <w:vAlign w:val="center"/>
          </w:tcPr>
          <w:tbl>
            <w:tblPr>
              <w:tblStyle w:val="TableNormal"/>
              <w:tblW w:w="6997"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152"/>
              <w:gridCol w:w="3438"/>
              <w:gridCol w:w="1371"/>
              <w:gridCol w:w="1036"/>
            </w:tblGrid>
            <w:tr>
              <w:tblPrEx>
                <w:tblW w:w="6997"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8617"/>
                <w:jc w:val="center"/>
              </w:trPr>
              <w:tc>
                <w:tcPr>
                  <w:tcW w:w="1152" w:type="dxa"/>
                  <w:vAlign w:val="center"/>
                </w:tcPr>
                <w:p/>
              </w:tc>
              <w:tc>
                <w:tcPr>
                  <w:tcW w:w="3438" w:type="dxa"/>
                  <w:vAlign w:val="center"/>
                </w:tcPr>
                <w:p>
                  <w:pPr>
                    <w:spacing w:before="0" w:line="240" w:lineRule="auto"/>
                    <w:jc w:val="left"/>
                    <w:rPr>
                      <w:rFonts w:cs="Times New Roman" w:hint="default"/>
                      <w:bCs/>
                      <w:color w:val="auto"/>
                      <w:szCs w:val="21"/>
                    </w:rPr>
                  </w:pPr>
                  <w:r>
                    <w:rPr>
                      <w:rFonts w:ascii="Times New Roman" w:eastAsia="宋体" w:hAnsi="Times New Roman" w:cs="Times New Roman" w:hint="default"/>
                      <w:bCs/>
                      <w:color w:val="auto"/>
                      <w:sz w:val="21"/>
                      <w:szCs w:val="21"/>
                      <w:lang w:val="en-US" w:eastAsia="zh-CN"/>
                    </w:rPr>
                    <w:t>目录》、《严重污染（大气）环境的淘汰工艺与设备名录》、《国家鼓励发展的资源节约综合利用和环境保护技术》、《当前国家鼓励发展的环保产业设备（产品）目录（2010年版）》等国家法律、法规。除鼓励类项目外，存在高污染、高环境风险的项目禁止进入。不在园区行业定位内的项目应限制性进入。严格执行环境影响评价和</w:t>
                  </w:r>
                  <w:r>
                    <w:rPr>
                      <w:rFonts w:ascii="Times New Roman" w:eastAsia="宋体" w:hAnsi="Times New Roman" w:cs="Times New Roman" w:hint="default"/>
                      <w:bCs/>
                      <w:color w:val="auto"/>
                      <w:sz w:val="21"/>
                      <w:szCs w:val="21"/>
                      <w:lang w:val="en-US" w:eastAsia="zh-CN"/>
                    </w:rPr>
                    <w:t>“</w:t>
                  </w:r>
                  <w:r>
                    <w:rPr>
                      <w:rFonts w:ascii="Times New Roman" w:eastAsia="宋体" w:hAnsi="Times New Roman" w:cs="Times New Roman" w:hint="default"/>
                      <w:bCs/>
                      <w:color w:val="auto"/>
                      <w:sz w:val="21"/>
                      <w:szCs w:val="21"/>
                      <w:lang w:val="en-US" w:eastAsia="zh-CN"/>
                    </w:rPr>
                    <w:t>三同时</w:t>
                  </w:r>
                  <w:r>
                    <w:rPr>
                      <w:rFonts w:ascii="Times New Roman" w:eastAsia="宋体" w:hAnsi="Times New Roman" w:cs="Times New Roman" w:hint="default"/>
                      <w:bCs/>
                      <w:color w:val="auto"/>
                      <w:sz w:val="21"/>
                      <w:szCs w:val="21"/>
                      <w:lang w:val="en-US" w:eastAsia="zh-CN"/>
                    </w:rPr>
                    <w:t>”</w:t>
                  </w:r>
                  <w:r>
                    <w:rPr>
                      <w:rFonts w:ascii="Times New Roman" w:eastAsia="宋体" w:hAnsi="Times New Roman" w:cs="Times New Roman" w:hint="default"/>
                      <w:bCs/>
                      <w:color w:val="auto"/>
                      <w:sz w:val="21"/>
                      <w:szCs w:val="21"/>
                      <w:lang w:val="en-US" w:eastAsia="zh-CN"/>
                    </w:rPr>
                    <w:t>制度，正常生产时做到达标排放，以及做好事故预防措施，制定风险应急预案。</w:t>
                  </w:r>
                </w:p>
                <w:p>
                  <w:pPr>
                    <w:spacing w:line="240" w:lineRule="auto"/>
                    <w:jc w:val="left"/>
                    <w:rPr>
                      <w:rFonts w:cs="Times New Roman" w:hint="default"/>
                      <w:bCs/>
                      <w:color w:val="auto"/>
                      <w:szCs w:val="21"/>
                    </w:rPr>
                  </w:pPr>
                  <w:r>
                    <w:rPr>
                      <w:rFonts w:ascii="Times New Roman" w:eastAsia="宋体" w:hAnsi="Times New Roman" w:cs="Times New Roman" w:hint="default"/>
                      <w:bCs/>
                      <w:color w:val="auto"/>
                      <w:sz w:val="21"/>
                      <w:szCs w:val="21"/>
                      <w:lang w:val="en-US" w:eastAsia="zh-CN"/>
                    </w:rPr>
                    <w:t>（3）对入园企业和项目的管理要求：</w:t>
                  </w:r>
                  <w:r>
                    <w:rPr>
                      <w:rFonts w:ascii="Times New Roman" w:eastAsia="宋体" w:hAnsi="Times New Roman" w:cs="Times New Roman" w:hint="eastAsia"/>
                      <w:bCs/>
                      <w:color w:val="auto"/>
                      <w:sz w:val="21"/>
                      <w:szCs w:val="21"/>
                      <w:lang w:val="en-US" w:eastAsia="zh-CN"/>
                    </w:rPr>
                    <w:t>①</w:t>
                  </w:r>
                  <w:r>
                    <w:rPr>
                      <w:rFonts w:ascii="Times New Roman" w:eastAsia="宋体" w:hAnsi="Times New Roman" w:cs="Times New Roman" w:hint="default"/>
                      <w:bCs/>
                      <w:color w:val="auto"/>
                      <w:sz w:val="21"/>
                      <w:szCs w:val="21"/>
                      <w:lang w:val="en-US" w:eastAsia="zh-CN"/>
                    </w:rPr>
                    <w:t>符合入区要求的建设项目应按《建设项目环境影响评价分类管理名录》的规定进行环境影响评价。根据《中华人民共和国环境影响评价法》第十八条的规定，可简化入区建设项目的环境影响评价内容，突出评价重点。</w:t>
                  </w:r>
                  <w:r>
                    <w:rPr>
                      <w:rFonts w:ascii="Times New Roman" w:eastAsia="宋体" w:hAnsi="Times New Roman" w:cs="Times New Roman" w:hint="eastAsia"/>
                      <w:bCs/>
                      <w:color w:val="auto"/>
                      <w:sz w:val="21"/>
                      <w:szCs w:val="21"/>
                      <w:lang w:val="en-US" w:eastAsia="zh-CN"/>
                    </w:rPr>
                    <w:t>②</w:t>
                  </w:r>
                  <w:r>
                    <w:rPr>
                      <w:rFonts w:ascii="Times New Roman" w:eastAsia="宋体" w:hAnsi="Times New Roman" w:cs="Times New Roman" w:hint="default"/>
                      <w:bCs/>
                      <w:color w:val="auto"/>
                      <w:sz w:val="21"/>
                      <w:szCs w:val="21"/>
                      <w:lang w:val="en-US" w:eastAsia="zh-CN"/>
                    </w:rPr>
                    <w:t>入园企业必须采取有效的污染控制措施，必须实现污染物达标排放。</w:t>
                  </w:r>
                  <w:r>
                    <w:rPr>
                      <w:rFonts w:ascii="Times New Roman" w:eastAsia="宋体" w:hAnsi="Times New Roman" w:cs="Times New Roman" w:hint="eastAsia"/>
                      <w:bCs/>
                      <w:color w:val="auto"/>
                      <w:sz w:val="21"/>
                      <w:szCs w:val="21"/>
                      <w:lang w:val="en-US" w:eastAsia="zh-CN"/>
                    </w:rPr>
                    <w:t>③</w:t>
                  </w:r>
                  <w:r>
                    <w:rPr>
                      <w:rFonts w:ascii="Times New Roman" w:eastAsia="宋体" w:hAnsi="Times New Roman" w:cs="Times New Roman" w:hint="default"/>
                      <w:bCs/>
                      <w:color w:val="auto"/>
                      <w:sz w:val="21"/>
                      <w:szCs w:val="21"/>
                      <w:lang w:val="en-US" w:eastAsia="zh-CN"/>
                    </w:rPr>
                    <w:t>入园企业必须采取节能、节水措施，尽可能使用中水，水重复利用率应该达到75％以上。</w:t>
                  </w:r>
                </w:p>
              </w:tc>
              <w:tc>
                <w:tcPr>
                  <w:tcW w:w="1371" w:type="dxa"/>
                  <w:vAlign w:val="center"/>
                </w:tcPr>
                <w:p/>
              </w:tc>
              <w:tc>
                <w:tcPr>
                  <w:tcW w:w="1036" w:type="dxa"/>
                  <w:vAlign w:val="center"/>
                </w:tcPr>
                <w:p/>
              </w:tc>
            </w:tr>
          </w:tbl>
          <w:p>
            <w:pPr>
              <w:jc w:val="center"/>
              <w:rPr>
                <w:rFonts w:hint="eastAsia"/>
                <w:color w:val="auto"/>
                <w:highlight w:val="none"/>
              </w:rPr>
            </w:pPr>
          </w:p>
        </w:tc>
      </w:tr>
      <w:tr>
        <w:tblPrEx>
          <w:tblW w:w="0" w:type="auto"/>
          <w:jc w:val="center"/>
          <w:tblInd w:w="1" w:type="dxa"/>
          <w:tblLayout w:type="fixed"/>
          <w:tblCellMar>
            <w:top w:w="0" w:type="dxa"/>
            <w:left w:w="108" w:type="dxa"/>
            <w:bottom w:w="0" w:type="dxa"/>
            <w:right w:w="108" w:type="dxa"/>
          </w:tblCellMar>
          <w:tblLook w:val="0000"/>
        </w:tblPrEx>
        <w:trPr>
          <w:trHeight w:val="454"/>
          <w:jc w:val="center"/>
        </w:trPr>
        <w:tc>
          <w:tcPr>
            <w:tcW w:w="1788" w:type="dxa"/>
            <w:tcBorders>
              <w:tl2br w:val="nil"/>
              <w:tr2bl w:val="nil"/>
            </w:tcBorders>
            <w:vAlign w:val="center"/>
          </w:tcPr>
          <w:p>
            <w:pPr>
              <w:autoSpaceDE w:val="0"/>
              <w:autoSpaceDN w:val="0"/>
              <w:adjustRightInd w:val="0"/>
              <w:snapToGrid w:val="0"/>
              <w:jc w:val="center"/>
              <w:rPr>
                <w:rFonts w:cs="Times New Roman" w:hint="default"/>
                <w:b/>
                <w:bCs/>
                <w:color w:val="auto"/>
                <w:kern w:val="0"/>
                <w:sz w:val="24"/>
                <w:highlight w:val="none"/>
              </w:rPr>
            </w:pPr>
          </w:p>
          <w:p>
            <w:pPr>
              <w:autoSpaceDE w:val="0"/>
              <w:autoSpaceDN w:val="0"/>
              <w:adjustRightInd w:val="0"/>
              <w:snapToGrid w:val="0"/>
              <w:jc w:val="center"/>
              <w:rPr>
                <w:rFonts w:cs="Times New Roman" w:hint="default"/>
                <w:b/>
                <w:bCs/>
                <w:color w:val="auto"/>
                <w:kern w:val="0"/>
                <w:sz w:val="24"/>
                <w:highlight w:val="none"/>
              </w:rPr>
            </w:pPr>
          </w:p>
          <w:p>
            <w:pPr>
              <w:autoSpaceDE w:val="0"/>
              <w:autoSpaceDN w:val="0"/>
              <w:adjustRightInd w:val="0"/>
              <w:snapToGrid w:val="0"/>
              <w:jc w:val="center"/>
              <w:rPr>
                <w:rFonts w:cs="Times New Roman" w:hint="default"/>
                <w:b/>
                <w:bCs/>
                <w:color w:val="auto"/>
                <w:kern w:val="0"/>
                <w:sz w:val="24"/>
                <w:highlight w:val="none"/>
              </w:rPr>
            </w:pPr>
          </w:p>
          <w:p>
            <w:pPr>
              <w:autoSpaceDE w:val="0"/>
              <w:autoSpaceDN w:val="0"/>
              <w:adjustRightInd w:val="0"/>
              <w:snapToGrid w:val="0"/>
              <w:jc w:val="center"/>
              <w:rPr>
                <w:rFonts w:cs="Times New Roman" w:hint="default"/>
                <w:b/>
                <w:bCs/>
                <w:color w:val="auto"/>
                <w:kern w:val="0"/>
                <w:sz w:val="24"/>
                <w:highlight w:val="none"/>
              </w:rPr>
            </w:pPr>
          </w:p>
          <w:p>
            <w:pPr>
              <w:autoSpaceDE w:val="0"/>
              <w:autoSpaceDN w:val="0"/>
              <w:adjustRightInd w:val="0"/>
              <w:snapToGrid w:val="0"/>
              <w:jc w:val="center"/>
              <w:rPr>
                <w:rFonts w:cs="Times New Roman" w:hint="default"/>
                <w:color w:val="auto"/>
                <w:kern w:val="0"/>
                <w:sz w:val="24"/>
                <w:highlight w:val="none"/>
              </w:rPr>
            </w:pPr>
            <w:r>
              <w:rPr>
                <w:rFonts w:ascii="Times New Roman" w:hAnsi="Times New Roman" w:cs="Times New Roman" w:hint="default"/>
                <w:b/>
                <w:bCs/>
                <w:color w:val="auto"/>
                <w:kern w:val="0"/>
                <w:sz w:val="24"/>
                <w:szCs w:val="24"/>
                <w:highlight w:val="none"/>
              </w:rPr>
              <w:t>其他符合性分析</w:t>
            </w:r>
          </w:p>
        </w:tc>
        <w:tc>
          <w:tcPr>
            <w:tcW w:w="708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cs="Times New Roman" w:hint="default"/>
                <w:b/>
                <w:bCs/>
                <w:color w:val="auto"/>
                <w:sz w:val="24"/>
              </w:rPr>
            </w:pPr>
            <w:r>
              <w:rPr>
                <w:rFonts w:ascii="Times New Roman" w:hAnsi="Times New Roman" w:cs="Times New Roman" w:hint="default"/>
                <w:b/>
                <w:bCs/>
                <w:color w:val="auto"/>
                <w:sz w:val="24"/>
              </w:rPr>
              <w:t>1、产业政策符合性</w:t>
            </w:r>
          </w:p>
          <w:p>
            <w:pPr>
              <w:keepNext w:val="0"/>
              <w:keepLines w:val="0"/>
              <w:pageBreakBefore w:val="0"/>
              <w:widowControl w:val="0"/>
              <w:kinsoku/>
              <w:wordWrap/>
              <w:overflowPunct/>
              <w:topLinePunct w:val="0"/>
              <w:autoSpaceDE w:val="0"/>
              <w:autoSpaceDN w:val="0"/>
              <w:bidi w:val="0"/>
              <w:adjustRightInd w:val="0"/>
              <w:snapToGrid/>
              <w:spacing w:line="348" w:lineRule="auto"/>
              <w:ind w:firstLine="482"/>
              <w:textAlignment w:val="auto"/>
              <w:rPr>
                <w:rFonts w:cs="Times New Roman" w:hint="default"/>
                <w:color w:val="auto"/>
                <w:sz w:val="24"/>
              </w:rPr>
            </w:pPr>
            <w:r>
              <w:rPr>
                <w:rFonts w:ascii="Times New Roman" w:eastAsia="宋体" w:hAnsi="Times New Roman" w:cs="Times New Roman" w:hint="default"/>
                <w:color w:val="auto"/>
                <w:sz w:val="24"/>
                <w:szCs w:val="24"/>
                <w:lang w:val="en-US"/>
              </w:rPr>
              <w:t>对</w:t>
            </w:r>
            <w:r>
              <w:rPr>
                <w:rFonts w:ascii="Times New Roman" w:eastAsia="宋体" w:hAnsi="Times New Roman" w:cs="Times New Roman" w:hint="default"/>
                <w:color w:val="auto"/>
                <w:sz w:val="24"/>
                <w:szCs w:val="24"/>
                <w:lang w:val="en-US" w:eastAsia="zh-CN"/>
              </w:rPr>
              <w:t>照《产业结构调整指导目录（2019年版）》，本项目不属于限制类、淘汰类产业，为允许类，项目建设符合国家产业政策。项目不在《陕西省限制投资类产业指导目录》（陕发改产业[2007]97号）内。项目不属于《市场准入负面清单（20</w:t>
            </w:r>
            <w:r>
              <w:rPr>
                <w:rFonts w:cs="Times New Roman" w:hint="eastAsia"/>
                <w:color w:val="auto"/>
                <w:sz w:val="24"/>
                <w:szCs w:val="24"/>
                <w:lang w:val="en-US" w:eastAsia="zh-CN"/>
              </w:rPr>
              <w:t>22</w:t>
            </w:r>
            <w:r>
              <w:rPr>
                <w:rFonts w:ascii="Times New Roman" w:eastAsia="宋体" w:hAnsi="Times New Roman" w:cs="Times New Roman" w:hint="default"/>
                <w:color w:val="auto"/>
                <w:sz w:val="24"/>
                <w:szCs w:val="24"/>
                <w:lang w:val="en-US" w:eastAsia="zh-CN"/>
              </w:rPr>
              <w:t>年版）》中禁止和许可类项目，</w:t>
            </w:r>
            <w:r>
              <w:rPr>
                <w:rFonts w:ascii="Times New Roman" w:eastAsia="宋体" w:hAnsi="Times New Roman" w:cs="Times New Roman" w:hint="default"/>
                <w:color w:val="auto"/>
                <w:sz w:val="24"/>
                <w:szCs w:val="24"/>
                <w:lang w:val="en-GB" w:eastAsia="zh-CN"/>
              </w:rPr>
              <w:t>本项目属于《市场准入负面清单(202</w:t>
            </w:r>
            <w:r>
              <w:rPr>
                <w:rFonts w:cs="Times New Roman" w:hint="eastAsia"/>
                <w:color w:val="auto"/>
                <w:sz w:val="24"/>
                <w:szCs w:val="24"/>
                <w:lang w:val="en-US" w:eastAsia="zh-CN"/>
              </w:rPr>
              <w:t>2</w:t>
            </w:r>
            <w:r>
              <w:rPr>
                <w:rFonts w:ascii="Times New Roman" w:eastAsia="宋体" w:hAnsi="Times New Roman" w:cs="Times New Roman" w:hint="default"/>
                <w:color w:val="auto"/>
                <w:sz w:val="24"/>
                <w:szCs w:val="24"/>
                <w:lang w:val="en-GB" w:eastAsia="zh-CN"/>
              </w:rPr>
              <w:t>年版)》以外的行业，可依法平等进入。</w:t>
            </w:r>
            <w:r>
              <w:rPr>
                <w:rFonts w:ascii="Times New Roman" w:eastAsia="宋体" w:hAnsi="Times New Roman" w:cs="Times New Roman" w:hint="eastAsia"/>
                <w:color w:val="auto"/>
                <w:sz w:val="24"/>
                <w:szCs w:val="24"/>
                <w:lang w:val="en-GB" w:eastAsia="zh-CN"/>
              </w:rPr>
              <w:t>另外，本项目</w:t>
            </w:r>
            <w:r>
              <w:rPr>
                <w:rFonts w:ascii="Times New Roman" w:eastAsia="宋体" w:hAnsi="Times New Roman" w:cs="Times New Roman" w:hint="eastAsia"/>
                <w:color w:val="auto"/>
                <w:sz w:val="24"/>
                <w:szCs w:val="24"/>
                <w:highlight w:val="none"/>
                <w:lang w:val="en-US" w:eastAsia="zh-CN"/>
              </w:rPr>
              <w:t>于</w:t>
            </w:r>
            <w:r>
              <w:rPr>
                <w:rFonts w:ascii="Times New Roman" w:eastAsia="宋体" w:hAnsi="Times New Roman" w:cs="Times New Roman" w:hint="default"/>
                <w:color w:val="auto"/>
                <w:sz w:val="24"/>
                <w:szCs w:val="24"/>
                <w:highlight w:val="none"/>
                <w:lang w:val="en-US" w:eastAsia="zh-CN"/>
              </w:rPr>
              <w:t>202</w:t>
            </w:r>
            <w:r>
              <w:rPr>
                <w:rFonts w:ascii="Times New Roman" w:eastAsia="宋体" w:hAnsi="Times New Roman" w:cs="Times New Roman" w:hint="eastAsia"/>
                <w:color w:val="auto"/>
                <w:sz w:val="24"/>
                <w:szCs w:val="24"/>
                <w:highlight w:val="none"/>
                <w:lang w:val="en-US" w:eastAsia="zh-CN"/>
              </w:rPr>
              <w:t>2年8月4日取得陕西省企业投资项目备案确认书（项目代码：2208-610261-04-02-217753），同意本项目的建设。</w:t>
            </w:r>
            <w:r>
              <w:rPr>
                <w:rFonts w:ascii="Times New Roman" w:eastAsia="宋体" w:hAnsi="Times New Roman" w:cs="Times New Roman" w:hint="default"/>
                <w:color w:val="auto"/>
                <w:sz w:val="24"/>
                <w:szCs w:val="24"/>
                <w:lang w:val="en-US" w:eastAsia="zh-CN"/>
              </w:rPr>
              <w:t>综上所述，符合国家及地方产业政策。</w:t>
            </w:r>
          </w:p>
        </w:tc>
      </w:tr>
    </w:tbl>
    <w:p>
      <w:pPr>
        <w:sectPr>
          <w:headerReference w:type="default" r:id="rId8"/>
          <w:footerReference w:type="default" r:id="rId9"/>
          <w:type w:val="nextPage"/>
          <w:pgSz w:w="11906" w:h="16838" w:orient="portrait"/>
          <w:pgMar w:top="1701" w:right="1531" w:bottom="1701" w:left="1531" w:header="851" w:footer="851" w:gutter="0"/>
          <w:pgBorders w:zOrder="front" w:display="allPages" w:offsetFrom="text">
            <w:top w:val="none" w:sz="0" w:space="0" w:color="auto"/>
            <w:left w:val="none" w:sz="0" w:space="0" w:color="auto"/>
            <w:bottom w:val="none" w:sz="0" w:space="0" w:color="auto"/>
            <w:right w:val="none" w:sz="0" w:space="0" w:color="auto"/>
          </w:pgBorders>
          <w:pgNumType w:fmt="decimal" w:start="3"/>
          <w:cols w:space="708"/>
          <w:titlePg w:val="0"/>
          <w:docGrid w:linePitch="312"/>
        </w:sectPr>
      </w:pPr>
    </w:p>
    <w:tbl>
      <w:tblPr>
        <w:tblStyle w:val="TableNormal"/>
        <w:tblW w:w="0" w:type="auto"/>
        <w:jc w:val="center"/>
        <w:tblInd w:w="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88"/>
        <w:gridCol w:w="7083"/>
      </w:tblGrid>
      <w:tr>
        <w:tblPrEx>
          <w:tblW w:w="0" w:type="auto"/>
          <w:jc w:val="center"/>
          <w:tblInd w:w="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54"/>
          <w:jc w:val="center"/>
        </w:trPr>
        <w:tc>
          <w:tcPr>
            <w:tcW w:w="1788" w:type="dxa"/>
            <w:tcBorders>
              <w:tl2br w:val="nil"/>
              <w:tr2bl w:val="nil"/>
            </w:tcBorders>
            <w:vAlign w:val="center"/>
          </w:tcPr>
          <w:p/>
        </w:tc>
        <w:tc>
          <w:tcPr>
            <w:tcW w:w="7083" w:type="dxa"/>
            <w:tcBorders>
              <w:tl2br w:val="nil"/>
              <w:tr2bl w:val="nil"/>
            </w:tcBorders>
            <w:vAlign w:val="center"/>
          </w:tcPr>
          <w:p>
            <w:pPr>
              <w:pStyle w:val="TableofFigures"/>
              <w:keepNext w:val="0"/>
              <w:keepLines w:val="0"/>
              <w:pageBreakBefore w:val="0"/>
              <w:widowControl w:val="0"/>
              <w:kinsoku/>
              <w:wordWrap/>
              <w:overflowPunct/>
              <w:topLinePunct w:val="0"/>
              <w:autoSpaceDE/>
              <w:autoSpaceDN/>
              <w:bidi w:val="0"/>
              <w:adjustRightInd w:val="0"/>
              <w:snapToGrid w:val="0"/>
              <w:spacing w:line="360" w:lineRule="auto"/>
              <w:ind w:left="0" w:firstLine="480" w:leftChars="0" w:firstLineChars="200"/>
              <w:textAlignment w:val="auto"/>
              <w:rPr>
                <w:rFonts w:ascii="Times New Roman" w:eastAsia="宋体" w:hAnsi="宋体" w:cs="Times New Roman" w:hint="default"/>
                <w:b/>
                <w:bCs/>
                <w:color w:val="auto"/>
                <w:sz w:val="24"/>
                <w:szCs w:val="24"/>
                <w:highlight w:val="none"/>
              </w:rPr>
            </w:pPr>
            <w:r>
              <w:rPr>
                <w:rFonts w:ascii="Times New Roman" w:hAnsi="宋体" w:cs="Times New Roman" w:hint="eastAsia"/>
                <w:b/>
                <w:bCs/>
                <w:color w:val="auto"/>
                <w:sz w:val="24"/>
                <w:szCs w:val="24"/>
                <w:highlight w:val="none"/>
                <w:lang w:val="en-US" w:eastAsia="zh-CN"/>
              </w:rPr>
              <w:t>2</w:t>
            </w:r>
            <w:r>
              <w:rPr>
                <w:rFonts w:ascii="Times New Roman" w:eastAsia="宋体" w:hAnsi="宋体" w:cs="Times New Roman" w:hint="default"/>
                <w:b/>
                <w:bCs/>
                <w:color w:val="auto"/>
                <w:sz w:val="24"/>
                <w:szCs w:val="24"/>
                <w:highlight w:val="none"/>
                <w:lang w:val="en-US" w:eastAsia="zh-CN"/>
              </w:rPr>
              <w:t>、</w:t>
            </w:r>
            <w:r>
              <w:rPr>
                <w:rFonts w:ascii="Times New Roman" w:eastAsia="宋体" w:hAnsi="宋体" w:cs="Times New Roman" w:hint="default"/>
                <w:b/>
                <w:bCs/>
                <w:color w:val="auto"/>
                <w:sz w:val="24"/>
                <w:szCs w:val="24"/>
                <w:highlight w:val="none"/>
              </w:rPr>
              <w:t>三线一单</w:t>
            </w:r>
            <w:r>
              <w:rPr>
                <w:rFonts w:ascii="Times New Roman" w:eastAsia="宋体" w:hAnsi="宋体" w:cs="Times New Roman" w:hint="default"/>
                <w:b/>
                <w:bCs/>
                <w:color w:val="auto"/>
                <w:sz w:val="24"/>
                <w:szCs w:val="24"/>
                <w:highlight w:val="none"/>
              </w:rPr>
              <w:t>”</w:t>
            </w:r>
            <w:r>
              <w:rPr>
                <w:rFonts w:ascii="Times New Roman" w:eastAsia="宋体" w:hAnsi="宋体" w:cs="Times New Roman" w:hint="default"/>
                <w:b/>
                <w:bCs/>
                <w:color w:val="auto"/>
                <w:sz w:val="24"/>
                <w:szCs w:val="24"/>
                <w:highlight w:val="none"/>
              </w:rPr>
              <w:t>符合性分析</w:t>
            </w:r>
          </w:p>
          <w:p>
            <w:pPr>
              <w:adjustRightInd w:val="0"/>
              <w:spacing w:line="360" w:lineRule="auto"/>
              <w:ind w:firstLine="480" w:firstLineChars="200"/>
              <w:rPr>
                <w:rFonts w:cs="Times New Roman" w:hint="default"/>
                <w:color w:val="auto"/>
                <w:sz w:val="24"/>
              </w:rPr>
            </w:pPr>
            <w:r>
              <w:rPr>
                <w:rFonts w:ascii="Times New Roman" w:eastAsia="宋体" w:hAnsi="Times New Roman" w:cs="Times New Roman" w:hint="default"/>
                <w:color w:val="auto"/>
                <w:sz w:val="24"/>
                <w:lang w:val="en-US"/>
              </w:rPr>
              <w:t>本项目</w:t>
            </w:r>
            <w:r>
              <w:rPr>
                <w:rFonts w:ascii="Times New Roman" w:eastAsia="宋体" w:hAnsi="Times New Roman" w:cs="Times New Roman" w:hint="default"/>
                <w:color w:val="auto"/>
                <w:sz w:val="24"/>
                <w:lang w:val="en-US" w:eastAsia="zh-CN"/>
              </w:rPr>
              <w:t>与三线一单</w:t>
            </w:r>
            <w:r>
              <w:rPr>
                <w:rFonts w:ascii="Times New Roman" w:eastAsia="宋体" w:hAnsi="Times New Roman" w:cs="Times New Roman" w:hint="default"/>
                <w:color w:val="auto"/>
                <w:sz w:val="24"/>
                <w:lang w:val="en-US"/>
              </w:rPr>
              <w:t>符合性见表</w:t>
            </w:r>
            <w:r>
              <w:rPr>
                <w:rFonts w:ascii="Times New Roman" w:hAnsi="Times New Roman" w:cs="Times New Roman" w:hint="default"/>
                <w:color w:val="auto"/>
                <w:sz w:val="24"/>
                <w:lang w:val="en-US" w:eastAsia="zh-CN"/>
              </w:rPr>
              <w:t>1-</w:t>
            </w:r>
            <w:r>
              <w:rPr>
                <w:rFonts w:ascii="Times New Roman" w:hAnsi="Times New Roman" w:cs="Times New Roman" w:hint="eastAsia"/>
                <w:color w:val="auto"/>
                <w:sz w:val="24"/>
                <w:lang w:val="en-US" w:eastAsia="zh-CN"/>
              </w:rPr>
              <w:t>2</w:t>
            </w:r>
            <w:r>
              <w:rPr>
                <w:rFonts w:ascii="Times New Roman" w:eastAsia="宋体" w:hAnsi="Times New Roman" w:cs="Times New Roman" w:hint="default"/>
                <w:color w:val="auto"/>
                <w:sz w:val="24"/>
                <w:lang w:val="en-US"/>
              </w:rPr>
              <w:t>。</w:t>
            </w:r>
          </w:p>
          <w:p>
            <w:pPr>
              <w:adjustRightInd w:val="0"/>
              <w:snapToGrid w:val="0"/>
              <w:spacing w:line="240" w:lineRule="auto"/>
              <w:jc w:val="center"/>
              <w:rPr>
                <w:rFonts w:cs="Times New Roman" w:hint="default"/>
                <w:b/>
                <w:bCs/>
                <w:color w:val="auto"/>
                <w:sz w:val="24"/>
              </w:rPr>
            </w:pPr>
            <w:r>
              <w:rPr>
                <w:rFonts w:ascii="Times New Roman" w:eastAsia="宋体" w:hAnsi="Times New Roman" w:cs="Times New Roman" w:hint="default"/>
                <w:b/>
                <w:bCs/>
                <w:color w:val="auto"/>
                <w:sz w:val="24"/>
                <w:lang w:val="en-US"/>
              </w:rPr>
              <w:t>表</w:t>
            </w:r>
            <w:r>
              <w:rPr>
                <w:rFonts w:ascii="Times New Roman" w:hAnsi="Times New Roman" w:cs="Times New Roman" w:hint="default"/>
                <w:b/>
                <w:bCs/>
                <w:color w:val="auto"/>
                <w:sz w:val="24"/>
                <w:lang w:val="en-US" w:eastAsia="zh-CN"/>
              </w:rPr>
              <w:t>1-</w:t>
            </w:r>
            <w:r>
              <w:rPr>
                <w:rFonts w:ascii="Times New Roman" w:hAnsi="Times New Roman" w:cs="Times New Roman" w:hint="eastAsia"/>
                <w:b/>
                <w:bCs/>
                <w:color w:val="auto"/>
                <w:sz w:val="24"/>
                <w:lang w:val="en-US" w:eastAsia="zh-CN"/>
              </w:rPr>
              <w:t xml:space="preserve">2 </w:t>
            </w:r>
            <w:r>
              <w:rPr>
                <w:rFonts w:ascii="Times New Roman" w:eastAsia="宋体" w:hAnsi="Times New Roman" w:cs="Times New Roman" w:hint="default"/>
                <w:b/>
                <w:bCs/>
                <w:color w:val="auto"/>
                <w:sz w:val="24"/>
                <w:lang w:val="en-US"/>
              </w:rPr>
              <w:t xml:space="preserve"> </w:t>
            </w:r>
            <w:r>
              <w:rPr>
                <w:rFonts w:ascii="Times New Roman" w:eastAsia="宋体" w:hAnsi="Times New Roman" w:cs="Times New Roman" w:hint="default"/>
                <w:b/>
                <w:bCs/>
                <w:color w:val="auto"/>
                <w:sz w:val="24"/>
                <w:lang w:val="en-US" w:eastAsia="zh-CN"/>
              </w:rPr>
              <w:t>三线一单</w:t>
            </w:r>
            <w:r>
              <w:rPr>
                <w:rFonts w:ascii="Times New Roman" w:eastAsia="宋体" w:hAnsi="Times New Roman" w:cs="Times New Roman" w:hint="default"/>
                <w:b/>
                <w:bCs/>
                <w:color w:val="auto"/>
                <w:sz w:val="24"/>
                <w:lang w:val="en-US"/>
              </w:rPr>
              <w:t>符合性</w:t>
            </w:r>
          </w:p>
          <w:tbl>
            <w:tblPr>
              <w:tblStyle w:val="TableNormal"/>
              <w:tblW w:w="4999" w:type="pct"/>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43"/>
              <w:gridCol w:w="4492"/>
              <w:gridCol w:w="1185"/>
              <w:gridCol w:w="836"/>
            </w:tblGrid>
            <w:tr>
              <w:tblPrEx>
                <w:tblW w:w="4999" w:type="pct"/>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250" w:type="pct"/>
                  <w:vMerge w:val="restart"/>
                  <w:vAlign w:val="center"/>
                </w:tcPr>
                <w:p>
                  <w:pPr>
                    <w:spacing w:line="240" w:lineRule="auto"/>
                    <w:jc w:val="center"/>
                    <w:rPr>
                      <w:rFonts w:cs="Times New Roman" w:hint="default"/>
                      <w:bCs/>
                      <w:color w:val="auto"/>
                      <w:szCs w:val="21"/>
                    </w:rPr>
                  </w:pPr>
                  <w:r>
                    <w:rPr>
                      <w:rFonts w:ascii="Times New Roman" w:eastAsia="宋体" w:hAnsi="Times New Roman" w:cs="Times New Roman" w:hint="default"/>
                      <w:bCs/>
                      <w:color w:val="auto"/>
                      <w:sz w:val="21"/>
                      <w:szCs w:val="21"/>
                      <w:lang w:val="en-US" w:eastAsia="zh-CN"/>
                    </w:rPr>
                    <w:t>三线一单</w:t>
                  </w:r>
                </w:p>
              </w:tc>
              <w:tc>
                <w:tcPr>
                  <w:tcW w:w="3275" w:type="pct"/>
                  <w:vAlign w:val="center"/>
                </w:tcPr>
                <w:p>
                  <w:pPr>
                    <w:spacing w:line="240" w:lineRule="auto"/>
                    <w:jc w:val="center"/>
                    <w:rPr>
                      <w:rFonts w:cs="Times New Roman" w:hint="default"/>
                      <w:b/>
                      <w:bCs w:val="0"/>
                      <w:color w:val="auto"/>
                      <w:szCs w:val="21"/>
                    </w:rPr>
                  </w:pPr>
                  <w:r>
                    <w:rPr>
                      <w:rFonts w:ascii="Times New Roman" w:eastAsia="宋体" w:hAnsi="Times New Roman" w:cs="Times New Roman" w:hint="default"/>
                      <w:b/>
                      <w:bCs w:val="0"/>
                      <w:color w:val="auto"/>
                      <w:sz w:val="21"/>
                      <w:szCs w:val="21"/>
                      <w:lang w:val="en-US" w:eastAsia="zh-CN"/>
                    </w:rPr>
                    <w:t>条款要求</w:t>
                  </w:r>
                </w:p>
              </w:tc>
              <w:tc>
                <w:tcPr>
                  <w:tcW w:w="864" w:type="pct"/>
                  <w:vAlign w:val="center"/>
                </w:tcPr>
                <w:p>
                  <w:pPr>
                    <w:spacing w:line="240" w:lineRule="auto"/>
                    <w:jc w:val="center"/>
                    <w:rPr>
                      <w:rFonts w:cs="Times New Roman" w:hint="default"/>
                      <w:b/>
                      <w:bCs w:val="0"/>
                      <w:color w:val="auto"/>
                      <w:szCs w:val="21"/>
                    </w:rPr>
                  </w:pPr>
                  <w:r>
                    <w:rPr>
                      <w:rFonts w:ascii="Times New Roman" w:eastAsia="宋体" w:hAnsi="Times New Roman" w:cs="Times New Roman" w:hint="default"/>
                      <w:b/>
                      <w:bCs w:val="0"/>
                      <w:color w:val="auto"/>
                      <w:sz w:val="21"/>
                      <w:szCs w:val="21"/>
                      <w:lang w:val="en-US"/>
                    </w:rPr>
                    <w:t>项目情况</w:t>
                  </w:r>
                </w:p>
              </w:tc>
              <w:tc>
                <w:tcPr>
                  <w:tcW w:w="610" w:type="pct"/>
                  <w:vAlign w:val="center"/>
                </w:tcPr>
                <w:p>
                  <w:pPr>
                    <w:spacing w:line="240" w:lineRule="auto"/>
                    <w:jc w:val="center"/>
                    <w:rPr>
                      <w:rFonts w:cs="Times New Roman" w:hint="default"/>
                      <w:b/>
                      <w:bCs w:val="0"/>
                      <w:color w:val="auto"/>
                      <w:szCs w:val="21"/>
                    </w:rPr>
                  </w:pPr>
                  <w:r>
                    <w:rPr>
                      <w:rFonts w:ascii="Times New Roman" w:eastAsia="宋体" w:hAnsi="Times New Roman" w:cs="Times New Roman" w:hint="default"/>
                      <w:b/>
                      <w:bCs w:val="0"/>
                      <w:color w:val="auto"/>
                      <w:sz w:val="21"/>
                      <w:szCs w:val="21"/>
                      <w:lang w:val="en-US"/>
                    </w:rPr>
                    <w:t>符合性</w:t>
                  </w:r>
                </w:p>
              </w:tc>
            </w:tr>
            <w:tr>
              <w:tblPrEx>
                <w:tblW w:w="4999" w:type="pct"/>
                <w:jc w:val="center"/>
                <w:tblInd w:w="113" w:type="dxa"/>
                <w:tblLayout w:type="fixed"/>
                <w:tblCellMar>
                  <w:top w:w="0" w:type="dxa"/>
                  <w:left w:w="108" w:type="dxa"/>
                  <w:bottom w:w="0" w:type="dxa"/>
                  <w:right w:w="108" w:type="dxa"/>
                </w:tblCellMar>
                <w:tblLook w:val="0000"/>
              </w:tblPrEx>
              <w:trPr>
                <w:jc w:val="center"/>
              </w:trPr>
              <w:tc>
                <w:tcPr>
                  <w:tcW w:w="250" w:type="pct"/>
                  <w:vMerge/>
                  <w:vAlign w:val="center"/>
                </w:tcPr>
                <w:p>
                  <w:pPr>
                    <w:spacing w:line="240" w:lineRule="auto"/>
                    <w:jc w:val="center"/>
                    <w:rPr>
                      <w:rFonts w:cs="Times New Roman" w:hint="default"/>
                      <w:bCs/>
                      <w:color w:val="auto"/>
                      <w:szCs w:val="21"/>
                    </w:rPr>
                  </w:pPr>
                </w:p>
              </w:tc>
              <w:tc>
                <w:tcPr>
                  <w:tcW w:w="3275" w:type="pct"/>
                  <w:vAlign w:val="center"/>
                </w:tcPr>
                <w:p>
                  <w:pPr>
                    <w:spacing w:line="240" w:lineRule="auto"/>
                    <w:jc w:val="left"/>
                    <w:rPr>
                      <w:rFonts w:cs="Times New Roman" w:hint="default"/>
                      <w:bCs/>
                      <w:color w:val="auto"/>
                      <w:szCs w:val="21"/>
                    </w:rPr>
                  </w:pPr>
                  <w:r>
                    <w:rPr>
                      <w:rFonts w:ascii="Times New Roman" w:eastAsia="宋体" w:hAnsi="Times New Roman" w:cs="Times New Roman" w:hint="default"/>
                      <w:bCs/>
                      <w:color w:val="auto"/>
                      <w:sz w:val="21"/>
                      <w:szCs w:val="21"/>
                      <w:lang w:val="en-US" w:eastAsia="zh-CN"/>
                    </w:rPr>
                    <w:t>生态保护红线是生态空间范围内具有特殊重要生态功能必须实行强制性严格保护的区域。相关规划环评应将生态空间管控作为重要内容，规划区域涉及生态保护红线的，在规划环评结论和审查意见中应落实生态保护红线的管理要求，提出相应对策措施。除受自然条件限制、确实无法避让的铁路、公路、航道、防洪、管道、干渠、通讯、输变电等重要基础设施项目外，在生态保护红线范围内，严控 类开发建设活动，依法不予审批新建工业项目和矿产开发项目的环评文件</w:t>
                  </w:r>
                </w:p>
              </w:tc>
              <w:tc>
                <w:tcPr>
                  <w:tcW w:w="864" w:type="pct"/>
                  <w:vAlign w:val="center"/>
                </w:tcPr>
                <w:p>
                  <w:pPr>
                    <w:spacing w:line="240" w:lineRule="auto"/>
                    <w:jc w:val="left"/>
                    <w:rPr>
                      <w:rFonts w:cs="Times New Roman" w:hint="default"/>
                      <w:bCs/>
                      <w:color w:val="auto"/>
                      <w:szCs w:val="21"/>
                    </w:rPr>
                  </w:pPr>
                  <w:r>
                    <w:rPr>
                      <w:rFonts w:ascii="Times New Roman" w:eastAsia="宋体" w:hAnsi="Times New Roman" w:cs="Times New Roman" w:hint="default"/>
                      <w:bCs/>
                      <w:color w:val="auto"/>
                      <w:sz w:val="21"/>
                      <w:szCs w:val="21"/>
                      <w:lang w:val="en-US" w:eastAsia="zh-CN"/>
                    </w:rPr>
                    <w:t>本项目不在生态保护红线范围内</w:t>
                  </w:r>
                </w:p>
              </w:tc>
              <w:tc>
                <w:tcPr>
                  <w:tcW w:w="610" w:type="pct"/>
                  <w:vAlign w:val="center"/>
                </w:tcPr>
                <w:p>
                  <w:pPr>
                    <w:spacing w:line="240" w:lineRule="auto"/>
                    <w:jc w:val="center"/>
                    <w:rPr>
                      <w:rFonts w:cs="Times New Roman" w:hint="default"/>
                      <w:bCs/>
                      <w:color w:val="auto"/>
                      <w:szCs w:val="21"/>
                    </w:rPr>
                  </w:pPr>
                  <w:r>
                    <w:rPr>
                      <w:rFonts w:ascii="Times New Roman" w:eastAsia="宋体" w:hAnsi="Times New Roman" w:cs="Times New Roman" w:hint="default"/>
                      <w:bCs/>
                      <w:color w:val="auto"/>
                      <w:sz w:val="21"/>
                      <w:szCs w:val="21"/>
                      <w:lang w:val="en-US" w:eastAsia="zh-CN"/>
                    </w:rPr>
                    <w:t>符合</w:t>
                  </w:r>
                </w:p>
              </w:tc>
            </w:tr>
            <w:tr>
              <w:tblPrEx>
                <w:tblW w:w="4999" w:type="pct"/>
                <w:jc w:val="center"/>
                <w:tblInd w:w="113" w:type="dxa"/>
                <w:tblLayout w:type="fixed"/>
                <w:tblCellMar>
                  <w:top w:w="0" w:type="dxa"/>
                  <w:left w:w="108" w:type="dxa"/>
                  <w:bottom w:w="0" w:type="dxa"/>
                  <w:right w:w="108" w:type="dxa"/>
                </w:tblCellMar>
                <w:tblLook w:val="0000"/>
              </w:tblPrEx>
              <w:trPr>
                <w:jc w:val="center"/>
              </w:trPr>
              <w:tc>
                <w:tcPr>
                  <w:tcW w:w="250" w:type="pct"/>
                  <w:vMerge/>
                  <w:vAlign w:val="center"/>
                </w:tcPr>
                <w:p>
                  <w:pPr>
                    <w:spacing w:line="240" w:lineRule="auto"/>
                    <w:jc w:val="center"/>
                    <w:rPr>
                      <w:rFonts w:cs="Times New Roman" w:hint="default"/>
                      <w:bCs/>
                      <w:color w:val="auto"/>
                      <w:szCs w:val="21"/>
                    </w:rPr>
                  </w:pPr>
                </w:p>
              </w:tc>
              <w:tc>
                <w:tcPr>
                  <w:tcW w:w="3275" w:type="pct"/>
                  <w:vAlign w:val="center"/>
                </w:tcPr>
                <w:p>
                  <w:pPr>
                    <w:spacing w:line="240" w:lineRule="auto"/>
                    <w:jc w:val="left"/>
                    <w:rPr>
                      <w:rFonts w:cs="Times New Roman" w:hint="default"/>
                      <w:bCs/>
                      <w:color w:val="auto"/>
                      <w:szCs w:val="21"/>
                    </w:rPr>
                  </w:pPr>
                  <w:r>
                    <w:rPr>
                      <w:rFonts w:ascii="Times New Roman" w:eastAsia="宋体" w:hAnsi="Times New Roman" w:cs="Times New Roman" w:hint="default"/>
                      <w:bCs/>
                      <w:color w:val="auto"/>
                      <w:sz w:val="21"/>
                      <w:szCs w:val="21"/>
                      <w:lang w:val="en-US" w:eastAsia="zh-CN"/>
                    </w:rPr>
                    <w:t>环境质量底线是国家和地方设置的大气、水和土壤环境质量目标，也是改善环境质量的基准线。有关规划环评应落实区域环境质量目标管理要求，提出区域或者行业污染物排放总量管控建议以及优化区域或行业发展布局、结构和规模的对策措施。项目环评应对照区域环境质量目标，深入分析预测项目建设对环境质量的影响，强化污染防治措施和污染物排放控制要求</w:t>
                  </w:r>
                </w:p>
              </w:tc>
              <w:tc>
                <w:tcPr>
                  <w:tcW w:w="864" w:type="pct"/>
                  <w:vAlign w:val="center"/>
                </w:tcPr>
                <w:p>
                  <w:pPr>
                    <w:spacing w:line="240" w:lineRule="auto"/>
                    <w:jc w:val="left"/>
                    <w:rPr>
                      <w:rFonts w:cs="Times New Roman" w:hint="default"/>
                      <w:bCs/>
                      <w:color w:val="auto"/>
                      <w:szCs w:val="21"/>
                    </w:rPr>
                  </w:pPr>
                  <w:r>
                    <w:rPr>
                      <w:rFonts w:ascii="Times New Roman" w:eastAsia="宋体" w:hAnsi="Times New Roman" w:cs="Times New Roman" w:hint="default"/>
                      <w:bCs/>
                      <w:color w:val="auto"/>
                      <w:sz w:val="21"/>
                      <w:szCs w:val="21"/>
                      <w:lang w:val="en-US" w:eastAsia="zh-CN"/>
                    </w:rPr>
                    <w:t>项目在运营期采取报告中提出的各项污染防治措施后，不会对周围环境造成明显不利影响，项目所在区域大气、水、噪声等环境质量均可达标</w:t>
                  </w:r>
                </w:p>
              </w:tc>
              <w:tc>
                <w:tcPr>
                  <w:tcW w:w="610" w:type="pct"/>
                  <w:vAlign w:val="center"/>
                </w:tcPr>
                <w:p>
                  <w:pPr>
                    <w:spacing w:line="240" w:lineRule="auto"/>
                    <w:jc w:val="center"/>
                    <w:rPr>
                      <w:rFonts w:cs="Times New Roman" w:hint="default"/>
                      <w:bCs/>
                      <w:color w:val="auto"/>
                      <w:szCs w:val="21"/>
                    </w:rPr>
                  </w:pPr>
                  <w:r>
                    <w:rPr>
                      <w:rFonts w:ascii="Times New Roman" w:eastAsia="宋体" w:hAnsi="Times New Roman" w:cs="Times New Roman" w:hint="default"/>
                      <w:bCs/>
                      <w:color w:val="auto"/>
                      <w:sz w:val="21"/>
                      <w:szCs w:val="21"/>
                      <w:lang w:val="en-US" w:eastAsia="zh-CN"/>
                    </w:rPr>
                    <w:t>符合</w:t>
                  </w:r>
                </w:p>
              </w:tc>
            </w:tr>
            <w:tr>
              <w:tblPrEx>
                <w:tblW w:w="4999" w:type="pct"/>
                <w:jc w:val="center"/>
                <w:tblInd w:w="113" w:type="dxa"/>
                <w:tblLayout w:type="fixed"/>
                <w:tblCellMar>
                  <w:top w:w="0" w:type="dxa"/>
                  <w:left w:w="108" w:type="dxa"/>
                  <w:bottom w:w="0" w:type="dxa"/>
                  <w:right w:w="108" w:type="dxa"/>
                </w:tblCellMar>
                <w:tblLook w:val="0000"/>
              </w:tblPrEx>
              <w:trPr>
                <w:jc w:val="center"/>
              </w:trPr>
              <w:tc>
                <w:tcPr>
                  <w:tcW w:w="250" w:type="pct"/>
                  <w:vMerge/>
                  <w:vAlign w:val="center"/>
                </w:tcPr>
                <w:p>
                  <w:pPr>
                    <w:spacing w:line="240" w:lineRule="auto"/>
                    <w:jc w:val="center"/>
                    <w:rPr>
                      <w:rFonts w:cs="Times New Roman" w:hint="default"/>
                      <w:bCs/>
                      <w:color w:val="auto"/>
                      <w:szCs w:val="21"/>
                    </w:rPr>
                  </w:pPr>
                </w:p>
              </w:tc>
              <w:tc>
                <w:tcPr>
                  <w:tcW w:w="3275" w:type="pct"/>
                  <w:vAlign w:val="center"/>
                </w:tcPr>
                <w:p>
                  <w:pPr>
                    <w:spacing w:line="240" w:lineRule="auto"/>
                    <w:jc w:val="left"/>
                    <w:rPr>
                      <w:rFonts w:cs="Times New Roman" w:hint="default"/>
                      <w:bCs/>
                      <w:color w:val="auto"/>
                      <w:szCs w:val="21"/>
                    </w:rPr>
                  </w:pPr>
                  <w:r>
                    <w:rPr>
                      <w:rFonts w:ascii="Times New Roman" w:eastAsia="宋体" w:hAnsi="Times New Roman" w:cs="Times New Roman" w:hint="default"/>
                      <w:bCs/>
                      <w:color w:val="auto"/>
                      <w:sz w:val="21"/>
                      <w:szCs w:val="21"/>
                      <w:lang w:val="en-US" w:eastAsia="zh-CN"/>
                    </w:rPr>
                    <w:t>资源是环境的载体，资源利用上线是各地区能源、水、土地等资源消耗不得突破的</w:t>
                  </w:r>
                  <w:r>
                    <w:rPr>
                      <w:rFonts w:ascii="Times New Roman" w:eastAsia="宋体" w:hAnsi="Times New Roman" w:cs="Times New Roman" w:hint="default"/>
                      <w:bCs/>
                      <w:color w:val="auto"/>
                      <w:sz w:val="21"/>
                      <w:szCs w:val="21"/>
                      <w:lang w:val="en-US" w:eastAsia="zh-CN"/>
                    </w:rPr>
                    <w:t>“</w:t>
                  </w:r>
                  <w:r>
                    <w:rPr>
                      <w:rFonts w:ascii="Times New Roman" w:eastAsia="宋体" w:hAnsi="Times New Roman" w:cs="Times New Roman" w:hint="default"/>
                      <w:bCs/>
                      <w:color w:val="auto"/>
                      <w:sz w:val="21"/>
                      <w:szCs w:val="21"/>
                      <w:lang w:val="en-US" w:eastAsia="zh-CN"/>
                    </w:rPr>
                    <w:t>天花板</w:t>
                  </w:r>
                  <w:r>
                    <w:rPr>
                      <w:rFonts w:ascii="Times New Roman" w:eastAsia="宋体" w:hAnsi="Times New Roman" w:cs="Times New Roman" w:hint="default"/>
                      <w:bCs/>
                      <w:color w:val="auto"/>
                      <w:sz w:val="21"/>
                      <w:szCs w:val="21"/>
                      <w:lang w:val="en-US" w:eastAsia="zh-CN"/>
                    </w:rPr>
                    <w:t>”</w:t>
                  </w:r>
                  <w:r>
                    <w:rPr>
                      <w:rFonts w:ascii="Times New Roman" w:eastAsia="宋体" w:hAnsi="Times New Roman" w:cs="Times New Roman" w:hint="default"/>
                      <w:bCs/>
                      <w:color w:val="auto"/>
                      <w:sz w:val="21"/>
                      <w:szCs w:val="21"/>
                      <w:lang w:val="en-US" w:eastAsia="zh-CN"/>
                    </w:rPr>
                    <w:t>。相关规划环评应依据有关资源利用上线，对规划实施以及规划内项目的资源开发利用，区分不同行业，从能源资源开发等量或减量替</w:t>
                  </w:r>
                </w:p>
                <w:p>
                  <w:pPr>
                    <w:spacing w:line="240" w:lineRule="auto"/>
                    <w:jc w:val="left"/>
                    <w:rPr>
                      <w:rFonts w:cs="Times New Roman" w:hint="default"/>
                      <w:bCs/>
                      <w:color w:val="auto"/>
                      <w:szCs w:val="21"/>
                    </w:rPr>
                  </w:pPr>
                  <w:r>
                    <w:rPr>
                      <w:rFonts w:ascii="Times New Roman" w:eastAsia="宋体" w:hAnsi="Times New Roman" w:cs="Times New Roman" w:hint="default"/>
                      <w:bCs/>
                      <w:color w:val="auto"/>
                      <w:sz w:val="21"/>
                      <w:szCs w:val="21"/>
                      <w:lang w:val="en-US" w:eastAsia="zh-CN"/>
                    </w:rPr>
                    <w:t>代、开采方式和规模控制、利用效率和保护措施等方面提出建议，为规划编制和审批决策提供重要依据</w:t>
                  </w:r>
                </w:p>
              </w:tc>
              <w:tc>
                <w:tcPr>
                  <w:tcW w:w="864" w:type="pct"/>
                  <w:vAlign w:val="center"/>
                </w:tcPr>
                <w:p>
                  <w:pPr>
                    <w:spacing w:line="240" w:lineRule="auto"/>
                    <w:jc w:val="left"/>
                    <w:rPr>
                      <w:rFonts w:cs="Times New Roman" w:hint="default"/>
                      <w:bCs/>
                      <w:color w:val="auto"/>
                      <w:szCs w:val="21"/>
                    </w:rPr>
                  </w:pPr>
                  <w:r>
                    <w:rPr>
                      <w:rFonts w:ascii="Times New Roman" w:eastAsia="宋体" w:hAnsi="Times New Roman" w:cs="Times New Roman" w:hint="default"/>
                      <w:bCs/>
                      <w:color w:val="auto"/>
                      <w:sz w:val="21"/>
                      <w:szCs w:val="21"/>
                      <w:lang w:val="en-US" w:eastAsia="zh-CN"/>
                    </w:rPr>
                    <w:t>项目不会突破资源利用上线</w:t>
                  </w:r>
                </w:p>
              </w:tc>
              <w:tc>
                <w:tcPr>
                  <w:tcW w:w="610" w:type="pct"/>
                  <w:vAlign w:val="center"/>
                </w:tcPr>
                <w:p>
                  <w:pPr>
                    <w:spacing w:line="240" w:lineRule="auto"/>
                    <w:jc w:val="center"/>
                    <w:rPr>
                      <w:rFonts w:cs="Times New Roman" w:hint="default"/>
                      <w:bCs/>
                      <w:color w:val="auto"/>
                      <w:szCs w:val="21"/>
                    </w:rPr>
                  </w:pPr>
                  <w:r>
                    <w:rPr>
                      <w:rFonts w:ascii="Times New Roman" w:eastAsia="宋体" w:hAnsi="Times New Roman" w:cs="Times New Roman" w:hint="default"/>
                      <w:bCs/>
                      <w:color w:val="auto"/>
                      <w:sz w:val="21"/>
                      <w:szCs w:val="21"/>
                      <w:lang w:val="en-US" w:eastAsia="zh-CN"/>
                    </w:rPr>
                    <w:t>符合</w:t>
                  </w:r>
                </w:p>
              </w:tc>
            </w:tr>
            <w:tr>
              <w:tblPrEx>
                <w:tblW w:w="4999" w:type="pct"/>
                <w:jc w:val="center"/>
                <w:tblInd w:w="113" w:type="dxa"/>
                <w:tblLayout w:type="fixed"/>
                <w:tblCellMar>
                  <w:top w:w="0" w:type="dxa"/>
                  <w:left w:w="108" w:type="dxa"/>
                  <w:bottom w:w="0" w:type="dxa"/>
                  <w:right w:w="108" w:type="dxa"/>
                </w:tblCellMar>
                <w:tblLook w:val="0000"/>
              </w:tblPrEx>
              <w:trPr>
                <w:jc w:val="center"/>
              </w:trPr>
              <w:tc>
                <w:tcPr>
                  <w:tcW w:w="250" w:type="pct"/>
                  <w:vMerge/>
                  <w:vAlign w:val="center"/>
                </w:tcPr>
                <w:p>
                  <w:pPr>
                    <w:spacing w:line="240" w:lineRule="auto"/>
                    <w:jc w:val="center"/>
                    <w:rPr>
                      <w:rFonts w:cs="Times New Roman" w:hint="default"/>
                      <w:bCs/>
                      <w:color w:val="auto"/>
                      <w:szCs w:val="21"/>
                    </w:rPr>
                  </w:pPr>
                </w:p>
              </w:tc>
              <w:tc>
                <w:tcPr>
                  <w:tcW w:w="3275" w:type="pct"/>
                  <w:vAlign w:val="center"/>
                </w:tcPr>
                <w:p>
                  <w:pPr>
                    <w:spacing w:line="240" w:lineRule="auto"/>
                    <w:jc w:val="left"/>
                    <w:rPr>
                      <w:rFonts w:cs="Times New Roman" w:hint="default"/>
                      <w:bCs/>
                      <w:color w:val="auto"/>
                      <w:szCs w:val="21"/>
                    </w:rPr>
                  </w:pPr>
                  <w:r>
                    <w:rPr>
                      <w:rFonts w:ascii="Times New Roman" w:eastAsia="宋体" w:hAnsi="Times New Roman" w:cs="Times New Roman" w:hint="default"/>
                      <w:bCs/>
                      <w:color w:val="auto"/>
                      <w:sz w:val="21"/>
                      <w:szCs w:val="21"/>
                      <w:lang w:val="en-US" w:eastAsia="zh-CN"/>
                    </w:rPr>
                    <w:t>环境准入负面清单是基于生态保护红线、环境质量底线和资源利用上线，以清单 式列出的禁止、限制等差别化环境准入条件和要求。要在规划环评清单式管理试点的基础上，从布局选址、资源利用效率、资源配置方式等方面入手，制定环境准入负面清单，充分发挥负面清单对产业发展和项目准入的指导和约束作用</w:t>
                  </w:r>
                </w:p>
              </w:tc>
              <w:tc>
                <w:tcPr>
                  <w:tcW w:w="864" w:type="pct"/>
                  <w:vAlign w:val="center"/>
                </w:tcPr>
                <w:p>
                  <w:pPr>
                    <w:spacing w:after="0" w:line="240" w:lineRule="auto"/>
                    <w:jc w:val="left"/>
                    <w:rPr>
                      <w:rFonts w:cs="Times New Roman" w:hint="default"/>
                      <w:bCs/>
                      <w:color w:val="auto"/>
                      <w:szCs w:val="21"/>
                    </w:rPr>
                  </w:pPr>
                </w:p>
              </w:tc>
              <w:tc>
                <w:tcPr>
                  <w:tcW w:w="610" w:type="pct"/>
                  <w:vAlign w:val="center"/>
                </w:tcPr>
                <w:p>
                  <w:pPr>
                    <w:spacing w:line="240" w:lineRule="auto"/>
                    <w:jc w:val="center"/>
                    <w:rPr>
                      <w:rFonts w:cs="Times New Roman" w:hint="default"/>
                      <w:bCs/>
                      <w:color w:val="auto"/>
                      <w:szCs w:val="21"/>
                    </w:rPr>
                  </w:pPr>
                  <w:r>
                    <w:rPr>
                      <w:rFonts w:ascii="Times New Roman" w:eastAsia="宋体" w:hAnsi="Times New Roman" w:cs="Times New Roman" w:hint="default"/>
                      <w:bCs/>
                      <w:color w:val="auto"/>
                      <w:sz w:val="21"/>
                      <w:szCs w:val="21"/>
                      <w:lang w:val="en-US" w:eastAsia="zh-CN"/>
                    </w:rPr>
                    <w:t>符合</w:t>
                  </w:r>
                </w:p>
              </w:tc>
            </w:tr>
          </w:tbl>
          <w:p/>
        </w:tc>
      </w:tr>
    </w:tbl>
    <w:p>
      <w:pPr>
        <w:sectPr>
          <w:headerReference w:type="default" r:id="rId10"/>
          <w:footerReference w:type="default" r:id="rId11"/>
          <w:type w:val="nextPage"/>
          <w:pgSz w:w="11906" w:h="16838" w:orient="portrait"/>
          <w:pgMar w:top="1701" w:right="1531" w:bottom="1701" w:left="1531" w:header="851" w:footer="851" w:gutter="0"/>
          <w:pgBorders w:zOrder="front" w:display="allPages" w:offsetFrom="text">
            <w:top w:val="none" w:sz="0" w:space="0" w:color="auto"/>
            <w:left w:val="none" w:sz="0" w:space="0" w:color="auto"/>
            <w:bottom w:val="none" w:sz="0" w:space="0" w:color="auto"/>
            <w:right w:val="none" w:sz="0" w:space="0" w:color="auto"/>
          </w:pgBorders>
          <w:pgNumType w:fmt="decimal" w:start="4"/>
          <w:cols w:space="708"/>
          <w:titlePg w:val="0"/>
          <w:docGrid w:linePitch="312"/>
        </w:sectPr>
      </w:pPr>
    </w:p>
    <w:tbl>
      <w:tblPr>
        <w:tblStyle w:val="TableNormal"/>
        <w:tblW w:w="0" w:type="auto"/>
        <w:jc w:val="center"/>
        <w:tblInd w:w="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88"/>
        <w:gridCol w:w="7083"/>
      </w:tblGrid>
      <w:tr>
        <w:tblPrEx>
          <w:tblW w:w="0" w:type="auto"/>
          <w:jc w:val="center"/>
          <w:tblInd w:w="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54"/>
          <w:jc w:val="center"/>
        </w:trPr>
        <w:tc>
          <w:tcPr>
            <w:tcW w:w="1788" w:type="dxa"/>
            <w:tcBorders>
              <w:tl2br w:val="nil"/>
              <w:tr2bl w:val="nil"/>
            </w:tcBorders>
            <w:vAlign w:val="center"/>
          </w:tcPr>
          <w:p/>
        </w:tc>
        <w:tc>
          <w:tcPr>
            <w:tcW w:w="7083" w:type="dxa"/>
            <w:tcBorders>
              <w:tl2br w:val="nil"/>
              <w:tr2bl w:val="nil"/>
            </w:tcBorders>
            <w:vAlign w:val="center"/>
          </w:tcPr>
          <w:tbl>
            <w:tblPr>
              <w:tblStyle w:val="TableNormal"/>
              <w:tblW w:w="4999" w:type="pct"/>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43"/>
              <w:gridCol w:w="4492"/>
              <w:gridCol w:w="1185"/>
              <w:gridCol w:w="836"/>
            </w:tblGrid>
            <w:tr>
              <w:tblPrEx>
                <w:tblW w:w="4999" w:type="pct"/>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250" w:type="pct"/>
                  <w:vAlign w:val="center"/>
                </w:tcPr>
                <w:p/>
              </w:tc>
              <w:tc>
                <w:tcPr>
                  <w:tcW w:w="3275" w:type="pct"/>
                  <w:vAlign w:val="center"/>
                </w:tcPr>
                <w:p/>
              </w:tc>
              <w:tc>
                <w:tcPr>
                  <w:tcW w:w="864" w:type="pct"/>
                  <w:vAlign w:val="center"/>
                </w:tcPr>
                <w:p>
                  <w:pPr>
                    <w:spacing w:before="0" w:line="240" w:lineRule="auto"/>
                    <w:jc w:val="left"/>
                    <w:rPr>
                      <w:rFonts w:cs="Times New Roman" w:hint="default"/>
                      <w:bCs/>
                      <w:color w:val="auto"/>
                      <w:szCs w:val="21"/>
                    </w:rPr>
                  </w:pPr>
                  <w:r>
                    <w:rPr>
                      <w:rFonts w:ascii="Times New Roman" w:eastAsia="宋体" w:hAnsi="Times New Roman" w:cs="Times New Roman" w:hint="eastAsia"/>
                      <w:bCs/>
                      <w:color w:val="auto"/>
                      <w:sz w:val="21"/>
                      <w:szCs w:val="21"/>
                      <w:lang w:val="en-US" w:eastAsia="zh-CN"/>
                    </w:rPr>
                    <w:t>项目建设符合国家和地方产业政策，项目未列入《陕西省国家重点生态功能区产业准入负面清单》环境准入负面清单</w:t>
                  </w:r>
                </w:p>
              </w:tc>
              <w:tc>
                <w:tcPr>
                  <w:tcW w:w="610" w:type="pct"/>
                  <w:vAlign w:val="center"/>
                </w:tcPr>
                <w:p/>
              </w:tc>
            </w:tr>
            <w:tr>
              <w:tblPrEx>
                <w:tblW w:w="4999" w:type="pct"/>
                <w:jc w:val="center"/>
                <w:tblInd w:w="113" w:type="dxa"/>
                <w:tblLayout w:type="fixed"/>
                <w:tblCellMar>
                  <w:top w:w="0" w:type="dxa"/>
                  <w:left w:w="108" w:type="dxa"/>
                  <w:bottom w:w="0" w:type="dxa"/>
                  <w:right w:w="108" w:type="dxa"/>
                </w:tblCellMar>
                <w:tblLook w:val="0000"/>
              </w:tblPrEx>
              <w:trPr>
                <w:trHeight w:val="5991"/>
                <w:jc w:val="center"/>
              </w:trPr>
              <w:tc>
                <w:tcPr>
                  <w:tcW w:w="250" w:type="pct"/>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right="0" w:leftChars="0" w:rightChars="0"/>
                    <w:jc w:val="left"/>
                    <w:textAlignment w:val="auto"/>
                    <w:outlineLvl w:val="9"/>
                    <w:rPr>
                      <w:rFonts w:cs="Times New Roman" w:hint="default"/>
                      <w:color w:val="auto"/>
                      <w:szCs w:val="21"/>
                      <w:highlight w:val="none"/>
                      <w:lang w:bidi="ar"/>
                    </w:rPr>
                  </w:pPr>
                  <w:r>
                    <w:rPr>
                      <w:rFonts w:ascii="Times New Roman" w:eastAsia="宋体" w:hAnsi="Times New Roman" w:cs="Times New Roman" w:hint="eastAsia"/>
                      <w:color w:val="auto"/>
                      <w:sz w:val="21"/>
                      <w:szCs w:val="21"/>
                      <w:highlight w:val="none"/>
                      <w:lang w:val="en-US" w:eastAsia="zh-CN" w:bidi="ar"/>
                    </w:rPr>
                    <w:t>铜川市</w:t>
                  </w:r>
                  <w:r>
                    <w:rPr>
                      <w:rFonts w:ascii="Times New Roman" w:eastAsia="宋体" w:hAnsi="Times New Roman" w:cs="Times New Roman" w:hint="eastAsia"/>
                      <w:color w:val="auto"/>
                      <w:sz w:val="21"/>
                      <w:szCs w:val="21"/>
                      <w:highlight w:val="none"/>
                      <w:lang w:val="en-US" w:eastAsia="zh-CN" w:bidi="ar"/>
                    </w:rPr>
                    <w:t>“</w:t>
                  </w:r>
                  <w:r>
                    <w:rPr>
                      <w:rFonts w:ascii="Times New Roman" w:eastAsia="宋体" w:hAnsi="Times New Roman" w:cs="Times New Roman" w:hint="eastAsia"/>
                      <w:color w:val="auto"/>
                      <w:sz w:val="21"/>
                      <w:szCs w:val="21"/>
                      <w:highlight w:val="none"/>
                      <w:lang w:val="en-US" w:eastAsia="zh-CN" w:bidi="ar"/>
                    </w:rPr>
                    <w:t>三线一单</w:t>
                  </w:r>
                  <w:r>
                    <w:rPr>
                      <w:rFonts w:ascii="Times New Roman" w:eastAsia="宋体" w:hAnsi="Times New Roman" w:cs="Times New Roman" w:hint="eastAsia"/>
                      <w:color w:val="auto"/>
                      <w:sz w:val="21"/>
                      <w:szCs w:val="21"/>
                      <w:highlight w:val="none"/>
                      <w:lang w:val="en-US" w:eastAsia="zh-CN" w:bidi="ar"/>
                    </w:rPr>
                    <w:t>”</w:t>
                  </w:r>
                  <w:r>
                    <w:rPr>
                      <w:rFonts w:ascii="Times New Roman" w:eastAsia="宋体" w:hAnsi="Times New Roman" w:cs="Times New Roman" w:hint="eastAsia"/>
                      <w:color w:val="auto"/>
                      <w:sz w:val="21"/>
                      <w:szCs w:val="21"/>
                      <w:highlight w:val="none"/>
                      <w:lang w:val="en-US" w:eastAsia="zh-CN" w:bidi="ar"/>
                    </w:rPr>
                    <w:t>生态环境分区管控方案</w:t>
                  </w:r>
                </w:p>
              </w:tc>
              <w:tc>
                <w:tcPr>
                  <w:tcW w:w="3275" w:type="pct"/>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right="0" w:leftChars="0" w:rightChars="0"/>
                    <w:jc w:val="left"/>
                    <w:textAlignment w:val="auto"/>
                    <w:outlineLvl w:val="9"/>
                    <w:rPr>
                      <w:rFonts w:cs="Times New Roman" w:hint="eastAsia"/>
                      <w:color w:val="auto"/>
                      <w:szCs w:val="21"/>
                      <w:highlight w:val="none"/>
                      <w:lang w:bidi="ar"/>
                    </w:rPr>
                  </w:pPr>
                  <w:r>
                    <w:rPr>
                      <w:rFonts w:ascii="Times New Roman" w:eastAsia="宋体" w:hAnsi="Times New Roman" w:cs="Times New Roman" w:hint="eastAsia"/>
                      <w:color w:val="auto"/>
                      <w:sz w:val="21"/>
                      <w:szCs w:val="21"/>
                      <w:highlight w:val="none"/>
                      <w:lang w:val="en-US" w:eastAsia="zh-CN" w:bidi="ar"/>
                    </w:rPr>
                    <w:t>按照保护优先、衔接整合、有效管理的原则，将全市行政区域统筹划定为优先保护、重点管控和一般管控三类环境管控单元，共计49个，实施生态环境分区管控。优先保护单元。指以生态环境保护为主的区域，主要涵盖生态保护红线、一般生态空间、饮用水水源保护区、自然保护地等生态功能重要生态环境敏感区域。全市划分优先保护单元26个，面积1185.04平方公里，占全市国土面积的30.53%，主要分布在香山自然保护区、太安自然保护区等9个自然保护地和4个饮用水水源保护区。</w:t>
                  </w:r>
                </w:p>
                <w:p>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right="0" w:leftChars="0" w:rightChars="0"/>
                    <w:jc w:val="left"/>
                    <w:textAlignment w:val="auto"/>
                    <w:outlineLvl w:val="9"/>
                    <w:rPr>
                      <w:rFonts w:cs="Times New Roman" w:hint="eastAsia"/>
                      <w:color w:val="auto"/>
                      <w:szCs w:val="21"/>
                      <w:highlight w:val="none"/>
                      <w:lang w:bidi="ar"/>
                    </w:rPr>
                  </w:pPr>
                  <w:r>
                    <w:rPr>
                      <w:rFonts w:ascii="Times New Roman" w:eastAsia="宋体" w:hAnsi="Times New Roman" w:cs="Times New Roman" w:hint="eastAsia"/>
                      <w:color w:val="auto"/>
                      <w:sz w:val="21"/>
                      <w:szCs w:val="21"/>
                      <w:highlight w:val="none"/>
                      <w:lang w:val="en-US" w:eastAsia="zh-CN" w:bidi="ar"/>
                    </w:rPr>
                    <w:t>重点管控单元。指涉及水、大气、土壤、自然资源等资源环境要素重点管控的区域，主要包括资源环境问题突出、人口集中、工业集聚的区域。全市划分重点管控单元20个，面积1038.50平方公里，占全市国土面积的26.76%，主要分布在耀州区、王益区、印台区、宜君县主城区范围及相关工业园区。</w:t>
                  </w:r>
                </w:p>
                <w:p>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right="0" w:leftChars="0" w:rightChars="0"/>
                    <w:jc w:val="left"/>
                    <w:textAlignment w:val="auto"/>
                    <w:outlineLvl w:val="9"/>
                    <w:rPr>
                      <w:rFonts w:cs="Times New Roman" w:hint="default"/>
                      <w:color w:val="auto"/>
                      <w:szCs w:val="21"/>
                      <w:highlight w:val="none"/>
                      <w:lang w:bidi="ar"/>
                    </w:rPr>
                  </w:pPr>
                  <w:r>
                    <w:rPr>
                      <w:rFonts w:ascii="Times New Roman" w:eastAsia="宋体" w:hAnsi="Times New Roman" w:cs="Times New Roman" w:hint="eastAsia"/>
                      <w:color w:val="auto"/>
                      <w:sz w:val="21"/>
                      <w:szCs w:val="21"/>
                      <w:highlight w:val="none"/>
                      <w:lang w:val="en-US" w:eastAsia="zh-CN" w:bidi="ar"/>
                    </w:rPr>
                    <w:t>一般管控单元。指除优先保护单元、重点管控单元以外的其他区域。全市划分一般管控单元3个，面积1657.56平方公里，占全市国土面积的42.71%。</w:t>
                  </w:r>
                </w:p>
              </w:tc>
              <w:tc>
                <w:tcPr>
                  <w:tcW w:w="864" w:type="pct"/>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right="0" w:leftChars="0" w:rightChars="0"/>
                    <w:jc w:val="left"/>
                    <w:textAlignment w:val="auto"/>
                    <w:outlineLvl w:val="9"/>
                    <w:rPr>
                      <w:rFonts w:cs="Times New Roman" w:hint="default"/>
                      <w:color w:val="auto"/>
                      <w:szCs w:val="21"/>
                      <w:highlight w:val="none"/>
                      <w:lang w:bidi="ar"/>
                    </w:rPr>
                  </w:pPr>
                  <w:r>
                    <w:rPr>
                      <w:rFonts w:ascii="Times New Roman" w:eastAsia="宋体" w:hAnsi="Times New Roman" w:cs="Times New Roman" w:hint="default"/>
                      <w:color w:val="auto"/>
                      <w:sz w:val="21"/>
                      <w:szCs w:val="21"/>
                      <w:highlight w:val="none"/>
                      <w:lang w:val="en-US" w:eastAsia="zh-CN" w:bidi="ar"/>
                    </w:rPr>
                    <w:t>本项目位于</w:t>
                  </w:r>
                  <w:r>
                    <w:rPr>
                      <w:rFonts w:ascii="Times New Roman" w:eastAsia="宋体" w:hAnsi="Times New Roman" w:cs="Times New Roman" w:hint="eastAsia"/>
                      <w:color w:val="auto"/>
                      <w:sz w:val="21"/>
                      <w:szCs w:val="21"/>
                      <w:highlight w:val="none"/>
                      <w:lang w:val="en-US" w:eastAsia="zh-CN" w:bidi="ar"/>
                    </w:rPr>
                    <w:t>铜川市</w:t>
                  </w:r>
                  <w:r>
                    <w:rPr>
                      <w:rFonts w:ascii="Times New Roman" w:eastAsia="宋体" w:hAnsi="Times New Roman" w:cs="Times New Roman" w:hint="default"/>
                      <w:color w:val="auto"/>
                      <w:sz w:val="21"/>
                      <w:szCs w:val="21"/>
                      <w:highlight w:val="none"/>
                      <w:lang w:val="en-US" w:eastAsia="zh-CN" w:bidi="ar"/>
                    </w:rPr>
                    <w:t>生态环境</w:t>
                  </w:r>
                  <w:r>
                    <w:rPr>
                      <w:rFonts w:ascii="Times New Roman" w:eastAsia="宋体" w:hAnsi="Times New Roman" w:cs="Times New Roman" w:hint="eastAsia"/>
                      <w:color w:val="auto"/>
                      <w:sz w:val="21"/>
                      <w:szCs w:val="21"/>
                      <w:highlight w:val="none"/>
                      <w:lang w:val="en-US" w:eastAsia="zh-CN" w:bidi="ar"/>
                    </w:rPr>
                    <w:t>重点</w:t>
                  </w:r>
                  <w:r>
                    <w:rPr>
                      <w:rFonts w:ascii="Times New Roman" w:eastAsia="宋体" w:hAnsi="Times New Roman" w:cs="Times New Roman" w:hint="default"/>
                      <w:color w:val="auto"/>
                      <w:sz w:val="21"/>
                      <w:szCs w:val="21"/>
                      <w:highlight w:val="none"/>
                      <w:lang w:val="en-US" w:eastAsia="zh-CN" w:bidi="ar"/>
                    </w:rPr>
                    <w:t>管控单元内。重点管控单元以提升资源利用效率、加强污染物减排治理为重点，解决突出生态环境问题。本项目产生的各项污染物均能得到合理处理与处置，可做到达标排放</w:t>
                  </w:r>
                  <w:r>
                    <w:rPr>
                      <w:rFonts w:ascii="Times New Roman" w:eastAsia="宋体" w:hAnsi="Times New Roman" w:cs="Times New Roman" w:hint="eastAsia"/>
                      <w:color w:val="auto"/>
                      <w:sz w:val="21"/>
                      <w:szCs w:val="21"/>
                      <w:highlight w:val="none"/>
                      <w:lang w:val="en-US" w:eastAsia="zh-CN" w:bidi="ar"/>
                    </w:rPr>
                    <w:t>。</w:t>
                  </w:r>
                </w:p>
              </w:tc>
              <w:tc>
                <w:tcPr>
                  <w:tcW w:w="610" w:type="pct"/>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right="0" w:leftChars="0" w:rightChars="0"/>
                    <w:jc w:val="left"/>
                    <w:textAlignment w:val="auto"/>
                    <w:outlineLvl w:val="9"/>
                    <w:rPr>
                      <w:rFonts w:cs="Times New Roman" w:hint="default"/>
                      <w:color w:val="auto"/>
                      <w:szCs w:val="21"/>
                      <w:highlight w:val="none"/>
                      <w:lang w:bidi="ar"/>
                    </w:rPr>
                  </w:pPr>
                  <w:r>
                    <w:rPr>
                      <w:rFonts w:ascii="Times New Roman" w:eastAsia="宋体" w:hAnsi="Times New Roman" w:cs="Times New Roman" w:hint="default"/>
                      <w:color w:val="auto"/>
                      <w:sz w:val="21"/>
                      <w:szCs w:val="21"/>
                      <w:highlight w:val="none"/>
                      <w:lang w:val="en-US" w:eastAsia="zh-CN" w:bidi="ar"/>
                    </w:rPr>
                    <w:t>符合</w:t>
                  </w:r>
                </w:p>
              </w:tc>
            </w:tr>
          </w:tbl>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cs="Times New Roman" w:hint="default"/>
                <w:b/>
                <w:bCs/>
                <w:color w:val="auto"/>
                <w:sz w:val="24"/>
                <w:highlight w:val="none"/>
              </w:rPr>
            </w:pPr>
            <w:r>
              <w:rPr>
                <w:rFonts w:cs="Times New Roman" w:hint="eastAsia"/>
                <w:b/>
                <w:bCs/>
                <w:color w:val="auto"/>
                <w:sz w:val="24"/>
                <w:szCs w:val="24"/>
                <w:highlight w:val="none"/>
                <w:lang w:val="en-US" w:eastAsia="zh-CN"/>
              </w:rPr>
              <w:t>3</w:t>
            </w:r>
            <w:r>
              <w:rPr>
                <w:rFonts w:ascii="Times New Roman" w:eastAsia="宋体" w:hAnsi="Times New Roman" w:cs="Times New Roman" w:hint="default"/>
                <w:b/>
                <w:bCs/>
                <w:color w:val="auto"/>
                <w:sz w:val="24"/>
                <w:szCs w:val="24"/>
                <w:highlight w:val="none"/>
                <w:lang w:val="en-US" w:eastAsia="zh-CN"/>
              </w:rPr>
              <w:t>、</w:t>
            </w:r>
            <w:r>
              <w:rPr>
                <w:rFonts w:ascii="Times New Roman" w:eastAsia="宋体" w:hAnsi="Times New Roman" w:cs="Times New Roman" w:hint="eastAsia"/>
                <w:b/>
                <w:bCs/>
                <w:color w:val="auto"/>
                <w:sz w:val="24"/>
                <w:szCs w:val="24"/>
                <w:highlight w:val="none"/>
                <w:lang w:val="en-US" w:eastAsia="zh-CN"/>
              </w:rPr>
              <w:t>其它相关环保政策相符性分析</w:t>
            </w:r>
          </w:p>
          <w:p>
            <w:pPr>
              <w:pStyle w:val="BodyTextFirstIndent2"/>
              <w:keepNext w:val="0"/>
              <w:keepLines w:val="0"/>
              <w:pageBreakBefore w:val="0"/>
              <w:widowControl w:val="0"/>
              <w:tabs>
                <w:tab w:val="left" w:pos="455"/>
              </w:tabs>
              <w:kinsoku/>
              <w:wordWrap/>
              <w:overflowPunct/>
              <w:topLinePunct w:val="0"/>
              <w:autoSpaceDE/>
              <w:autoSpaceDN/>
              <w:bidi w:val="0"/>
              <w:adjustRightInd/>
              <w:snapToGrid/>
              <w:spacing w:after="0" w:afterLines="0" w:line="360" w:lineRule="auto"/>
              <w:ind w:left="0" w:firstLine="480" w:leftChars="0"/>
              <w:jc w:val="left"/>
              <w:textAlignment w:val="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本项目</w:t>
            </w:r>
            <w:r>
              <w:rPr>
                <w:rFonts w:ascii="Times New Roman" w:eastAsia="宋体" w:hAnsi="Times New Roman" w:cs="Times New Roman" w:hint="eastAsia"/>
                <w:color w:val="auto"/>
                <w:sz w:val="24"/>
                <w:szCs w:val="24"/>
                <w:highlight w:val="none"/>
                <w:lang w:eastAsia="zh-CN"/>
              </w:rPr>
              <w:t>与其他相关生态环境保护政策及规划</w:t>
            </w:r>
            <w:r>
              <w:rPr>
                <w:rFonts w:ascii="Times New Roman" w:hAnsi="Times New Roman" w:cs="Times New Roman"/>
                <w:color w:val="auto"/>
                <w:sz w:val="24"/>
                <w:szCs w:val="24"/>
                <w:highlight w:val="none"/>
              </w:rPr>
              <w:t>符合性分析见表</w:t>
            </w:r>
            <w:r>
              <w:rPr>
                <w:rFonts w:ascii="Times New Roman" w:hAnsi="Times New Roman" w:cs="Times New Roman" w:hint="eastAsia"/>
                <w:color w:val="auto"/>
                <w:sz w:val="24"/>
                <w:szCs w:val="24"/>
                <w:highlight w:val="none"/>
                <w:lang w:val="en-US" w:eastAsia="zh-CN"/>
              </w:rPr>
              <w:t>1-</w:t>
            </w:r>
            <w:r>
              <w:rPr>
                <w:rFonts w:cs="Times New Roman" w:hint="eastAsia"/>
                <w:color w:val="auto"/>
                <w:sz w:val="24"/>
                <w:szCs w:val="24"/>
                <w:highlight w:val="none"/>
                <w:lang w:val="en-US" w:eastAsia="zh-CN"/>
              </w:rPr>
              <w:t>3</w:t>
            </w:r>
            <w:r>
              <w:rPr>
                <w:rFonts w:ascii="Times New Roman" w:hAnsi="Times New Roman" w:cs="Times New Roman"/>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cs="Times New Roman"/>
                <w:b/>
                <w:color w:val="auto"/>
                <w:sz w:val="24"/>
                <w:highlight w:val="none"/>
              </w:rPr>
            </w:pPr>
            <w:r>
              <w:rPr>
                <w:rFonts w:ascii="Times New Roman" w:hAnsi="Times New Roman" w:cs="Times New Roman"/>
                <w:b/>
                <w:color w:val="auto"/>
                <w:sz w:val="24"/>
                <w:szCs w:val="24"/>
                <w:highlight w:val="none"/>
              </w:rPr>
              <w:t>表1</w:t>
            </w:r>
            <w:r>
              <w:rPr>
                <w:rFonts w:ascii="Times New Roman" w:eastAsia="宋体" w:hAnsi="Times New Roman" w:cs="Times New Roman" w:hint="eastAsia"/>
                <w:b/>
                <w:color w:val="auto"/>
                <w:sz w:val="24"/>
                <w:szCs w:val="24"/>
                <w:highlight w:val="none"/>
                <w:lang w:val="en-US" w:eastAsia="zh-CN"/>
              </w:rPr>
              <w:t>-</w:t>
            </w:r>
            <w:r>
              <w:rPr>
                <w:rFonts w:cs="Times New Roman" w:hint="eastAsia"/>
                <w:b/>
                <w:color w:val="auto"/>
                <w:sz w:val="24"/>
                <w:szCs w:val="24"/>
                <w:highlight w:val="none"/>
                <w:lang w:val="en-US" w:eastAsia="zh-CN"/>
              </w:rPr>
              <w:t>3</w:t>
            </w:r>
            <w:r>
              <w:rPr>
                <w:rFonts w:ascii="Times New Roman" w:hAnsi="Times New Roman" w:cs="Times New Roman"/>
                <w:b/>
                <w:color w:val="auto"/>
                <w:sz w:val="24"/>
                <w:szCs w:val="24"/>
                <w:highlight w:val="none"/>
              </w:rPr>
              <w:t xml:space="preserve"> 项目</w:t>
            </w:r>
            <w:r>
              <w:rPr>
                <w:rFonts w:ascii="Times New Roman" w:hAnsi="Times New Roman" w:cs="Times New Roman" w:hint="eastAsia"/>
                <w:b/>
                <w:color w:val="auto"/>
                <w:sz w:val="24"/>
                <w:szCs w:val="24"/>
                <w:highlight w:val="none"/>
                <w:lang w:eastAsia="zh-CN"/>
              </w:rPr>
              <w:t>其他相关生态环境保护政策及规划</w:t>
            </w:r>
            <w:r>
              <w:rPr>
                <w:rFonts w:ascii="Times New Roman" w:hAnsi="Times New Roman" w:cs="Times New Roman"/>
                <w:b/>
                <w:color w:val="auto"/>
                <w:sz w:val="24"/>
                <w:szCs w:val="24"/>
                <w:highlight w:val="none"/>
              </w:rPr>
              <w:t>符合性分析</w:t>
            </w:r>
          </w:p>
          <w:tbl>
            <w:tblPr>
              <w:tblStyle w:val="TableNormal"/>
              <w:tblW w:w="6851" w:type="dxa"/>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67"/>
              <w:gridCol w:w="2906"/>
              <w:gridCol w:w="1718"/>
              <w:gridCol w:w="760"/>
            </w:tblGrid>
            <w:tr>
              <w:tblPrEx>
                <w:tblW w:w="6851" w:type="dxa"/>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467" w:type="dxa"/>
                  <w:vAlign w:val="center"/>
                </w:tcPr>
                <w:p>
                  <w:pPr>
                    <w:pStyle w:val="BodyTextFirstIndent2"/>
                    <w:keepNext w:val="0"/>
                    <w:keepLines w:val="0"/>
                    <w:pageBreakBefore w:val="0"/>
                    <w:widowControl w:val="0"/>
                    <w:kinsoku/>
                    <w:wordWrap/>
                    <w:overflowPunct/>
                    <w:topLinePunct w:val="0"/>
                    <w:autoSpaceDE/>
                    <w:autoSpaceDN/>
                    <w:bidi w:val="0"/>
                    <w:spacing w:after="0" w:afterLines="0" w:line="240" w:lineRule="auto"/>
                    <w:ind w:left="0" w:firstLine="0" w:leftChars="0" w:firstLineChars="0"/>
                    <w:jc w:val="center"/>
                    <w:textAlignment w:val="auto"/>
                    <w:rPr>
                      <w:rFonts w:ascii="Times New Roman" w:hAnsi="Times New Roman" w:cs="Times New Roman"/>
                      <w:b/>
                      <w:bCs w:val="0"/>
                      <w:color w:val="auto"/>
                      <w:sz w:val="21"/>
                      <w:szCs w:val="21"/>
                      <w:highlight w:val="none"/>
                    </w:rPr>
                  </w:pPr>
                  <w:r>
                    <w:rPr>
                      <w:rFonts w:ascii="Times New Roman" w:hAnsi="Times New Roman" w:cs="Times New Roman"/>
                      <w:b/>
                      <w:bCs w:val="0"/>
                      <w:color w:val="auto"/>
                      <w:sz w:val="21"/>
                      <w:szCs w:val="21"/>
                      <w:highlight w:val="none"/>
                    </w:rPr>
                    <w:t>名称</w:t>
                  </w:r>
                </w:p>
              </w:tc>
              <w:tc>
                <w:tcPr>
                  <w:tcW w:w="2906" w:type="dxa"/>
                  <w:vAlign w:val="center"/>
                </w:tcPr>
                <w:p>
                  <w:pPr>
                    <w:pStyle w:val="BodyTextFirstIndent2"/>
                    <w:keepNext w:val="0"/>
                    <w:keepLines w:val="0"/>
                    <w:pageBreakBefore w:val="0"/>
                    <w:widowControl w:val="0"/>
                    <w:kinsoku/>
                    <w:wordWrap/>
                    <w:overflowPunct/>
                    <w:topLinePunct w:val="0"/>
                    <w:autoSpaceDE/>
                    <w:autoSpaceDN/>
                    <w:bidi w:val="0"/>
                    <w:spacing w:after="0" w:afterLines="0" w:line="240" w:lineRule="auto"/>
                    <w:ind w:left="0" w:firstLine="0" w:leftChars="0" w:firstLineChars="0"/>
                    <w:jc w:val="center"/>
                    <w:textAlignment w:val="auto"/>
                    <w:rPr>
                      <w:rFonts w:ascii="Times New Roman" w:hAnsi="Times New Roman" w:cs="Times New Roman"/>
                      <w:b/>
                      <w:bCs w:val="0"/>
                      <w:color w:val="auto"/>
                      <w:sz w:val="21"/>
                      <w:szCs w:val="21"/>
                      <w:highlight w:val="none"/>
                    </w:rPr>
                  </w:pPr>
                  <w:r>
                    <w:rPr>
                      <w:rFonts w:ascii="Times New Roman" w:hAnsi="Times New Roman" w:cs="Times New Roman"/>
                      <w:b/>
                      <w:bCs w:val="0"/>
                      <w:color w:val="auto"/>
                      <w:sz w:val="21"/>
                      <w:szCs w:val="21"/>
                      <w:highlight w:val="none"/>
                    </w:rPr>
                    <w:t>要求</w:t>
                  </w:r>
                </w:p>
              </w:tc>
              <w:tc>
                <w:tcPr>
                  <w:tcW w:w="1718" w:type="dxa"/>
                  <w:vAlign w:val="center"/>
                </w:tcPr>
                <w:p>
                  <w:pPr>
                    <w:pStyle w:val="BodyTextFirstIndent2"/>
                    <w:keepNext w:val="0"/>
                    <w:keepLines w:val="0"/>
                    <w:pageBreakBefore w:val="0"/>
                    <w:widowControl w:val="0"/>
                    <w:kinsoku/>
                    <w:wordWrap/>
                    <w:overflowPunct/>
                    <w:topLinePunct w:val="0"/>
                    <w:autoSpaceDE/>
                    <w:autoSpaceDN/>
                    <w:bidi w:val="0"/>
                    <w:spacing w:after="0" w:afterLines="0" w:line="240" w:lineRule="auto"/>
                    <w:ind w:left="0" w:firstLine="0" w:leftChars="0" w:firstLineChars="0"/>
                    <w:jc w:val="center"/>
                    <w:textAlignment w:val="auto"/>
                    <w:rPr>
                      <w:rFonts w:ascii="Times New Roman" w:hAnsi="Times New Roman" w:cs="Times New Roman"/>
                      <w:b/>
                      <w:bCs w:val="0"/>
                      <w:color w:val="auto"/>
                      <w:sz w:val="21"/>
                      <w:szCs w:val="21"/>
                      <w:highlight w:val="none"/>
                    </w:rPr>
                  </w:pPr>
                  <w:r>
                    <w:rPr>
                      <w:rFonts w:ascii="Times New Roman" w:hAnsi="Times New Roman" w:cs="Times New Roman"/>
                      <w:b/>
                      <w:bCs w:val="0"/>
                      <w:color w:val="auto"/>
                      <w:sz w:val="21"/>
                      <w:szCs w:val="21"/>
                      <w:highlight w:val="none"/>
                    </w:rPr>
                    <w:t>本项目情况</w:t>
                  </w:r>
                </w:p>
              </w:tc>
              <w:tc>
                <w:tcPr>
                  <w:tcW w:w="760" w:type="dxa"/>
                  <w:vAlign w:val="center"/>
                </w:tcPr>
                <w:p>
                  <w:pPr>
                    <w:pStyle w:val="BodyTextFirstIndent2"/>
                    <w:keepNext w:val="0"/>
                    <w:keepLines w:val="0"/>
                    <w:pageBreakBefore w:val="0"/>
                    <w:widowControl w:val="0"/>
                    <w:kinsoku/>
                    <w:wordWrap/>
                    <w:overflowPunct/>
                    <w:topLinePunct w:val="0"/>
                    <w:autoSpaceDE/>
                    <w:autoSpaceDN/>
                    <w:bidi w:val="0"/>
                    <w:spacing w:after="0" w:afterLines="0" w:line="240" w:lineRule="auto"/>
                    <w:ind w:left="0" w:firstLine="0" w:leftChars="0" w:firstLineChars="0"/>
                    <w:jc w:val="center"/>
                    <w:textAlignment w:val="auto"/>
                    <w:rPr>
                      <w:rFonts w:ascii="Times New Roman" w:hAnsi="Times New Roman" w:cs="Times New Roman"/>
                      <w:b/>
                      <w:bCs w:val="0"/>
                      <w:color w:val="auto"/>
                      <w:sz w:val="21"/>
                      <w:szCs w:val="21"/>
                      <w:highlight w:val="none"/>
                    </w:rPr>
                  </w:pPr>
                  <w:r>
                    <w:rPr>
                      <w:rFonts w:ascii="Times New Roman" w:hAnsi="Times New Roman" w:cs="Times New Roman"/>
                      <w:b/>
                      <w:bCs w:val="0"/>
                      <w:color w:val="auto"/>
                      <w:sz w:val="21"/>
                      <w:szCs w:val="21"/>
                      <w:highlight w:val="none"/>
                    </w:rPr>
                    <w:t>符合性</w:t>
                  </w:r>
                </w:p>
              </w:tc>
            </w:tr>
            <w:tr>
              <w:tblPrEx>
                <w:tblW w:w="6851" w:type="dxa"/>
                <w:tblInd w:w="123" w:type="dxa"/>
                <w:tblLayout w:type="fixed"/>
                <w:tblCellMar>
                  <w:top w:w="0" w:type="dxa"/>
                  <w:left w:w="108" w:type="dxa"/>
                  <w:bottom w:w="0" w:type="dxa"/>
                  <w:right w:w="108" w:type="dxa"/>
                </w:tblCellMar>
                <w:tblLook w:val="0000"/>
              </w:tblPrEx>
              <w:tc>
                <w:tcPr>
                  <w:tcW w:w="1467" w:type="dxa"/>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right="0" w:leftChars="0" w:rightChars="0"/>
                    <w:jc w:val="left"/>
                    <w:textAlignment w:val="auto"/>
                    <w:outlineLvl w:val="9"/>
                    <w:rPr>
                      <w:rFonts w:cs="Times New Roman" w:hint="default"/>
                      <w:color w:val="auto"/>
                      <w:szCs w:val="21"/>
                      <w:highlight w:val="none"/>
                      <w:lang w:bidi="ar"/>
                    </w:rPr>
                  </w:pPr>
                  <w:r>
                    <w:rPr>
                      <w:rFonts w:ascii="Times New Roman" w:eastAsia="宋体" w:hAnsi="Times New Roman" w:cs="Times New Roman" w:hint="eastAsia"/>
                      <w:color w:val="auto"/>
                      <w:sz w:val="21"/>
                      <w:szCs w:val="21"/>
                      <w:highlight w:val="none"/>
                      <w:lang w:bidi="ar"/>
                    </w:rPr>
                    <w:t>《陕西省</w:t>
                  </w:r>
                  <w:r>
                    <w:rPr>
                      <w:rFonts w:ascii="Times New Roman" w:eastAsia="宋体" w:hAnsi="Times New Roman" w:cs="Times New Roman" w:hint="eastAsia"/>
                      <w:color w:val="auto"/>
                      <w:sz w:val="21"/>
                      <w:szCs w:val="21"/>
                      <w:highlight w:val="none"/>
                      <w:lang w:bidi="ar"/>
                    </w:rPr>
                    <w:t>“</w:t>
                  </w:r>
                  <w:r>
                    <w:rPr>
                      <w:rFonts w:ascii="Times New Roman" w:eastAsia="宋体" w:hAnsi="Times New Roman" w:cs="Times New Roman" w:hint="eastAsia"/>
                      <w:color w:val="auto"/>
                      <w:sz w:val="21"/>
                      <w:szCs w:val="21"/>
                      <w:highlight w:val="none"/>
                      <w:lang w:bidi="ar"/>
                    </w:rPr>
                    <w:t>十四五</w:t>
                  </w:r>
                  <w:r>
                    <w:rPr>
                      <w:rFonts w:ascii="Times New Roman" w:eastAsia="宋体" w:hAnsi="Times New Roman" w:cs="Times New Roman" w:hint="eastAsia"/>
                      <w:color w:val="auto"/>
                      <w:sz w:val="21"/>
                      <w:szCs w:val="21"/>
                      <w:highlight w:val="none"/>
                      <w:lang w:bidi="ar"/>
                    </w:rPr>
                    <w:t>”</w:t>
                  </w:r>
                  <w:r>
                    <w:rPr>
                      <w:rFonts w:ascii="Times New Roman" w:eastAsia="宋体" w:hAnsi="Times New Roman" w:cs="Times New Roman" w:hint="eastAsia"/>
                      <w:color w:val="auto"/>
                      <w:sz w:val="21"/>
                      <w:szCs w:val="21"/>
                      <w:highlight w:val="none"/>
                      <w:lang w:bidi="ar"/>
                    </w:rPr>
                    <w:t>生态环境保护规划》</w:t>
                  </w:r>
                </w:p>
              </w:tc>
              <w:tc>
                <w:tcPr>
                  <w:tcW w:w="2906" w:type="dxa"/>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right="0" w:leftChars="0" w:rightChars="0"/>
                    <w:jc w:val="left"/>
                    <w:textAlignment w:val="auto"/>
                    <w:outlineLvl w:val="9"/>
                    <w:rPr>
                      <w:rFonts w:cs="Times New Roman" w:hint="eastAsia"/>
                      <w:color w:val="auto"/>
                      <w:szCs w:val="21"/>
                      <w:highlight w:val="none"/>
                      <w:lang w:bidi="ar"/>
                    </w:rPr>
                  </w:pPr>
                  <w:r>
                    <w:rPr>
                      <w:rFonts w:ascii="Times New Roman" w:eastAsia="宋体" w:hAnsi="Times New Roman" w:cs="Times New Roman" w:hint="eastAsia"/>
                      <w:color w:val="auto"/>
                      <w:sz w:val="21"/>
                      <w:szCs w:val="21"/>
                      <w:highlight w:val="none"/>
                      <w:lang w:bidi="ar"/>
                    </w:rPr>
                    <w:t>提升能源结构清洁低碳水平。</w:t>
                  </w:r>
                </w:p>
                <w:p>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right="0" w:leftChars="0" w:rightChars="0"/>
                    <w:jc w:val="left"/>
                    <w:textAlignment w:val="auto"/>
                    <w:outlineLvl w:val="9"/>
                    <w:rPr>
                      <w:rFonts w:cs="Times New Roman" w:hint="eastAsia"/>
                      <w:color w:val="auto"/>
                      <w:szCs w:val="21"/>
                      <w:highlight w:val="none"/>
                      <w:lang w:bidi="ar"/>
                    </w:rPr>
                  </w:pPr>
                  <w:r>
                    <w:rPr>
                      <w:rFonts w:ascii="Times New Roman" w:eastAsia="宋体" w:hAnsi="Times New Roman" w:cs="Times New Roman" w:hint="eastAsia"/>
                      <w:color w:val="auto"/>
                      <w:sz w:val="21"/>
                      <w:szCs w:val="21"/>
                      <w:highlight w:val="none"/>
                      <w:lang w:bidi="ar"/>
                    </w:rPr>
                    <w:t>按照煤炭集中使用、清洁利用原则</w:t>
                  </w:r>
                  <w:r>
                    <w:rPr>
                      <w:rFonts w:ascii="Times New Roman" w:eastAsia="宋体" w:hAnsi="Times New Roman" w:cs="Times New Roman" w:hint="eastAsia"/>
                      <w:color w:val="auto"/>
                      <w:sz w:val="21"/>
                      <w:szCs w:val="21"/>
                      <w:highlight w:val="none"/>
                      <w:lang w:bidi="ar"/>
                    </w:rPr>
                    <w:t>…</w:t>
                  </w:r>
                  <w:r>
                    <w:rPr>
                      <w:rFonts w:ascii="Times New Roman" w:eastAsia="宋体" w:hAnsi="Times New Roman" w:cs="Times New Roman" w:hint="eastAsia"/>
                      <w:color w:val="auto"/>
                      <w:sz w:val="21"/>
                      <w:szCs w:val="21"/>
                      <w:highlight w:val="none"/>
                      <w:lang w:bidi="ar"/>
                    </w:rPr>
                    <w:t>加快使用清洁低碳能源以及工厂余热、电力热力等进行替代。</w:t>
                  </w:r>
                </w:p>
              </w:tc>
              <w:tc>
                <w:tcPr>
                  <w:tcW w:w="1718" w:type="dxa"/>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right="0" w:leftChars="0" w:rightChars="0"/>
                    <w:jc w:val="left"/>
                    <w:textAlignment w:val="auto"/>
                    <w:outlineLvl w:val="9"/>
                    <w:rPr>
                      <w:rFonts w:cs="Times New Roman" w:hint="default"/>
                      <w:color w:val="auto"/>
                      <w:szCs w:val="21"/>
                      <w:highlight w:val="none"/>
                      <w:lang w:bidi="ar"/>
                    </w:rPr>
                  </w:pPr>
                  <w:r>
                    <w:rPr>
                      <w:rFonts w:ascii="Times New Roman" w:eastAsia="宋体" w:hAnsi="Times New Roman" w:cs="Times New Roman" w:hint="eastAsia"/>
                      <w:color w:val="auto"/>
                      <w:sz w:val="21"/>
                      <w:szCs w:val="21"/>
                      <w:highlight w:val="none"/>
                      <w:lang w:bidi="ar"/>
                    </w:rPr>
                    <w:t>本项目为热力供应业，</w:t>
                  </w:r>
                  <w:r>
                    <w:rPr>
                      <w:rFonts w:ascii="Times New Roman" w:eastAsia="宋体" w:hAnsi="Times New Roman" w:cs="Times New Roman" w:hint="eastAsia"/>
                      <w:color w:val="auto"/>
                      <w:sz w:val="21"/>
                      <w:szCs w:val="21"/>
                      <w:highlight w:val="none"/>
                      <w:lang w:val="en-US" w:eastAsia="zh-CN" w:bidi="ar"/>
                    </w:rPr>
                    <w:t>蒸汽发生器</w:t>
                  </w:r>
                  <w:r>
                    <w:rPr>
                      <w:rFonts w:ascii="Times New Roman" w:eastAsia="宋体" w:hAnsi="Times New Roman" w:cs="Times New Roman" w:hint="eastAsia"/>
                      <w:color w:val="auto"/>
                      <w:sz w:val="21"/>
                      <w:szCs w:val="21"/>
                      <w:highlight w:val="none"/>
                      <w:lang w:bidi="ar"/>
                    </w:rPr>
                    <w:t>采用清洁能源天然气。</w:t>
                  </w:r>
                </w:p>
              </w:tc>
              <w:tc>
                <w:tcPr>
                  <w:tcW w:w="760" w:type="dxa"/>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right="0" w:leftChars="0" w:rightChars="0"/>
                    <w:jc w:val="left"/>
                    <w:textAlignment w:val="auto"/>
                    <w:outlineLvl w:val="9"/>
                    <w:rPr>
                      <w:rFonts w:cs="Times New Roman" w:hint="eastAsia"/>
                      <w:color w:val="auto"/>
                      <w:szCs w:val="21"/>
                      <w:highlight w:val="none"/>
                      <w:lang w:bidi="ar"/>
                    </w:rPr>
                  </w:pPr>
                  <w:r>
                    <w:rPr>
                      <w:rFonts w:ascii="Times New Roman" w:eastAsia="宋体" w:hAnsi="Times New Roman" w:cs="Times New Roman" w:hint="eastAsia"/>
                      <w:color w:val="auto"/>
                      <w:sz w:val="21"/>
                      <w:szCs w:val="21"/>
                      <w:highlight w:val="none"/>
                      <w:lang w:bidi="ar"/>
                    </w:rPr>
                    <w:t>符合</w:t>
                  </w:r>
                </w:p>
              </w:tc>
            </w:tr>
            <w:tr>
              <w:tblPrEx>
                <w:tblW w:w="6851" w:type="dxa"/>
                <w:tblInd w:w="123" w:type="dxa"/>
                <w:tblLayout w:type="fixed"/>
                <w:tblCellMar>
                  <w:top w:w="0" w:type="dxa"/>
                  <w:left w:w="108" w:type="dxa"/>
                  <w:bottom w:w="0" w:type="dxa"/>
                  <w:right w:w="108" w:type="dxa"/>
                </w:tblCellMar>
                <w:tblLook w:val="0000"/>
              </w:tblPrEx>
              <w:tc>
                <w:tcPr>
                  <w:tcW w:w="1467" w:type="dxa"/>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right="0" w:leftChars="0" w:rightChars="0"/>
                    <w:jc w:val="center"/>
                    <w:textAlignment w:val="auto"/>
                    <w:outlineLvl w:val="9"/>
                    <w:rPr>
                      <w:rFonts w:cs="Times New Roman" w:hint="default"/>
                      <w:color w:val="auto"/>
                      <w:szCs w:val="21"/>
                      <w:highlight w:val="none"/>
                      <w:lang w:bidi="ar"/>
                    </w:rPr>
                  </w:pPr>
                  <w:r>
                    <w:rPr>
                      <w:rFonts w:ascii="Times New Roman" w:eastAsia="宋体" w:hAnsi="Times New Roman" w:cs="Times New Roman" w:hint="default"/>
                      <w:color w:val="auto"/>
                      <w:sz w:val="21"/>
                      <w:szCs w:val="21"/>
                      <w:highlight w:val="none"/>
                      <w:lang w:bidi="ar"/>
                    </w:rPr>
                    <w:t>《</w:t>
                  </w:r>
                  <w:r>
                    <w:rPr>
                      <w:rFonts w:ascii="Times New Roman" w:eastAsia="宋体" w:hAnsi="Times New Roman" w:cs="Times New Roman" w:hint="eastAsia"/>
                      <w:color w:val="auto"/>
                      <w:sz w:val="21"/>
                      <w:szCs w:val="21"/>
                      <w:highlight w:val="none"/>
                      <w:lang w:bidi="ar"/>
                    </w:rPr>
                    <w:t>陕西省蓝天保卫战2022年工作方案</w:t>
                  </w:r>
                  <w:r>
                    <w:rPr>
                      <w:rFonts w:ascii="Times New Roman" w:eastAsia="宋体" w:hAnsi="Times New Roman" w:cs="Times New Roman" w:hint="default"/>
                      <w:color w:val="auto"/>
                      <w:sz w:val="21"/>
                      <w:szCs w:val="21"/>
                      <w:highlight w:val="none"/>
                      <w:lang w:bidi="ar"/>
                    </w:rPr>
                    <w:t>》（陕政办发[202</w:t>
                  </w:r>
                  <w:r>
                    <w:rPr>
                      <w:rFonts w:ascii="Times New Roman" w:eastAsia="宋体" w:hAnsi="Times New Roman" w:cs="Times New Roman" w:hint="eastAsia"/>
                      <w:color w:val="auto"/>
                      <w:sz w:val="21"/>
                      <w:szCs w:val="21"/>
                      <w:highlight w:val="none"/>
                      <w:lang w:val="en-US" w:eastAsia="zh-CN" w:bidi="ar"/>
                    </w:rPr>
                    <w:t>2</w:t>
                  </w:r>
                  <w:r>
                    <w:rPr>
                      <w:rFonts w:ascii="Times New Roman" w:eastAsia="宋体" w:hAnsi="Times New Roman" w:cs="Times New Roman" w:hint="default"/>
                      <w:color w:val="auto"/>
                      <w:sz w:val="21"/>
                      <w:szCs w:val="21"/>
                      <w:highlight w:val="none"/>
                      <w:lang w:bidi="ar"/>
                    </w:rPr>
                    <w:t>]</w:t>
                  </w:r>
                  <w:r>
                    <w:rPr>
                      <w:rFonts w:ascii="Times New Roman" w:eastAsia="宋体" w:hAnsi="Times New Roman" w:cs="Times New Roman" w:hint="eastAsia"/>
                      <w:color w:val="auto"/>
                      <w:sz w:val="21"/>
                      <w:szCs w:val="21"/>
                      <w:highlight w:val="none"/>
                      <w:lang w:val="en-US" w:eastAsia="zh-CN" w:bidi="ar"/>
                    </w:rPr>
                    <w:t>8</w:t>
                  </w:r>
                  <w:r>
                    <w:rPr>
                      <w:rFonts w:ascii="Times New Roman" w:eastAsia="宋体" w:hAnsi="Times New Roman" w:cs="Times New Roman" w:hint="default"/>
                      <w:color w:val="auto"/>
                      <w:sz w:val="21"/>
                      <w:szCs w:val="21"/>
                      <w:highlight w:val="none"/>
                      <w:lang w:bidi="ar"/>
                    </w:rPr>
                    <w:t>号）</w:t>
                  </w:r>
                </w:p>
              </w:tc>
              <w:tc>
                <w:tcPr>
                  <w:tcW w:w="2906" w:type="dxa"/>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right="0" w:leftChars="0" w:rightChars="0"/>
                    <w:jc w:val="center"/>
                    <w:textAlignment w:val="auto"/>
                    <w:outlineLvl w:val="9"/>
                    <w:rPr>
                      <w:rFonts w:cs="Times New Roman" w:hint="default"/>
                      <w:color w:val="auto"/>
                      <w:szCs w:val="21"/>
                      <w:highlight w:val="none"/>
                      <w:lang w:bidi="ar"/>
                    </w:rPr>
                  </w:pPr>
                  <w:r>
                    <w:rPr>
                      <w:rFonts w:ascii="Times New Roman" w:eastAsia="宋体" w:hAnsi="Times New Roman" w:cs="Times New Roman" w:hint="default"/>
                      <w:color w:val="auto"/>
                      <w:sz w:val="21"/>
                      <w:szCs w:val="21"/>
                      <w:highlight w:val="none"/>
                      <w:lang w:eastAsia="zh-CN" w:bidi="ar"/>
                    </w:rPr>
                    <w:t>实施锅炉综合整治。严格执行《陕西省锅炉大气污染物排放标准》。关中地区巩固燃气锅炉低氮改造成果，陕南、陕北地区加快推进燃气锅炉低氮改造。</w:t>
                  </w:r>
                </w:p>
              </w:tc>
              <w:tc>
                <w:tcPr>
                  <w:tcW w:w="1718" w:type="dxa"/>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right="0" w:leftChars="0" w:rightChars="0"/>
                    <w:jc w:val="center"/>
                    <w:textAlignment w:val="auto"/>
                    <w:outlineLvl w:val="9"/>
                    <w:rPr>
                      <w:rFonts w:cs="Times New Roman" w:hint="default"/>
                      <w:color w:val="auto"/>
                      <w:szCs w:val="21"/>
                      <w:highlight w:val="none"/>
                      <w:lang w:bidi="ar"/>
                    </w:rPr>
                  </w:pPr>
                  <w:r>
                    <w:rPr>
                      <w:rFonts w:ascii="Times New Roman" w:eastAsia="宋体" w:hAnsi="Times New Roman" w:cs="Times New Roman" w:hint="default"/>
                      <w:color w:val="auto"/>
                      <w:sz w:val="21"/>
                      <w:szCs w:val="21"/>
                      <w:highlight w:val="none"/>
                      <w:lang w:bidi="ar"/>
                    </w:rPr>
                    <w:t>本项目</w:t>
                  </w:r>
                  <w:r>
                    <w:rPr>
                      <w:rFonts w:ascii="Times New Roman" w:eastAsia="宋体" w:hAnsi="Times New Roman" w:cs="Times New Roman" w:hint="default"/>
                      <w:color w:val="auto"/>
                      <w:sz w:val="21"/>
                      <w:szCs w:val="21"/>
                      <w:highlight w:val="none"/>
                      <w:lang w:val="en-US" w:eastAsia="zh-CN" w:bidi="ar"/>
                    </w:rPr>
                    <w:t>废气</w:t>
                  </w:r>
                  <w:r>
                    <w:rPr>
                      <w:rFonts w:ascii="Times New Roman" w:eastAsia="宋体" w:hAnsi="Times New Roman" w:cs="Times New Roman" w:hint="eastAsia"/>
                      <w:color w:val="auto"/>
                      <w:sz w:val="21"/>
                      <w:szCs w:val="21"/>
                      <w:highlight w:val="none"/>
                      <w:lang w:val="en-US" w:eastAsia="zh-CN" w:bidi="ar"/>
                    </w:rPr>
                    <w:t>排放</w:t>
                  </w:r>
                  <w:r>
                    <w:rPr>
                      <w:rFonts w:ascii="Times New Roman" w:eastAsia="宋体" w:hAnsi="Times New Roman" w:cs="Times New Roman" w:hint="default"/>
                      <w:color w:val="auto"/>
                      <w:sz w:val="21"/>
                      <w:szCs w:val="21"/>
                      <w:highlight w:val="none"/>
                      <w:lang w:bidi="ar"/>
                    </w:rPr>
                    <w:t>执行《陕西省锅炉大气污染物排放标准》，采用</w:t>
                  </w:r>
                  <w:r>
                    <w:rPr>
                      <w:rFonts w:ascii="Times New Roman" w:eastAsia="宋体" w:hAnsi="Times New Roman" w:cs="Times New Roman" w:hint="eastAsia"/>
                      <w:color w:val="auto"/>
                      <w:sz w:val="21"/>
                      <w:szCs w:val="21"/>
                      <w:highlight w:val="none"/>
                      <w:lang w:eastAsia="zh-CN" w:bidi="ar"/>
                    </w:rPr>
                    <w:t>超</w:t>
                  </w:r>
                  <w:r>
                    <w:rPr>
                      <w:rFonts w:ascii="Times New Roman" w:eastAsia="宋体" w:hAnsi="Times New Roman" w:cs="Times New Roman" w:hint="default"/>
                      <w:color w:val="auto"/>
                      <w:sz w:val="21"/>
                      <w:szCs w:val="21"/>
                      <w:highlight w:val="none"/>
                      <w:lang w:bidi="ar"/>
                    </w:rPr>
                    <w:t>低氮燃烧技术。</w:t>
                  </w:r>
                </w:p>
              </w:tc>
              <w:tc>
                <w:tcPr>
                  <w:tcW w:w="760" w:type="dxa"/>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right="0" w:leftChars="0" w:rightChars="0"/>
                    <w:jc w:val="center"/>
                    <w:textAlignment w:val="auto"/>
                    <w:outlineLvl w:val="9"/>
                    <w:rPr>
                      <w:rFonts w:cs="Times New Roman" w:hint="eastAsia"/>
                      <w:color w:val="auto"/>
                      <w:szCs w:val="21"/>
                      <w:highlight w:val="none"/>
                      <w:lang w:bidi="ar"/>
                    </w:rPr>
                  </w:pPr>
                  <w:r>
                    <w:rPr>
                      <w:rFonts w:ascii="Times New Roman" w:eastAsia="宋体" w:hAnsi="Times New Roman" w:cs="Times New Roman" w:hint="eastAsia"/>
                      <w:color w:val="auto"/>
                      <w:sz w:val="21"/>
                      <w:szCs w:val="21"/>
                      <w:highlight w:val="none"/>
                      <w:lang w:val="en-US" w:eastAsia="zh-CN" w:bidi="ar"/>
                    </w:rPr>
                    <w:t>符合</w:t>
                  </w:r>
                </w:p>
              </w:tc>
            </w:tr>
            <w:tr>
              <w:tblPrEx>
                <w:tblW w:w="6851" w:type="dxa"/>
                <w:tblInd w:w="123" w:type="dxa"/>
                <w:tblLayout w:type="fixed"/>
                <w:tblCellMar>
                  <w:top w:w="0" w:type="dxa"/>
                  <w:left w:w="108" w:type="dxa"/>
                  <w:bottom w:w="0" w:type="dxa"/>
                  <w:right w:w="108" w:type="dxa"/>
                </w:tblCellMar>
                <w:tblLook w:val="0000"/>
              </w:tblPrEx>
              <w:tc>
                <w:tcPr>
                  <w:tcW w:w="1467" w:type="dxa"/>
                  <w:vAlign w:val="center"/>
                </w:tcPr>
                <w:p>
                  <w:pPr>
                    <w:keepNext w:val="0"/>
                    <w:keepLines w:val="0"/>
                    <w:pageBreakBefore w:val="0"/>
                    <w:widowControl w:val="0"/>
                    <w:kinsoku/>
                    <w:wordWrap/>
                    <w:overflowPunct/>
                    <w:topLinePunct w:val="0"/>
                    <w:autoSpaceDE/>
                    <w:autoSpaceDN/>
                    <w:bidi w:val="0"/>
                    <w:adjustRightInd w:val="0"/>
                    <w:snapToGrid w:val="0"/>
                    <w:spacing w:beforeAutospacing="0" w:after="0" w:afterAutospacing="0" w:line="240" w:lineRule="auto"/>
                    <w:ind w:left="0" w:right="0" w:leftChars="0" w:rightChars="0"/>
                    <w:jc w:val="center"/>
                    <w:textAlignment w:val="auto"/>
                    <w:outlineLvl w:val="9"/>
                    <w:rPr>
                      <w:rFonts w:cs="Times New Roman" w:hint="default"/>
                      <w:b w:val="0"/>
                      <w:bCs w:val="0"/>
                      <w:color w:val="auto"/>
                      <w:szCs w:val="21"/>
                      <w:highlight w:val="none"/>
                      <w:shd w:val="clear" w:color="auto" w:fill="FFFFFF"/>
                    </w:rPr>
                  </w:pPr>
                  <w:r>
                    <w:rPr>
                      <w:color w:val="auto"/>
                      <w:sz w:val="21"/>
                      <w:szCs w:val="21"/>
                      <w:highlight w:val="none"/>
                    </w:rPr>
                    <w:t>《</w:t>
                  </w:r>
                </w:p>
              </w:tc>
              <w:tc>
                <w:tcPr>
                  <w:tcW w:w="2906" w:type="dxa"/>
                  <w:vAlign w:val="center"/>
                </w:tcPr>
                <w:p>
                  <w:pPr>
                    <w:keepNext w:val="0"/>
                    <w:keepLines w:val="0"/>
                    <w:pageBreakBefore w:val="0"/>
                    <w:widowControl w:val="0"/>
                    <w:kinsoku/>
                    <w:wordWrap/>
                    <w:overflowPunct/>
                    <w:topLinePunct w:val="0"/>
                    <w:autoSpaceDE/>
                    <w:autoSpaceDN/>
                    <w:bidi w:val="0"/>
                    <w:spacing w:after="0" w:line="240" w:lineRule="auto"/>
                    <w:ind w:left="0" w:firstLine="0" w:leftChars="0" w:firstLineChars="0"/>
                    <w:jc w:val="both"/>
                    <w:textAlignment w:val="auto"/>
                    <w:rPr>
                      <w:color w:val="auto"/>
                      <w:szCs w:val="21"/>
                      <w:highlight w:val="none"/>
                    </w:rPr>
                  </w:pPr>
                </w:p>
              </w:tc>
              <w:tc>
                <w:tcPr>
                  <w:tcW w:w="1718" w:type="dxa"/>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right="0" w:leftChars="0" w:rightChars="0"/>
                    <w:jc w:val="left"/>
                    <w:textAlignment w:val="auto"/>
                    <w:outlineLvl w:val="9"/>
                    <w:rPr>
                      <w:rFonts w:cs="Times New Roman" w:hint="default"/>
                      <w:color w:val="auto"/>
                      <w:szCs w:val="21"/>
                      <w:highlight w:val="none"/>
                    </w:rPr>
                  </w:pPr>
                  <w:r>
                    <w:rPr>
                      <w:rFonts w:ascii="Times New Roman" w:eastAsia="宋体" w:hAnsi="Times New Roman" w:cs="Times New Roman" w:hint="default"/>
                      <w:color w:val="auto"/>
                      <w:sz w:val="21"/>
                      <w:szCs w:val="21"/>
                      <w:highlight w:val="none"/>
                    </w:rPr>
                    <w:t>本项目采用清洁能源天然气</w:t>
                  </w:r>
                  <w:r>
                    <w:rPr>
                      <w:rFonts w:ascii="Times New Roman" w:eastAsia="宋体" w:hAnsi="Times New Roman" w:cs="Times New Roman" w:hint="default"/>
                      <w:color w:val="auto"/>
                      <w:sz w:val="21"/>
                      <w:szCs w:val="21"/>
                      <w:highlight w:val="none"/>
                      <w:lang w:eastAsia="zh-CN"/>
                    </w:rPr>
                    <w:t>。</w:t>
                  </w:r>
                </w:p>
              </w:tc>
              <w:tc>
                <w:tcPr>
                  <w:tcW w:w="760" w:type="dxa"/>
                  <w:vAlign w:val="center"/>
                </w:tcPr>
                <w:p>
                  <w:pPr>
                    <w:pStyle w:val="BodyTextFirstIndent2"/>
                    <w:keepNext w:val="0"/>
                    <w:keepLines w:val="0"/>
                    <w:pageBreakBefore w:val="0"/>
                    <w:widowControl w:val="0"/>
                    <w:kinsoku/>
                    <w:wordWrap/>
                    <w:overflowPunct/>
                    <w:topLinePunct w:val="0"/>
                    <w:autoSpaceDE/>
                    <w:autoSpaceDN/>
                    <w:bidi w:val="0"/>
                    <w:spacing w:after="0" w:afterLines="0" w:line="240" w:lineRule="auto"/>
                    <w:ind w:left="0" w:firstLine="0" w:leftChars="0" w:firstLineChars="0"/>
                    <w:jc w:val="center"/>
                    <w:textAlignment w:val="auto"/>
                    <w:rPr>
                      <w:rFonts w:ascii="Times New Roman" w:hAnsi="Times New Roman" w:cs="Times New Roman" w:hint="eastAsia"/>
                      <w:color w:val="auto"/>
                      <w:sz w:val="21"/>
                      <w:szCs w:val="21"/>
                      <w:highlight w:val="none"/>
                      <w:lang w:val="en-US" w:eastAsia="zh-CN"/>
                    </w:rPr>
                  </w:pPr>
                  <w:r>
                    <w:rPr>
                      <w:rFonts w:ascii="Times New Roman" w:hAnsi="Times New Roman" w:cs="Times New Roman" w:hint="eastAsia"/>
                      <w:color w:val="auto"/>
                      <w:sz w:val="21"/>
                      <w:szCs w:val="21"/>
                      <w:highlight w:val="none"/>
                      <w:lang w:val="en-US" w:eastAsia="zh-CN"/>
                    </w:rPr>
                    <w:t>符合</w:t>
                  </w:r>
                </w:p>
              </w:tc>
            </w:tr>
          </w:tbl>
          <w:p/>
        </w:tc>
      </w:tr>
    </w:tbl>
    <w:p>
      <w:pPr>
        <w:sectPr>
          <w:headerReference w:type="default" r:id="rId12"/>
          <w:footerReference w:type="default" r:id="rId13"/>
          <w:type w:val="nextPage"/>
          <w:pgSz w:w="11906" w:h="16838" w:orient="portrait"/>
          <w:pgMar w:top="1701" w:right="1531" w:bottom="1701" w:left="1531" w:header="851" w:footer="851" w:gutter="0"/>
          <w:pgBorders w:zOrder="front" w:display="allPages" w:offsetFrom="text">
            <w:top w:val="none" w:sz="0" w:space="0" w:color="auto"/>
            <w:left w:val="none" w:sz="0" w:space="0" w:color="auto"/>
            <w:bottom w:val="none" w:sz="0" w:space="0" w:color="auto"/>
            <w:right w:val="none" w:sz="0" w:space="0" w:color="auto"/>
          </w:pgBorders>
          <w:pgNumType w:fmt="decimal" w:start="5"/>
          <w:cols w:space="708"/>
          <w:titlePg w:val="0"/>
          <w:docGrid w:linePitch="312"/>
        </w:sectPr>
      </w:pPr>
    </w:p>
    <w:tbl>
      <w:tblPr>
        <w:tblStyle w:val="TableNormal"/>
        <w:tblW w:w="0" w:type="auto"/>
        <w:jc w:val="center"/>
        <w:tblInd w:w="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88"/>
        <w:gridCol w:w="7083"/>
      </w:tblGrid>
      <w:tr>
        <w:tblPrEx>
          <w:tblW w:w="0" w:type="auto"/>
          <w:jc w:val="center"/>
          <w:tblInd w:w="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54"/>
          <w:jc w:val="center"/>
        </w:trPr>
        <w:tc>
          <w:tcPr>
            <w:tcW w:w="1788" w:type="dxa"/>
            <w:tcBorders>
              <w:tl2br w:val="nil"/>
              <w:tr2bl w:val="nil"/>
            </w:tcBorders>
            <w:vAlign w:val="center"/>
          </w:tcPr>
          <w:p/>
        </w:tc>
        <w:tc>
          <w:tcPr>
            <w:tcW w:w="7083" w:type="dxa"/>
            <w:tcBorders>
              <w:tl2br w:val="nil"/>
              <w:tr2bl w:val="nil"/>
            </w:tcBorders>
            <w:vAlign w:val="center"/>
          </w:tcPr>
          <w:tbl>
            <w:tblPr>
              <w:tblStyle w:val="TableNormal"/>
              <w:tblW w:w="6851" w:type="dxa"/>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67"/>
              <w:gridCol w:w="2906"/>
              <w:gridCol w:w="1718"/>
              <w:gridCol w:w="760"/>
            </w:tblGrid>
            <w:tr>
              <w:tblPrEx>
                <w:tblW w:w="6851" w:type="dxa"/>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467" w:type="dxa"/>
                  <w:vAlign w:val="center"/>
                </w:tcPr>
                <w:p>
                  <w:pPr>
                    <w:keepNext w:val="0"/>
                    <w:keepLines w:val="0"/>
                    <w:pageBreakBefore w:val="0"/>
                    <w:widowControl w:val="0"/>
                    <w:kinsoku/>
                    <w:wordWrap/>
                    <w:overflowPunct/>
                    <w:topLinePunct w:val="0"/>
                    <w:autoSpaceDE/>
                    <w:autoSpaceDN/>
                    <w:bidi w:val="0"/>
                    <w:adjustRightInd w:val="0"/>
                    <w:snapToGrid w:val="0"/>
                    <w:spacing w:before="0" w:beforeAutospacing="0" w:afterAutospacing="0" w:line="240" w:lineRule="auto"/>
                    <w:ind w:left="0" w:right="0" w:leftChars="0" w:rightChars="0"/>
                    <w:jc w:val="center"/>
                    <w:textAlignment w:val="auto"/>
                    <w:outlineLvl w:val="9"/>
                    <w:rPr>
                      <w:rFonts w:cs="Times New Roman" w:hint="default"/>
                      <w:b w:val="0"/>
                      <w:bCs w:val="0"/>
                      <w:color w:val="auto"/>
                      <w:szCs w:val="21"/>
                      <w:highlight w:val="none"/>
                      <w:shd w:val="clear" w:color="auto" w:fill="FFFFFF"/>
                    </w:rPr>
                  </w:pPr>
                  <w:r>
                    <w:rPr>
                      <w:rFonts w:hint="eastAsia"/>
                      <w:color w:val="auto"/>
                      <w:sz w:val="21"/>
                      <w:szCs w:val="21"/>
                      <w:highlight w:val="none"/>
                    </w:rPr>
                    <w:t>陕西省大气污染物防治条例</w:t>
                  </w:r>
                  <w:r>
                    <w:rPr>
                      <w:color w:val="auto"/>
                      <w:sz w:val="21"/>
                      <w:szCs w:val="21"/>
                      <w:highlight w:val="none"/>
                    </w:rPr>
                    <w:t>》</w:t>
                  </w:r>
                </w:p>
              </w:tc>
              <w:tc>
                <w:tcPr>
                  <w:tcW w:w="2906" w:type="dxa"/>
                  <w:vAlign w:val="center"/>
                </w:tcPr>
                <w:p>
                  <w:pPr>
                    <w:keepNext w:val="0"/>
                    <w:keepLines w:val="0"/>
                    <w:pageBreakBefore w:val="0"/>
                    <w:widowControl w:val="0"/>
                    <w:kinsoku/>
                    <w:wordWrap/>
                    <w:overflowPunct/>
                    <w:topLinePunct w:val="0"/>
                    <w:autoSpaceDE/>
                    <w:autoSpaceDN/>
                    <w:bidi w:val="0"/>
                    <w:spacing w:before="0" w:line="240" w:lineRule="auto"/>
                    <w:ind w:left="0" w:firstLine="0" w:leftChars="0" w:firstLineChars="0"/>
                    <w:jc w:val="both"/>
                    <w:textAlignment w:val="auto"/>
                    <w:rPr>
                      <w:color w:val="auto"/>
                      <w:szCs w:val="21"/>
                      <w:highlight w:val="none"/>
                    </w:rPr>
                  </w:pPr>
                  <w:r>
                    <w:rPr>
                      <w:rFonts w:hint="eastAsia"/>
                      <w:color w:val="auto"/>
                      <w:sz w:val="21"/>
                      <w:szCs w:val="21"/>
                      <w:highlight w:val="none"/>
                    </w:rPr>
                    <w:t>在禁燃区内，禁止销售、燃用高污染燃料；禁止新建、扩建燃用高污染燃料的设施，已建成的，应当在城市人民政府规定的期限内改用天然气、页岩气、液化石、油气、电或者其他清洁能源。</w:t>
                  </w:r>
                </w:p>
                <w:p>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right="0" w:leftChars="0" w:rightChars="0"/>
                    <w:jc w:val="left"/>
                    <w:textAlignment w:val="auto"/>
                    <w:outlineLvl w:val="9"/>
                    <w:rPr>
                      <w:rFonts w:cs="Times New Roman" w:hint="eastAsia"/>
                      <w:color w:val="auto"/>
                      <w:szCs w:val="21"/>
                      <w:highlight w:val="none"/>
                    </w:rPr>
                  </w:pPr>
                  <w:r>
                    <w:rPr>
                      <w:rFonts w:hint="eastAsia"/>
                      <w:color w:val="auto"/>
                      <w:sz w:val="21"/>
                      <w:szCs w:val="21"/>
                      <w:highlight w:val="none"/>
                    </w:rPr>
                    <w:t>在燃气管网和集中供热管网覆盖的区域，不得新建、扩建燃烧煤炭、重油、渣油的供热设施，原有分散的中小型燃煤供热锅炉应当限期拆除或者改造</w:t>
                  </w:r>
                  <w:r>
                    <w:rPr>
                      <w:rFonts w:hint="eastAsia"/>
                      <w:color w:val="auto"/>
                      <w:sz w:val="21"/>
                      <w:szCs w:val="21"/>
                      <w:highlight w:val="none"/>
                      <w:lang w:eastAsia="zh-CN"/>
                    </w:rPr>
                    <w:t>。</w:t>
                  </w:r>
                </w:p>
              </w:tc>
              <w:tc>
                <w:tcPr>
                  <w:tcW w:w="1718" w:type="dxa"/>
                  <w:vAlign w:val="center"/>
                </w:tcPr>
                <w:p/>
              </w:tc>
              <w:tc>
                <w:tcPr>
                  <w:tcW w:w="760" w:type="dxa"/>
                  <w:vAlign w:val="center"/>
                </w:tcPr>
                <w:p/>
              </w:tc>
            </w:tr>
            <w:tr>
              <w:tblPrEx>
                <w:tblW w:w="6851" w:type="dxa"/>
                <w:tblInd w:w="123" w:type="dxa"/>
                <w:tblLayout w:type="fixed"/>
                <w:tblCellMar>
                  <w:top w:w="0" w:type="dxa"/>
                  <w:left w:w="108" w:type="dxa"/>
                  <w:bottom w:w="0" w:type="dxa"/>
                  <w:right w:w="108" w:type="dxa"/>
                </w:tblCellMar>
                <w:tblLook w:val="0000"/>
              </w:tblPrEx>
              <w:tc>
                <w:tcPr>
                  <w:tcW w:w="1467" w:type="dxa"/>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right="0" w:leftChars="0" w:rightChars="0"/>
                    <w:jc w:val="center"/>
                    <w:textAlignment w:val="auto"/>
                    <w:outlineLvl w:val="9"/>
                    <w:rPr>
                      <w:rFonts w:cs="Times New Roman" w:hint="eastAsia"/>
                      <w:color w:val="auto"/>
                      <w:szCs w:val="21"/>
                      <w:highlight w:val="none"/>
                    </w:rPr>
                  </w:pPr>
                  <w:r>
                    <w:rPr>
                      <w:rFonts w:ascii="Times New Roman" w:eastAsia="宋体" w:hAnsi="Times New Roman" w:cs="Times New Roman" w:hint="eastAsia"/>
                      <w:color w:val="auto"/>
                      <w:sz w:val="21"/>
                      <w:szCs w:val="21"/>
                      <w:highlight w:val="none"/>
                      <w:lang w:eastAsia="zh-CN"/>
                    </w:rPr>
                    <w:t>《</w:t>
                  </w:r>
                  <w:r>
                    <w:rPr>
                      <w:rFonts w:ascii="Times New Roman" w:eastAsia="宋体" w:hAnsi="Times New Roman" w:cs="Times New Roman" w:hint="eastAsia"/>
                      <w:color w:val="auto"/>
                      <w:sz w:val="21"/>
                      <w:szCs w:val="21"/>
                      <w:highlight w:val="none"/>
                    </w:rPr>
                    <w:t>铜川市蓝天保卫战2022年工作方案</w:t>
                  </w:r>
                  <w:r>
                    <w:rPr>
                      <w:rFonts w:ascii="Times New Roman" w:eastAsia="宋体" w:hAnsi="Times New Roman" w:cs="Times New Roman" w:hint="eastAsia"/>
                      <w:color w:val="auto"/>
                      <w:sz w:val="21"/>
                      <w:szCs w:val="21"/>
                      <w:highlight w:val="none"/>
                      <w:lang w:eastAsia="zh-CN"/>
                    </w:rPr>
                    <w:t>》</w:t>
                  </w:r>
                </w:p>
              </w:tc>
              <w:tc>
                <w:tcPr>
                  <w:tcW w:w="2906" w:type="dxa"/>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right="0" w:leftChars="0" w:rightChars="0"/>
                    <w:jc w:val="center"/>
                    <w:textAlignment w:val="auto"/>
                    <w:outlineLvl w:val="9"/>
                    <w:rPr>
                      <w:rFonts w:cs="Times New Roman" w:hint="eastAsia"/>
                      <w:color w:val="auto"/>
                      <w:szCs w:val="21"/>
                      <w:highlight w:val="none"/>
                    </w:rPr>
                  </w:pPr>
                  <w:r>
                    <w:rPr>
                      <w:rFonts w:ascii="Times New Roman" w:eastAsia="宋体" w:hAnsi="Times New Roman" w:cs="Times New Roman" w:hint="eastAsia"/>
                      <w:color w:val="auto"/>
                      <w:sz w:val="21"/>
                      <w:szCs w:val="21"/>
                      <w:highlight w:val="none"/>
                    </w:rPr>
                    <w:t>持续推进煤炭消费总量控制。重点压减非电用煤，大力发展新能源和清洁能源，推动油品质量升级。</w:t>
                  </w:r>
                </w:p>
              </w:tc>
              <w:tc>
                <w:tcPr>
                  <w:tcW w:w="1718" w:type="dxa"/>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right="0" w:leftChars="0" w:rightChars="0"/>
                    <w:jc w:val="center"/>
                    <w:textAlignment w:val="auto"/>
                    <w:outlineLvl w:val="9"/>
                    <w:rPr>
                      <w:rFonts w:cs="Times New Roman" w:hint="eastAsia"/>
                      <w:color w:val="auto"/>
                      <w:szCs w:val="21"/>
                      <w:highlight w:val="none"/>
                    </w:rPr>
                  </w:pPr>
                  <w:r>
                    <w:rPr>
                      <w:rFonts w:ascii="Times New Roman" w:eastAsia="宋体" w:hAnsi="Times New Roman" w:cs="Times New Roman" w:hint="eastAsia"/>
                      <w:color w:val="auto"/>
                      <w:sz w:val="21"/>
                      <w:szCs w:val="21"/>
                      <w:highlight w:val="none"/>
                      <w:lang w:val="en-US" w:eastAsia="zh-CN"/>
                    </w:rPr>
                    <w:t>本项目蒸汽发生器采用</w:t>
                  </w:r>
                  <w:r>
                    <w:rPr>
                      <w:rFonts w:ascii="Times New Roman" w:eastAsia="宋体" w:hAnsi="Times New Roman" w:cs="Times New Roman" w:hint="default"/>
                      <w:color w:val="auto"/>
                      <w:sz w:val="21"/>
                      <w:szCs w:val="21"/>
                      <w:highlight w:val="none"/>
                      <w:lang w:val="en-US" w:eastAsia="zh-CN"/>
                    </w:rPr>
                    <w:t>清洁能源天然气。</w:t>
                  </w:r>
                </w:p>
              </w:tc>
              <w:tc>
                <w:tcPr>
                  <w:tcW w:w="760" w:type="dxa"/>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right="0" w:leftChars="0" w:rightChars="0"/>
                    <w:jc w:val="center"/>
                    <w:textAlignment w:val="auto"/>
                    <w:outlineLvl w:val="9"/>
                    <w:rPr>
                      <w:rFonts w:cs="Times New Roman" w:hint="eastAsia"/>
                      <w:color w:val="auto"/>
                      <w:szCs w:val="21"/>
                      <w:highlight w:val="none"/>
                    </w:rPr>
                  </w:pPr>
                  <w:r>
                    <w:rPr>
                      <w:rFonts w:ascii="Times New Roman" w:eastAsia="宋体" w:hAnsi="Times New Roman" w:cs="Times New Roman" w:hint="eastAsia"/>
                      <w:color w:val="auto"/>
                      <w:sz w:val="21"/>
                      <w:szCs w:val="21"/>
                      <w:highlight w:val="none"/>
                      <w:lang w:val="en-US" w:eastAsia="zh-CN"/>
                    </w:rPr>
                    <w:t>符合</w:t>
                  </w:r>
                </w:p>
              </w:tc>
            </w:tr>
          </w:tbl>
          <w:p>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cs="Times New Roman" w:hint="default"/>
                <w:b/>
                <w:bCs/>
                <w:color w:val="auto"/>
                <w:sz w:val="24"/>
              </w:rPr>
            </w:pPr>
            <w:r>
              <w:rPr>
                <w:rFonts w:ascii="Times New Roman" w:hAnsi="Times New Roman" w:cs="Times New Roman" w:hint="default"/>
                <w:b/>
                <w:bCs/>
                <w:color w:val="auto"/>
                <w:sz w:val="24"/>
                <w:lang w:val="en-US" w:eastAsia="zh-CN"/>
              </w:rPr>
              <w:t>4</w:t>
            </w:r>
            <w:r>
              <w:rPr>
                <w:rFonts w:ascii="Times New Roman" w:hAnsi="Times New Roman" w:cs="Times New Roman" w:hint="default"/>
                <w:b/>
                <w:bCs/>
                <w:color w:val="auto"/>
                <w:sz w:val="24"/>
              </w:rPr>
              <w:t>、选址合理性</w:t>
            </w:r>
          </w:p>
          <w:p>
            <w:pPr>
              <w:adjustRightInd w:val="0"/>
              <w:spacing w:line="360" w:lineRule="auto"/>
              <w:ind w:firstLine="480" w:firstLineChars="200"/>
              <w:rPr>
                <w:rFonts w:cs="Times New Roman" w:hint="eastAsia"/>
                <w:color w:val="auto"/>
                <w:sz w:val="24"/>
              </w:rPr>
            </w:pPr>
            <w:r>
              <w:rPr>
                <w:rFonts w:ascii="Times New Roman" w:eastAsia="宋体" w:hAnsi="Times New Roman" w:cs="Times New Roman" w:hint="default"/>
                <w:color w:val="auto"/>
                <w:sz w:val="24"/>
                <w:lang w:val="en-US" w:eastAsia="zh-CN"/>
              </w:rPr>
              <w:t>项目选址</w:t>
            </w:r>
            <w:r>
              <w:rPr>
                <w:rFonts w:ascii="Times New Roman" w:eastAsia="宋体" w:hAnsi="Times New Roman" w:cs="Times New Roman" w:hint="eastAsia"/>
                <w:color w:val="auto"/>
                <w:sz w:val="24"/>
                <w:lang w:val="en-US" w:eastAsia="zh-CN"/>
              </w:rPr>
              <w:t>位</w:t>
            </w:r>
            <w:r>
              <w:rPr>
                <w:rFonts w:ascii="Times New Roman" w:eastAsia="宋体" w:hAnsi="Times New Roman" w:cs="Times New Roman" w:hint="default"/>
                <w:color w:val="auto"/>
                <w:sz w:val="24"/>
                <w:lang w:val="en-US" w:eastAsia="zh-CN"/>
              </w:rPr>
              <w:t>于</w:t>
            </w:r>
            <w:r>
              <w:rPr>
                <w:rFonts w:cs="Times New Roman" w:hint="eastAsia"/>
                <w:color w:val="auto"/>
                <w:sz w:val="24"/>
                <w:szCs w:val="24"/>
                <w:highlight w:val="none"/>
                <w:u w:val="none"/>
                <w:lang w:val="en-US" w:eastAsia="zh-CN"/>
              </w:rPr>
              <w:t>铜川市新区新材料产业园照金路与经三路十字西北角PC车间西北角</w:t>
            </w:r>
            <w:r>
              <w:rPr>
                <w:rFonts w:ascii="Times New Roman" w:eastAsia="宋体" w:hAnsi="Times New Roman" w:cs="Times New Roman" w:hint="eastAsia"/>
                <w:color w:val="auto"/>
                <w:sz w:val="24"/>
                <w:lang w:val="en-US" w:eastAsia="zh-CN"/>
              </w:rPr>
              <w:t>，不新增用地。该公司西侧为铜川合众创新材料有限公司，东侧、南侧、北侧</w:t>
            </w:r>
            <w:r>
              <w:rPr>
                <w:rFonts w:ascii="Times New Roman" w:eastAsia="宋体" w:hAnsi="Times New Roman" w:cs="Times New Roman" w:hint="default"/>
                <w:color w:val="auto"/>
                <w:sz w:val="24"/>
                <w:lang w:val="en-US" w:eastAsia="zh-CN"/>
              </w:rPr>
              <w:t>均为空地，</w:t>
            </w:r>
            <w:r>
              <w:rPr>
                <w:rFonts w:ascii="Times New Roman" w:eastAsia="宋体" w:hAnsi="Times New Roman" w:cs="Times New Roman" w:hint="eastAsia"/>
                <w:color w:val="auto"/>
                <w:sz w:val="24"/>
                <w:lang w:val="en-US" w:eastAsia="zh-CN"/>
              </w:rPr>
              <w:t>距离项目最近的敏感点为公司东北侧105m的下楼村。</w:t>
            </w:r>
          </w:p>
          <w:p>
            <w:pPr>
              <w:adjustRightInd w:val="0"/>
              <w:spacing w:line="360" w:lineRule="auto"/>
              <w:ind w:firstLine="480" w:firstLineChars="200"/>
              <w:rPr>
                <w:rFonts w:cs="Times New Roman" w:hint="default"/>
                <w:color w:val="auto"/>
                <w:sz w:val="24"/>
              </w:rPr>
            </w:pPr>
            <w:r>
              <w:rPr>
                <w:rFonts w:ascii="Times New Roman" w:eastAsia="宋体" w:hAnsi="Times New Roman" w:cs="Times New Roman" w:hint="default"/>
                <w:color w:val="auto"/>
                <w:sz w:val="24"/>
                <w:lang w:val="en-US" w:eastAsia="zh-CN"/>
              </w:rPr>
              <w:t>项目所在地块周边无自然保护区、风景名胜区、饮用水水源保护区、野生动植物重要栖息地、天然林保护区、文教区、医院及文物保护单位等环境敏感目标；项目区域内供水、供电等能源便捷、充足。</w:t>
            </w:r>
          </w:p>
          <w:p>
            <w:pPr>
              <w:adjustRightInd w:val="0"/>
              <w:spacing w:line="360" w:lineRule="auto"/>
              <w:ind w:firstLine="480" w:firstLineChars="200"/>
              <w:rPr>
                <w:rFonts w:cs="Times New Roman" w:hint="eastAsia"/>
                <w:color w:val="auto"/>
                <w:sz w:val="24"/>
              </w:rPr>
            </w:pPr>
            <w:r>
              <w:rPr>
                <w:rFonts w:ascii="Times New Roman" w:eastAsia="宋体" w:hAnsi="Times New Roman" w:cs="Times New Roman" w:hint="default"/>
                <w:color w:val="auto"/>
                <w:sz w:val="24"/>
                <w:lang w:val="en-US" w:eastAsia="zh-CN"/>
              </w:rPr>
              <w:t>本项目实施后，</w:t>
            </w:r>
            <w:r>
              <w:rPr>
                <w:rFonts w:ascii="Times New Roman" w:eastAsia="宋体" w:hAnsi="Times New Roman" w:cs="Times New Roman" w:hint="eastAsia"/>
                <w:color w:val="auto"/>
                <w:sz w:val="24"/>
                <w:lang w:val="en-US" w:eastAsia="zh-CN"/>
              </w:rPr>
              <w:t>废水不外排</w:t>
            </w:r>
            <w:r>
              <w:rPr>
                <w:rFonts w:ascii="Times New Roman" w:eastAsia="宋体" w:hAnsi="Times New Roman" w:cs="Times New Roman" w:hint="default"/>
                <w:color w:val="auto"/>
                <w:sz w:val="24"/>
                <w:lang w:val="en-US" w:eastAsia="zh-CN"/>
              </w:rPr>
              <w:t>，废气、噪声处理后可达标排放，固废全部得到合理贮存、处置或利用，对周围环境影响较小。综上分析，从环境保护角度出发，本项目选址合理。</w:t>
            </w:r>
          </w:p>
          <w:p>
            <w:pPr>
              <w:pStyle w:val="a5"/>
              <w:bidi w:val="0"/>
              <w:ind w:left="0" w:firstLine="0" w:leftChars="0" w:firstLineChars="0"/>
              <w:rPr>
                <w:rFonts w:hint="default"/>
                <w:color w:val="auto"/>
                <w:highlight w:val="none"/>
                <w:lang w:val="en-US" w:eastAsia="zh-CN"/>
              </w:rPr>
            </w:pPr>
          </w:p>
          <w:p>
            <w:pPr>
              <w:pStyle w:val="a5"/>
              <w:bidi w:val="0"/>
              <w:ind w:left="0" w:firstLine="0" w:leftChars="0" w:firstLineChars="0"/>
              <w:rPr>
                <w:rFonts w:hint="default"/>
                <w:color w:val="auto"/>
                <w:highlight w:val="none"/>
                <w:lang w:val="en-US" w:eastAsia="zh-CN"/>
              </w:rPr>
            </w:pPr>
          </w:p>
          <w:p>
            <w:pPr>
              <w:pStyle w:val="a5"/>
              <w:bidi w:val="0"/>
              <w:ind w:left="0" w:firstLine="0" w:leftChars="0" w:firstLineChars="0"/>
              <w:rPr>
                <w:rFonts w:hint="default"/>
                <w:color w:val="auto"/>
                <w:highlight w:val="none"/>
                <w:lang w:val="en-US" w:eastAsia="zh-CN"/>
              </w:rPr>
            </w:pPr>
          </w:p>
        </w:tc>
      </w:tr>
    </w:tbl>
    <w:p>
      <w:pPr>
        <w:pStyle w:val="a5"/>
        <w:bidi w:val="0"/>
        <w:rPr>
          <w:rFonts w:hint="eastAsia"/>
          <w:color w:val="auto"/>
          <w:highlight w:val="none"/>
        </w:rPr>
      </w:pPr>
      <w:r>
        <w:rPr>
          <w:rFonts w:hint="eastAsia"/>
          <w:color w:val="auto"/>
          <w:highlight w:val="none"/>
        </w:rPr>
        <w:br/>
      </w:r>
      <w:r>
        <w:rPr>
          <w:rFonts w:hint="eastAsia"/>
          <w:color w:val="auto"/>
          <w:highlight w:val="none"/>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 w:history="1">
        <w:r>
          <w:rPr>
            <w:rFonts w:ascii="SimSun" w:eastAsia="SimSun" w:hAnsi="SimSun" w:cs="SimSun"/>
            <w:b/>
            <w:bCs/>
            <w:color w:val="0000EE"/>
            <w:kern w:val="0"/>
            <w:sz w:val="30"/>
            <w:szCs w:val="30"/>
            <w:u w:val="single" w:color="0000EE"/>
          </w:rPr>
          <w:t>https://d.book118.com/036003214235010102</w:t>
        </w:r>
      </w:hyperlink>
    </w:p>
    <w:p>
      <w:pPr>
        <w:pStyle w:val="a5"/>
        <w:bidi w:val="0"/>
        <w:rPr>
          <w:rFonts w:hint="eastAsia"/>
          <w:color w:val="auto"/>
          <w:highlight w:val="none"/>
        </w:rPr>
      </w:pPr>
    </w:p>
    <w:sectPr>
      <w:headerReference w:type="default" r:id="rId15"/>
      <w:footerReference w:type="default" r:id="rId16"/>
      <w:type w:val="nextPage"/>
      <w:pgSz w:w="11906" w:h="16838" w:orient="portrait"/>
      <w:pgMar w:top="1701" w:right="1531" w:bottom="1701" w:left="1531" w:header="851" w:footer="851" w:gutter="0"/>
      <w:pgBorders w:zOrder="front" w:display="allPages" w:offsetFrom="text">
        <w:top w:val="none" w:sz="0" w:space="0" w:color="auto"/>
        <w:left w:val="none" w:sz="0" w:space="0" w:color="auto"/>
        <w:bottom w:val="none" w:sz="0" w:space="0" w:color="auto"/>
        <w:right w:val="none" w:sz="0" w:space="0" w:color="auto"/>
      </w:pgBorders>
      <w:pgNumType w:fmt="decimal" w:start="6"/>
      <w:cols w:space="708"/>
      <w:titlePg w:val="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88"/>
    <w:family w:val="auto"/>
    <w:pitch w:val="default"/>
    <w:sig w:usb0="E0002EFF" w:usb1="C000785B" w:usb2="00000009" w:usb3="00000000" w:csb0="401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auto"/>
    <w:pitch w:val="default"/>
    <w:sig w:usb0="FFFFFFFF" w:usb1="E9FFFFFF" w:usb2="0000003F" w:usb3="00000000" w:csb0="603F01FF" w:csb1="FFFF0000"/>
  </w:font>
  <w:font w:name="仿宋_GB2312">
    <w:altName w:val="仿宋"/>
    <w:panose1 w:val="02010609030101010101"/>
    <w:charset w:val="86"/>
    <w:family w:val="modern"/>
    <w:pitch w:val="default"/>
    <w:sig w:usb0="00000001" w:usb1="080E0000" w:usb2="00000000" w:usb3="00000000" w:csb0="00040000" w:csb1="00000000"/>
  </w:font>
  <w:font w:name="Wingdings 2">
    <w:altName w:val="Wingdings"/>
    <w:panose1 w:val="05020102010507070707"/>
    <w:charset w:val="02"/>
    <w:family w:val="auto"/>
    <w:pitch w:val="default"/>
    <w:sig w:usb0="00000000" w:usb1="00000000" w:usb2="00000000" w:usb3="00000000" w:csb0="80000000" w:csb1="00000000"/>
  </w:font>
  <w:font w:name="新宋体">
    <w:panose1 w:val="02010609030101010101"/>
    <w:charset w:val="86"/>
    <w:family w:val="modern"/>
    <w:pitch w:val="default"/>
    <w:sig w:usb0="00000283" w:usb1="288F0000" w:usb2="00000006" w:usb3="00000000" w:csb0="00040001" w:csb1="00000000"/>
  </w:font>
  <w:font w:name="方正小标宋_GBK">
    <w:altName w:val="微软雅黑"/>
    <w:panose1 w:val="03000509000000000000"/>
    <w:charset w:val="86"/>
    <w:family w:val="script"/>
    <w:pitch w:val="default"/>
    <w:sig w:usb0="00000001"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r>
      <w:rPr>
        <w:sz w:val="18"/>
      </w:rPr>
      <w:pict>
        <v:shapetype id="_x0000_t202" coordsize="21600,21600" o:spt="202" path="m,l,21600r21600,l21600,xe">
          <v:stroke joinstyle="miter"/>
          <v:path gradientshapeok="t" o:connecttype="rect"/>
        </v:shapetype>
        <v:shape id="文本框 2053" o:spid="_x0000_s2049" type="#_x0000_t202" style="width:2in;height:2in;margin-top:0;margin-left:0;mso-position-horizontal:center;mso-position-horizontal-relative:margin;mso-wrap-style:none;position:absolute;z-index:251658240" filled="f" stroked="f">
          <v:stroke linestyle="single"/>
          <o:lock v:ext="edit" aspectratio="f"/>
          <v:textbox style="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r>
      <w:rPr>
        <w:sz w:val="18"/>
      </w:rPr>
      <w:pict>
        <v:shapetype id="_x0000_t202" coordsize="21600,21600" o:spt="202" path="m,l,21600r21600,l21600,xe">
          <v:stroke joinstyle="miter"/>
          <v:path gradientshapeok="t" o:connecttype="rect"/>
        </v:shapetype>
        <v:shape id="文本框 2053" o:spid="_x0000_s2050" type="#_x0000_t202" style="width:2in;height:2in;margin-top:0;margin-left:0;mso-position-horizontal:center;mso-position-horizontal-relative:margin;mso-wrap-style:none;position:absolute;z-index:251659264" filled="f" stroked="f">
          <v:stroke linestyle="single"/>
          <o:lock v:ext="edit" aspectratio="f"/>
          <v:textbox style="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r>
      <w:rPr>
        <w:sz w:val="18"/>
      </w:rPr>
      <w:pict>
        <v:shapetype id="_x0000_t202" coordsize="21600,21600" o:spt="202" path="m,l,21600r21600,l21600,xe">
          <v:stroke joinstyle="miter"/>
          <v:path gradientshapeok="t" o:connecttype="rect"/>
        </v:shapetype>
        <v:shape id="文本框 2053" o:spid="_x0000_s2051" type="#_x0000_t202" style="width:2in;height:2in;margin-top:0;margin-left:0;mso-position-horizontal:center;mso-position-horizontal-relative:margin;mso-wrap-style:none;position:absolute;z-index:251660288" filled="f" stroked="f">
          <v:stroke linestyle="single"/>
          <o:lock v:ext="edit" aspectratio="f"/>
          <v:textbox style="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r>
      <w:rPr>
        <w:sz w:val="18"/>
      </w:rPr>
      <w:pict>
        <v:shapetype id="_x0000_t202" coordsize="21600,21600" o:spt="202" path="m,l,21600r21600,l21600,xe">
          <v:stroke joinstyle="miter"/>
          <v:path gradientshapeok="t" o:connecttype="rect"/>
        </v:shapetype>
        <v:shape id="文本框 2053" o:spid="_x0000_s2052" type="#_x0000_t202" style="width:2in;height:2in;margin-top:0;margin-left:0;mso-position-horizontal:center;mso-position-horizontal-relative:margin;mso-wrap-style:none;position:absolute;z-index:251661312" filled="f" stroked="f">
          <v:stroke linestyle="single"/>
          <o:lock v:ext="edit" aspectratio="f"/>
          <v:textbox style="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r>
      <w:rPr>
        <w:sz w:val="18"/>
      </w:rPr>
      <w:pict>
        <v:shapetype id="_x0000_t202" coordsize="21600,21600" o:spt="202" path="m,l,21600r21600,l21600,xe">
          <v:stroke joinstyle="miter"/>
          <v:path gradientshapeok="t" o:connecttype="rect"/>
        </v:shapetype>
        <v:shape id="文本框 2053" o:spid="_x0000_s2053" type="#_x0000_t202" style="width:2in;height:2in;margin-top:0;margin-left:0;mso-position-horizontal:center;mso-position-horizontal-relative:margin;mso-wrap-style:none;position:absolute;z-index:251662336" filled="f" stroked="f">
          <v:stroke linestyle="single"/>
          <o:lock v:ext="edit" aspectratio="f"/>
          <v:textbox style="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r>
      <w:rPr>
        <w:sz w:val="18"/>
      </w:rPr>
      <w:pict>
        <v:shapetype id="_x0000_t202" coordsize="21600,21600" o:spt="202" path="m,l,21600r21600,l21600,xe">
          <v:stroke joinstyle="miter"/>
          <v:path gradientshapeok="t" o:connecttype="rect"/>
        </v:shapetype>
        <v:shape id="文本框 2053" o:spid="_x0000_s2054" type="#_x0000_t202" style="width:2in;height:2in;margin-top:0;margin-left:0;mso-position-horizontal:center;mso-position-horizontal-relative:margin;mso-wrap-style:none;position:absolute;z-index:251663360" filled="f" stroked="f">
          <v:stroke linestyle="single"/>
          <o:lock v:ext="edit" aspectratio="f"/>
          <v:textbox style="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p>
            </w:txbxContent>
          </v:textbox>
          <w10:wrap anchorx="margin"/>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554A706"/>
    <w:multiLevelType w:val="singleLevel"/>
    <w:tmpl w:val="A554A706"/>
    <w:lvl w:ilvl="0">
      <w:start w:val="1"/>
      <w:numFmt w:val="decimal"/>
      <w:suff w:val="nothing"/>
      <w:lvlText w:val="（%1）"/>
      <w:lvlJc w:val="left"/>
      <w:pPr>
        <w:ind w:left="-60"/>
      </w:pPr>
    </w:lvl>
  </w:abstractNum>
  <w:abstractNum w:abstractNumId="1">
    <w:nsid w:val="B3A1D136"/>
    <w:multiLevelType w:val="singleLevel"/>
    <w:tmpl w:val="B3A1D136"/>
    <w:lvl w:ilvl="0">
      <w:start w:val="1"/>
      <w:numFmt w:val="decimal"/>
      <w:suff w:val="nothing"/>
      <w:lvlText w:val="（%1）"/>
      <w:lvlJc w:val="left"/>
    </w:lvl>
  </w:abstractNum>
  <w:abstractNum w:abstractNumId="2">
    <w:nsid w:val="FA7EEA8E"/>
    <w:multiLevelType w:val="multilevel"/>
    <w:tmpl w:val="FA7EEA8E"/>
    <w:lvl w:ilvl="0">
      <w:start w:val="1"/>
      <w:numFmt w:val="decimal"/>
      <w:suff w:val="space"/>
      <w:lvlText w:val="%1"/>
      <w:lvlJc w:val="center"/>
      <w:pPr>
        <w:tabs>
          <w:tab w:val="num" w:pos="0"/>
        </w:tabs>
        <w:ind w:left="0" w:firstLine="0"/>
      </w:pPr>
      <w:rPr>
        <w:rFonts w:ascii="宋体" w:eastAsia="宋体" w:hAnsi="宋体" w:cs="宋体" w:hint="default"/>
      </w:rPr>
    </w:lvl>
    <w:lvl w:ilvl="1">
      <w:start w:val="1"/>
      <w:numFmt w:val="decimal"/>
      <w:isLgl/>
      <w:suff w:val="space"/>
      <w:lvlText w:val="%1.%2"/>
      <w:lvlJc w:val="left"/>
      <w:pPr>
        <w:tabs>
          <w:tab w:val="num" w:pos="0"/>
        </w:tabs>
        <w:ind w:left="0" w:firstLine="0"/>
      </w:pPr>
      <w:rPr>
        <w:rFonts w:ascii="宋体" w:eastAsia="宋体" w:hAnsi="宋体" w:cs="宋体" w:hint="eastAsia"/>
        <w:b/>
        <w:sz w:val="30"/>
      </w:rPr>
    </w:lvl>
    <w:lvl w:ilvl="2">
      <w:start w:val="1"/>
      <w:numFmt w:val="decimal"/>
      <w:isLgl/>
      <w:suff w:val="space"/>
      <w:lvlText w:val="%1.%2.%3"/>
      <w:lvlJc w:val="left"/>
      <w:pPr>
        <w:tabs>
          <w:tab w:val="num" w:pos="993"/>
        </w:tabs>
        <w:ind w:left="993" w:firstLine="0"/>
      </w:pPr>
      <w:rPr>
        <w:rFonts w:ascii="宋体" w:eastAsia="宋体" w:hAnsi="宋体" w:cs="宋体" w:hint="eastAsia"/>
        <w:b/>
        <w:sz w:val="28"/>
        <w:lang w:val="en-US"/>
      </w:rPr>
    </w:lvl>
    <w:lvl w:ilvl="3">
      <w:start w:val="1"/>
      <w:numFmt w:val="decimal"/>
      <w:isLgl/>
      <w:suff w:val="space"/>
      <w:lvlText w:val="%1.%2.%3.%4"/>
      <w:lvlJc w:val="left"/>
      <w:pPr>
        <w:tabs>
          <w:tab w:val="num" w:pos="426"/>
        </w:tabs>
        <w:ind w:left="426" w:firstLine="0"/>
      </w:pPr>
      <w:rPr>
        <w:rFonts w:ascii="Times New Roman" w:eastAsia="宋体" w:hAnsi="Times New Roman" w:cs="Times New Roman" w:hint="eastAsia"/>
        <w:b/>
        <w:bCs w:val="0"/>
        <w:i w:val="0"/>
        <w:iCs w:val="0"/>
        <w:caps w:val="0"/>
        <w:smallCaps w:val="0"/>
        <w:strike w:val="0"/>
        <w:dstrike w:val="0"/>
        <w:vanish w:val="0"/>
        <w:color w:val="000000"/>
        <w:spacing w:val="0"/>
        <w:kern w:val="0"/>
        <w:position w:val="0"/>
        <w:sz w:val="24"/>
        <w:u w:val="none"/>
        <w:vertAlign w:val="baseline"/>
        <w:lang w:bidi="zh-CN"/>
      </w:rPr>
    </w:lvl>
    <w:lvl w:ilvl="4">
      <w:start w:val="1"/>
      <w:numFmt w:val="decimal"/>
      <w:isLgl/>
      <w:lvlText w:val="%1.%2.%3.%4.%5"/>
      <w:lvlJc w:val="left"/>
      <w:pPr>
        <w:tabs>
          <w:tab w:val="num" w:pos="420"/>
        </w:tabs>
        <w:ind w:left="0" w:firstLine="0"/>
      </w:pPr>
      <w:rPr>
        <w:rFonts w:ascii="宋体" w:eastAsia="宋体" w:hAnsi="宋体" w:cs="宋体" w:hint="eastAsia"/>
      </w:rPr>
    </w:lvl>
    <w:lvl w:ilvl="5">
      <w:start w:val="1"/>
      <w:numFmt w:val="decimal"/>
      <w:lvlText w:val="%1.%2.%3.%4.%5.%6."/>
      <w:lvlJc w:val="left"/>
      <w:pPr>
        <w:tabs>
          <w:tab w:val="num" w:pos="1134"/>
        </w:tabs>
        <w:ind w:left="0" w:firstLine="0"/>
      </w:pPr>
      <w:rPr>
        <w:rFonts w:ascii="宋体" w:eastAsia="宋体" w:hAnsi="宋体" w:cs="宋体" w:hint="eastAsia"/>
      </w:rPr>
    </w:lvl>
    <w:lvl w:ilvl="6">
      <w:start w:val="1"/>
      <w:numFmt w:val="decimal"/>
      <w:lvlText w:val="%1.%2.%3.%4.%5.%6.%7."/>
      <w:lvlJc w:val="left"/>
      <w:pPr>
        <w:tabs>
          <w:tab w:val="num" w:pos="420"/>
        </w:tabs>
        <w:ind w:left="0" w:firstLine="0"/>
      </w:pPr>
      <w:rPr>
        <w:rFonts w:ascii="宋体" w:eastAsia="宋体" w:hAnsi="宋体" w:cs="宋体" w:hint="eastAsia"/>
      </w:rPr>
    </w:lvl>
    <w:lvl w:ilvl="7">
      <w:start w:val="1"/>
      <w:numFmt w:val="decimal"/>
      <w:lvlRestart w:val="2"/>
      <w:isLgl/>
      <w:suff w:val="space"/>
      <w:lvlText w:val="表%1.%2-%8"/>
      <w:lvlJc w:val="center"/>
      <w:pPr>
        <w:tabs>
          <w:tab w:val="num" w:pos="0"/>
        </w:tabs>
        <w:ind w:left="0" w:firstLine="0"/>
      </w:pPr>
      <w:rPr>
        <w:rFonts w:ascii="Times New Roman" w:eastAsia="宋体" w:hAnsi="Times New Roman" w:cs="宋体" w:hint="eastAsia"/>
        <w:b/>
        <w:bCs w:val="0"/>
        <w:i w:val="0"/>
        <w:iCs w:val="0"/>
        <w:caps w:val="0"/>
        <w:smallCaps w:val="0"/>
        <w:strike w:val="0"/>
        <w:dstrike w:val="0"/>
        <w:vanish w:val="0"/>
        <w:color w:val="000000"/>
        <w:spacing w:val="0"/>
        <w:kern w:val="0"/>
        <w:position w:val="0"/>
        <w:sz w:val="24"/>
        <w:szCs w:val="24"/>
        <w:u w:val="none"/>
        <w:vertAlign w:val="baseline"/>
        <w:lang w:val="en-US" w:bidi="zh-CN"/>
      </w:rPr>
    </w:lvl>
    <w:lvl w:ilvl="8">
      <w:start w:val="1"/>
      <w:numFmt w:val="decimal"/>
      <w:lvlRestart w:val="2"/>
      <w:isLgl/>
      <w:suff w:val="space"/>
      <w:lvlText w:val="图%1.%2-%9"/>
      <w:lvlJc w:val="center"/>
      <w:pPr>
        <w:ind w:left="1985" w:firstLine="0"/>
      </w:pPr>
      <w:rPr>
        <w:rFonts w:ascii="仿宋" w:eastAsia="仿宋" w:hAnsi="仿宋" w:cs="宋体" w:hint="eastAsia"/>
      </w:rPr>
    </w:lvl>
  </w:abstractNum>
  <w:abstractNum w:abstractNumId="3">
    <w:nsid w:val="6B6B0AA2"/>
    <w:multiLevelType w:val="singleLevel"/>
    <w:tmpl w:val="6B6B0AA2"/>
    <w:lvl w:ilvl="0">
      <w:start w:val="1"/>
      <w:numFmt w:val="decimal"/>
      <w:suff w:val="nothing"/>
      <w:lvlText w:val="%1、"/>
      <w:lvlJc w:val="left"/>
    </w:lvl>
  </w:abstractNum>
  <w:abstractNum w:abstractNumId="4">
    <w:nsid w:val="759E4D65"/>
    <w:multiLevelType w:val="multilevel"/>
    <w:tmpl w:val="759E4D65"/>
    <w:lvl w:ilvl="0">
      <w:start w:val="1"/>
      <w:numFmt w:val="chineseCounting"/>
      <w:suff w:val="space"/>
      <w:lvlText w:val="第%1章"/>
      <w:lvlJc w:val="center"/>
      <w:pPr>
        <w:tabs>
          <w:tab w:val="num" w:pos="0"/>
        </w:tabs>
        <w:ind w:left="0" w:firstLine="0"/>
      </w:pPr>
      <w:rPr>
        <w:rFonts w:ascii="宋体" w:eastAsia="宋体" w:hAnsi="宋体" w:cs="宋体" w:hint="eastAsia"/>
      </w:rPr>
    </w:lvl>
    <w:lvl w:ilvl="1">
      <w:start w:val="1"/>
      <w:numFmt w:val="decimal"/>
      <w:isLgl/>
      <w:suff w:val="space"/>
      <w:lvlText w:val="%1.%2"/>
      <w:lvlJc w:val="left"/>
      <w:pPr>
        <w:tabs>
          <w:tab w:val="num" w:pos="0"/>
        </w:tabs>
        <w:ind w:left="0" w:firstLine="0"/>
      </w:pPr>
      <w:rPr>
        <w:rFonts w:ascii="宋体" w:eastAsia="宋体" w:hAnsi="宋体" w:cs="宋体" w:hint="eastAsia"/>
        <w:b/>
        <w:sz w:val="30"/>
      </w:rPr>
    </w:lvl>
    <w:lvl w:ilvl="2">
      <w:start w:val="1"/>
      <w:numFmt w:val="decimal"/>
      <w:isLgl/>
      <w:suff w:val="space"/>
      <w:lvlText w:val="%1.%2.%3"/>
      <w:lvlJc w:val="left"/>
      <w:pPr>
        <w:tabs>
          <w:tab w:val="num" w:pos="0"/>
        </w:tabs>
        <w:ind w:left="0" w:firstLine="0"/>
      </w:pPr>
      <w:rPr>
        <w:rFonts w:ascii="宋体" w:eastAsia="宋体" w:hAnsi="宋体" w:cs="宋体" w:hint="eastAsia"/>
        <w:b/>
        <w:sz w:val="28"/>
        <w:lang w:val="en-US"/>
      </w:rPr>
    </w:lvl>
    <w:lvl w:ilvl="3">
      <w:start w:val="1"/>
      <w:numFmt w:val="decimal"/>
      <w:isLgl/>
      <w:suff w:val="space"/>
      <w:lvlText w:val="%1.%2.%3.%4"/>
      <w:lvlJc w:val="left"/>
      <w:pPr>
        <w:tabs>
          <w:tab w:val="num" w:pos="0"/>
        </w:tabs>
        <w:ind w:left="0" w:firstLine="0"/>
      </w:pPr>
      <w:rPr>
        <w:rFonts w:ascii="Times New Roman" w:eastAsia="宋体" w:hAnsi="Times New Roman" w:cs="Times New Roman" w:hint="eastAsia"/>
        <w:b/>
        <w:bCs w:val="0"/>
        <w:i w:val="0"/>
        <w:iCs w:val="0"/>
        <w:caps w:val="0"/>
        <w:smallCaps w:val="0"/>
        <w:strike w:val="0"/>
        <w:dstrike w:val="0"/>
        <w:vanish w:val="0"/>
        <w:color w:val="000000"/>
        <w:spacing w:val="0"/>
        <w:kern w:val="0"/>
        <w:position w:val="0"/>
        <w:sz w:val="24"/>
        <w:u w:val="none"/>
        <w:vertAlign w:val="baseline"/>
        <w:lang w:bidi="zh-CN"/>
      </w:rPr>
    </w:lvl>
    <w:lvl w:ilvl="4">
      <w:start w:val="1"/>
      <w:numFmt w:val="decimal"/>
      <w:isLgl/>
      <w:lvlText w:val="%1.%2.%3.%4.%5"/>
      <w:lvlJc w:val="left"/>
      <w:pPr>
        <w:tabs>
          <w:tab w:val="num" w:pos="420"/>
        </w:tabs>
        <w:ind w:left="0" w:firstLine="0"/>
      </w:pPr>
      <w:rPr>
        <w:rFonts w:ascii="宋体" w:eastAsia="宋体" w:hAnsi="宋体" w:cs="宋体" w:hint="eastAsia"/>
      </w:rPr>
    </w:lvl>
    <w:lvl w:ilvl="5">
      <w:start w:val="1"/>
      <w:numFmt w:val="decimal"/>
      <w:lvlText w:val="%1.%2.%3.%4.%5.%6."/>
      <w:lvlJc w:val="left"/>
      <w:pPr>
        <w:tabs>
          <w:tab w:val="num" w:pos="1134"/>
        </w:tabs>
        <w:ind w:left="0" w:firstLine="0"/>
      </w:pPr>
      <w:rPr>
        <w:rFonts w:ascii="宋体" w:eastAsia="宋体" w:hAnsi="宋体" w:cs="宋体" w:hint="eastAsia"/>
      </w:rPr>
    </w:lvl>
    <w:lvl w:ilvl="6">
      <w:start w:val="1"/>
      <w:numFmt w:val="decimal"/>
      <w:lvlText w:val="%1.%2.%3.%4.%5.%6.%7."/>
      <w:lvlJc w:val="left"/>
      <w:pPr>
        <w:tabs>
          <w:tab w:val="num" w:pos="420"/>
        </w:tabs>
        <w:ind w:left="0" w:firstLine="0"/>
      </w:pPr>
      <w:rPr>
        <w:rFonts w:ascii="宋体" w:eastAsia="宋体" w:hAnsi="宋体" w:cs="宋体" w:hint="eastAsia"/>
      </w:rPr>
    </w:lvl>
    <w:lvl w:ilvl="7">
      <w:start w:val="1"/>
      <w:numFmt w:val="decimal"/>
      <w:lvlRestart w:val="2"/>
      <w:isLgl/>
      <w:suff w:val="space"/>
      <w:lvlText w:val="表%1.%2-%8"/>
      <w:lvlJc w:val="center"/>
      <w:pPr>
        <w:tabs>
          <w:tab w:val="num" w:pos="0"/>
        </w:tabs>
        <w:ind w:left="0" w:firstLine="0"/>
      </w:pPr>
      <w:rPr>
        <w:rFonts w:ascii="Times New Roman" w:eastAsia="宋体" w:hAnsi="Times New Roman" w:cs="宋体" w:hint="eastAsia"/>
        <w:b/>
        <w:bCs w:val="0"/>
        <w:i w:val="0"/>
        <w:iCs w:val="0"/>
        <w:caps w:val="0"/>
        <w:smallCaps w:val="0"/>
        <w:strike w:val="0"/>
        <w:dstrike w:val="0"/>
        <w:vanish w:val="0"/>
        <w:color w:val="000000"/>
        <w:spacing w:val="0"/>
        <w:kern w:val="0"/>
        <w:position w:val="0"/>
        <w:sz w:val="24"/>
        <w:szCs w:val="24"/>
        <w:u w:val="none"/>
        <w:vertAlign w:val="baseline"/>
        <w:lang w:val="en-US" w:bidi="zh-CN"/>
      </w:rPr>
    </w:lvl>
    <w:lvl w:ilvl="8">
      <w:start w:val="1"/>
      <w:numFmt w:val="decimal"/>
      <w:lvlRestart w:val="2"/>
      <w:isLgl/>
      <w:suff w:val="space"/>
      <w:lvlText w:val="图%1.%2-%9"/>
      <w:lvlJc w:val="center"/>
      <w:pPr>
        <w:ind w:left="0" w:firstLine="0"/>
      </w:pPr>
      <w:rPr>
        <w:rFonts w:ascii="宋体" w:eastAsia="宋体" w:hAnsi="宋体" w:cs="宋体" w:hint="eastAsia"/>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stylePaneFormatFilter w:val="3F01"/>
  <w:documentProtection w:edit="trackedChanges" w:enforcement="0"/>
  <w:defaultTabStop w:val="420"/>
  <w:doNotHyphenateCaps/>
  <w:drawingGridVerticalSpacing w:val="156"/>
  <w:noPunctuationKerning/>
  <w:characterSpacingControl w:val="compressPunctuation"/>
  <w:noLineBreaksAfter w:lang="en-US" w:val="([{·‘“〈《「『【〔〖（．［｛￡￥"/>
  <w:noLineBreaksBefore w:lang="en-US" w:val="!),.:;?]}¨·ˇˉ―‖’”…∶、。〃々〉》」』】〕〗！＂＇），．：；？］｀｜｝～￠"/>
  <w:doNotEmbedSmartTags/>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60B3"/>
    <w:rsid w:val="00040D8A"/>
    <w:rsid w:val="0004364B"/>
    <w:rsid w:val="00061B1F"/>
    <w:rsid w:val="000733C4"/>
    <w:rsid w:val="00074783"/>
    <w:rsid w:val="0008070B"/>
    <w:rsid w:val="000810AC"/>
    <w:rsid w:val="00081A02"/>
    <w:rsid w:val="00082231"/>
    <w:rsid w:val="00092D38"/>
    <w:rsid w:val="0009377B"/>
    <w:rsid w:val="000A20C9"/>
    <w:rsid w:val="000B058F"/>
    <w:rsid w:val="000B4467"/>
    <w:rsid w:val="000B4DB9"/>
    <w:rsid w:val="000B6C0A"/>
    <w:rsid w:val="000C09AC"/>
    <w:rsid w:val="000C767F"/>
    <w:rsid w:val="000D5A44"/>
    <w:rsid w:val="000E3ED2"/>
    <w:rsid w:val="00131F42"/>
    <w:rsid w:val="001357F1"/>
    <w:rsid w:val="00140FA8"/>
    <w:rsid w:val="00142FEB"/>
    <w:rsid w:val="00143A2D"/>
    <w:rsid w:val="00145A41"/>
    <w:rsid w:val="00151675"/>
    <w:rsid w:val="00157435"/>
    <w:rsid w:val="0017504D"/>
    <w:rsid w:val="0017671A"/>
    <w:rsid w:val="00177422"/>
    <w:rsid w:val="00184590"/>
    <w:rsid w:val="001870D1"/>
    <w:rsid w:val="0018781E"/>
    <w:rsid w:val="0019262D"/>
    <w:rsid w:val="001A1B35"/>
    <w:rsid w:val="001A48A2"/>
    <w:rsid w:val="001A6F61"/>
    <w:rsid w:val="001B72B8"/>
    <w:rsid w:val="001C69B3"/>
    <w:rsid w:val="001D5595"/>
    <w:rsid w:val="001D7874"/>
    <w:rsid w:val="001D7F22"/>
    <w:rsid w:val="001F0F17"/>
    <w:rsid w:val="001F3347"/>
    <w:rsid w:val="001F69E4"/>
    <w:rsid w:val="002125B4"/>
    <w:rsid w:val="002155B8"/>
    <w:rsid w:val="00224839"/>
    <w:rsid w:val="002249B2"/>
    <w:rsid w:val="00226574"/>
    <w:rsid w:val="002278EC"/>
    <w:rsid w:val="0023280E"/>
    <w:rsid w:val="002377D1"/>
    <w:rsid w:val="002506BC"/>
    <w:rsid w:val="00254345"/>
    <w:rsid w:val="00264557"/>
    <w:rsid w:val="0026784A"/>
    <w:rsid w:val="002805AB"/>
    <w:rsid w:val="00284204"/>
    <w:rsid w:val="00291773"/>
    <w:rsid w:val="002A168C"/>
    <w:rsid w:val="002A3DC7"/>
    <w:rsid w:val="002B49E2"/>
    <w:rsid w:val="002B7B00"/>
    <w:rsid w:val="002B7C44"/>
    <w:rsid w:val="002C2B17"/>
    <w:rsid w:val="002D3DD0"/>
    <w:rsid w:val="002E1F3A"/>
    <w:rsid w:val="002E298A"/>
    <w:rsid w:val="00301978"/>
    <w:rsid w:val="0030332C"/>
    <w:rsid w:val="003051C2"/>
    <w:rsid w:val="00312296"/>
    <w:rsid w:val="00314F0E"/>
    <w:rsid w:val="00321D8E"/>
    <w:rsid w:val="00325928"/>
    <w:rsid w:val="00332863"/>
    <w:rsid w:val="003366A1"/>
    <w:rsid w:val="0033684D"/>
    <w:rsid w:val="00337B42"/>
    <w:rsid w:val="00341B42"/>
    <w:rsid w:val="0034348F"/>
    <w:rsid w:val="00356653"/>
    <w:rsid w:val="0035743F"/>
    <w:rsid w:val="00357BE2"/>
    <w:rsid w:val="0036170C"/>
    <w:rsid w:val="00366E0F"/>
    <w:rsid w:val="00381A72"/>
    <w:rsid w:val="00384676"/>
    <w:rsid w:val="00390857"/>
    <w:rsid w:val="00393661"/>
    <w:rsid w:val="003A4BF3"/>
    <w:rsid w:val="003B420D"/>
    <w:rsid w:val="003C6C16"/>
    <w:rsid w:val="003D794D"/>
    <w:rsid w:val="003E3058"/>
    <w:rsid w:val="003E76A9"/>
    <w:rsid w:val="003F0809"/>
    <w:rsid w:val="003F6A8C"/>
    <w:rsid w:val="003F755C"/>
    <w:rsid w:val="00406F01"/>
    <w:rsid w:val="00416D50"/>
    <w:rsid w:val="00416FD5"/>
    <w:rsid w:val="00417772"/>
    <w:rsid w:val="00420E6A"/>
    <w:rsid w:val="00425A9E"/>
    <w:rsid w:val="00426D6B"/>
    <w:rsid w:val="00431E6C"/>
    <w:rsid w:val="00433CE7"/>
    <w:rsid w:val="00452738"/>
    <w:rsid w:val="00456091"/>
    <w:rsid w:val="00466321"/>
    <w:rsid w:val="00484B9B"/>
    <w:rsid w:val="004855F6"/>
    <w:rsid w:val="0048661E"/>
    <w:rsid w:val="00494670"/>
    <w:rsid w:val="004A3823"/>
    <w:rsid w:val="004E6946"/>
    <w:rsid w:val="004F1AD8"/>
    <w:rsid w:val="005039CB"/>
    <w:rsid w:val="0050558F"/>
    <w:rsid w:val="00506286"/>
    <w:rsid w:val="00510813"/>
    <w:rsid w:val="00511990"/>
    <w:rsid w:val="00511DE0"/>
    <w:rsid w:val="00514870"/>
    <w:rsid w:val="00514B9B"/>
    <w:rsid w:val="00517F02"/>
    <w:rsid w:val="00524303"/>
    <w:rsid w:val="005258A2"/>
    <w:rsid w:val="00531DBA"/>
    <w:rsid w:val="005401AE"/>
    <w:rsid w:val="00542E07"/>
    <w:rsid w:val="00545424"/>
    <w:rsid w:val="00554A7B"/>
    <w:rsid w:val="0055572C"/>
    <w:rsid w:val="0056106A"/>
    <w:rsid w:val="005720AE"/>
    <w:rsid w:val="00594D77"/>
    <w:rsid w:val="005969E4"/>
    <w:rsid w:val="005A06B7"/>
    <w:rsid w:val="005A1759"/>
    <w:rsid w:val="005A68A7"/>
    <w:rsid w:val="005D36AB"/>
    <w:rsid w:val="00617CC3"/>
    <w:rsid w:val="006377A6"/>
    <w:rsid w:val="00637A3D"/>
    <w:rsid w:val="006411EF"/>
    <w:rsid w:val="006748B8"/>
    <w:rsid w:val="006775C3"/>
    <w:rsid w:val="0069290A"/>
    <w:rsid w:val="0069775A"/>
    <w:rsid w:val="00697813"/>
    <w:rsid w:val="006A3EE8"/>
    <w:rsid w:val="006A72BF"/>
    <w:rsid w:val="006B03F2"/>
    <w:rsid w:val="006B1ADA"/>
    <w:rsid w:val="006B37DC"/>
    <w:rsid w:val="006B4F68"/>
    <w:rsid w:val="006C0592"/>
    <w:rsid w:val="006C272E"/>
    <w:rsid w:val="006C5479"/>
    <w:rsid w:val="006D13B5"/>
    <w:rsid w:val="006E12FF"/>
    <w:rsid w:val="006E607E"/>
    <w:rsid w:val="00706C5D"/>
    <w:rsid w:val="00732922"/>
    <w:rsid w:val="0075162E"/>
    <w:rsid w:val="00754034"/>
    <w:rsid w:val="00756556"/>
    <w:rsid w:val="007618C4"/>
    <w:rsid w:val="00767980"/>
    <w:rsid w:val="00770B19"/>
    <w:rsid w:val="0077463F"/>
    <w:rsid w:val="007836EA"/>
    <w:rsid w:val="00784CDA"/>
    <w:rsid w:val="007906C4"/>
    <w:rsid w:val="007940EA"/>
    <w:rsid w:val="007967E8"/>
    <w:rsid w:val="007A2170"/>
    <w:rsid w:val="007A22BF"/>
    <w:rsid w:val="007A3323"/>
    <w:rsid w:val="007B72B8"/>
    <w:rsid w:val="007B7A58"/>
    <w:rsid w:val="007C21B5"/>
    <w:rsid w:val="007E4BD2"/>
    <w:rsid w:val="00801393"/>
    <w:rsid w:val="00802F88"/>
    <w:rsid w:val="0081293E"/>
    <w:rsid w:val="00815465"/>
    <w:rsid w:val="00817E9A"/>
    <w:rsid w:val="008306BD"/>
    <w:rsid w:val="00831A80"/>
    <w:rsid w:val="00833743"/>
    <w:rsid w:val="008340A4"/>
    <w:rsid w:val="0087135F"/>
    <w:rsid w:val="00872D94"/>
    <w:rsid w:val="00880364"/>
    <w:rsid w:val="00891592"/>
    <w:rsid w:val="00891E9E"/>
    <w:rsid w:val="0089540A"/>
    <w:rsid w:val="008A2F68"/>
    <w:rsid w:val="008B4FA6"/>
    <w:rsid w:val="008B5282"/>
    <w:rsid w:val="008B7C17"/>
    <w:rsid w:val="008C2D01"/>
    <w:rsid w:val="008C40E6"/>
    <w:rsid w:val="008D0F7A"/>
    <w:rsid w:val="008D68E4"/>
    <w:rsid w:val="008E0506"/>
    <w:rsid w:val="008E0CFF"/>
    <w:rsid w:val="008E5D6B"/>
    <w:rsid w:val="008E76F0"/>
    <w:rsid w:val="008F15FE"/>
    <w:rsid w:val="008F2D29"/>
    <w:rsid w:val="008F5187"/>
    <w:rsid w:val="008F60D8"/>
    <w:rsid w:val="00902727"/>
    <w:rsid w:val="0090312B"/>
    <w:rsid w:val="0091736D"/>
    <w:rsid w:val="0093037A"/>
    <w:rsid w:val="0094154D"/>
    <w:rsid w:val="0095155F"/>
    <w:rsid w:val="00954429"/>
    <w:rsid w:val="009563CE"/>
    <w:rsid w:val="00976328"/>
    <w:rsid w:val="0097680D"/>
    <w:rsid w:val="00982438"/>
    <w:rsid w:val="0098404C"/>
    <w:rsid w:val="00985283"/>
    <w:rsid w:val="00995992"/>
    <w:rsid w:val="009A03E5"/>
    <w:rsid w:val="009A0F3B"/>
    <w:rsid w:val="009A1BB4"/>
    <w:rsid w:val="009A2628"/>
    <w:rsid w:val="009A3200"/>
    <w:rsid w:val="009B0897"/>
    <w:rsid w:val="009B7BD9"/>
    <w:rsid w:val="009C7DD5"/>
    <w:rsid w:val="009E227D"/>
    <w:rsid w:val="009E5019"/>
    <w:rsid w:val="00A04F1B"/>
    <w:rsid w:val="00A0501B"/>
    <w:rsid w:val="00A14947"/>
    <w:rsid w:val="00A2503D"/>
    <w:rsid w:val="00A32A83"/>
    <w:rsid w:val="00A368DB"/>
    <w:rsid w:val="00A423AA"/>
    <w:rsid w:val="00A53EC6"/>
    <w:rsid w:val="00A55C0F"/>
    <w:rsid w:val="00A570FC"/>
    <w:rsid w:val="00A8713F"/>
    <w:rsid w:val="00A90BA1"/>
    <w:rsid w:val="00A97A9A"/>
    <w:rsid w:val="00AA0671"/>
    <w:rsid w:val="00AA2531"/>
    <w:rsid w:val="00AB1E09"/>
    <w:rsid w:val="00AB43E6"/>
    <w:rsid w:val="00AB5330"/>
    <w:rsid w:val="00AB7747"/>
    <w:rsid w:val="00AC14CE"/>
    <w:rsid w:val="00AC2A56"/>
    <w:rsid w:val="00AD055E"/>
    <w:rsid w:val="00AD47A7"/>
    <w:rsid w:val="00AF0CBF"/>
    <w:rsid w:val="00AF257F"/>
    <w:rsid w:val="00AF33CF"/>
    <w:rsid w:val="00AF4D50"/>
    <w:rsid w:val="00AF6179"/>
    <w:rsid w:val="00B1295A"/>
    <w:rsid w:val="00B20A45"/>
    <w:rsid w:val="00B22C5C"/>
    <w:rsid w:val="00B24F30"/>
    <w:rsid w:val="00B31ABF"/>
    <w:rsid w:val="00B33BE3"/>
    <w:rsid w:val="00B53B5D"/>
    <w:rsid w:val="00B6055E"/>
    <w:rsid w:val="00B6317D"/>
    <w:rsid w:val="00B7723F"/>
    <w:rsid w:val="00B80534"/>
    <w:rsid w:val="00B8433C"/>
    <w:rsid w:val="00B87491"/>
    <w:rsid w:val="00BA29E9"/>
    <w:rsid w:val="00BA7142"/>
    <w:rsid w:val="00BB237C"/>
    <w:rsid w:val="00BB41A3"/>
    <w:rsid w:val="00BC32DC"/>
    <w:rsid w:val="00BC35B6"/>
    <w:rsid w:val="00BD1B51"/>
    <w:rsid w:val="00BD4596"/>
    <w:rsid w:val="00BE1405"/>
    <w:rsid w:val="00BE312D"/>
    <w:rsid w:val="00BF1C20"/>
    <w:rsid w:val="00C10578"/>
    <w:rsid w:val="00C135BC"/>
    <w:rsid w:val="00C15C95"/>
    <w:rsid w:val="00C2596A"/>
    <w:rsid w:val="00C27537"/>
    <w:rsid w:val="00C328FE"/>
    <w:rsid w:val="00C33507"/>
    <w:rsid w:val="00C4409D"/>
    <w:rsid w:val="00C44E72"/>
    <w:rsid w:val="00C45A06"/>
    <w:rsid w:val="00C47E5B"/>
    <w:rsid w:val="00C61E4B"/>
    <w:rsid w:val="00C64BFF"/>
    <w:rsid w:val="00C704E9"/>
    <w:rsid w:val="00C763C9"/>
    <w:rsid w:val="00C80057"/>
    <w:rsid w:val="00C82232"/>
    <w:rsid w:val="00C82913"/>
    <w:rsid w:val="00C972B1"/>
    <w:rsid w:val="00CA2CCE"/>
    <w:rsid w:val="00CA43FD"/>
    <w:rsid w:val="00CA7EF8"/>
    <w:rsid w:val="00CC489B"/>
    <w:rsid w:val="00CD2BCD"/>
    <w:rsid w:val="00CD3A4C"/>
    <w:rsid w:val="00CE10E9"/>
    <w:rsid w:val="00CE2910"/>
    <w:rsid w:val="00CE5393"/>
    <w:rsid w:val="00CF36BE"/>
    <w:rsid w:val="00CF6000"/>
    <w:rsid w:val="00D003F3"/>
    <w:rsid w:val="00D0364F"/>
    <w:rsid w:val="00D06834"/>
    <w:rsid w:val="00D308ED"/>
    <w:rsid w:val="00D36D86"/>
    <w:rsid w:val="00D428AA"/>
    <w:rsid w:val="00D444FC"/>
    <w:rsid w:val="00D50A34"/>
    <w:rsid w:val="00D53EFA"/>
    <w:rsid w:val="00D94A7C"/>
    <w:rsid w:val="00D95896"/>
    <w:rsid w:val="00DB2983"/>
    <w:rsid w:val="00DB6BC4"/>
    <w:rsid w:val="00DC1257"/>
    <w:rsid w:val="00DC3DC0"/>
    <w:rsid w:val="00DC5B2B"/>
    <w:rsid w:val="00DD318D"/>
    <w:rsid w:val="00DF2E12"/>
    <w:rsid w:val="00DF514A"/>
    <w:rsid w:val="00DF6690"/>
    <w:rsid w:val="00DF6804"/>
    <w:rsid w:val="00E0358D"/>
    <w:rsid w:val="00E04323"/>
    <w:rsid w:val="00E070A2"/>
    <w:rsid w:val="00E2656A"/>
    <w:rsid w:val="00E412D0"/>
    <w:rsid w:val="00E56322"/>
    <w:rsid w:val="00E60982"/>
    <w:rsid w:val="00E62C62"/>
    <w:rsid w:val="00E654C1"/>
    <w:rsid w:val="00E65D97"/>
    <w:rsid w:val="00E72A5A"/>
    <w:rsid w:val="00E73354"/>
    <w:rsid w:val="00E9242D"/>
    <w:rsid w:val="00EB5255"/>
    <w:rsid w:val="00EB5C47"/>
    <w:rsid w:val="00ED0639"/>
    <w:rsid w:val="00EF4755"/>
    <w:rsid w:val="00EF7135"/>
    <w:rsid w:val="00F027DB"/>
    <w:rsid w:val="00F14A7A"/>
    <w:rsid w:val="00F22985"/>
    <w:rsid w:val="00F3383E"/>
    <w:rsid w:val="00F465A7"/>
    <w:rsid w:val="00F504F1"/>
    <w:rsid w:val="00F50B7C"/>
    <w:rsid w:val="00F550E6"/>
    <w:rsid w:val="00F74345"/>
    <w:rsid w:val="00F80A0A"/>
    <w:rsid w:val="00F82B19"/>
    <w:rsid w:val="00F9212D"/>
    <w:rsid w:val="00F965DA"/>
    <w:rsid w:val="00FA406A"/>
    <w:rsid w:val="00FB503A"/>
    <w:rsid w:val="00FB516C"/>
    <w:rsid w:val="00FD0236"/>
    <w:rsid w:val="00FD18F4"/>
    <w:rsid w:val="00FD54DB"/>
    <w:rsid w:val="00FD619F"/>
    <w:rsid w:val="01086B41"/>
    <w:rsid w:val="01167E5C"/>
    <w:rsid w:val="01214913"/>
    <w:rsid w:val="01290F7E"/>
    <w:rsid w:val="012B6472"/>
    <w:rsid w:val="012E400F"/>
    <w:rsid w:val="013B4944"/>
    <w:rsid w:val="013C47C8"/>
    <w:rsid w:val="01447135"/>
    <w:rsid w:val="015D1E09"/>
    <w:rsid w:val="016132CA"/>
    <w:rsid w:val="01661375"/>
    <w:rsid w:val="018839E7"/>
    <w:rsid w:val="01961AED"/>
    <w:rsid w:val="01AE7DC4"/>
    <w:rsid w:val="01B62821"/>
    <w:rsid w:val="01BA5E76"/>
    <w:rsid w:val="01BD32BA"/>
    <w:rsid w:val="01C05D39"/>
    <w:rsid w:val="01D10A2E"/>
    <w:rsid w:val="01E46DA8"/>
    <w:rsid w:val="01FA0F24"/>
    <w:rsid w:val="02134FB3"/>
    <w:rsid w:val="02281262"/>
    <w:rsid w:val="022A2A07"/>
    <w:rsid w:val="025D696E"/>
    <w:rsid w:val="02634A43"/>
    <w:rsid w:val="02697903"/>
    <w:rsid w:val="026D20CD"/>
    <w:rsid w:val="02714958"/>
    <w:rsid w:val="02870009"/>
    <w:rsid w:val="028850A8"/>
    <w:rsid w:val="028F4530"/>
    <w:rsid w:val="02B15285"/>
    <w:rsid w:val="02B857C5"/>
    <w:rsid w:val="02C62255"/>
    <w:rsid w:val="02DA4333"/>
    <w:rsid w:val="02DE25D2"/>
    <w:rsid w:val="02E86DC7"/>
    <w:rsid w:val="02EC2A02"/>
    <w:rsid w:val="02F310BD"/>
    <w:rsid w:val="02F96569"/>
    <w:rsid w:val="030E0F4D"/>
    <w:rsid w:val="032A5AE9"/>
    <w:rsid w:val="032D7BE0"/>
    <w:rsid w:val="035766E4"/>
    <w:rsid w:val="03600121"/>
    <w:rsid w:val="03603772"/>
    <w:rsid w:val="0375569C"/>
    <w:rsid w:val="03814800"/>
    <w:rsid w:val="03A534B5"/>
    <w:rsid w:val="03AA7339"/>
    <w:rsid w:val="03AE099B"/>
    <w:rsid w:val="03B814F5"/>
    <w:rsid w:val="03BE7B16"/>
    <w:rsid w:val="03D34EDC"/>
    <w:rsid w:val="03DF295F"/>
    <w:rsid w:val="03EA7B21"/>
    <w:rsid w:val="03F9737D"/>
    <w:rsid w:val="044C7680"/>
    <w:rsid w:val="044E3791"/>
    <w:rsid w:val="04615B04"/>
    <w:rsid w:val="046D60DC"/>
    <w:rsid w:val="04A24305"/>
    <w:rsid w:val="04B23D35"/>
    <w:rsid w:val="04C0171A"/>
    <w:rsid w:val="04C94B20"/>
    <w:rsid w:val="04E66BCB"/>
    <w:rsid w:val="04F97468"/>
    <w:rsid w:val="05044DB6"/>
    <w:rsid w:val="051F2A43"/>
    <w:rsid w:val="05966BDE"/>
    <w:rsid w:val="05A153EE"/>
    <w:rsid w:val="05A64CF9"/>
    <w:rsid w:val="05AC4751"/>
    <w:rsid w:val="05C22858"/>
    <w:rsid w:val="05CB600D"/>
    <w:rsid w:val="05E376FD"/>
    <w:rsid w:val="05E822BF"/>
    <w:rsid w:val="05F83EAE"/>
    <w:rsid w:val="060D388D"/>
    <w:rsid w:val="0636582C"/>
    <w:rsid w:val="063E7D85"/>
    <w:rsid w:val="064715AC"/>
    <w:rsid w:val="0662084F"/>
    <w:rsid w:val="069777CB"/>
    <w:rsid w:val="06A168CD"/>
    <w:rsid w:val="06A31EC2"/>
    <w:rsid w:val="06A4652D"/>
    <w:rsid w:val="06B366DF"/>
    <w:rsid w:val="06B54482"/>
    <w:rsid w:val="06B673F9"/>
    <w:rsid w:val="06BD2D6F"/>
    <w:rsid w:val="06C81E9A"/>
    <w:rsid w:val="06CD7AC4"/>
    <w:rsid w:val="06DB1EF1"/>
    <w:rsid w:val="06E11A66"/>
    <w:rsid w:val="07046C12"/>
    <w:rsid w:val="07213112"/>
    <w:rsid w:val="07213430"/>
    <w:rsid w:val="07293586"/>
    <w:rsid w:val="07295285"/>
    <w:rsid w:val="073836D3"/>
    <w:rsid w:val="074462EF"/>
    <w:rsid w:val="07636392"/>
    <w:rsid w:val="07770C56"/>
    <w:rsid w:val="07AB64B4"/>
    <w:rsid w:val="07DF0CED"/>
    <w:rsid w:val="07E347AD"/>
    <w:rsid w:val="07E7062C"/>
    <w:rsid w:val="07FB1607"/>
    <w:rsid w:val="07FB2152"/>
    <w:rsid w:val="08351E98"/>
    <w:rsid w:val="08397757"/>
    <w:rsid w:val="084762B9"/>
    <w:rsid w:val="089D3E57"/>
    <w:rsid w:val="089F0796"/>
    <w:rsid w:val="08BD472D"/>
    <w:rsid w:val="08BE4D21"/>
    <w:rsid w:val="08CA14B8"/>
    <w:rsid w:val="08D74356"/>
    <w:rsid w:val="08E91505"/>
    <w:rsid w:val="09035DBC"/>
    <w:rsid w:val="09062A94"/>
    <w:rsid w:val="09153A5B"/>
    <w:rsid w:val="091C3481"/>
    <w:rsid w:val="091E2D02"/>
    <w:rsid w:val="092217DD"/>
    <w:rsid w:val="09292BDA"/>
    <w:rsid w:val="092F2F4C"/>
    <w:rsid w:val="093A7294"/>
    <w:rsid w:val="093A7380"/>
    <w:rsid w:val="093B0425"/>
    <w:rsid w:val="0940733B"/>
    <w:rsid w:val="09577BEE"/>
    <w:rsid w:val="09756D92"/>
    <w:rsid w:val="09870502"/>
    <w:rsid w:val="09986F7F"/>
    <w:rsid w:val="09A96BBE"/>
    <w:rsid w:val="09B90736"/>
    <w:rsid w:val="09CA311F"/>
    <w:rsid w:val="09D54BDD"/>
    <w:rsid w:val="09E5494C"/>
    <w:rsid w:val="09F04B1C"/>
    <w:rsid w:val="09F11457"/>
    <w:rsid w:val="09F14596"/>
    <w:rsid w:val="0A0431F1"/>
    <w:rsid w:val="0A0525BD"/>
    <w:rsid w:val="0A2062F5"/>
    <w:rsid w:val="0A263993"/>
    <w:rsid w:val="0A2D3AC2"/>
    <w:rsid w:val="0A546317"/>
    <w:rsid w:val="0A735E57"/>
    <w:rsid w:val="0A8823E3"/>
    <w:rsid w:val="0A8C4118"/>
    <w:rsid w:val="0A955582"/>
    <w:rsid w:val="0AA256F3"/>
    <w:rsid w:val="0AA755DF"/>
    <w:rsid w:val="0AD60661"/>
    <w:rsid w:val="0ADF66E8"/>
    <w:rsid w:val="0AED60A8"/>
    <w:rsid w:val="0B0B08D0"/>
    <w:rsid w:val="0B120D44"/>
    <w:rsid w:val="0B122F7E"/>
    <w:rsid w:val="0B144079"/>
    <w:rsid w:val="0B274305"/>
    <w:rsid w:val="0B2900F1"/>
    <w:rsid w:val="0B4D584D"/>
    <w:rsid w:val="0B550EA0"/>
    <w:rsid w:val="0B5F6D9C"/>
    <w:rsid w:val="0B827F3A"/>
    <w:rsid w:val="0B8343FA"/>
    <w:rsid w:val="0B842AF2"/>
    <w:rsid w:val="0B8C4961"/>
    <w:rsid w:val="0BA17943"/>
    <w:rsid w:val="0BAB3DC0"/>
    <w:rsid w:val="0BAD1BD9"/>
    <w:rsid w:val="0BC032F1"/>
    <w:rsid w:val="0BC61F23"/>
    <w:rsid w:val="0BC92570"/>
    <w:rsid w:val="0BD12F1F"/>
    <w:rsid w:val="0BD27BF6"/>
    <w:rsid w:val="0BD318B7"/>
    <w:rsid w:val="0BF1096A"/>
    <w:rsid w:val="0C0D2B3E"/>
    <w:rsid w:val="0C204ACC"/>
    <w:rsid w:val="0C3B3C7D"/>
    <w:rsid w:val="0C3C3803"/>
    <w:rsid w:val="0C4D7CB0"/>
    <w:rsid w:val="0C4F0F51"/>
    <w:rsid w:val="0C583802"/>
    <w:rsid w:val="0C67791F"/>
    <w:rsid w:val="0C721481"/>
    <w:rsid w:val="0C8239DF"/>
    <w:rsid w:val="0C9A1ADC"/>
    <w:rsid w:val="0C9C2553"/>
    <w:rsid w:val="0CA44F54"/>
    <w:rsid w:val="0CAB2EAE"/>
    <w:rsid w:val="0CD16599"/>
    <w:rsid w:val="0CE91FF3"/>
    <w:rsid w:val="0D0602E5"/>
    <w:rsid w:val="0D0A09C2"/>
    <w:rsid w:val="0D375363"/>
    <w:rsid w:val="0D616FFC"/>
    <w:rsid w:val="0D621C7D"/>
    <w:rsid w:val="0D6D04F9"/>
    <w:rsid w:val="0D84039A"/>
    <w:rsid w:val="0D971364"/>
    <w:rsid w:val="0D9D5BB3"/>
    <w:rsid w:val="0DAA6B7F"/>
    <w:rsid w:val="0DB605A8"/>
    <w:rsid w:val="0DB7068F"/>
    <w:rsid w:val="0DB8424E"/>
    <w:rsid w:val="0DBD6520"/>
    <w:rsid w:val="0E312219"/>
    <w:rsid w:val="0E4B062B"/>
    <w:rsid w:val="0E6465B8"/>
    <w:rsid w:val="0E6D7D4E"/>
    <w:rsid w:val="0E711B54"/>
    <w:rsid w:val="0E73034D"/>
    <w:rsid w:val="0E776466"/>
    <w:rsid w:val="0E790FF2"/>
    <w:rsid w:val="0E806EAA"/>
    <w:rsid w:val="0EA34722"/>
    <w:rsid w:val="0EAE2869"/>
    <w:rsid w:val="0EBE58E7"/>
    <w:rsid w:val="0EE87BDE"/>
    <w:rsid w:val="0EF54F9A"/>
    <w:rsid w:val="0F014B1E"/>
    <w:rsid w:val="0F13775A"/>
    <w:rsid w:val="0F28127E"/>
    <w:rsid w:val="0F2A2725"/>
    <w:rsid w:val="0F2A3412"/>
    <w:rsid w:val="0F3D49A1"/>
    <w:rsid w:val="0F552EDE"/>
    <w:rsid w:val="0F56444E"/>
    <w:rsid w:val="0F5F45FE"/>
    <w:rsid w:val="0F6B13F5"/>
    <w:rsid w:val="0F797CE6"/>
    <w:rsid w:val="0F813EC5"/>
    <w:rsid w:val="0F9A112B"/>
    <w:rsid w:val="0FA971B4"/>
    <w:rsid w:val="0FBE3323"/>
    <w:rsid w:val="0FC068FF"/>
    <w:rsid w:val="0FC33F30"/>
    <w:rsid w:val="0FD43E0E"/>
    <w:rsid w:val="0FE10D4D"/>
    <w:rsid w:val="100E69BC"/>
    <w:rsid w:val="10223B2A"/>
    <w:rsid w:val="102863F7"/>
    <w:rsid w:val="102E2941"/>
    <w:rsid w:val="10444DAF"/>
    <w:rsid w:val="104B0B0A"/>
    <w:rsid w:val="105157D2"/>
    <w:rsid w:val="10623CEE"/>
    <w:rsid w:val="106307BB"/>
    <w:rsid w:val="106D2F64"/>
    <w:rsid w:val="10840EF9"/>
    <w:rsid w:val="10B63710"/>
    <w:rsid w:val="10D50AB5"/>
    <w:rsid w:val="10DB62DD"/>
    <w:rsid w:val="10F10820"/>
    <w:rsid w:val="10F17304"/>
    <w:rsid w:val="11077018"/>
    <w:rsid w:val="111C2F7A"/>
    <w:rsid w:val="112B423F"/>
    <w:rsid w:val="11487611"/>
    <w:rsid w:val="11665CA1"/>
    <w:rsid w:val="118C2F9A"/>
    <w:rsid w:val="11901961"/>
    <w:rsid w:val="1193105E"/>
    <w:rsid w:val="11967550"/>
    <w:rsid w:val="11B52F3C"/>
    <w:rsid w:val="11F34ACB"/>
    <w:rsid w:val="120345FE"/>
    <w:rsid w:val="12083146"/>
    <w:rsid w:val="12281458"/>
    <w:rsid w:val="123470A5"/>
    <w:rsid w:val="124340A8"/>
    <w:rsid w:val="124709E8"/>
    <w:rsid w:val="124F3878"/>
    <w:rsid w:val="12681C3A"/>
    <w:rsid w:val="126D6D44"/>
    <w:rsid w:val="127070B0"/>
    <w:rsid w:val="127604AD"/>
    <w:rsid w:val="127E748A"/>
    <w:rsid w:val="12B844A1"/>
    <w:rsid w:val="12C549C4"/>
    <w:rsid w:val="12D87098"/>
    <w:rsid w:val="132A6590"/>
    <w:rsid w:val="1346266E"/>
    <w:rsid w:val="13513F2A"/>
    <w:rsid w:val="13951247"/>
    <w:rsid w:val="13951726"/>
    <w:rsid w:val="13B423B4"/>
    <w:rsid w:val="13BD1E8E"/>
    <w:rsid w:val="13CB04C6"/>
    <w:rsid w:val="13CF7CEB"/>
    <w:rsid w:val="13D00A75"/>
    <w:rsid w:val="13EA4DF7"/>
    <w:rsid w:val="13F30FC0"/>
    <w:rsid w:val="13FA0AD6"/>
    <w:rsid w:val="14013DCC"/>
    <w:rsid w:val="140514B6"/>
    <w:rsid w:val="140B6AB2"/>
    <w:rsid w:val="140D46DB"/>
    <w:rsid w:val="14367856"/>
    <w:rsid w:val="14396509"/>
    <w:rsid w:val="144D3A7F"/>
    <w:rsid w:val="14622CB1"/>
    <w:rsid w:val="146625ED"/>
    <w:rsid w:val="146B79A9"/>
    <w:rsid w:val="14752DBD"/>
    <w:rsid w:val="14931084"/>
    <w:rsid w:val="14943B47"/>
    <w:rsid w:val="14A04A16"/>
    <w:rsid w:val="14A3221E"/>
    <w:rsid w:val="14A379A0"/>
    <w:rsid w:val="14B66197"/>
    <w:rsid w:val="14B70B81"/>
    <w:rsid w:val="14C50D3F"/>
    <w:rsid w:val="14CC5A24"/>
    <w:rsid w:val="14D6243F"/>
    <w:rsid w:val="14DD2C3C"/>
    <w:rsid w:val="14E76398"/>
    <w:rsid w:val="14FF7630"/>
    <w:rsid w:val="15134565"/>
    <w:rsid w:val="15167A6C"/>
    <w:rsid w:val="15287FDD"/>
    <w:rsid w:val="15295C11"/>
    <w:rsid w:val="153961A1"/>
    <w:rsid w:val="153C2564"/>
    <w:rsid w:val="1541428F"/>
    <w:rsid w:val="154C1FF3"/>
    <w:rsid w:val="15501F6E"/>
    <w:rsid w:val="15555573"/>
    <w:rsid w:val="15585758"/>
    <w:rsid w:val="15651C99"/>
    <w:rsid w:val="15741206"/>
    <w:rsid w:val="158251D0"/>
    <w:rsid w:val="158773B1"/>
    <w:rsid w:val="15944A21"/>
    <w:rsid w:val="15A1354E"/>
    <w:rsid w:val="15A37E4A"/>
    <w:rsid w:val="15AA5E00"/>
    <w:rsid w:val="15B92BB1"/>
    <w:rsid w:val="15C02ACF"/>
    <w:rsid w:val="15C0505E"/>
    <w:rsid w:val="15E32B4D"/>
    <w:rsid w:val="16000C08"/>
    <w:rsid w:val="16062463"/>
    <w:rsid w:val="16087E1D"/>
    <w:rsid w:val="160C0BEF"/>
    <w:rsid w:val="16102E5D"/>
    <w:rsid w:val="162A791E"/>
    <w:rsid w:val="162B1AE5"/>
    <w:rsid w:val="16406B35"/>
    <w:rsid w:val="16477AFF"/>
    <w:rsid w:val="16590908"/>
    <w:rsid w:val="166D6109"/>
    <w:rsid w:val="166E0537"/>
    <w:rsid w:val="167B1BDB"/>
    <w:rsid w:val="16831F71"/>
    <w:rsid w:val="16853A99"/>
    <w:rsid w:val="168D3093"/>
    <w:rsid w:val="16991FFE"/>
    <w:rsid w:val="169F5E54"/>
    <w:rsid w:val="16BB3B47"/>
    <w:rsid w:val="16F56CDE"/>
    <w:rsid w:val="170A4FD6"/>
    <w:rsid w:val="17126EF9"/>
    <w:rsid w:val="17161FAD"/>
    <w:rsid w:val="173C340A"/>
    <w:rsid w:val="17440EB4"/>
    <w:rsid w:val="175D05CF"/>
    <w:rsid w:val="176E05C4"/>
    <w:rsid w:val="17701D14"/>
    <w:rsid w:val="17735226"/>
    <w:rsid w:val="17747812"/>
    <w:rsid w:val="177502BC"/>
    <w:rsid w:val="177B352C"/>
    <w:rsid w:val="178A2F1F"/>
    <w:rsid w:val="17901A78"/>
    <w:rsid w:val="17947AA8"/>
    <w:rsid w:val="17AA2734"/>
    <w:rsid w:val="17AF5E06"/>
    <w:rsid w:val="17B66819"/>
    <w:rsid w:val="17CA0351"/>
    <w:rsid w:val="17E03FB7"/>
    <w:rsid w:val="17E54879"/>
    <w:rsid w:val="17F665E1"/>
    <w:rsid w:val="181845BF"/>
    <w:rsid w:val="181D50AF"/>
    <w:rsid w:val="18467620"/>
    <w:rsid w:val="18482209"/>
    <w:rsid w:val="18490581"/>
    <w:rsid w:val="18702F7E"/>
    <w:rsid w:val="189F624C"/>
    <w:rsid w:val="18B27A9F"/>
    <w:rsid w:val="18BF4A1D"/>
    <w:rsid w:val="18C33285"/>
    <w:rsid w:val="18CF28E6"/>
    <w:rsid w:val="18D65073"/>
    <w:rsid w:val="18E106E0"/>
    <w:rsid w:val="18E556A9"/>
    <w:rsid w:val="18EA0CF4"/>
    <w:rsid w:val="18F65A46"/>
    <w:rsid w:val="19033B41"/>
    <w:rsid w:val="192248E2"/>
    <w:rsid w:val="19227CCA"/>
    <w:rsid w:val="192D4331"/>
    <w:rsid w:val="192F0FCD"/>
    <w:rsid w:val="194B0D23"/>
    <w:rsid w:val="194F3BCD"/>
    <w:rsid w:val="195B7657"/>
    <w:rsid w:val="19627130"/>
    <w:rsid w:val="196D1161"/>
    <w:rsid w:val="197568BA"/>
    <w:rsid w:val="19786A10"/>
    <w:rsid w:val="19817808"/>
    <w:rsid w:val="198266C9"/>
    <w:rsid w:val="1997703B"/>
    <w:rsid w:val="19990C9A"/>
    <w:rsid w:val="19A5019A"/>
    <w:rsid w:val="19A551FD"/>
    <w:rsid w:val="19C65F42"/>
    <w:rsid w:val="19CC74BA"/>
    <w:rsid w:val="19D63B91"/>
    <w:rsid w:val="19E9041E"/>
    <w:rsid w:val="19F00EC0"/>
    <w:rsid w:val="1A1C66C0"/>
    <w:rsid w:val="1A251975"/>
    <w:rsid w:val="1A2C5EE6"/>
    <w:rsid w:val="1A2D689D"/>
    <w:rsid w:val="1A42393B"/>
    <w:rsid w:val="1A460543"/>
    <w:rsid w:val="1A5A26F7"/>
    <w:rsid w:val="1A6B5F89"/>
    <w:rsid w:val="1A77666E"/>
    <w:rsid w:val="1A922782"/>
    <w:rsid w:val="1A9B71A5"/>
    <w:rsid w:val="1AAB115B"/>
    <w:rsid w:val="1AAD45DE"/>
    <w:rsid w:val="1ACD3207"/>
    <w:rsid w:val="1AD67169"/>
    <w:rsid w:val="1ADF60A7"/>
    <w:rsid w:val="1AEE3562"/>
    <w:rsid w:val="1AEF53B5"/>
    <w:rsid w:val="1AF1119D"/>
    <w:rsid w:val="1AFE5142"/>
    <w:rsid w:val="1B01369B"/>
    <w:rsid w:val="1B046F80"/>
    <w:rsid w:val="1B126B55"/>
    <w:rsid w:val="1B1F78AE"/>
    <w:rsid w:val="1B2A36A8"/>
    <w:rsid w:val="1B3267B5"/>
    <w:rsid w:val="1B347EC4"/>
    <w:rsid w:val="1B3A2EF5"/>
    <w:rsid w:val="1B40161D"/>
    <w:rsid w:val="1B441859"/>
    <w:rsid w:val="1B6606B1"/>
    <w:rsid w:val="1B691A71"/>
    <w:rsid w:val="1B7A524E"/>
    <w:rsid w:val="1B7F79A4"/>
    <w:rsid w:val="1B9A4CAC"/>
    <w:rsid w:val="1BA10BF0"/>
    <w:rsid w:val="1BA17508"/>
    <w:rsid w:val="1BAA1065"/>
    <w:rsid w:val="1BDE16AF"/>
    <w:rsid w:val="1C120C47"/>
    <w:rsid w:val="1C1C0DAA"/>
    <w:rsid w:val="1C1D4DB8"/>
    <w:rsid w:val="1C260B1F"/>
    <w:rsid w:val="1C3D45C4"/>
    <w:rsid w:val="1C545906"/>
    <w:rsid w:val="1C5E7925"/>
    <w:rsid w:val="1C784900"/>
    <w:rsid w:val="1C7C1159"/>
    <w:rsid w:val="1C7F4EB8"/>
    <w:rsid w:val="1C8247BD"/>
    <w:rsid w:val="1CC57360"/>
    <w:rsid w:val="1CDA5BEB"/>
    <w:rsid w:val="1CDC5D0F"/>
    <w:rsid w:val="1CF079F1"/>
    <w:rsid w:val="1CFD070F"/>
    <w:rsid w:val="1D0B7BBC"/>
    <w:rsid w:val="1D0E7C74"/>
    <w:rsid w:val="1D134A68"/>
    <w:rsid w:val="1D155A24"/>
    <w:rsid w:val="1D1B2D36"/>
    <w:rsid w:val="1D250F98"/>
    <w:rsid w:val="1D297451"/>
    <w:rsid w:val="1D5F0AE2"/>
    <w:rsid w:val="1D5F6196"/>
    <w:rsid w:val="1D6132A5"/>
    <w:rsid w:val="1D6443D6"/>
    <w:rsid w:val="1D8E56D5"/>
    <w:rsid w:val="1D9F57C5"/>
    <w:rsid w:val="1D9F7F2C"/>
    <w:rsid w:val="1DAB3379"/>
    <w:rsid w:val="1DB77887"/>
    <w:rsid w:val="1DB95462"/>
    <w:rsid w:val="1DCC2523"/>
    <w:rsid w:val="1DD35E4C"/>
    <w:rsid w:val="1DE47BC4"/>
    <w:rsid w:val="1DEE5809"/>
    <w:rsid w:val="1DEF4667"/>
    <w:rsid w:val="1DFE3B16"/>
    <w:rsid w:val="1E075D4C"/>
    <w:rsid w:val="1E0C05FB"/>
    <w:rsid w:val="1E240851"/>
    <w:rsid w:val="1E28459D"/>
    <w:rsid w:val="1E337B02"/>
    <w:rsid w:val="1E5454CD"/>
    <w:rsid w:val="1E593E4B"/>
    <w:rsid w:val="1E5F5829"/>
    <w:rsid w:val="1E6B4F9D"/>
    <w:rsid w:val="1E7A43DA"/>
    <w:rsid w:val="1E8157EC"/>
    <w:rsid w:val="1E833D58"/>
    <w:rsid w:val="1E8E4CE5"/>
    <w:rsid w:val="1E97719A"/>
    <w:rsid w:val="1EA0049D"/>
    <w:rsid w:val="1EB519F5"/>
    <w:rsid w:val="1EBB74FC"/>
    <w:rsid w:val="1ECC5331"/>
    <w:rsid w:val="1ED6275E"/>
    <w:rsid w:val="1EE77990"/>
    <w:rsid w:val="1F0726EE"/>
    <w:rsid w:val="1F0760DA"/>
    <w:rsid w:val="1F0B30A6"/>
    <w:rsid w:val="1F24428F"/>
    <w:rsid w:val="1F3A095E"/>
    <w:rsid w:val="1F3C7DAD"/>
    <w:rsid w:val="1F436BAF"/>
    <w:rsid w:val="1F444838"/>
    <w:rsid w:val="1F4B68D8"/>
    <w:rsid w:val="1F522CC9"/>
    <w:rsid w:val="1F8161A8"/>
    <w:rsid w:val="1F8E265F"/>
    <w:rsid w:val="1FB867C3"/>
    <w:rsid w:val="1FD662B7"/>
    <w:rsid w:val="1FD76A35"/>
    <w:rsid w:val="1FE7539E"/>
    <w:rsid w:val="1FEB1BF4"/>
    <w:rsid w:val="1FED2976"/>
    <w:rsid w:val="1FFF47DB"/>
    <w:rsid w:val="200C12C9"/>
    <w:rsid w:val="201A02A5"/>
    <w:rsid w:val="203930CC"/>
    <w:rsid w:val="205133C7"/>
    <w:rsid w:val="20671BE0"/>
    <w:rsid w:val="20674EBC"/>
    <w:rsid w:val="2073172D"/>
    <w:rsid w:val="20880F86"/>
    <w:rsid w:val="208B03F9"/>
    <w:rsid w:val="209170DB"/>
    <w:rsid w:val="20963CB8"/>
    <w:rsid w:val="20A62904"/>
    <w:rsid w:val="20A81A1B"/>
    <w:rsid w:val="20B07FB6"/>
    <w:rsid w:val="20B646FB"/>
    <w:rsid w:val="20C3345E"/>
    <w:rsid w:val="20C40F7B"/>
    <w:rsid w:val="20D702BD"/>
    <w:rsid w:val="20D92001"/>
    <w:rsid w:val="20D95678"/>
    <w:rsid w:val="20E75E62"/>
    <w:rsid w:val="20F77483"/>
    <w:rsid w:val="20FA4F8E"/>
    <w:rsid w:val="21007DFA"/>
    <w:rsid w:val="210921AB"/>
    <w:rsid w:val="21160118"/>
    <w:rsid w:val="212715F2"/>
    <w:rsid w:val="21272B1A"/>
    <w:rsid w:val="21385A22"/>
    <w:rsid w:val="213B74B1"/>
    <w:rsid w:val="214236A0"/>
    <w:rsid w:val="21527EEC"/>
    <w:rsid w:val="21596362"/>
    <w:rsid w:val="215A2310"/>
    <w:rsid w:val="215D5A2B"/>
    <w:rsid w:val="218B4373"/>
    <w:rsid w:val="219905A2"/>
    <w:rsid w:val="21A23753"/>
    <w:rsid w:val="21A27D72"/>
    <w:rsid w:val="21B0392B"/>
    <w:rsid w:val="21DE318A"/>
    <w:rsid w:val="21EF434C"/>
    <w:rsid w:val="21EF5B80"/>
    <w:rsid w:val="2217594F"/>
    <w:rsid w:val="22257896"/>
    <w:rsid w:val="223E3148"/>
    <w:rsid w:val="22576786"/>
    <w:rsid w:val="22576990"/>
    <w:rsid w:val="225D6D8C"/>
    <w:rsid w:val="2274268B"/>
    <w:rsid w:val="22750223"/>
    <w:rsid w:val="227F4A94"/>
    <w:rsid w:val="228C6399"/>
    <w:rsid w:val="229C5E6F"/>
    <w:rsid w:val="22A6156D"/>
    <w:rsid w:val="22C50060"/>
    <w:rsid w:val="22CF718A"/>
    <w:rsid w:val="22D71E91"/>
    <w:rsid w:val="22DB3EA6"/>
    <w:rsid w:val="22E61813"/>
    <w:rsid w:val="22EC0C33"/>
    <w:rsid w:val="22F47480"/>
    <w:rsid w:val="22FC6F10"/>
    <w:rsid w:val="23015BD1"/>
    <w:rsid w:val="2302431D"/>
    <w:rsid w:val="23072593"/>
    <w:rsid w:val="230F565E"/>
    <w:rsid w:val="2315795E"/>
    <w:rsid w:val="232856F6"/>
    <w:rsid w:val="23493847"/>
    <w:rsid w:val="23632D97"/>
    <w:rsid w:val="236B6EB3"/>
    <w:rsid w:val="2374650B"/>
    <w:rsid w:val="237B0E30"/>
    <w:rsid w:val="23A21591"/>
    <w:rsid w:val="23CB7379"/>
    <w:rsid w:val="23D15F3D"/>
    <w:rsid w:val="23D60FF3"/>
    <w:rsid w:val="23DE1C48"/>
    <w:rsid w:val="23EC7749"/>
    <w:rsid w:val="23F55281"/>
    <w:rsid w:val="240210CD"/>
    <w:rsid w:val="242B693C"/>
    <w:rsid w:val="24364A90"/>
    <w:rsid w:val="24480CAE"/>
    <w:rsid w:val="245F044C"/>
    <w:rsid w:val="24683F62"/>
    <w:rsid w:val="24AE453C"/>
    <w:rsid w:val="24BF09F7"/>
    <w:rsid w:val="24C254EA"/>
    <w:rsid w:val="24CA68F4"/>
    <w:rsid w:val="24D12BA9"/>
    <w:rsid w:val="24D4615E"/>
    <w:rsid w:val="24EC6AAE"/>
    <w:rsid w:val="24F06389"/>
    <w:rsid w:val="24F17AA6"/>
    <w:rsid w:val="24F65AE3"/>
    <w:rsid w:val="24F74D85"/>
    <w:rsid w:val="2500157C"/>
    <w:rsid w:val="25102B02"/>
    <w:rsid w:val="252D53FE"/>
    <w:rsid w:val="25375091"/>
    <w:rsid w:val="254D3F67"/>
    <w:rsid w:val="25587E54"/>
    <w:rsid w:val="255D7F69"/>
    <w:rsid w:val="25731F99"/>
    <w:rsid w:val="25887A9C"/>
    <w:rsid w:val="259A7F19"/>
    <w:rsid w:val="25B310C3"/>
    <w:rsid w:val="25CA58CA"/>
    <w:rsid w:val="25E31D0D"/>
    <w:rsid w:val="25E333F7"/>
    <w:rsid w:val="25EB5302"/>
    <w:rsid w:val="25EC2D81"/>
    <w:rsid w:val="25F609A0"/>
    <w:rsid w:val="26183CBD"/>
    <w:rsid w:val="26272D66"/>
    <w:rsid w:val="263A7137"/>
    <w:rsid w:val="2644652C"/>
    <w:rsid w:val="264D274A"/>
    <w:rsid w:val="2667704E"/>
    <w:rsid w:val="26702AC4"/>
    <w:rsid w:val="267270A9"/>
    <w:rsid w:val="268301CC"/>
    <w:rsid w:val="26B05C92"/>
    <w:rsid w:val="26EA6BD6"/>
    <w:rsid w:val="26EC77C4"/>
    <w:rsid w:val="26F5156F"/>
    <w:rsid w:val="26FD46DC"/>
    <w:rsid w:val="273955BF"/>
    <w:rsid w:val="27397336"/>
    <w:rsid w:val="273B34CD"/>
    <w:rsid w:val="274A2A01"/>
    <w:rsid w:val="277057A2"/>
    <w:rsid w:val="279F6B89"/>
    <w:rsid w:val="27A53481"/>
    <w:rsid w:val="27BD7B62"/>
    <w:rsid w:val="27C27F3D"/>
    <w:rsid w:val="27C319D2"/>
    <w:rsid w:val="27D74339"/>
    <w:rsid w:val="28060F58"/>
    <w:rsid w:val="281B0FAC"/>
    <w:rsid w:val="281D02B9"/>
    <w:rsid w:val="281E772C"/>
    <w:rsid w:val="28210370"/>
    <w:rsid w:val="283029F2"/>
    <w:rsid w:val="28353770"/>
    <w:rsid w:val="28383806"/>
    <w:rsid w:val="28577070"/>
    <w:rsid w:val="28973B8D"/>
    <w:rsid w:val="28982CE9"/>
    <w:rsid w:val="28AA7FAD"/>
    <w:rsid w:val="28AF4361"/>
    <w:rsid w:val="28CE20BD"/>
    <w:rsid w:val="28D2012E"/>
    <w:rsid w:val="28DD4562"/>
    <w:rsid w:val="28EA49CB"/>
    <w:rsid w:val="28EF6873"/>
    <w:rsid w:val="28F0679F"/>
    <w:rsid w:val="29206EB8"/>
    <w:rsid w:val="292B4F21"/>
    <w:rsid w:val="293D3948"/>
    <w:rsid w:val="29424645"/>
    <w:rsid w:val="29424905"/>
    <w:rsid w:val="294D269A"/>
    <w:rsid w:val="295623D3"/>
    <w:rsid w:val="29595666"/>
    <w:rsid w:val="29741039"/>
    <w:rsid w:val="297547AF"/>
    <w:rsid w:val="29767E66"/>
    <w:rsid w:val="29874881"/>
    <w:rsid w:val="29992A40"/>
    <w:rsid w:val="299B65B6"/>
    <w:rsid w:val="29A56061"/>
    <w:rsid w:val="29A91CB6"/>
    <w:rsid w:val="29BA4156"/>
    <w:rsid w:val="29BC4B59"/>
    <w:rsid w:val="29D43C7E"/>
    <w:rsid w:val="29E26DED"/>
    <w:rsid w:val="29E325E0"/>
    <w:rsid w:val="29E77134"/>
    <w:rsid w:val="2A2017EE"/>
    <w:rsid w:val="2A237B7F"/>
    <w:rsid w:val="2A452503"/>
    <w:rsid w:val="2A78499F"/>
    <w:rsid w:val="2A7E4F2E"/>
    <w:rsid w:val="2A7F53C4"/>
    <w:rsid w:val="2A9E04E7"/>
    <w:rsid w:val="2ABB4A4A"/>
    <w:rsid w:val="2AC758C5"/>
    <w:rsid w:val="2ADC6A54"/>
    <w:rsid w:val="2AF20E6A"/>
    <w:rsid w:val="2AF454FE"/>
    <w:rsid w:val="2B2414AF"/>
    <w:rsid w:val="2B350556"/>
    <w:rsid w:val="2B4A3DD3"/>
    <w:rsid w:val="2B5A1F0D"/>
    <w:rsid w:val="2B8F715C"/>
    <w:rsid w:val="2B973DB9"/>
    <w:rsid w:val="2BA107CE"/>
    <w:rsid w:val="2BA30C41"/>
    <w:rsid w:val="2BA936A8"/>
    <w:rsid w:val="2BD12450"/>
    <w:rsid w:val="2BDD1D3B"/>
    <w:rsid w:val="2BF350EA"/>
    <w:rsid w:val="2C0022CB"/>
    <w:rsid w:val="2C05009B"/>
    <w:rsid w:val="2C120BAB"/>
    <w:rsid w:val="2C140D10"/>
    <w:rsid w:val="2C141BB4"/>
    <w:rsid w:val="2C23682C"/>
    <w:rsid w:val="2C315A5A"/>
    <w:rsid w:val="2C4472B9"/>
    <w:rsid w:val="2C4B1C25"/>
    <w:rsid w:val="2C561478"/>
    <w:rsid w:val="2C5C0733"/>
    <w:rsid w:val="2C902310"/>
    <w:rsid w:val="2CCC0A3E"/>
    <w:rsid w:val="2CCC41E1"/>
    <w:rsid w:val="2CED091F"/>
    <w:rsid w:val="2D02574A"/>
    <w:rsid w:val="2D1F6805"/>
    <w:rsid w:val="2D6D68C3"/>
    <w:rsid w:val="2D8278DA"/>
    <w:rsid w:val="2D9D43C1"/>
    <w:rsid w:val="2D9E56F5"/>
    <w:rsid w:val="2DA34711"/>
    <w:rsid w:val="2DAA06BA"/>
    <w:rsid w:val="2DB368DF"/>
    <w:rsid w:val="2DB865AA"/>
    <w:rsid w:val="2DBA7F3E"/>
    <w:rsid w:val="2DBE4E4F"/>
    <w:rsid w:val="2DBE5874"/>
    <w:rsid w:val="2DC05FD5"/>
    <w:rsid w:val="2DCB0944"/>
    <w:rsid w:val="2DD36BBE"/>
    <w:rsid w:val="2DD51E88"/>
    <w:rsid w:val="2DD53B61"/>
    <w:rsid w:val="2DDC69A0"/>
    <w:rsid w:val="2DE42603"/>
    <w:rsid w:val="2DF5591D"/>
    <w:rsid w:val="2DFA4F01"/>
    <w:rsid w:val="2E046A78"/>
    <w:rsid w:val="2E4902D8"/>
    <w:rsid w:val="2E49080E"/>
    <w:rsid w:val="2E5800FA"/>
    <w:rsid w:val="2E667F96"/>
    <w:rsid w:val="2E7035E1"/>
    <w:rsid w:val="2E8226AB"/>
    <w:rsid w:val="2E831EB9"/>
    <w:rsid w:val="2E945718"/>
    <w:rsid w:val="2EA1432C"/>
    <w:rsid w:val="2EAA4A65"/>
    <w:rsid w:val="2EB71149"/>
    <w:rsid w:val="2EDF39AA"/>
    <w:rsid w:val="2EEA6CA7"/>
    <w:rsid w:val="2EEC5CE3"/>
    <w:rsid w:val="2F0171C0"/>
    <w:rsid w:val="2F13069C"/>
    <w:rsid w:val="2F1902D3"/>
    <w:rsid w:val="2F495C0D"/>
    <w:rsid w:val="2F6E4AF3"/>
    <w:rsid w:val="2FA82292"/>
    <w:rsid w:val="2FB7133D"/>
    <w:rsid w:val="2FBC2A84"/>
    <w:rsid w:val="2FD065E6"/>
    <w:rsid w:val="2FD96870"/>
    <w:rsid w:val="2FE1071D"/>
    <w:rsid w:val="30124FE9"/>
    <w:rsid w:val="301D5419"/>
    <w:rsid w:val="302F4458"/>
    <w:rsid w:val="30387EAD"/>
    <w:rsid w:val="304513A8"/>
    <w:rsid w:val="30580BC9"/>
    <w:rsid w:val="30915FA7"/>
    <w:rsid w:val="30955EFD"/>
    <w:rsid w:val="309F1691"/>
    <w:rsid w:val="30A53377"/>
    <w:rsid w:val="30C426E0"/>
    <w:rsid w:val="30EA350E"/>
    <w:rsid w:val="30F72E37"/>
    <w:rsid w:val="310F7AF1"/>
    <w:rsid w:val="311E2ED7"/>
    <w:rsid w:val="31216E03"/>
    <w:rsid w:val="31413F0A"/>
    <w:rsid w:val="314E4ACF"/>
    <w:rsid w:val="31515EE0"/>
    <w:rsid w:val="3153720F"/>
    <w:rsid w:val="315619EE"/>
    <w:rsid w:val="315C449C"/>
    <w:rsid w:val="31641886"/>
    <w:rsid w:val="31851D4C"/>
    <w:rsid w:val="318D2135"/>
    <w:rsid w:val="3193683C"/>
    <w:rsid w:val="319B0C4E"/>
    <w:rsid w:val="319F1B54"/>
    <w:rsid w:val="31A11E11"/>
    <w:rsid w:val="31A82302"/>
    <w:rsid w:val="31B82709"/>
    <w:rsid w:val="31B90567"/>
    <w:rsid w:val="31D05482"/>
    <w:rsid w:val="31E55B85"/>
    <w:rsid w:val="320044D9"/>
    <w:rsid w:val="3203728D"/>
    <w:rsid w:val="320568A7"/>
    <w:rsid w:val="32092893"/>
    <w:rsid w:val="320B3F53"/>
    <w:rsid w:val="32110F14"/>
    <w:rsid w:val="321751AA"/>
    <w:rsid w:val="32271EE0"/>
    <w:rsid w:val="32322334"/>
    <w:rsid w:val="32400B34"/>
    <w:rsid w:val="32477554"/>
    <w:rsid w:val="324A3D2A"/>
    <w:rsid w:val="324F798F"/>
    <w:rsid w:val="32627A4B"/>
    <w:rsid w:val="32675E48"/>
    <w:rsid w:val="326B6AAD"/>
    <w:rsid w:val="32711639"/>
    <w:rsid w:val="327C2D8A"/>
    <w:rsid w:val="32960857"/>
    <w:rsid w:val="329B3436"/>
    <w:rsid w:val="329D5C14"/>
    <w:rsid w:val="329E6876"/>
    <w:rsid w:val="32B961AA"/>
    <w:rsid w:val="32EF48D1"/>
    <w:rsid w:val="330A2A72"/>
    <w:rsid w:val="3315740A"/>
    <w:rsid w:val="332C3A8E"/>
    <w:rsid w:val="333015F2"/>
    <w:rsid w:val="3347031E"/>
    <w:rsid w:val="334B6320"/>
    <w:rsid w:val="334E53E4"/>
    <w:rsid w:val="335A3CED"/>
    <w:rsid w:val="33840F93"/>
    <w:rsid w:val="338B4B90"/>
    <w:rsid w:val="339639BC"/>
    <w:rsid w:val="339A3963"/>
    <w:rsid w:val="33A633C1"/>
    <w:rsid w:val="33B069F3"/>
    <w:rsid w:val="33BA3067"/>
    <w:rsid w:val="33BE3D30"/>
    <w:rsid w:val="33D934D4"/>
    <w:rsid w:val="33DC00FC"/>
    <w:rsid w:val="33DD2377"/>
    <w:rsid w:val="33E51E26"/>
    <w:rsid w:val="33E712B4"/>
    <w:rsid w:val="33FE2F6A"/>
    <w:rsid w:val="340E07E5"/>
    <w:rsid w:val="340F6B04"/>
    <w:rsid w:val="341E060A"/>
    <w:rsid w:val="34235BF7"/>
    <w:rsid w:val="342A5857"/>
    <w:rsid w:val="34394098"/>
    <w:rsid w:val="34443107"/>
    <w:rsid w:val="34531D54"/>
    <w:rsid w:val="34711CDA"/>
    <w:rsid w:val="34A44CA9"/>
    <w:rsid w:val="34AF432C"/>
    <w:rsid w:val="34B577A1"/>
    <w:rsid w:val="34C359AB"/>
    <w:rsid w:val="34CB3C12"/>
    <w:rsid w:val="34D349E4"/>
    <w:rsid w:val="34D959A3"/>
    <w:rsid w:val="34EC3ACD"/>
    <w:rsid w:val="34F33F47"/>
    <w:rsid w:val="34FE2F5C"/>
    <w:rsid w:val="35002256"/>
    <w:rsid w:val="352D7864"/>
    <w:rsid w:val="35307965"/>
    <w:rsid w:val="353153D0"/>
    <w:rsid w:val="3541751D"/>
    <w:rsid w:val="354919FE"/>
    <w:rsid w:val="35613CB8"/>
    <w:rsid w:val="35642748"/>
    <w:rsid w:val="356B722F"/>
    <w:rsid w:val="358C5FA8"/>
    <w:rsid w:val="359458AC"/>
    <w:rsid w:val="35A50096"/>
    <w:rsid w:val="35C15DF1"/>
    <w:rsid w:val="35C66F86"/>
    <w:rsid w:val="35DA224F"/>
    <w:rsid w:val="35F80CB6"/>
    <w:rsid w:val="36074A7F"/>
    <w:rsid w:val="360A1313"/>
    <w:rsid w:val="360A48DE"/>
    <w:rsid w:val="360D7C22"/>
    <w:rsid w:val="36137620"/>
    <w:rsid w:val="3620540F"/>
    <w:rsid w:val="362950F1"/>
    <w:rsid w:val="364C5135"/>
    <w:rsid w:val="36591407"/>
    <w:rsid w:val="365B1675"/>
    <w:rsid w:val="368B4878"/>
    <w:rsid w:val="368F74AC"/>
    <w:rsid w:val="36923549"/>
    <w:rsid w:val="36A8387F"/>
    <w:rsid w:val="36B75FBF"/>
    <w:rsid w:val="36BD0C45"/>
    <w:rsid w:val="36CC46FF"/>
    <w:rsid w:val="36DA13B2"/>
    <w:rsid w:val="36E80544"/>
    <w:rsid w:val="36EC3DB0"/>
    <w:rsid w:val="36FE53AE"/>
    <w:rsid w:val="37181895"/>
    <w:rsid w:val="372C151F"/>
    <w:rsid w:val="373F6050"/>
    <w:rsid w:val="37822EBF"/>
    <w:rsid w:val="37A33A45"/>
    <w:rsid w:val="37A76292"/>
    <w:rsid w:val="37A928EB"/>
    <w:rsid w:val="37BB5715"/>
    <w:rsid w:val="37DA083C"/>
    <w:rsid w:val="37DC109A"/>
    <w:rsid w:val="37E00298"/>
    <w:rsid w:val="380B7744"/>
    <w:rsid w:val="386C4F6B"/>
    <w:rsid w:val="38733E92"/>
    <w:rsid w:val="3883226D"/>
    <w:rsid w:val="38A01170"/>
    <w:rsid w:val="38A31456"/>
    <w:rsid w:val="38AD6CC6"/>
    <w:rsid w:val="38B302F9"/>
    <w:rsid w:val="38CB3BD6"/>
    <w:rsid w:val="38E833CA"/>
    <w:rsid w:val="38F12CD3"/>
    <w:rsid w:val="38F94775"/>
    <w:rsid w:val="3903091B"/>
    <w:rsid w:val="391E2429"/>
    <w:rsid w:val="39293B29"/>
    <w:rsid w:val="392971ED"/>
    <w:rsid w:val="3930449D"/>
    <w:rsid w:val="3931044E"/>
    <w:rsid w:val="39313CEA"/>
    <w:rsid w:val="39325651"/>
    <w:rsid w:val="393E64A9"/>
    <w:rsid w:val="39405A41"/>
    <w:rsid w:val="39406C71"/>
    <w:rsid w:val="396C792D"/>
    <w:rsid w:val="39812CEF"/>
    <w:rsid w:val="399A1D33"/>
    <w:rsid w:val="39C22DF7"/>
    <w:rsid w:val="39CC04B4"/>
    <w:rsid w:val="39CE2F5A"/>
    <w:rsid w:val="39D13E0B"/>
    <w:rsid w:val="39D81E5B"/>
    <w:rsid w:val="39FB0AA2"/>
    <w:rsid w:val="39FD6FB5"/>
    <w:rsid w:val="3A205839"/>
    <w:rsid w:val="3A3B4DC3"/>
    <w:rsid w:val="3A76438D"/>
    <w:rsid w:val="3A872856"/>
    <w:rsid w:val="3A896F04"/>
    <w:rsid w:val="3AA74759"/>
    <w:rsid w:val="3AB94EDA"/>
    <w:rsid w:val="3ABA4864"/>
    <w:rsid w:val="3ADA2F46"/>
    <w:rsid w:val="3AF50731"/>
    <w:rsid w:val="3B0235EB"/>
    <w:rsid w:val="3B3045D6"/>
    <w:rsid w:val="3B355599"/>
    <w:rsid w:val="3B3763D1"/>
    <w:rsid w:val="3B3C54EE"/>
    <w:rsid w:val="3B3C7825"/>
    <w:rsid w:val="3B3E6D65"/>
    <w:rsid w:val="3B41449C"/>
    <w:rsid w:val="3B496674"/>
    <w:rsid w:val="3B7B591C"/>
    <w:rsid w:val="3B8E09CD"/>
    <w:rsid w:val="3B8E74DD"/>
    <w:rsid w:val="3B9C1858"/>
    <w:rsid w:val="3BBF2A6F"/>
    <w:rsid w:val="3BC35485"/>
    <w:rsid w:val="3BED05E9"/>
    <w:rsid w:val="3BED6F9D"/>
    <w:rsid w:val="3BF144ED"/>
    <w:rsid w:val="3C1330B4"/>
    <w:rsid w:val="3C224794"/>
    <w:rsid w:val="3C266DD4"/>
    <w:rsid w:val="3C2F6E1E"/>
    <w:rsid w:val="3C4F64BA"/>
    <w:rsid w:val="3C5B34B7"/>
    <w:rsid w:val="3C9662B9"/>
    <w:rsid w:val="3C99304E"/>
    <w:rsid w:val="3C996AA0"/>
    <w:rsid w:val="3C9F49D3"/>
    <w:rsid w:val="3CB019F6"/>
    <w:rsid w:val="3CB80437"/>
    <w:rsid w:val="3CC273C1"/>
    <w:rsid w:val="3CDA245A"/>
    <w:rsid w:val="3CE0774E"/>
    <w:rsid w:val="3CF3602D"/>
    <w:rsid w:val="3D047CB1"/>
    <w:rsid w:val="3D100D70"/>
    <w:rsid w:val="3D176265"/>
    <w:rsid w:val="3D1E06B7"/>
    <w:rsid w:val="3D237FDC"/>
    <w:rsid w:val="3D2A6939"/>
    <w:rsid w:val="3D3D7258"/>
    <w:rsid w:val="3D4C6848"/>
    <w:rsid w:val="3D576632"/>
    <w:rsid w:val="3D5D2C76"/>
    <w:rsid w:val="3D6945BE"/>
    <w:rsid w:val="3D6F5762"/>
    <w:rsid w:val="3D752CEC"/>
    <w:rsid w:val="3D980402"/>
    <w:rsid w:val="3D9A384D"/>
    <w:rsid w:val="3D9F76BF"/>
    <w:rsid w:val="3DAE3857"/>
    <w:rsid w:val="3DBB57DA"/>
    <w:rsid w:val="3DD95686"/>
    <w:rsid w:val="3DF518D1"/>
    <w:rsid w:val="3DFA70E5"/>
    <w:rsid w:val="3E2345C9"/>
    <w:rsid w:val="3E273B8B"/>
    <w:rsid w:val="3E640AF8"/>
    <w:rsid w:val="3EAA00DB"/>
    <w:rsid w:val="3EDA0523"/>
    <w:rsid w:val="3EE278B5"/>
    <w:rsid w:val="3EE823F9"/>
    <w:rsid w:val="3F015990"/>
    <w:rsid w:val="3F3362ED"/>
    <w:rsid w:val="3F4421E8"/>
    <w:rsid w:val="3F48406F"/>
    <w:rsid w:val="3F4F1B52"/>
    <w:rsid w:val="3F553510"/>
    <w:rsid w:val="3F704095"/>
    <w:rsid w:val="3F7A3C91"/>
    <w:rsid w:val="3F8270E9"/>
    <w:rsid w:val="3F8C7334"/>
    <w:rsid w:val="3F977902"/>
    <w:rsid w:val="3FBE1C45"/>
    <w:rsid w:val="3FBE3C19"/>
    <w:rsid w:val="3FC60F23"/>
    <w:rsid w:val="3FDB6197"/>
    <w:rsid w:val="3FF6615F"/>
    <w:rsid w:val="3FF92E48"/>
    <w:rsid w:val="400003C3"/>
    <w:rsid w:val="40090E2A"/>
    <w:rsid w:val="400A2300"/>
    <w:rsid w:val="400D4378"/>
    <w:rsid w:val="40113FA1"/>
    <w:rsid w:val="401B0D3A"/>
    <w:rsid w:val="403E4E33"/>
    <w:rsid w:val="40461100"/>
    <w:rsid w:val="4048547E"/>
    <w:rsid w:val="40490D2A"/>
    <w:rsid w:val="407A6407"/>
    <w:rsid w:val="408269BB"/>
    <w:rsid w:val="40867B82"/>
    <w:rsid w:val="40B96954"/>
    <w:rsid w:val="40BE0D98"/>
    <w:rsid w:val="40C6671E"/>
    <w:rsid w:val="40EE2963"/>
    <w:rsid w:val="41021083"/>
    <w:rsid w:val="41022AB1"/>
    <w:rsid w:val="41120B04"/>
    <w:rsid w:val="41281C2C"/>
    <w:rsid w:val="412D29F9"/>
    <w:rsid w:val="4138076D"/>
    <w:rsid w:val="41534D63"/>
    <w:rsid w:val="416C266D"/>
    <w:rsid w:val="418265F0"/>
    <w:rsid w:val="41864E63"/>
    <w:rsid w:val="418D4347"/>
    <w:rsid w:val="41954C96"/>
    <w:rsid w:val="41C6578D"/>
    <w:rsid w:val="41D149BB"/>
    <w:rsid w:val="41D30D94"/>
    <w:rsid w:val="41FD71C2"/>
    <w:rsid w:val="41FF5006"/>
    <w:rsid w:val="4200449D"/>
    <w:rsid w:val="421A16E9"/>
    <w:rsid w:val="42395178"/>
    <w:rsid w:val="423A3BCC"/>
    <w:rsid w:val="42464429"/>
    <w:rsid w:val="424E57D2"/>
    <w:rsid w:val="42501183"/>
    <w:rsid w:val="425D3D93"/>
    <w:rsid w:val="42643271"/>
    <w:rsid w:val="42801BF5"/>
    <w:rsid w:val="42822686"/>
    <w:rsid w:val="428C5170"/>
    <w:rsid w:val="42904E8E"/>
    <w:rsid w:val="429A283D"/>
    <w:rsid w:val="42B26C49"/>
    <w:rsid w:val="42B334BF"/>
    <w:rsid w:val="42B87C0C"/>
    <w:rsid w:val="42C32ADB"/>
    <w:rsid w:val="42DE05AD"/>
    <w:rsid w:val="42DF1515"/>
    <w:rsid w:val="42F11D2D"/>
    <w:rsid w:val="42F82A69"/>
    <w:rsid w:val="42FF3166"/>
    <w:rsid w:val="430376DE"/>
    <w:rsid w:val="431C4B46"/>
    <w:rsid w:val="431F22DB"/>
    <w:rsid w:val="432A2DAB"/>
    <w:rsid w:val="432C4B07"/>
    <w:rsid w:val="433A6FE6"/>
    <w:rsid w:val="43480868"/>
    <w:rsid w:val="434F764C"/>
    <w:rsid w:val="4350713C"/>
    <w:rsid w:val="435A31DD"/>
    <w:rsid w:val="436653E0"/>
    <w:rsid w:val="436C3EB2"/>
    <w:rsid w:val="437609F5"/>
    <w:rsid w:val="43984049"/>
    <w:rsid w:val="43B435FB"/>
    <w:rsid w:val="43C4431A"/>
    <w:rsid w:val="43CB255C"/>
    <w:rsid w:val="43E2637E"/>
    <w:rsid w:val="43EB1A4C"/>
    <w:rsid w:val="43EE5BB4"/>
    <w:rsid w:val="43F869A9"/>
    <w:rsid w:val="44250DB1"/>
    <w:rsid w:val="442C4EFF"/>
    <w:rsid w:val="443F7A73"/>
    <w:rsid w:val="4440008B"/>
    <w:rsid w:val="4452287B"/>
    <w:rsid w:val="44632C7A"/>
    <w:rsid w:val="446B75A3"/>
    <w:rsid w:val="44B951CC"/>
    <w:rsid w:val="44BD40EB"/>
    <w:rsid w:val="44C202F4"/>
    <w:rsid w:val="44CD14E0"/>
    <w:rsid w:val="44D35254"/>
    <w:rsid w:val="44F20B0B"/>
    <w:rsid w:val="44FC6234"/>
    <w:rsid w:val="44FD48A1"/>
    <w:rsid w:val="45206F43"/>
    <w:rsid w:val="452E5F4C"/>
    <w:rsid w:val="45471DC8"/>
    <w:rsid w:val="45483131"/>
    <w:rsid w:val="45573349"/>
    <w:rsid w:val="4558182A"/>
    <w:rsid w:val="45612018"/>
    <w:rsid w:val="456C7FB3"/>
    <w:rsid w:val="456F14C8"/>
    <w:rsid w:val="4574312F"/>
    <w:rsid w:val="457B17FB"/>
    <w:rsid w:val="458946E9"/>
    <w:rsid w:val="45981C9B"/>
    <w:rsid w:val="45A47C0E"/>
    <w:rsid w:val="45AB0377"/>
    <w:rsid w:val="45BA5FD0"/>
    <w:rsid w:val="45C50224"/>
    <w:rsid w:val="45CF195C"/>
    <w:rsid w:val="45D049B8"/>
    <w:rsid w:val="45D6004D"/>
    <w:rsid w:val="45F05DCF"/>
    <w:rsid w:val="46577FD6"/>
    <w:rsid w:val="46676949"/>
    <w:rsid w:val="467A0379"/>
    <w:rsid w:val="468C44CF"/>
    <w:rsid w:val="469231C3"/>
    <w:rsid w:val="46942350"/>
    <w:rsid w:val="46A86FFD"/>
    <w:rsid w:val="46D84DF1"/>
    <w:rsid w:val="46D955A7"/>
    <w:rsid w:val="46E24478"/>
    <w:rsid w:val="46E53B90"/>
    <w:rsid w:val="47133957"/>
    <w:rsid w:val="47154D2D"/>
    <w:rsid w:val="4725528A"/>
    <w:rsid w:val="47316912"/>
    <w:rsid w:val="4751617A"/>
    <w:rsid w:val="47545DA0"/>
    <w:rsid w:val="475602DC"/>
    <w:rsid w:val="47614EA5"/>
    <w:rsid w:val="47683AF5"/>
    <w:rsid w:val="477320E6"/>
    <w:rsid w:val="4785442A"/>
    <w:rsid w:val="478F1F30"/>
    <w:rsid w:val="4791488A"/>
    <w:rsid w:val="47A07E0C"/>
    <w:rsid w:val="47AD762B"/>
    <w:rsid w:val="47D2697D"/>
    <w:rsid w:val="47D42FEB"/>
    <w:rsid w:val="47F65DCC"/>
    <w:rsid w:val="47F72A0D"/>
    <w:rsid w:val="47FA3A1D"/>
    <w:rsid w:val="47FA6DAB"/>
    <w:rsid w:val="48021396"/>
    <w:rsid w:val="48034EA9"/>
    <w:rsid w:val="4804269F"/>
    <w:rsid w:val="48304AB1"/>
    <w:rsid w:val="48570B5B"/>
    <w:rsid w:val="4870272E"/>
    <w:rsid w:val="487C6A34"/>
    <w:rsid w:val="487D7B7B"/>
    <w:rsid w:val="48864BA1"/>
    <w:rsid w:val="488A2FA2"/>
    <w:rsid w:val="488B6D72"/>
    <w:rsid w:val="48B64CF5"/>
    <w:rsid w:val="48CE5A3F"/>
    <w:rsid w:val="48E11FE9"/>
    <w:rsid w:val="48F042C6"/>
    <w:rsid w:val="48F06FE3"/>
    <w:rsid w:val="48F139EF"/>
    <w:rsid w:val="490265E0"/>
    <w:rsid w:val="49240852"/>
    <w:rsid w:val="49247968"/>
    <w:rsid w:val="49431726"/>
    <w:rsid w:val="495C0735"/>
    <w:rsid w:val="49630A77"/>
    <w:rsid w:val="497815D1"/>
    <w:rsid w:val="497F50F8"/>
    <w:rsid w:val="498132AE"/>
    <w:rsid w:val="498F2536"/>
    <w:rsid w:val="4990784C"/>
    <w:rsid w:val="49941505"/>
    <w:rsid w:val="4996767A"/>
    <w:rsid w:val="49A23C37"/>
    <w:rsid w:val="49AF228B"/>
    <w:rsid w:val="49C5260D"/>
    <w:rsid w:val="49C93C12"/>
    <w:rsid w:val="49DC7715"/>
    <w:rsid w:val="49E538CB"/>
    <w:rsid w:val="4A023139"/>
    <w:rsid w:val="4A1A06B6"/>
    <w:rsid w:val="4A1B34A0"/>
    <w:rsid w:val="4A1F0781"/>
    <w:rsid w:val="4A260DD1"/>
    <w:rsid w:val="4A5E6CBA"/>
    <w:rsid w:val="4A74087D"/>
    <w:rsid w:val="4A777519"/>
    <w:rsid w:val="4A7B576F"/>
    <w:rsid w:val="4A8C740D"/>
    <w:rsid w:val="4A8F086C"/>
    <w:rsid w:val="4A933728"/>
    <w:rsid w:val="4AB42374"/>
    <w:rsid w:val="4ABC2D06"/>
    <w:rsid w:val="4AC622AD"/>
    <w:rsid w:val="4AE07FD7"/>
    <w:rsid w:val="4AEB6C4D"/>
    <w:rsid w:val="4AEB7ABB"/>
    <w:rsid w:val="4AF02016"/>
    <w:rsid w:val="4AF561A9"/>
    <w:rsid w:val="4B432EDC"/>
    <w:rsid w:val="4B4609E1"/>
    <w:rsid w:val="4B4C2418"/>
    <w:rsid w:val="4B7259FB"/>
    <w:rsid w:val="4B817C1C"/>
    <w:rsid w:val="4B8E31D6"/>
    <w:rsid w:val="4BA44460"/>
    <w:rsid w:val="4BAB66C7"/>
    <w:rsid w:val="4BB46A14"/>
    <w:rsid w:val="4BC25623"/>
    <w:rsid w:val="4BE41E33"/>
    <w:rsid w:val="4BF653B0"/>
    <w:rsid w:val="4C0D0879"/>
    <w:rsid w:val="4C0E3AF9"/>
    <w:rsid w:val="4C243294"/>
    <w:rsid w:val="4C255743"/>
    <w:rsid w:val="4C30135A"/>
    <w:rsid w:val="4C314E13"/>
    <w:rsid w:val="4C4A0649"/>
    <w:rsid w:val="4C547EA1"/>
    <w:rsid w:val="4C631DCA"/>
    <w:rsid w:val="4C670CC3"/>
    <w:rsid w:val="4C717C0E"/>
    <w:rsid w:val="4C7E5ECA"/>
    <w:rsid w:val="4C836F13"/>
    <w:rsid w:val="4C876AA5"/>
    <w:rsid w:val="4C976B62"/>
    <w:rsid w:val="4CAC0ADC"/>
    <w:rsid w:val="4CC007F4"/>
    <w:rsid w:val="4CDD48D2"/>
    <w:rsid w:val="4CF2229D"/>
    <w:rsid w:val="4CF7112B"/>
    <w:rsid w:val="4D021BBB"/>
    <w:rsid w:val="4D0E00FB"/>
    <w:rsid w:val="4D13189E"/>
    <w:rsid w:val="4D176606"/>
    <w:rsid w:val="4D1E0EDE"/>
    <w:rsid w:val="4D35541E"/>
    <w:rsid w:val="4D515387"/>
    <w:rsid w:val="4D6316C6"/>
    <w:rsid w:val="4D6B2E95"/>
    <w:rsid w:val="4D827B11"/>
    <w:rsid w:val="4D8549D6"/>
    <w:rsid w:val="4D862EA7"/>
    <w:rsid w:val="4D981285"/>
    <w:rsid w:val="4DCC29AD"/>
    <w:rsid w:val="4DE32FBD"/>
    <w:rsid w:val="4DE935B1"/>
    <w:rsid w:val="4DEC2A2A"/>
    <w:rsid w:val="4DEC4FB0"/>
    <w:rsid w:val="4DEC71A4"/>
    <w:rsid w:val="4DF6247A"/>
    <w:rsid w:val="4E074253"/>
    <w:rsid w:val="4E075D8A"/>
    <w:rsid w:val="4E080E3C"/>
    <w:rsid w:val="4E2C1416"/>
    <w:rsid w:val="4E3562AD"/>
    <w:rsid w:val="4E384183"/>
    <w:rsid w:val="4E454B76"/>
    <w:rsid w:val="4E5D6A97"/>
    <w:rsid w:val="4E631EBA"/>
    <w:rsid w:val="4E7046CE"/>
    <w:rsid w:val="4EB06C2F"/>
    <w:rsid w:val="4EC00FAD"/>
    <w:rsid w:val="4EC10DC4"/>
    <w:rsid w:val="4ED043F7"/>
    <w:rsid w:val="4EFE4FDC"/>
    <w:rsid w:val="4F087DF3"/>
    <w:rsid w:val="4F2675CB"/>
    <w:rsid w:val="4F2A20D9"/>
    <w:rsid w:val="4F371DC9"/>
    <w:rsid w:val="4F5F2F40"/>
    <w:rsid w:val="4F6A559E"/>
    <w:rsid w:val="4F796B43"/>
    <w:rsid w:val="4F9843DC"/>
    <w:rsid w:val="4F9F2787"/>
    <w:rsid w:val="4FBB0E89"/>
    <w:rsid w:val="4FC62A8C"/>
    <w:rsid w:val="4FE20F0D"/>
    <w:rsid w:val="4FE51552"/>
    <w:rsid w:val="4FE93172"/>
    <w:rsid w:val="4FF01E68"/>
    <w:rsid w:val="50075962"/>
    <w:rsid w:val="50236E00"/>
    <w:rsid w:val="50400422"/>
    <w:rsid w:val="504D0516"/>
    <w:rsid w:val="50504C4B"/>
    <w:rsid w:val="505740FE"/>
    <w:rsid w:val="50615445"/>
    <w:rsid w:val="506E0818"/>
    <w:rsid w:val="506E1CD8"/>
    <w:rsid w:val="507549A9"/>
    <w:rsid w:val="50771B37"/>
    <w:rsid w:val="508F192D"/>
    <w:rsid w:val="50932C6C"/>
    <w:rsid w:val="509771CF"/>
    <w:rsid w:val="509C3131"/>
    <w:rsid w:val="509C6E7C"/>
    <w:rsid w:val="50B830DE"/>
    <w:rsid w:val="50BA3681"/>
    <w:rsid w:val="50D92598"/>
    <w:rsid w:val="50DD2C6C"/>
    <w:rsid w:val="50E8799A"/>
    <w:rsid w:val="51046FBA"/>
    <w:rsid w:val="511C6471"/>
    <w:rsid w:val="513E231C"/>
    <w:rsid w:val="514D7438"/>
    <w:rsid w:val="51506282"/>
    <w:rsid w:val="51575F50"/>
    <w:rsid w:val="5162104E"/>
    <w:rsid w:val="5166088A"/>
    <w:rsid w:val="516E2B1E"/>
    <w:rsid w:val="517A0E7E"/>
    <w:rsid w:val="51A042EB"/>
    <w:rsid w:val="51A617B6"/>
    <w:rsid w:val="51A80EC7"/>
    <w:rsid w:val="51AE1BE9"/>
    <w:rsid w:val="51BD014A"/>
    <w:rsid w:val="51BF5F7F"/>
    <w:rsid w:val="51C31500"/>
    <w:rsid w:val="51D27E2D"/>
    <w:rsid w:val="51E70A9B"/>
    <w:rsid w:val="5211541B"/>
    <w:rsid w:val="52162165"/>
    <w:rsid w:val="522B1A3F"/>
    <w:rsid w:val="522B1EE4"/>
    <w:rsid w:val="522B7999"/>
    <w:rsid w:val="52403CEA"/>
    <w:rsid w:val="5242312A"/>
    <w:rsid w:val="524975F5"/>
    <w:rsid w:val="5250574F"/>
    <w:rsid w:val="525428FD"/>
    <w:rsid w:val="526F0C9E"/>
    <w:rsid w:val="528E6ED2"/>
    <w:rsid w:val="52AA6D27"/>
    <w:rsid w:val="52BE718F"/>
    <w:rsid w:val="52C21973"/>
    <w:rsid w:val="52D672F2"/>
    <w:rsid w:val="52EA6227"/>
    <w:rsid w:val="5308364E"/>
    <w:rsid w:val="53132EB4"/>
    <w:rsid w:val="531D7777"/>
    <w:rsid w:val="53353AE4"/>
    <w:rsid w:val="533818B5"/>
    <w:rsid w:val="533B54C9"/>
    <w:rsid w:val="53A039CC"/>
    <w:rsid w:val="53A1505A"/>
    <w:rsid w:val="53B42990"/>
    <w:rsid w:val="53D750E9"/>
    <w:rsid w:val="53E26AD0"/>
    <w:rsid w:val="53EE40AF"/>
    <w:rsid w:val="53F63099"/>
    <w:rsid w:val="54063E08"/>
    <w:rsid w:val="543437E8"/>
    <w:rsid w:val="54392785"/>
    <w:rsid w:val="543A40C9"/>
    <w:rsid w:val="544706DB"/>
    <w:rsid w:val="54515341"/>
    <w:rsid w:val="54942212"/>
    <w:rsid w:val="54A21586"/>
    <w:rsid w:val="54A73EC6"/>
    <w:rsid w:val="54C077B0"/>
    <w:rsid w:val="54C2119C"/>
    <w:rsid w:val="54E030CD"/>
    <w:rsid w:val="54E33146"/>
    <w:rsid w:val="54F03E09"/>
    <w:rsid w:val="54F5492F"/>
    <w:rsid w:val="54F73313"/>
    <w:rsid w:val="54F80955"/>
    <w:rsid w:val="551C695C"/>
    <w:rsid w:val="55325B94"/>
    <w:rsid w:val="553C5229"/>
    <w:rsid w:val="553E763A"/>
    <w:rsid w:val="554930EA"/>
    <w:rsid w:val="555170A7"/>
    <w:rsid w:val="55681185"/>
    <w:rsid w:val="55754B60"/>
    <w:rsid w:val="5587536D"/>
    <w:rsid w:val="55892736"/>
    <w:rsid w:val="558B435E"/>
    <w:rsid w:val="559B174B"/>
    <w:rsid w:val="55AF0FD8"/>
    <w:rsid w:val="55BF5579"/>
    <w:rsid w:val="55C97332"/>
    <w:rsid w:val="55CA6D24"/>
    <w:rsid w:val="55CE0CF4"/>
    <w:rsid w:val="55D74EEA"/>
    <w:rsid w:val="55EA050F"/>
    <w:rsid w:val="55FC4976"/>
    <w:rsid w:val="562E2084"/>
    <w:rsid w:val="56346860"/>
    <w:rsid w:val="563558BB"/>
    <w:rsid w:val="566F15DC"/>
    <w:rsid w:val="56994416"/>
    <w:rsid w:val="56A21C93"/>
    <w:rsid w:val="56A6109D"/>
    <w:rsid w:val="56B22A9C"/>
    <w:rsid w:val="56BF092B"/>
    <w:rsid w:val="56C71AF9"/>
    <w:rsid w:val="56C8667B"/>
    <w:rsid w:val="56D82309"/>
    <w:rsid w:val="56EA55EF"/>
    <w:rsid w:val="570309A9"/>
    <w:rsid w:val="571C38E7"/>
    <w:rsid w:val="571F0A58"/>
    <w:rsid w:val="572043D6"/>
    <w:rsid w:val="57272C86"/>
    <w:rsid w:val="57286F6F"/>
    <w:rsid w:val="57573EDC"/>
    <w:rsid w:val="577512B9"/>
    <w:rsid w:val="57844AF3"/>
    <w:rsid w:val="57983123"/>
    <w:rsid w:val="57A83B76"/>
    <w:rsid w:val="57B72A76"/>
    <w:rsid w:val="57BF3409"/>
    <w:rsid w:val="57C3426C"/>
    <w:rsid w:val="57C7116D"/>
    <w:rsid w:val="57CE1F93"/>
    <w:rsid w:val="57CF2902"/>
    <w:rsid w:val="57E13E2D"/>
    <w:rsid w:val="57E6791C"/>
    <w:rsid w:val="57ED28B4"/>
    <w:rsid w:val="57F04403"/>
    <w:rsid w:val="57F93798"/>
    <w:rsid w:val="57FC168C"/>
    <w:rsid w:val="581121B8"/>
    <w:rsid w:val="582031B3"/>
    <w:rsid w:val="58297E3A"/>
    <w:rsid w:val="582B0C6E"/>
    <w:rsid w:val="583B4603"/>
    <w:rsid w:val="58604D63"/>
    <w:rsid w:val="588743D1"/>
    <w:rsid w:val="5887701A"/>
    <w:rsid w:val="589D3BF4"/>
    <w:rsid w:val="58A536C8"/>
    <w:rsid w:val="58BC5D55"/>
    <w:rsid w:val="58C764DF"/>
    <w:rsid w:val="58EC2AC4"/>
    <w:rsid w:val="58EF0C3A"/>
    <w:rsid w:val="58F67C99"/>
    <w:rsid w:val="590B20F6"/>
    <w:rsid w:val="59223F30"/>
    <w:rsid w:val="59317C5B"/>
    <w:rsid w:val="593D7F04"/>
    <w:rsid w:val="594849DB"/>
    <w:rsid w:val="596D3183"/>
    <w:rsid w:val="596F7731"/>
    <w:rsid w:val="5978010C"/>
    <w:rsid w:val="598176C1"/>
    <w:rsid w:val="59840572"/>
    <w:rsid w:val="59970522"/>
    <w:rsid w:val="599860EE"/>
    <w:rsid w:val="599D6F54"/>
    <w:rsid w:val="59AB0FC9"/>
    <w:rsid w:val="59BD400A"/>
    <w:rsid w:val="59C0439F"/>
    <w:rsid w:val="59CF416F"/>
    <w:rsid w:val="59E74002"/>
    <w:rsid w:val="5A072362"/>
    <w:rsid w:val="5A125DC9"/>
    <w:rsid w:val="5A1260FC"/>
    <w:rsid w:val="5A26732D"/>
    <w:rsid w:val="5A3702C8"/>
    <w:rsid w:val="5A491E43"/>
    <w:rsid w:val="5A4E401B"/>
    <w:rsid w:val="5A571464"/>
    <w:rsid w:val="5A731FAE"/>
    <w:rsid w:val="5A7E4DD9"/>
    <w:rsid w:val="5A9A3B86"/>
    <w:rsid w:val="5A9B23B3"/>
    <w:rsid w:val="5AB21861"/>
    <w:rsid w:val="5ABE2233"/>
    <w:rsid w:val="5AC33606"/>
    <w:rsid w:val="5AD43BCB"/>
    <w:rsid w:val="5ADA4F6A"/>
    <w:rsid w:val="5AE6345E"/>
    <w:rsid w:val="5B0F23F4"/>
    <w:rsid w:val="5B111929"/>
    <w:rsid w:val="5B253829"/>
    <w:rsid w:val="5B287B55"/>
    <w:rsid w:val="5B2A4699"/>
    <w:rsid w:val="5B2E0518"/>
    <w:rsid w:val="5B4414DC"/>
    <w:rsid w:val="5B5B6748"/>
    <w:rsid w:val="5B600E2B"/>
    <w:rsid w:val="5B6308DC"/>
    <w:rsid w:val="5B7069E9"/>
    <w:rsid w:val="5B7E1DB2"/>
    <w:rsid w:val="5B832D30"/>
    <w:rsid w:val="5B8B4D8A"/>
    <w:rsid w:val="5B9C0BFD"/>
    <w:rsid w:val="5BA06C4A"/>
    <w:rsid w:val="5BA3740E"/>
    <w:rsid w:val="5BC70F89"/>
    <w:rsid w:val="5BD008DC"/>
    <w:rsid w:val="5BD402B2"/>
    <w:rsid w:val="5BD45EDC"/>
    <w:rsid w:val="5BDF5D95"/>
    <w:rsid w:val="5BF152D1"/>
    <w:rsid w:val="5BFE7528"/>
    <w:rsid w:val="5C024A34"/>
    <w:rsid w:val="5C196ACB"/>
    <w:rsid w:val="5C2B303B"/>
    <w:rsid w:val="5C350FC3"/>
    <w:rsid w:val="5C361998"/>
    <w:rsid w:val="5C372912"/>
    <w:rsid w:val="5C5674CB"/>
    <w:rsid w:val="5C6674E3"/>
    <w:rsid w:val="5C932DC6"/>
    <w:rsid w:val="5C9F314E"/>
    <w:rsid w:val="5CA14563"/>
    <w:rsid w:val="5CB435EC"/>
    <w:rsid w:val="5CC57D00"/>
    <w:rsid w:val="5CDE1C38"/>
    <w:rsid w:val="5CDE4BC6"/>
    <w:rsid w:val="5CE4577D"/>
    <w:rsid w:val="5CF3755D"/>
    <w:rsid w:val="5D010054"/>
    <w:rsid w:val="5D0469F5"/>
    <w:rsid w:val="5D1D5801"/>
    <w:rsid w:val="5D2F7FE7"/>
    <w:rsid w:val="5D3B3014"/>
    <w:rsid w:val="5D3C2479"/>
    <w:rsid w:val="5D3D72F0"/>
    <w:rsid w:val="5D7D5B48"/>
    <w:rsid w:val="5D8B6D8D"/>
    <w:rsid w:val="5DA27DB4"/>
    <w:rsid w:val="5DA75E4C"/>
    <w:rsid w:val="5DB20402"/>
    <w:rsid w:val="5DC06C5A"/>
    <w:rsid w:val="5DC80A93"/>
    <w:rsid w:val="5DDB47A2"/>
    <w:rsid w:val="5DFB7679"/>
    <w:rsid w:val="5E0A3E2E"/>
    <w:rsid w:val="5E1068FA"/>
    <w:rsid w:val="5E232B65"/>
    <w:rsid w:val="5E2467F1"/>
    <w:rsid w:val="5E2A33CC"/>
    <w:rsid w:val="5E3D0271"/>
    <w:rsid w:val="5E42325C"/>
    <w:rsid w:val="5E633DE3"/>
    <w:rsid w:val="5E756369"/>
    <w:rsid w:val="5E7566F4"/>
    <w:rsid w:val="5E793B71"/>
    <w:rsid w:val="5E7C3218"/>
    <w:rsid w:val="5E8D71DB"/>
    <w:rsid w:val="5E91251C"/>
    <w:rsid w:val="5E9E6A90"/>
    <w:rsid w:val="5EB744C5"/>
    <w:rsid w:val="5ED04543"/>
    <w:rsid w:val="5ED33452"/>
    <w:rsid w:val="5EDE6EBE"/>
    <w:rsid w:val="5EEA242E"/>
    <w:rsid w:val="5EF66B74"/>
    <w:rsid w:val="5EFC5DD3"/>
    <w:rsid w:val="5F0135F6"/>
    <w:rsid w:val="5F027489"/>
    <w:rsid w:val="5F04418F"/>
    <w:rsid w:val="5F140A52"/>
    <w:rsid w:val="5F180F96"/>
    <w:rsid w:val="5F1A2B43"/>
    <w:rsid w:val="5F1F43A5"/>
    <w:rsid w:val="5F227F9E"/>
    <w:rsid w:val="5F324D5D"/>
    <w:rsid w:val="5F3D4065"/>
    <w:rsid w:val="5F3D6ACA"/>
    <w:rsid w:val="5F583033"/>
    <w:rsid w:val="5F590361"/>
    <w:rsid w:val="5F913191"/>
    <w:rsid w:val="5FA63F2C"/>
    <w:rsid w:val="5FA664A3"/>
    <w:rsid w:val="5FB544BC"/>
    <w:rsid w:val="5FB837BB"/>
    <w:rsid w:val="5FC308BA"/>
    <w:rsid w:val="5FDB13C3"/>
    <w:rsid w:val="5FE92928"/>
    <w:rsid w:val="600D6ED2"/>
    <w:rsid w:val="6038480F"/>
    <w:rsid w:val="605D02A8"/>
    <w:rsid w:val="60722246"/>
    <w:rsid w:val="609274CC"/>
    <w:rsid w:val="6094057D"/>
    <w:rsid w:val="60A84301"/>
    <w:rsid w:val="60C25FA0"/>
    <w:rsid w:val="60CC405A"/>
    <w:rsid w:val="60E42298"/>
    <w:rsid w:val="60EA5514"/>
    <w:rsid w:val="60ED7BE3"/>
    <w:rsid w:val="60FE2175"/>
    <w:rsid w:val="61067EC9"/>
    <w:rsid w:val="610A6FB0"/>
    <w:rsid w:val="611A7AF6"/>
    <w:rsid w:val="61255C44"/>
    <w:rsid w:val="612D26B9"/>
    <w:rsid w:val="6137307B"/>
    <w:rsid w:val="614F35FB"/>
    <w:rsid w:val="6152189C"/>
    <w:rsid w:val="61614F6D"/>
    <w:rsid w:val="61642E91"/>
    <w:rsid w:val="61806C3A"/>
    <w:rsid w:val="61931620"/>
    <w:rsid w:val="61CF5CB1"/>
    <w:rsid w:val="61E215D8"/>
    <w:rsid w:val="61E36699"/>
    <w:rsid w:val="61E92881"/>
    <w:rsid w:val="61F94E9A"/>
    <w:rsid w:val="61FF0C29"/>
    <w:rsid w:val="621739D4"/>
    <w:rsid w:val="621B3775"/>
    <w:rsid w:val="621B4EA2"/>
    <w:rsid w:val="623018EA"/>
    <w:rsid w:val="62364782"/>
    <w:rsid w:val="627265EF"/>
    <w:rsid w:val="628767C7"/>
    <w:rsid w:val="62892424"/>
    <w:rsid w:val="6293016E"/>
    <w:rsid w:val="629A09C4"/>
    <w:rsid w:val="629F1705"/>
    <w:rsid w:val="62E07E4C"/>
    <w:rsid w:val="62E347A1"/>
    <w:rsid w:val="630811AC"/>
    <w:rsid w:val="634B04BD"/>
    <w:rsid w:val="634F4BF7"/>
    <w:rsid w:val="63605196"/>
    <w:rsid w:val="638B35EA"/>
    <w:rsid w:val="6394356A"/>
    <w:rsid w:val="63A63B2E"/>
    <w:rsid w:val="63AE25A3"/>
    <w:rsid w:val="63C02C3D"/>
    <w:rsid w:val="63C61B2C"/>
    <w:rsid w:val="63D40BE9"/>
    <w:rsid w:val="63D44AB1"/>
    <w:rsid w:val="63E31DBB"/>
    <w:rsid w:val="63E52D01"/>
    <w:rsid w:val="63EA5E47"/>
    <w:rsid w:val="63F6326D"/>
    <w:rsid w:val="64056CB2"/>
    <w:rsid w:val="64102431"/>
    <w:rsid w:val="64140C22"/>
    <w:rsid w:val="64141574"/>
    <w:rsid w:val="641B474A"/>
    <w:rsid w:val="641B6B7F"/>
    <w:rsid w:val="64323A38"/>
    <w:rsid w:val="64417689"/>
    <w:rsid w:val="645027D1"/>
    <w:rsid w:val="64507855"/>
    <w:rsid w:val="64507EDE"/>
    <w:rsid w:val="645835A9"/>
    <w:rsid w:val="645867D6"/>
    <w:rsid w:val="64886B6B"/>
    <w:rsid w:val="649804FC"/>
    <w:rsid w:val="649D4A2F"/>
    <w:rsid w:val="64A5243A"/>
    <w:rsid w:val="64A841EE"/>
    <w:rsid w:val="64BB64C0"/>
    <w:rsid w:val="64C41795"/>
    <w:rsid w:val="64CC749A"/>
    <w:rsid w:val="64EB42F9"/>
    <w:rsid w:val="64F47050"/>
    <w:rsid w:val="64F531DE"/>
    <w:rsid w:val="64F725E7"/>
    <w:rsid w:val="651D53A3"/>
    <w:rsid w:val="65373578"/>
    <w:rsid w:val="653C6B62"/>
    <w:rsid w:val="65700B56"/>
    <w:rsid w:val="6574469C"/>
    <w:rsid w:val="657D4591"/>
    <w:rsid w:val="6584635A"/>
    <w:rsid w:val="658627D5"/>
    <w:rsid w:val="658B6C11"/>
    <w:rsid w:val="65A61A5D"/>
    <w:rsid w:val="65B17B44"/>
    <w:rsid w:val="66192FE5"/>
    <w:rsid w:val="661E3BAF"/>
    <w:rsid w:val="662C5527"/>
    <w:rsid w:val="6631774A"/>
    <w:rsid w:val="66634B31"/>
    <w:rsid w:val="668825D2"/>
    <w:rsid w:val="668B2CD4"/>
    <w:rsid w:val="66B06C28"/>
    <w:rsid w:val="66B1449B"/>
    <w:rsid w:val="66B60834"/>
    <w:rsid w:val="66C23A0D"/>
    <w:rsid w:val="66FE5267"/>
    <w:rsid w:val="670452A2"/>
    <w:rsid w:val="67191BD6"/>
    <w:rsid w:val="671F124A"/>
    <w:rsid w:val="67252D9E"/>
    <w:rsid w:val="67307A10"/>
    <w:rsid w:val="67652E2E"/>
    <w:rsid w:val="67665795"/>
    <w:rsid w:val="67746426"/>
    <w:rsid w:val="677A33C6"/>
    <w:rsid w:val="677A72D5"/>
    <w:rsid w:val="678C1E24"/>
    <w:rsid w:val="67A00384"/>
    <w:rsid w:val="67A83F52"/>
    <w:rsid w:val="67D94DA6"/>
    <w:rsid w:val="67EA6B5E"/>
    <w:rsid w:val="67EA7561"/>
    <w:rsid w:val="67EE08C6"/>
    <w:rsid w:val="67F57C6B"/>
    <w:rsid w:val="6809591F"/>
    <w:rsid w:val="68136D55"/>
    <w:rsid w:val="68162C9F"/>
    <w:rsid w:val="68166A71"/>
    <w:rsid w:val="681E3876"/>
    <w:rsid w:val="681F6961"/>
    <w:rsid w:val="68534987"/>
    <w:rsid w:val="68555E87"/>
    <w:rsid w:val="68610A2F"/>
    <w:rsid w:val="68767297"/>
    <w:rsid w:val="687F31A3"/>
    <w:rsid w:val="68805514"/>
    <w:rsid w:val="6880717C"/>
    <w:rsid w:val="68897F9E"/>
    <w:rsid w:val="688E3900"/>
    <w:rsid w:val="689629A4"/>
    <w:rsid w:val="68A177C9"/>
    <w:rsid w:val="68A80297"/>
    <w:rsid w:val="68A84FEF"/>
    <w:rsid w:val="68AE09F6"/>
    <w:rsid w:val="68BD23B9"/>
    <w:rsid w:val="68C37BED"/>
    <w:rsid w:val="68D83749"/>
    <w:rsid w:val="68DF5AB2"/>
    <w:rsid w:val="68E267DF"/>
    <w:rsid w:val="691821C0"/>
    <w:rsid w:val="69270F9A"/>
    <w:rsid w:val="69316E2F"/>
    <w:rsid w:val="69436FB8"/>
    <w:rsid w:val="694E2071"/>
    <w:rsid w:val="695C7119"/>
    <w:rsid w:val="695E1CBF"/>
    <w:rsid w:val="696E7471"/>
    <w:rsid w:val="6972205D"/>
    <w:rsid w:val="69766163"/>
    <w:rsid w:val="697A3B33"/>
    <w:rsid w:val="697C3F8B"/>
    <w:rsid w:val="6992437C"/>
    <w:rsid w:val="69995E6C"/>
    <w:rsid w:val="69B1021E"/>
    <w:rsid w:val="69BA44A7"/>
    <w:rsid w:val="69C37EA1"/>
    <w:rsid w:val="69C52D40"/>
    <w:rsid w:val="69D15277"/>
    <w:rsid w:val="69D44760"/>
    <w:rsid w:val="69E0263C"/>
    <w:rsid w:val="69FD1CC2"/>
    <w:rsid w:val="6A09341A"/>
    <w:rsid w:val="6A282BA1"/>
    <w:rsid w:val="6A4D4D57"/>
    <w:rsid w:val="6A520EC7"/>
    <w:rsid w:val="6A53063F"/>
    <w:rsid w:val="6A5A4DAF"/>
    <w:rsid w:val="6A6B6EB3"/>
    <w:rsid w:val="6A784CD5"/>
    <w:rsid w:val="6A971B7B"/>
    <w:rsid w:val="6A9769C5"/>
    <w:rsid w:val="6AB35E5E"/>
    <w:rsid w:val="6ABF2359"/>
    <w:rsid w:val="6AC1397E"/>
    <w:rsid w:val="6AD74361"/>
    <w:rsid w:val="6AD94EE1"/>
    <w:rsid w:val="6ADE6E95"/>
    <w:rsid w:val="6AF87E20"/>
    <w:rsid w:val="6AFB4AE6"/>
    <w:rsid w:val="6B150466"/>
    <w:rsid w:val="6B322639"/>
    <w:rsid w:val="6B6175DD"/>
    <w:rsid w:val="6B6869B7"/>
    <w:rsid w:val="6B6B561E"/>
    <w:rsid w:val="6B700B3E"/>
    <w:rsid w:val="6B7815F6"/>
    <w:rsid w:val="6B782319"/>
    <w:rsid w:val="6B7D3C5E"/>
    <w:rsid w:val="6B9E1ED1"/>
    <w:rsid w:val="6B9E7741"/>
    <w:rsid w:val="6BA22B34"/>
    <w:rsid w:val="6BB42FB8"/>
    <w:rsid w:val="6BBC4DA8"/>
    <w:rsid w:val="6BC026A4"/>
    <w:rsid w:val="6BC24763"/>
    <w:rsid w:val="6BC467DA"/>
    <w:rsid w:val="6BC53D93"/>
    <w:rsid w:val="6BC652E2"/>
    <w:rsid w:val="6BC70EB5"/>
    <w:rsid w:val="6BC9570C"/>
    <w:rsid w:val="6BD90E6A"/>
    <w:rsid w:val="6BE55FC8"/>
    <w:rsid w:val="6BFD54DC"/>
    <w:rsid w:val="6C0D4198"/>
    <w:rsid w:val="6C102164"/>
    <w:rsid w:val="6C122C55"/>
    <w:rsid w:val="6C134042"/>
    <w:rsid w:val="6C2C3AA1"/>
    <w:rsid w:val="6C3725AE"/>
    <w:rsid w:val="6C5022E5"/>
    <w:rsid w:val="6C636C38"/>
    <w:rsid w:val="6C8E5194"/>
    <w:rsid w:val="6C971634"/>
    <w:rsid w:val="6CA27A91"/>
    <w:rsid w:val="6CA46F9C"/>
    <w:rsid w:val="6CAC554D"/>
    <w:rsid w:val="6CB941FC"/>
    <w:rsid w:val="6CDD3414"/>
    <w:rsid w:val="6CE96ED7"/>
    <w:rsid w:val="6CEC24D4"/>
    <w:rsid w:val="6D0B213A"/>
    <w:rsid w:val="6D2D3750"/>
    <w:rsid w:val="6D39634C"/>
    <w:rsid w:val="6D490698"/>
    <w:rsid w:val="6D502E7F"/>
    <w:rsid w:val="6D5C2EBF"/>
    <w:rsid w:val="6D660943"/>
    <w:rsid w:val="6D71670B"/>
    <w:rsid w:val="6D7C4B9E"/>
    <w:rsid w:val="6D8410E4"/>
    <w:rsid w:val="6DA91B2F"/>
    <w:rsid w:val="6DAB4EFD"/>
    <w:rsid w:val="6DB15033"/>
    <w:rsid w:val="6DB26057"/>
    <w:rsid w:val="6DB34098"/>
    <w:rsid w:val="6DB545B6"/>
    <w:rsid w:val="6DB81974"/>
    <w:rsid w:val="6DC27953"/>
    <w:rsid w:val="6DCA790D"/>
    <w:rsid w:val="6DD80AA7"/>
    <w:rsid w:val="6DE02FB4"/>
    <w:rsid w:val="6DE04A34"/>
    <w:rsid w:val="6DE812FE"/>
    <w:rsid w:val="6DE87B03"/>
    <w:rsid w:val="6E011209"/>
    <w:rsid w:val="6E0A1472"/>
    <w:rsid w:val="6E0E44B8"/>
    <w:rsid w:val="6E143078"/>
    <w:rsid w:val="6E22492F"/>
    <w:rsid w:val="6E241B55"/>
    <w:rsid w:val="6E3E3B06"/>
    <w:rsid w:val="6E4C6C38"/>
    <w:rsid w:val="6E4E42D3"/>
    <w:rsid w:val="6E514CED"/>
    <w:rsid w:val="6E6930F2"/>
    <w:rsid w:val="6EB30D33"/>
    <w:rsid w:val="6EB563D5"/>
    <w:rsid w:val="6ED92677"/>
    <w:rsid w:val="6EDB457C"/>
    <w:rsid w:val="6EE4021E"/>
    <w:rsid w:val="6EE70D66"/>
    <w:rsid w:val="6EF93E84"/>
    <w:rsid w:val="6F225983"/>
    <w:rsid w:val="6F232D01"/>
    <w:rsid w:val="6F472BFF"/>
    <w:rsid w:val="6F4F2D63"/>
    <w:rsid w:val="6F5B363C"/>
    <w:rsid w:val="6F6F36D0"/>
    <w:rsid w:val="6F7060BE"/>
    <w:rsid w:val="6F7E258A"/>
    <w:rsid w:val="6F807BDC"/>
    <w:rsid w:val="6F8F5193"/>
    <w:rsid w:val="6F9F47A5"/>
    <w:rsid w:val="6FB506BA"/>
    <w:rsid w:val="6FCA3D5F"/>
    <w:rsid w:val="6FD14130"/>
    <w:rsid w:val="6FE05546"/>
    <w:rsid w:val="6FE17806"/>
    <w:rsid w:val="6FFC5590"/>
    <w:rsid w:val="6FFD54FD"/>
    <w:rsid w:val="701B3216"/>
    <w:rsid w:val="701C2437"/>
    <w:rsid w:val="702362C3"/>
    <w:rsid w:val="703B642B"/>
    <w:rsid w:val="706D1DD0"/>
    <w:rsid w:val="70803A5E"/>
    <w:rsid w:val="70844F3B"/>
    <w:rsid w:val="70856B87"/>
    <w:rsid w:val="70896023"/>
    <w:rsid w:val="70A52B35"/>
    <w:rsid w:val="70C658A3"/>
    <w:rsid w:val="70C91DF0"/>
    <w:rsid w:val="70D527EE"/>
    <w:rsid w:val="70F21B07"/>
    <w:rsid w:val="70F2229A"/>
    <w:rsid w:val="71090901"/>
    <w:rsid w:val="710A061C"/>
    <w:rsid w:val="71102509"/>
    <w:rsid w:val="711133F4"/>
    <w:rsid w:val="71337E6E"/>
    <w:rsid w:val="715311B3"/>
    <w:rsid w:val="715B5300"/>
    <w:rsid w:val="715F0180"/>
    <w:rsid w:val="718B179E"/>
    <w:rsid w:val="718B18F9"/>
    <w:rsid w:val="71B5724E"/>
    <w:rsid w:val="71B74A37"/>
    <w:rsid w:val="71D27F8A"/>
    <w:rsid w:val="71DC5C25"/>
    <w:rsid w:val="71ED45DB"/>
    <w:rsid w:val="71FE6ED2"/>
    <w:rsid w:val="723B2AD1"/>
    <w:rsid w:val="72553024"/>
    <w:rsid w:val="7256351B"/>
    <w:rsid w:val="72621157"/>
    <w:rsid w:val="72671405"/>
    <w:rsid w:val="727411E8"/>
    <w:rsid w:val="728117D2"/>
    <w:rsid w:val="72947A3F"/>
    <w:rsid w:val="72B238AA"/>
    <w:rsid w:val="72C1164D"/>
    <w:rsid w:val="72E462AD"/>
    <w:rsid w:val="72EC0F30"/>
    <w:rsid w:val="73122968"/>
    <w:rsid w:val="731F5D5E"/>
    <w:rsid w:val="73244D58"/>
    <w:rsid w:val="73391F25"/>
    <w:rsid w:val="735908DD"/>
    <w:rsid w:val="735D3E19"/>
    <w:rsid w:val="736600BD"/>
    <w:rsid w:val="737317E4"/>
    <w:rsid w:val="737F09E7"/>
    <w:rsid w:val="73912EA1"/>
    <w:rsid w:val="7393275A"/>
    <w:rsid w:val="739D730D"/>
    <w:rsid w:val="739E238E"/>
    <w:rsid w:val="73C51AD5"/>
    <w:rsid w:val="73D144F5"/>
    <w:rsid w:val="73F65515"/>
    <w:rsid w:val="73FC7545"/>
    <w:rsid w:val="74023B2C"/>
    <w:rsid w:val="740C022C"/>
    <w:rsid w:val="740C6CDC"/>
    <w:rsid w:val="741E793C"/>
    <w:rsid w:val="742B72F2"/>
    <w:rsid w:val="745570B0"/>
    <w:rsid w:val="745E3944"/>
    <w:rsid w:val="745F012F"/>
    <w:rsid w:val="74705CA0"/>
    <w:rsid w:val="74727DDB"/>
    <w:rsid w:val="74741A14"/>
    <w:rsid w:val="748D550C"/>
    <w:rsid w:val="7492413E"/>
    <w:rsid w:val="74986F4A"/>
    <w:rsid w:val="749C7FC4"/>
    <w:rsid w:val="74A23383"/>
    <w:rsid w:val="74A4063A"/>
    <w:rsid w:val="74AC4804"/>
    <w:rsid w:val="74B0427B"/>
    <w:rsid w:val="74C7263B"/>
    <w:rsid w:val="74CC7BDA"/>
    <w:rsid w:val="74CF2978"/>
    <w:rsid w:val="74E16856"/>
    <w:rsid w:val="74F54500"/>
    <w:rsid w:val="74F828AB"/>
    <w:rsid w:val="75074B8E"/>
    <w:rsid w:val="751F7BAD"/>
    <w:rsid w:val="75243436"/>
    <w:rsid w:val="7535121D"/>
    <w:rsid w:val="75384338"/>
    <w:rsid w:val="7541494A"/>
    <w:rsid w:val="757260C0"/>
    <w:rsid w:val="757412D6"/>
    <w:rsid w:val="758F0E13"/>
    <w:rsid w:val="759B3F5A"/>
    <w:rsid w:val="759E6BFF"/>
    <w:rsid w:val="75B03D18"/>
    <w:rsid w:val="75B22016"/>
    <w:rsid w:val="75C547AC"/>
    <w:rsid w:val="75DF1C59"/>
    <w:rsid w:val="76061641"/>
    <w:rsid w:val="761121A2"/>
    <w:rsid w:val="76292ADC"/>
    <w:rsid w:val="7635099D"/>
    <w:rsid w:val="76503399"/>
    <w:rsid w:val="765170B1"/>
    <w:rsid w:val="76526631"/>
    <w:rsid w:val="76541497"/>
    <w:rsid w:val="765C0C05"/>
    <w:rsid w:val="768F6960"/>
    <w:rsid w:val="7698134B"/>
    <w:rsid w:val="769B5004"/>
    <w:rsid w:val="76BB25B3"/>
    <w:rsid w:val="76C455C9"/>
    <w:rsid w:val="76C67333"/>
    <w:rsid w:val="76CF3B2E"/>
    <w:rsid w:val="76E840B9"/>
    <w:rsid w:val="7707294C"/>
    <w:rsid w:val="770C35E3"/>
    <w:rsid w:val="771D0E70"/>
    <w:rsid w:val="771F6F0D"/>
    <w:rsid w:val="7733657C"/>
    <w:rsid w:val="773427FA"/>
    <w:rsid w:val="775801C4"/>
    <w:rsid w:val="77617DB6"/>
    <w:rsid w:val="77630461"/>
    <w:rsid w:val="77762421"/>
    <w:rsid w:val="77927449"/>
    <w:rsid w:val="77A67F0D"/>
    <w:rsid w:val="77B54163"/>
    <w:rsid w:val="77B56B1F"/>
    <w:rsid w:val="77BD0198"/>
    <w:rsid w:val="77C05EB4"/>
    <w:rsid w:val="77D45F4A"/>
    <w:rsid w:val="77E755F4"/>
    <w:rsid w:val="77EA78F0"/>
    <w:rsid w:val="78080B71"/>
    <w:rsid w:val="780F09F4"/>
    <w:rsid w:val="7824099B"/>
    <w:rsid w:val="783B5219"/>
    <w:rsid w:val="787C1C94"/>
    <w:rsid w:val="789A29C1"/>
    <w:rsid w:val="78A90480"/>
    <w:rsid w:val="78AB103F"/>
    <w:rsid w:val="78AE1995"/>
    <w:rsid w:val="78B23097"/>
    <w:rsid w:val="78C32F4A"/>
    <w:rsid w:val="78CF573C"/>
    <w:rsid w:val="78D822BD"/>
    <w:rsid w:val="78D9736C"/>
    <w:rsid w:val="78DC2B0C"/>
    <w:rsid w:val="78E71F2E"/>
    <w:rsid w:val="78FC02BF"/>
    <w:rsid w:val="78FD3214"/>
    <w:rsid w:val="790A3102"/>
    <w:rsid w:val="79200841"/>
    <w:rsid w:val="792D5D0D"/>
    <w:rsid w:val="793104FC"/>
    <w:rsid w:val="79610814"/>
    <w:rsid w:val="79893C50"/>
    <w:rsid w:val="798D5725"/>
    <w:rsid w:val="79B31E34"/>
    <w:rsid w:val="79C815B7"/>
    <w:rsid w:val="79D839A0"/>
    <w:rsid w:val="79F54A3E"/>
    <w:rsid w:val="7A076053"/>
    <w:rsid w:val="7A0F4B17"/>
    <w:rsid w:val="7A2C038B"/>
    <w:rsid w:val="7A364017"/>
    <w:rsid w:val="7A390C0E"/>
    <w:rsid w:val="7A444C78"/>
    <w:rsid w:val="7A4D2750"/>
    <w:rsid w:val="7A5364AA"/>
    <w:rsid w:val="7A5B0159"/>
    <w:rsid w:val="7A8265E1"/>
    <w:rsid w:val="7ACD0DF1"/>
    <w:rsid w:val="7AD075DE"/>
    <w:rsid w:val="7AD446E9"/>
    <w:rsid w:val="7AE43DE2"/>
    <w:rsid w:val="7AF01A8A"/>
    <w:rsid w:val="7B086ED4"/>
    <w:rsid w:val="7B14082B"/>
    <w:rsid w:val="7B186785"/>
    <w:rsid w:val="7B215C37"/>
    <w:rsid w:val="7B391611"/>
    <w:rsid w:val="7B4818C5"/>
    <w:rsid w:val="7B4970D8"/>
    <w:rsid w:val="7B4E337D"/>
    <w:rsid w:val="7B506236"/>
    <w:rsid w:val="7B5143BA"/>
    <w:rsid w:val="7B604762"/>
    <w:rsid w:val="7B6674B6"/>
    <w:rsid w:val="7B686D42"/>
    <w:rsid w:val="7B687153"/>
    <w:rsid w:val="7B7210B0"/>
    <w:rsid w:val="7B841746"/>
    <w:rsid w:val="7B865F01"/>
    <w:rsid w:val="7B880A53"/>
    <w:rsid w:val="7B8F3704"/>
    <w:rsid w:val="7BB56BA1"/>
    <w:rsid w:val="7BB654FF"/>
    <w:rsid w:val="7BD7403F"/>
    <w:rsid w:val="7BED5025"/>
    <w:rsid w:val="7C0E61BE"/>
    <w:rsid w:val="7C17048D"/>
    <w:rsid w:val="7C1A0886"/>
    <w:rsid w:val="7C307270"/>
    <w:rsid w:val="7C342D0A"/>
    <w:rsid w:val="7C517458"/>
    <w:rsid w:val="7C6C2049"/>
    <w:rsid w:val="7C6C5AC7"/>
    <w:rsid w:val="7C6F5FE6"/>
    <w:rsid w:val="7C8A4A1B"/>
    <w:rsid w:val="7C936767"/>
    <w:rsid w:val="7C9B1AE9"/>
    <w:rsid w:val="7CA926FA"/>
    <w:rsid w:val="7CC6544B"/>
    <w:rsid w:val="7CC85D37"/>
    <w:rsid w:val="7CF252F0"/>
    <w:rsid w:val="7D0239FF"/>
    <w:rsid w:val="7D060CAB"/>
    <w:rsid w:val="7D105F93"/>
    <w:rsid w:val="7D20685E"/>
    <w:rsid w:val="7D493104"/>
    <w:rsid w:val="7D5C7396"/>
    <w:rsid w:val="7D5E40CD"/>
    <w:rsid w:val="7D703E46"/>
    <w:rsid w:val="7D91332E"/>
    <w:rsid w:val="7D9F4257"/>
    <w:rsid w:val="7DAA2E71"/>
    <w:rsid w:val="7DB21B8D"/>
    <w:rsid w:val="7DBC1E2A"/>
    <w:rsid w:val="7DCD56F2"/>
    <w:rsid w:val="7DD174EE"/>
    <w:rsid w:val="7DFA65DA"/>
    <w:rsid w:val="7DFF3B48"/>
    <w:rsid w:val="7E0042F2"/>
    <w:rsid w:val="7E0A5800"/>
    <w:rsid w:val="7E100943"/>
    <w:rsid w:val="7E1E2C9C"/>
    <w:rsid w:val="7E62230D"/>
    <w:rsid w:val="7E866C04"/>
    <w:rsid w:val="7E8B45AA"/>
    <w:rsid w:val="7EB9592E"/>
    <w:rsid w:val="7EBD3E3D"/>
    <w:rsid w:val="7EBD6862"/>
    <w:rsid w:val="7ED12309"/>
    <w:rsid w:val="7EE0082F"/>
    <w:rsid w:val="7EEB0319"/>
    <w:rsid w:val="7F001CE7"/>
    <w:rsid w:val="7F0F77CA"/>
    <w:rsid w:val="7F126204"/>
    <w:rsid w:val="7F1331A3"/>
    <w:rsid w:val="7F231A30"/>
    <w:rsid w:val="7F277DE9"/>
    <w:rsid w:val="7F596EF4"/>
    <w:rsid w:val="7F613CB3"/>
    <w:rsid w:val="7F7A794A"/>
    <w:rsid w:val="7F814F65"/>
    <w:rsid w:val="7F8F58B6"/>
    <w:rsid w:val="7F9418D1"/>
    <w:rsid w:val="7F990060"/>
    <w:rsid w:val="7FB9001E"/>
    <w:rsid w:val="7FC91A46"/>
    <w:rsid w:val="7FD70C68"/>
    <w:rsid w:val="7FE057ED"/>
    <w:rsid w:val="7FE47E50"/>
    <w:rsid w:val="7FEF52BF"/>
    <w:rsid w:val="7FFC4F54"/>
  </w:rsids>
  <w:docVars>
    <w:docVar w:name="commondata" w:val="eyJoZGlkIjoiMTUzN2RjNjJmYzkxMGZkNjEzZDlmZDVhMTVmYWVkMjEifQ=="/>
  </w:docVars>
  <w:uiCompat97To2003/>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nhideWhenUsed="0" w:qFormat="1"/>
    <w:lsdException w:name="heading 2" w:locked="1" w:semiHidden="0" w:uiPriority="0" w:unhideWhenUsed="0" w:qFormat="1"/>
    <w:lsdException w:name="heading 3" w:locked="1" w:semiHidden="0" w:uiPriority="0" w:qFormat="1"/>
    <w:lsdException w:name="heading 4" w:locked="1" w:semiHidden="0"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locked="1" w:semiHidden="0" w:uiPriority="0" w:unhideWhenUsed="0"/>
    <w:lsdException w:name="index 2" w:locked="1" w:semiHidden="0" w:uiPriority="0" w:unhideWhenUsed="0"/>
    <w:lsdException w:name="index 3" w:locked="1" w:semiHidden="0" w:uiPriority="0" w:unhideWhenUsed="0"/>
    <w:lsdException w:name="index 4" w:locked="1" w:semiHidden="0" w:uiPriority="0" w:unhideWhenUsed="0"/>
    <w:lsdException w:name="index 5" w:locked="1" w:semiHidden="0" w:uiPriority="0" w:unhideWhenUsed="0"/>
    <w:lsdException w:name="index 6" w:locked="1" w:semiHidden="0" w:uiPriority="0" w:unhideWhenUsed="0"/>
    <w:lsdException w:name="index 7" w:locked="1" w:semiHidden="0" w:uiPriority="0" w:unhideWhenUsed="0"/>
    <w:lsdException w:name="index 8" w:locked="1" w:semiHidden="0" w:uiPriority="0" w:unhideWhenUsed="0"/>
    <w:lsdException w:name="index 9" w:locked="1" w:semiHidden="0" w:uiPriority="0" w:unhideWhenUsed="0"/>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Normal Indent" w:locked="1" w:semiHidden="0" w:uiPriority="0" w:unhideWhenUsed="0" w:qFormat="1"/>
    <w:lsdException w:name="footnote text" w:locked="1" w:semiHidden="0" w:uiPriority="0" w:unhideWhenUsed="0"/>
    <w:lsdException w:name="annotation text" w:semiHidden="0" w:uiPriority="0" w:unhideWhenUsed="0" w:qFormat="1"/>
    <w:lsdException w:name="header" w:semiHidden="0" w:uiPriority="0" w:unhideWhenUsed="0"/>
    <w:lsdException w:name="footer" w:semiHidden="0" w:unhideWhenUsed="0"/>
    <w:lsdException w:name="index heading" w:locked="1" w:semiHidden="0" w:uiPriority="0" w:unhideWhenUsed="0"/>
    <w:lsdException w:name="caption" w:locked="1" w:uiPriority="0" w:qFormat="1"/>
    <w:lsdException w:name="table of figures" w:locked="1" w:semiHidden="0" w:uiPriority="0" w:unhideWhenUsed="0" w:qFormat="1"/>
    <w:lsdException w:name="envelope address" w:locked="1" w:semiHidden="0" w:uiPriority="0" w:unhideWhenUsed="0"/>
    <w:lsdException w:name="envelope return" w:locked="1" w:semiHidden="0" w:uiPriority="0" w:unhideWhenUsed="0"/>
    <w:lsdException w:name="footnote reference" w:locked="1" w:semiHidden="0" w:uiPriority="0" w:unhideWhenUsed="0"/>
    <w:lsdException w:name="annotation reference" w:uiPriority="0" w:unhideWhenUsed="0"/>
    <w:lsdException w:name="line number" w:locked="1" w:semiHidden="0" w:uiPriority="0" w:unhideWhenUsed="0"/>
    <w:lsdException w:name="page number" w:locked="1" w:semiHidden="0" w:uiPriority="0" w:unhideWhenUsed="0"/>
    <w:lsdException w:name="endnote reference" w:locked="1" w:semiHidden="0" w:uiPriority="0" w:unhideWhenUsed="0"/>
    <w:lsdException w:name="endnote text" w:locked="1" w:semiHidden="0" w:uiPriority="0" w:unhideWhenUsed="0"/>
    <w:lsdException w:name="table of authorities" w:locked="1" w:semiHidden="0" w:uiPriority="0" w:unhideWhenUsed="0"/>
    <w:lsdException w:name="macro" w:locked="1" w:semiHidden="0" w:uiPriority="0" w:unhideWhenUsed="0"/>
    <w:lsdException w:name="toa heading" w:locked="1" w:semiHidden="0" w:uiPriority="0" w:unhideWhenUsed="0"/>
    <w:lsdException w:name="List" w:locked="1" w:semiHidden="0" w:uiPriority="0" w:unhideWhenUsed="0" w:qFormat="1"/>
    <w:lsdException w:name="List Bullet" w:locked="1" w:semiHidden="0" w:uiPriority="0" w:unhideWhenUsed="0"/>
    <w:lsdException w:name="List Number" w:locked="1" w:semiHidden="0" w:uiPriority="0" w:unhideWhenUsed="0"/>
    <w:lsdException w:name="List 2" w:locked="1" w:semiHidden="0" w:uiPriority="0" w:unhideWhenUsed="0"/>
    <w:lsdException w:name="List 3" w:locked="1" w:semiHidden="0" w:uiPriority="0" w:unhideWhenUsed="0"/>
    <w:lsdException w:name="List 4" w:locked="1" w:semiHidden="0" w:uiPriority="0" w:unhideWhenUsed="0"/>
    <w:lsdException w:name="List 5" w:locked="1" w:semiHidden="0" w:uiPriority="0" w:unhideWhenUsed="0"/>
    <w:lsdException w:name="List Bullet 2" w:locked="1" w:semiHidden="0" w:uiPriority="0" w:unhideWhenUsed="0"/>
    <w:lsdException w:name="List Bullet 3" w:locked="1" w:semiHidden="0" w:uiPriority="0" w:unhideWhenUsed="0"/>
    <w:lsdException w:name="List Bullet 4" w:locked="1" w:semiHidden="0" w:uiPriority="0" w:unhideWhenUsed="0"/>
    <w:lsdException w:name="List Bullet 5" w:locked="1" w:semiHidden="0" w:uiPriority="0" w:unhideWhenUsed="0"/>
    <w:lsdException w:name="List Number 2" w:locked="1" w:semiHidden="0" w:uiPriority="0" w:unhideWhenUsed="0"/>
    <w:lsdException w:name="List Number 3" w:locked="1" w:semiHidden="0" w:uiPriority="0" w:unhideWhenUsed="0"/>
    <w:lsdException w:name="List Number 4" w:locked="1" w:semiHidden="0" w:uiPriority="0" w:unhideWhenUsed="0"/>
    <w:lsdException w:name="List Number 5" w:locked="1" w:semiHidden="0" w:uiPriority="0" w:unhideWhenUsed="0"/>
    <w:lsdException w:name="Title" w:locked="1" w:semiHidden="0" w:uiPriority="0" w:unhideWhenUsed="0" w:qFormat="1"/>
    <w:lsdException w:name="Closing" w:locked="1" w:semiHidden="0" w:uiPriority="0" w:unhideWhenUsed="0"/>
    <w:lsdException w:name="Signature" w:locked="1" w:semiHidden="0" w:uiPriority="0" w:unhideWhenUsed="0"/>
    <w:lsdException w:name="Default Paragraph Font" w:uiPriority="0" w:unhideWhenUsed="0"/>
    <w:lsdException w:name="Body Text" w:semiHidden="0" w:uiPriority="0" w:unhideWhenUsed="0" w:qFormat="1"/>
    <w:lsdException w:name="Body Text Indent" w:semiHidden="0" w:uiPriority="0" w:unhideWhenUsed="0" w:qFormat="1"/>
    <w:lsdException w:name="List Continue" w:locked="1" w:semiHidden="0" w:uiPriority="0" w:unhideWhenUsed="0"/>
    <w:lsdException w:name="List Continue 2" w:locked="1" w:semiHidden="0" w:uiPriority="0" w:unhideWhenUsed="0"/>
    <w:lsdException w:name="List Continue 3" w:locked="1" w:semiHidden="0" w:uiPriority="0" w:unhideWhenUsed="0"/>
    <w:lsdException w:name="List Continue 4" w:locked="1" w:semiHidden="0" w:uiPriority="0" w:unhideWhenUsed="0"/>
    <w:lsdException w:name="List Continue 5" w:locked="1" w:semiHidden="0" w:uiPriority="0" w:unhideWhenUsed="0"/>
    <w:lsdException w:name="Message Header" w:locked="1" w:semiHidden="0" w:uiPriority="0" w:unhideWhenUsed="0"/>
    <w:lsdException w:name="Subtitle" w:locked="1" w:semiHidden="0" w:uiPriority="0" w:unhideWhenUsed="0" w:qFormat="1"/>
    <w:lsdException w:name="Salutation" w:locked="1" w:semiHidden="0" w:uiPriority="0" w:unhideWhenUsed="0"/>
    <w:lsdException w:name="Date" w:semiHidden="0" w:uiPriority="0" w:unhideWhenUsed="0"/>
    <w:lsdException w:name="Body Text First Indent" w:locked="1" w:semiHidden="0" w:uiPriority="0" w:unhideWhenUsed="0" w:qFormat="1"/>
    <w:lsdException w:name="Body Text First Indent 2" w:semiHidden="0" w:uiPriority="0" w:unhideWhenUsed="0" w:qFormat="1"/>
    <w:lsdException w:name="Note Heading" w:locked="1" w:semiHidden="0" w:uiPriority="0" w:unhideWhenUsed="0"/>
    <w:lsdException w:name="Body Text 2" w:locked="1" w:semiHidden="0" w:uiPriority="0" w:unhideWhenUsed="0"/>
    <w:lsdException w:name="Body Text 3" w:locked="1" w:semiHidden="0" w:uiPriority="0" w:unhideWhenUsed="0"/>
    <w:lsdException w:name="Body Text Indent 2" w:locked="1" w:semiHidden="0" w:uiPriority="0" w:unhideWhenUsed="0" w:qFormat="1"/>
    <w:lsdException w:name="Body Text Indent 3" w:locked="1" w:semiHidden="0" w:uiPriority="0" w:unhideWhenUsed="0"/>
    <w:lsdException w:name="Block Text" w:locked="1" w:semiHidden="0" w:uiPriority="0" w:unhideWhenUsed="0" w:qFormat="1"/>
    <w:lsdException w:name="Hyperlink" w:locked="1" w:semiHidden="0" w:uiPriority="0" w:unhideWhenUsed="0"/>
    <w:lsdException w:name="FollowedHyperlink" w:locked="1" w:semiHidden="0" w:uiPriority="0" w:unhideWhenUsed="0"/>
    <w:lsdException w:name="Strong" w:locked="1" w:semiHidden="0" w:uiPriority="0" w:unhideWhenUsed="0" w:qFormat="1"/>
    <w:lsdException w:name="Emphasis" w:locked="1" w:semiHidden="0" w:uiPriority="0" w:unhideWhenUsed="0" w:qFormat="1"/>
    <w:lsdException w:name="Document Map" w:locked="1" w:semiHidden="0" w:uiPriority="0" w:unhideWhenUsed="0"/>
    <w:lsdException w:name="Plain Text" w:locked="1" w:semiHidden="0" w:uiPriority="0" w:unhideWhenUsed="0"/>
    <w:lsdException w:name="E-mail Signature" w:locked="1" w:semiHidden="0" w:uiPriority="0" w:unhideWhenUsed="0"/>
    <w:lsdException w:name="Normal (Web)" w:semiHidden="0" w:uiPriority="0" w:unhideWhenUsed="0" w:qFormat="1"/>
    <w:lsdException w:name="HTML Acronym" w:locked="1" w:semiHidden="0" w:uiPriority="0" w:unhideWhenUsed="0"/>
    <w:lsdException w:name="HTML Address" w:locked="1" w:semiHidden="0" w:uiPriority="0" w:unhideWhenUsed="0"/>
    <w:lsdException w:name="HTML Cite" w:locked="1" w:semiHidden="0" w:uiPriority="0" w:unhideWhenUsed="0"/>
    <w:lsdException w:name="HTML Code" w:locked="1" w:semiHidden="0" w:uiPriority="0" w:unhideWhenUsed="0"/>
    <w:lsdException w:name="HTML Definition" w:locked="1" w:semiHidden="0" w:uiPriority="0" w:unhideWhenUsed="0"/>
    <w:lsdException w:name="HTML Keyboard" w:locked="1" w:semiHidden="0" w:uiPriority="0" w:unhideWhenUsed="0"/>
    <w:lsdException w:name="HTML Preformatted" w:locked="1" w:semiHidden="0" w:uiPriority="0" w:unhideWhenUsed="0"/>
    <w:lsdException w:name="HTML Sample" w:locked="1" w:semiHidden="0" w:uiPriority="0" w:unhideWhenUsed="0"/>
    <w:lsdException w:name="HTML Typewriter" w:locked="1" w:semiHidden="0" w:uiPriority="0" w:unhideWhenUsed="0"/>
    <w:lsdException w:name="HTML Variable" w:locked="1" w:semiHidden="0" w:uiPriority="0" w:unhideWhenUsed="0"/>
    <w:lsdException w:name="Normal Table" w:uiPriority="0" w:unhideWhenUsed="0"/>
    <w:lsdException w:name="annotation subject" w:uiPriority="0" w:unhideWhenUsed="0"/>
    <w:lsdException w:name="Table Simple 1" w:locked="1" w:semiHidden="0" w:uiPriority="0" w:unhideWhenUsed="0"/>
    <w:lsdException w:name="Table Simple 2" w:locked="1" w:semiHidden="0" w:uiPriority="0" w:unhideWhenUsed="0"/>
    <w:lsdException w:name="Table Simple 3" w:locked="1" w:semiHidden="0" w:uiPriority="0" w:unhideWhenUsed="0"/>
    <w:lsdException w:name="Table Classic 1" w:locked="1" w:semiHidden="0" w:uiPriority="0" w:unhideWhenUsed="0"/>
    <w:lsdException w:name="Table Classic 2" w:locked="1" w:semiHidden="0" w:uiPriority="0" w:unhideWhenUsed="0"/>
    <w:lsdException w:name="Table Classic 3" w:locked="1" w:semiHidden="0" w:uiPriority="0" w:unhideWhenUsed="0"/>
    <w:lsdException w:name="Table Classic 4" w:locked="1" w:semiHidden="0" w:uiPriority="0" w:unhideWhenUsed="0"/>
    <w:lsdException w:name="Table Colorful 1" w:locked="1" w:semiHidden="0" w:uiPriority="0" w:unhideWhenUsed="0"/>
    <w:lsdException w:name="Table Colorful 2" w:locked="1" w:semiHidden="0" w:uiPriority="0" w:unhideWhenUsed="0"/>
    <w:lsdException w:name="Table Colorful 3" w:locked="1" w:semiHidden="0" w:uiPriority="0" w:unhideWhenUsed="0"/>
    <w:lsdException w:name="Table Columns 1" w:locked="1" w:semiHidden="0" w:uiPriority="0" w:unhideWhenUsed="0"/>
    <w:lsdException w:name="Table Columns 2" w:locked="1" w:semiHidden="0" w:uiPriority="0" w:unhideWhenUsed="0"/>
    <w:lsdException w:name="Table Columns 3" w:locked="1" w:semiHidden="0" w:uiPriority="0" w:unhideWhenUsed="0"/>
    <w:lsdException w:name="Table Columns 4" w:locked="1" w:semiHidden="0" w:uiPriority="0" w:unhideWhenUsed="0"/>
    <w:lsdException w:name="Table Columns 5" w:locked="1" w:semiHidden="0" w:uiPriority="0" w:unhideWhenUsed="0"/>
    <w:lsdException w:name="Table Grid 1" w:locked="1" w:semiHidden="0" w:uiPriority="0" w:unhideWhenUsed="0"/>
    <w:lsdException w:name="Table Grid 2" w:locked="1" w:semiHidden="0" w:uiPriority="0" w:unhideWhenUsed="0"/>
    <w:lsdException w:name="Table Grid 3" w:locked="1" w:semiHidden="0" w:uiPriority="0" w:unhideWhenUsed="0"/>
    <w:lsdException w:name="Table Grid 4" w:locked="1" w:semiHidden="0" w:uiPriority="0" w:unhideWhenUsed="0"/>
    <w:lsdException w:name="Table Grid 5" w:locked="1" w:semiHidden="0" w:uiPriority="0" w:unhideWhenUsed="0"/>
    <w:lsdException w:name="Table Grid 6" w:locked="1" w:semiHidden="0" w:uiPriority="0" w:unhideWhenUsed="0"/>
    <w:lsdException w:name="Table Grid 7" w:locked="1" w:semiHidden="0" w:uiPriority="0" w:unhideWhenUsed="0"/>
    <w:lsdException w:name="Table Grid 8" w:locked="1" w:semiHidden="0" w:uiPriority="0" w:unhideWhenUsed="0"/>
    <w:lsdException w:name="Table List 1" w:locked="1" w:semiHidden="0" w:uiPriority="0" w:unhideWhenUsed="0"/>
    <w:lsdException w:name="Table List 2" w:locked="1" w:semiHidden="0" w:uiPriority="0" w:unhideWhenUsed="0"/>
    <w:lsdException w:name="Table List 3" w:locked="1" w:semiHidden="0" w:uiPriority="0" w:unhideWhenUsed="0"/>
    <w:lsdException w:name="Table List 4" w:locked="1" w:semiHidden="0" w:uiPriority="0" w:unhideWhenUsed="0"/>
    <w:lsdException w:name="Table List 5" w:locked="1" w:semiHidden="0" w:uiPriority="0" w:unhideWhenUsed="0"/>
    <w:lsdException w:name="Table List 6" w:locked="1" w:semiHidden="0" w:uiPriority="0" w:unhideWhenUsed="0"/>
    <w:lsdException w:name="Table List 7" w:locked="1" w:semiHidden="0" w:uiPriority="0" w:unhideWhenUsed="0"/>
    <w:lsdException w:name="Table List 8" w:locked="1" w:semiHidden="0" w:uiPriority="0" w:unhideWhenUsed="0"/>
    <w:lsdException w:name="Table 3D effects 1" w:locked="1" w:semiHidden="0" w:uiPriority="0" w:unhideWhenUsed="0"/>
    <w:lsdException w:name="Table 3D effects 2" w:locked="1" w:semiHidden="0" w:uiPriority="0" w:unhideWhenUsed="0"/>
    <w:lsdException w:name="Table 3D effects 3" w:locked="1" w:semiHidden="0" w:uiPriority="0" w:unhideWhenUsed="0"/>
    <w:lsdException w:name="Table Contemporary" w:locked="1" w:semiHidden="0" w:uiPriority="0" w:unhideWhenUsed="0"/>
    <w:lsdException w:name="Table Elegant" w:locked="1" w:semiHidden="0" w:uiPriority="0" w:unhideWhenUsed="0"/>
    <w:lsdException w:name="Table Professional" w:locked="1" w:semiHidden="0" w:uiPriority="0" w:unhideWhenUsed="0"/>
    <w:lsdException w:name="Table Subtle 1" w:locked="1" w:semiHidden="0" w:uiPriority="0" w:unhideWhenUsed="0"/>
    <w:lsdException w:name="Table Subtle 2" w:locked="1" w:semiHidden="0" w:uiPriority="0" w:unhideWhenUsed="0"/>
    <w:lsdException w:name="Table Web 1" w:locked="1" w:semiHidden="0" w:uiPriority="0" w:unhideWhenUsed="0"/>
    <w:lsdException w:name="Table Web 2" w:locked="1" w:semiHidden="0" w:uiPriority="0" w:unhideWhenUsed="0"/>
    <w:lsdException w:name="Table Web 3" w:locked="1" w:semiHidden="0" w:uiPriority="0" w:unhideWhenUsed="0"/>
    <w:lsdException w:name="Balloon Text" w:uiPriority="0" w:unhideWhenUsed="0"/>
    <w:lsdException w:name="Table Grid" w:semiHidden="0" w:uiPriority="0" w:unhideWhenUsed="0"/>
    <w:lsdException w:name="Table Theme" w:locked="1"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BodyTextFirstIndent2"/>
    <w:qFormat/>
    <w:pPr>
      <w:widowControl w:val="0"/>
      <w:jc w:val="both"/>
    </w:pPr>
    <w:rPr>
      <w:rFonts w:ascii="Times New Roman" w:eastAsia="宋体" w:hAnsi="Times New Roman"/>
      <w:kern w:val="2"/>
      <w:sz w:val="21"/>
      <w:szCs w:val="24"/>
      <w:lang w:val="en-US" w:eastAsia="zh-CN" w:bidi="ar-SA"/>
    </w:rPr>
  </w:style>
  <w:style w:type="paragraph" w:styleId="Heading1">
    <w:name w:val="heading 1"/>
    <w:basedOn w:val="Normal"/>
    <w:next w:val="Normal"/>
    <w:uiPriority w:val="99"/>
    <w:qFormat/>
    <w:locked/>
    <w:pPr>
      <w:keepNext/>
      <w:overflowPunct w:val="0"/>
      <w:snapToGrid w:val="0"/>
      <w:spacing w:before="120" w:after="160" w:line="259" w:lineRule="auto"/>
      <w:ind w:left="432" w:hanging="432"/>
      <w:outlineLvl w:val="0"/>
    </w:pPr>
    <w:rPr>
      <w:rFonts w:eastAsia="黑体"/>
      <w:b/>
      <w:bCs/>
      <w:color w:val="000000"/>
      <w:kern w:val="44"/>
      <w:sz w:val="30"/>
      <w:szCs w:val="30"/>
    </w:rPr>
  </w:style>
  <w:style w:type="paragraph" w:styleId="Heading2">
    <w:name w:val="heading 2"/>
    <w:basedOn w:val="Normal"/>
    <w:next w:val="Normal"/>
    <w:qFormat/>
    <w:locked/>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unhideWhenUsed/>
    <w:qFormat/>
    <w:locked/>
    <w:pPr>
      <w:keepNext/>
      <w:keepLines/>
      <w:spacing w:before="150" w:beforeLines="150" w:beforeAutospacing="0" w:after="150" w:afterLines="150" w:afterAutospacing="0" w:line="360" w:lineRule="auto"/>
      <w:ind w:firstLine="0" w:firstLineChars="0"/>
      <w:outlineLvl w:val="2"/>
    </w:pPr>
    <w:rPr>
      <w:rFonts w:ascii="Times New Roman" w:eastAsia="宋体" w:hAnsi="Times New Roman" w:cs="Times New Roman"/>
      <w:b/>
      <w:sz w:val="32"/>
    </w:rPr>
  </w:style>
  <w:style w:type="paragraph" w:styleId="Heading4">
    <w:name w:val="heading 4"/>
    <w:basedOn w:val="Normal"/>
    <w:next w:val="Normal"/>
    <w:unhideWhenUsed/>
    <w:qFormat/>
    <w:locked/>
    <w:pPr>
      <w:keepNext/>
      <w:keepLines/>
      <w:ind w:firstLine="0" w:firstLineChars="0"/>
      <w:outlineLvl w:val="3"/>
    </w:pPr>
    <w:rPr>
      <w:rFonts w:ascii="Arial" w:hAnsi="Arial"/>
      <w:b/>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customStyle="1" w:styleId="Q-Char">
    <w:name w:val="Q-表格文字 Char"/>
    <w:link w:val="Q-"/>
    <w:qFormat/>
    <w:rPr>
      <w:rFonts w:ascii="Times New Roman" w:eastAsia="宋体" w:hAnsi="Times New Roman" w:cs="宋体"/>
      <w:sz w:val="21"/>
      <w:szCs w:val="18"/>
    </w:rPr>
  </w:style>
  <w:style w:type="character" w:customStyle="1" w:styleId="Char">
    <w:name w:val="页脚 Char"/>
    <w:link w:val="Footer"/>
    <w:uiPriority w:val="99"/>
    <w:locked/>
    <w:rPr>
      <w:sz w:val="18"/>
    </w:rPr>
  </w:style>
  <w:style w:type="character" w:customStyle="1" w:styleId="Char0">
    <w:name w:val="图名 Char"/>
    <w:link w:val="a"/>
    <w:rPr>
      <w:rFonts w:ascii="Times New Roman" w:eastAsia="仿宋" w:hAnsi="Times New Roman"/>
      <w:b/>
      <w:sz w:val="24"/>
    </w:rPr>
  </w:style>
  <w:style w:type="character" w:styleId="PageNumber">
    <w:name w:val="page number"/>
    <w:basedOn w:val="DefaultParagraphFont"/>
    <w:locked/>
  </w:style>
  <w:style w:type="character" w:customStyle="1" w:styleId="Char1">
    <w:name w:val="新格式表 Char"/>
    <w:link w:val="a3"/>
    <w:rPr>
      <w:color w:val="000000"/>
      <w:kern w:val="0"/>
      <w:szCs w:val="21"/>
    </w:rPr>
  </w:style>
  <w:style w:type="character" w:customStyle="1" w:styleId="Char2">
    <w:name w:val="~~~表头 Char"/>
    <w:link w:val="a1"/>
    <w:rPr>
      <w:rFonts w:ascii="Times New Roman" w:eastAsia="宋体" w:hAnsi="Times New Roman"/>
      <w:b/>
    </w:rPr>
  </w:style>
  <w:style w:type="character" w:customStyle="1" w:styleId="Char3">
    <w:name w:val="报告正文 Char"/>
    <w:link w:val="a5"/>
    <w:rPr>
      <w:rFonts w:ascii="Times New Roman" w:hAnsi="Times New Roman"/>
      <w:sz w:val="24"/>
    </w:rPr>
  </w:style>
  <w:style w:type="character" w:customStyle="1" w:styleId="Char4">
    <w:name w:val="表后空行 Char"/>
    <w:link w:val="a6"/>
    <w:rPr>
      <w:rFonts w:ascii="Times New Roman" w:hAnsi="Times New Roman"/>
      <w:sz w:val="21"/>
    </w:rPr>
  </w:style>
  <w:style w:type="character" w:customStyle="1" w:styleId="Char5">
    <w:name w:val="批注主题 Char"/>
    <w:link w:val="CommentSubject"/>
    <w:semiHidden/>
    <w:locked/>
    <w:rPr>
      <w:rFonts w:ascii="Times New Roman" w:eastAsia="宋体" w:hAnsi="Times New Roman"/>
      <w:b/>
      <w:kern w:val="2"/>
      <w:sz w:val="24"/>
    </w:rPr>
  </w:style>
  <w:style w:type="character" w:customStyle="1" w:styleId="Char6">
    <w:name w:val="页眉 Char"/>
    <w:link w:val="Header"/>
    <w:locked/>
    <w:rPr>
      <w:sz w:val="18"/>
    </w:rPr>
  </w:style>
  <w:style w:type="character" w:styleId="CommentReference">
    <w:name w:val="annotation reference"/>
    <w:semiHidden/>
    <w:rPr>
      <w:sz w:val="21"/>
    </w:rPr>
  </w:style>
  <w:style w:type="character" w:styleId="Hyperlink">
    <w:name w:val="Hyperlink"/>
    <w:basedOn w:val="DefaultParagraphFont"/>
    <w:locked/>
    <w:rPr>
      <w:color w:val="0000FF"/>
      <w:u w:val="single"/>
    </w:rPr>
  </w:style>
  <w:style w:type="character" w:customStyle="1" w:styleId="Char7">
    <w:name w:val="批注框文本 Char"/>
    <w:link w:val="BalloonText"/>
    <w:semiHidden/>
    <w:locked/>
    <w:rPr>
      <w:rFonts w:ascii="Times New Roman" w:eastAsia="宋体" w:hAnsi="Times New Roman"/>
      <w:sz w:val="18"/>
    </w:rPr>
  </w:style>
  <w:style w:type="character" w:customStyle="1" w:styleId="Char8">
    <w:name w:val="日期 Char"/>
    <w:link w:val="Date"/>
    <w:locked/>
    <w:rPr>
      <w:rFonts w:ascii="Times New Roman" w:eastAsia="宋体" w:hAnsi="Times New Roman"/>
      <w:sz w:val="24"/>
    </w:rPr>
  </w:style>
  <w:style w:type="character" w:customStyle="1" w:styleId="Char9">
    <w:name w:val="表格 Char"/>
    <w:link w:val="a0"/>
    <w:locked/>
    <w:rPr>
      <w:rFonts w:ascii="Times New Roman" w:eastAsia="宋体" w:hAnsi="Times New Roman"/>
      <w:sz w:val="21"/>
    </w:rPr>
  </w:style>
  <w:style w:type="character" w:styleId="Strong">
    <w:name w:val="Strong"/>
    <w:basedOn w:val="DefaultParagraphFont"/>
    <w:qFormat/>
    <w:locked/>
    <w:rPr>
      <w:rFonts w:ascii="Verdana" w:hAnsi="Verdana" w:cs="Verdana"/>
      <w:b/>
      <w:bCs/>
      <w:sz w:val="20"/>
      <w:szCs w:val="20"/>
      <w:lang w:eastAsia="en-US"/>
    </w:rPr>
  </w:style>
  <w:style w:type="paragraph" w:customStyle="1" w:styleId="Q-4">
    <w:name w:val="Q-标题4"/>
    <w:basedOn w:val="Normal"/>
    <w:next w:val="Q-0"/>
    <w:qFormat/>
    <w:pPr>
      <w:numPr>
        <w:ilvl w:val="3"/>
        <w:numId w:val="1"/>
      </w:numPr>
      <w:tabs>
        <w:tab w:val="left" w:pos="0"/>
        <w:tab w:val="clear" w:pos="426"/>
      </w:tabs>
      <w:ind w:left="0" w:firstLine="0" w:firstLineChars="0"/>
      <w:outlineLvl w:val="3"/>
    </w:pPr>
    <w:rPr>
      <w:rFonts w:ascii="Times New Roman" w:eastAsia="宋体" w:hAnsi="Times New Roman"/>
      <w:b/>
    </w:rPr>
  </w:style>
  <w:style w:type="paragraph" w:customStyle="1" w:styleId="a">
    <w:name w:val="图名"/>
    <w:basedOn w:val="Normal"/>
    <w:link w:val="Char0"/>
    <w:qFormat/>
    <w:pPr>
      <w:spacing w:line="360" w:lineRule="auto"/>
      <w:ind w:firstLine="0" w:firstLineChars="0"/>
      <w:jc w:val="center"/>
    </w:pPr>
    <w:rPr>
      <w:rFonts w:ascii="Times New Roman" w:eastAsia="仿宋" w:hAnsi="Times New Roman"/>
      <w:b/>
      <w:sz w:val="24"/>
    </w:rPr>
  </w:style>
  <w:style w:type="paragraph" w:customStyle="1" w:styleId="a0">
    <w:name w:val="表格"/>
    <w:basedOn w:val="Normal"/>
    <w:next w:val="Normal"/>
    <w:link w:val="Char9"/>
    <w:pPr>
      <w:adjustRightInd w:val="0"/>
      <w:snapToGrid w:val="0"/>
      <w:spacing w:before="10" w:beforeLines="10" w:after="10" w:afterLines="10" w:line="259" w:lineRule="auto"/>
      <w:jc w:val="center"/>
    </w:pPr>
    <w:rPr>
      <w:rFonts w:ascii="Times New Roman" w:eastAsia="宋体" w:hAnsi="Times New Roman"/>
      <w:kern w:val="0"/>
      <w:szCs w:val="20"/>
    </w:rPr>
  </w:style>
  <w:style w:type="paragraph" w:customStyle="1" w:styleId="Q-">
    <w:name w:val="Q-表格文字"/>
    <w:link w:val="Q-Char"/>
    <w:qFormat/>
    <w:pPr>
      <w:adjustRightInd w:val="0"/>
      <w:snapToGrid w:val="0"/>
      <w:ind w:firstLine="0" w:firstLineChars="0"/>
      <w:jc w:val="center"/>
    </w:pPr>
    <w:rPr>
      <w:rFonts w:ascii="Times New Roman" w:eastAsia="宋体" w:hAnsi="Times New Roman" w:cs="宋体"/>
      <w:sz w:val="21"/>
      <w:szCs w:val="18"/>
    </w:rPr>
  </w:style>
  <w:style w:type="paragraph" w:customStyle="1" w:styleId="a1">
    <w:name w:val="~~~表头"/>
    <w:basedOn w:val="Normal"/>
    <w:next w:val="Normal"/>
    <w:link w:val="Char2"/>
    <w:qFormat/>
    <w:pPr>
      <w:numPr>
        <w:ilvl w:val="7"/>
        <w:numId w:val="2"/>
      </w:numPr>
      <w:tabs>
        <w:tab w:val="clear" w:pos="0"/>
        <w:tab w:val="left" w:pos="1276"/>
      </w:tabs>
      <w:spacing w:line="240" w:lineRule="auto"/>
      <w:ind w:left="0" w:firstLine="0" w:firstLineChars="0"/>
      <w:jc w:val="center"/>
    </w:pPr>
    <w:rPr>
      <w:rFonts w:ascii="Times New Roman" w:eastAsia="宋体" w:hAnsi="Times New Roman"/>
      <w:b/>
    </w:rPr>
  </w:style>
  <w:style w:type="paragraph" w:styleId="Date">
    <w:name w:val="Date"/>
    <w:basedOn w:val="Normal"/>
    <w:next w:val="Normal"/>
    <w:link w:val="Char8"/>
    <w:pPr>
      <w:ind w:left="100" w:leftChars="2500"/>
    </w:pPr>
    <w:rPr>
      <w:kern w:val="0"/>
      <w:sz w:val="24"/>
      <w:szCs w:val="20"/>
    </w:rPr>
  </w:style>
  <w:style w:type="paragraph" w:styleId="BodyText">
    <w:name w:val="Body Text"/>
    <w:basedOn w:val="Normal"/>
    <w:next w:val="Normal"/>
    <w:qFormat/>
    <w:rPr>
      <w:sz w:val="24"/>
    </w:rPr>
  </w:style>
  <w:style w:type="paragraph" w:styleId="Header">
    <w:name w:val="header"/>
    <w:basedOn w:val="Normal"/>
    <w:next w:val="5"/>
    <w:link w:val="Char6"/>
    <w:pPr>
      <w:pBdr>
        <w:bottom w:val="single" w:sz="6" w:space="1" w:color="auto"/>
      </w:pBdr>
      <w:tabs>
        <w:tab w:val="center" w:pos="4153"/>
        <w:tab w:val="right" w:pos="8306"/>
      </w:tabs>
      <w:snapToGrid w:val="0"/>
      <w:jc w:val="center"/>
    </w:pPr>
    <w:rPr>
      <w:kern w:val="0"/>
      <w:sz w:val="18"/>
      <w:szCs w:val="20"/>
    </w:rPr>
  </w:style>
  <w:style w:type="paragraph" w:styleId="List">
    <w:name w:val="List"/>
    <w:basedOn w:val="Normal"/>
    <w:qFormat/>
    <w:locked/>
    <w:pPr>
      <w:ind w:left="200" w:hanging="200" w:hangingChars="200"/>
    </w:pPr>
  </w:style>
  <w:style w:type="paragraph" w:customStyle="1" w:styleId="Default1">
    <w:name w:val="Default1"/>
    <w:qFormat/>
    <w:pPr>
      <w:widowControl w:val="0"/>
      <w:autoSpaceDE w:val="0"/>
      <w:autoSpaceDN w:val="0"/>
      <w:adjustRightInd w:val="0"/>
    </w:pPr>
    <w:rPr>
      <w:rFonts w:ascii="宋体" w:eastAsia="宋体" w:hAnsi="Times New Roman" w:cs="宋体"/>
      <w:color w:val="000000"/>
      <w:sz w:val="24"/>
      <w:szCs w:val="24"/>
      <w:lang w:val="en-US" w:eastAsia="zh-CN" w:bidi="ar-SA"/>
    </w:rPr>
  </w:style>
  <w:style w:type="paragraph" w:styleId="TableofFigures">
    <w:name w:val="table of figures"/>
    <w:basedOn w:val="Normal"/>
    <w:next w:val="Normal"/>
    <w:qFormat/>
    <w:locked/>
    <w:pPr>
      <w:ind w:left="200" w:hanging="200" w:leftChars="200" w:hangingChars="200"/>
    </w:pPr>
    <w:rPr>
      <w:rFonts w:ascii="Calibri" w:hAnsi="Calibri"/>
      <w:sz w:val="21"/>
      <w:szCs w:val="22"/>
    </w:rPr>
  </w:style>
  <w:style w:type="paragraph" w:styleId="Footer">
    <w:name w:val="footer"/>
    <w:basedOn w:val="Normal"/>
    <w:link w:val="Char"/>
    <w:uiPriority w:val="99"/>
    <w:pPr>
      <w:tabs>
        <w:tab w:val="center" w:pos="4153"/>
        <w:tab w:val="right" w:pos="8306"/>
      </w:tabs>
      <w:snapToGrid w:val="0"/>
      <w:jc w:val="left"/>
    </w:pPr>
    <w:rPr>
      <w:kern w:val="0"/>
      <w:sz w:val="18"/>
      <w:szCs w:val="20"/>
    </w:rPr>
  </w:style>
  <w:style w:type="paragraph" w:customStyle="1" w:styleId="a2">
    <w:name w:val="表内 字体"/>
    <w:basedOn w:val="BodyText"/>
    <w:next w:val="Normal"/>
    <w:pPr>
      <w:spacing w:after="0" w:line="240" w:lineRule="auto"/>
      <w:ind w:firstLine="0" w:firstLineChars="0"/>
      <w:jc w:val="center"/>
    </w:pPr>
    <w:rPr>
      <w:sz w:val="21"/>
      <w:szCs w:val="20"/>
    </w:rPr>
  </w:style>
  <w:style w:type="paragraph" w:styleId="BodyTextFirstIndent">
    <w:name w:val="Body Text First Indent"/>
    <w:basedOn w:val="BodyText"/>
    <w:next w:val="Normal"/>
    <w:qFormat/>
    <w:locked/>
    <w:pPr>
      <w:adjustRightInd/>
      <w:spacing w:line="240" w:lineRule="auto"/>
      <w:ind w:firstLine="420" w:firstLineChars="100"/>
      <w:textAlignment w:val="auto"/>
    </w:pPr>
    <w:rPr>
      <w:rFonts w:ascii="Times New Roman"/>
      <w:snapToGrid/>
      <w:spacing w:val="0"/>
      <w:kern w:val="2"/>
      <w:sz w:val="21"/>
    </w:rPr>
  </w:style>
  <w:style w:type="paragraph" w:styleId="NormalWeb">
    <w:name w:val="Normal (Web)"/>
    <w:basedOn w:val="Normal"/>
    <w:qFormat/>
    <w:pPr>
      <w:pBdr>
        <w:top w:val="none" w:sz="0" w:space="0" w:color="auto"/>
        <w:left w:val="none" w:sz="0" w:space="0" w:color="auto"/>
        <w:bottom w:val="none" w:sz="0" w:space="0" w:color="auto"/>
        <w:right w:val="none" w:sz="0" w:space="0" w:color="auto"/>
      </w:pBdr>
      <w:spacing w:before="0" w:beforeAutospacing="0" w:after="0" w:afterAutospacing="0"/>
      <w:ind w:left="0" w:right="0"/>
      <w:jc w:val="left"/>
    </w:pPr>
    <w:rPr>
      <w:kern w:val="0"/>
      <w:sz w:val="24"/>
      <w:lang w:val="en-US" w:eastAsia="zh-CN" w:bidi="ar"/>
    </w:rPr>
  </w:style>
  <w:style w:type="paragraph" w:styleId="CommentText">
    <w:name w:val="annotation text"/>
    <w:basedOn w:val="Normal"/>
    <w:qFormat/>
    <w:pPr>
      <w:jc w:val="left"/>
    </w:pPr>
  </w:style>
  <w:style w:type="paragraph" w:styleId="NormalIndent">
    <w:name w:val="Normal Indent"/>
    <w:basedOn w:val="Normal"/>
    <w:next w:val="Normal"/>
    <w:qFormat/>
    <w:locked/>
    <w:pPr>
      <w:ind w:firstLine="420" w:firstLineChars="200"/>
    </w:pPr>
  </w:style>
  <w:style w:type="paragraph" w:customStyle="1" w:styleId="3">
    <w:name w:val="样式3"/>
    <w:basedOn w:val="List"/>
    <w:qFormat/>
    <w:pPr>
      <w:snapToGrid w:val="0"/>
      <w:jc w:val="center"/>
    </w:pPr>
    <w:rPr>
      <w:rFonts w:eastAsia="黑体" w:hAnsi="黑体"/>
      <w:color w:val="000000"/>
      <w:sz w:val="24"/>
      <w:szCs w:val="24"/>
    </w:rPr>
  </w:style>
  <w:style w:type="paragraph" w:customStyle="1" w:styleId="a3">
    <w:name w:val="新格式表"/>
    <w:basedOn w:val="Normal"/>
    <w:link w:val="Char1"/>
    <w:qFormat/>
    <w:pPr>
      <w:adjustRightInd w:val="0"/>
      <w:snapToGrid w:val="0"/>
      <w:spacing w:line="0" w:lineRule="atLeast"/>
      <w:jc w:val="center"/>
    </w:pPr>
    <w:rPr>
      <w:color w:val="000000"/>
      <w:kern w:val="0"/>
      <w:szCs w:val="21"/>
    </w:rPr>
  </w:style>
  <w:style w:type="paragraph" w:styleId="CommentSubject">
    <w:name w:val="annotation subject"/>
    <w:basedOn w:val="Normal"/>
    <w:next w:val="Normal"/>
    <w:link w:val="Char5"/>
    <w:semiHidden/>
    <w:rPr>
      <w:b/>
      <w:sz w:val="24"/>
      <w:szCs w:val="20"/>
    </w:rPr>
  </w:style>
  <w:style w:type="paragraph" w:styleId="BodyTextIndent2">
    <w:name w:val="Body Text Indent 2"/>
    <w:basedOn w:val="Normal"/>
    <w:qFormat/>
    <w:locked/>
    <w:pPr>
      <w:snapToGrid w:val="0"/>
      <w:spacing w:line="320" w:lineRule="atLeast"/>
      <w:ind w:firstLine="480"/>
    </w:pPr>
  </w:style>
  <w:style w:type="paragraph" w:customStyle="1" w:styleId="5">
    <w:name w:val="样式5"/>
    <w:basedOn w:val="3"/>
    <w:qFormat/>
    <w:pPr>
      <w:snapToGrid w:val="0"/>
      <w:spacing w:line="240" w:lineRule="auto"/>
      <w:jc w:val="center"/>
    </w:pPr>
    <w:rPr>
      <w:rFonts w:ascii="黑体" w:eastAsia="黑体" w:hAnsi="Times New Roman"/>
      <w:color w:val="000000"/>
    </w:rPr>
  </w:style>
  <w:style w:type="paragraph" w:customStyle="1" w:styleId="a4">
    <w:name w:val="表头"/>
    <w:basedOn w:val="Normal"/>
    <w:qFormat/>
    <w:pPr>
      <w:spacing w:line="240" w:lineRule="auto"/>
      <w:ind w:firstLine="0" w:firstLineChars="0"/>
      <w:jc w:val="center"/>
    </w:pPr>
    <w:rPr>
      <w:rFonts w:ascii="Times New Roman" w:hAnsi="Times New Roman"/>
      <w:b/>
      <w:sz w:val="24"/>
    </w:rPr>
  </w:style>
  <w:style w:type="paragraph" w:customStyle="1" w:styleId="Q-0">
    <w:name w:val="Q-正文"/>
    <w:basedOn w:val="Normal"/>
    <w:next w:val="Normal"/>
    <w:qFormat/>
    <w:pPr>
      <w:ind w:firstLine="200"/>
    </w:pPr>
    <w:rPr>
      <w:rFonts w:ascii="Times New Roman" w:eastAsia="宋体" w:hAnsi="Times New Roman" w:cs="Times New Roman"/>
      <w:sz w:val="24"/>
      <w:szCs w:val="22"/>
    </w:rPr>
  </w:style>
  <w:style w:type="paragraph" w:customStyle="1" w:styleId="a5">
    <w:name w:val="报告正文"/>
    <w:basedOn w:val="Normal"/>
    <w:link w:val="Char3"/>
    <w:qFormat/>
    <w:pPr>
      <w:adjustRightInd w:val="0"/>
      <w:snapToGrid w:val="0"/>
      <w:spacing w:line="360" w:lineRule="auto"/>
      <w:ind w:firstLine="720" w:firstLineChars="200"/>
    </w:pPr>
    <w:rPr>
      <w:rFonts w:ascii="Times New Roman" w:hAnsi="Times New Roman"/>
      <w:sz w:val="24"/>
    </w:rPr>
  </w:style>
  <w:style w:type="paragraph" w:styleId="BalloonText">
    <w:name w:val="Balloon Text"/>
    <w:basedOn w:val="Normal"/>
    <w:link w:val="Char7"/>
    <w:semiHidden/>
    <w:rPr>
      <w:kern w:val="0"/>
      <w:sz w:val="18"/>
      <w:szCs w:val="20"/>
    </w:rPr>
  </w:style>
  <w:style w:type="paragraph" w:styleId="BodyTextIndent">
    <w:name w:val="Body Text Indent"/>
    <w:basedOn w:val="Normal"/>
    <w:next w:val="Header"/>
    <w:qFormat/>
    <w:pPr>
      <w:spacing w:after="120" w:afterLines="0" w:afterAutospacing="0"/>
      <w:ind w:left="420" w:leftChars="200"/>
    </w:pPr>
    <w:rPr>
      <w:rFonts w:eastAsia="宋体"/>
      <w:kern w:val="2"/>
      <w:sz w:val="21"/>
      <w:lang w:val="en-US" w:eastAsia="zh-CN"/>
    </w:rPr>
  </w:style>
  <w:style w:type="paragraph" w:customStyle="1" w:styleId="TableParagraph">
    <w:name w:val="Table Paragraph"/>
    <w:basedOn w:val="Normal"/>
    <w:uiPriority w:val="1"/>
    <w:qFormat/>
    <w:rPr>
      <w:rFonts w:ascii="宋体" w:eastAsia="宋体" w:hAnsi="宋体" w:cs="宋体"/>
      <w:lang w:val="zh-CN" w:eastAsia="zh-CN" w:bidi="zh-CN"/>
    </w:rPr>
  </w:style>
  <w:style w:type="paragraph" w:customStyle="1" w:styleId="2006">
    <w:name w:val="2006表格题目"/>
    <w:basedOn w:val="Normal"/>
    <w:qFormat/>
    <w:pPr>
      <w:spacing w:before="160" w:line="520" w:lineRule="exact"/>
      <w:ind w:firstLine="480" w:firstLineChars="200"/>
    </w:pPr>
    <w:rPr>
      <w:rFonts w:ascii="黑体" w:eastAsia="黑体"/>
      <w:sz w:val="24"/>
      <w:szCs w:val="20"/>
    </w:rPr>
  </w:style>
  <w:style w:type="paragraph" w:customStyle="1" w:styleId="a6">
    <w:name w:val="表后空行"/>
    <w:basedOn w:val="Normal"/>
    <w:next w:val="Normal"/>
    <w:link w:val="Char4"/>
    <w:qFormat/>
    <w:pPr>
      <w:spacing w:line="240" w:lineRule="auto"/>
      <w:ind w:firstLine="0" w:firstLineChars="0"/>
    </w:pPr>
    <w:rPr>
      <w:rFonts w:ascii="Times New Roman" w:hAnsi="Times New Roman"/>
      <w:sz w:val="21"/>
    </w:rPr>
  </w:style>
  <w:style w:type="paragraph" w:customStyle="1" w:styleId="Default">
    <w:name w:val="Default"/>
    <w:qFormat/>
    <w:pPr>
      <w:widowControl w:val="0"/>
      <w:autoSpaceDE w:val="0"/>
      <w:autoSpaceDN w:val="0"/>
      <w:adjustRightInd w:val="0"/>
    </w:pPr>
    <w:rPr>
      <w:rFonts w:ascii="Arial Unicode MS" w:eastAsia="宋体" w:hAnsi="Arial Unicode MS" w:cs="Arial Unicode MS"/>
      <w:color w:val="000000"/>
      <w:sz w:val="24"/>
      <w:szCs w:val="24"/>
      <w:lang w:val="en-US" w:eastAsia="zh-CN" w:bidi="ar-SA"/>
    </w:rPr>
  </w:style>
  <w:style w:type="paragraph" w:styleId="BodyTextFirstIndent2">
    <w:name w:val="Body Text First Indent 2"/>
    <w:basedOn w:val="BodyTextIndent"/>
    <w:next w:val="Normal"/>
    <w:qFormat/>
    <w:pPr>
      <w:ind w:firstLine="420" w:firstLineChars="200"/>
    </w:pPr>
  </w:style>
  <w:style w:type="paragraph" w:styleId="BlockText">
    <w:name w:val="Block Text"/>
    <w:basedOn w:val="Normal"/>
    <w:next w:val="Normal"/>
    <w:qFormat/>
    <w:locked/>
    <w:pPr>
      <w:autoSpaceDE w:val="0"/>
      <w:autoSpaceDN w:val="0"/>
      <w:adjustRightInd w:val="0"/>
      <w:spacing w:line="480" w:lineRule="auto"/>
      <w:ind w:left="57" w:right="57" w:firstLine="570"/>
    </w:pPr>
    <w:rPr>
      <w:rFonts w:ascii="仿宋_GB2312" w:eastAsia="仿宋_GB2312" w:hAnsi="宋体" w:hint="eastAsia"/>
      <w:b/>
      <w:color w:val="000000"/>
      <w:kern w:val="0"/>
      <w:sz w:val="28"/>
      <w:szCs w:val="20"/>
    </w:rPr>
  </w:style>
  <w:style w:type="paragraph" w:customStyle="1" w:styleId="Style4">
    <w:name w:val="_Style 4"/>
    <w:basedOn w:val="Normal"/>
    <w:next w:val="Normal"/>
    <w:qFormat/>
    <w:pPr>
      <w:tabs>
        <w:tab w:val="left" w:pos="4665"/>
        <w:tab w:val="left" w:pos="8970"/>
      </w:tabs>
      <w:ind w:firstLine="400"/>
    </w:pPr>
    <w:rPr>
      <w:rFonts w:ascii="宋体" w:hAnsi="宋体"/>
      <w:sz w:val="30"/>
      <w:szCs w:val="30"/>
    </w:rPr>
  </w:style>
  <w:style w:type="table" w:styleId="TableGrid">
    <w:name w:val="Table Grid"/>
    <w:basedOn w:val="TableNormal"/>
    <w:rPr>
      <w:lang w:val="en-US" w:eastAsia="zh-CN"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yperlink" Target="https://d.book118.com/036003214235010102" TargetMode="External" /><Relationship Id="rId15" Type="http://schemas.openxmlformats.org/officeDocument/2006/relationships/header" Target="header6.xml" /><Relationship Id="rId16" Type="http://schemas.openxmlformats.org/officeDocument/2006/relationships/footer" Target="footer6.xm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wdzx97</Template>
  <TotalTime>0</TotalTime>
  <Pages>7</Pages>
  <Words>17273</Words>
  <Characters>19185</Characters>
  <Application>Microsoft Office Word</Application>
  <DocSecurity>0</DocSecurity>
  <Lines>13</Lines>
  <Paragraphs>3</Paragraphs>
  <ScaleCrop>false</ScaleCrop>
  <Company>微软中国</Company>
  <LinksUpToDate>false</LinksUpToDate>
  <CharactersWithSpaces>19377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附件2</dc:title>
  <dc:creator>lhj</dc:creator>
  <cp:lastModifiedBy>WPS_1559717548</cp:lastModifiedBy>
  <cp:revision>37</cp:revision>
  <cp:lastPrinted>2022-08-30T01:34:04Z</cp:lastPrinted>
  <dcterms:created xsi:type="dcterms:W3CDTF">2020-12-24T01:29:00Z</dcterms:created>
  <dcterms:modified xsi:type="dcterms:W3CDTF">2024-03-18T07:27:39Z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ondata">
    <vt:lpwstr>eyJoZGlkIjoiNWRmNTA5ZWVjYzdmOTdjZDE3ODNkZGU2ZDZmOWZiZWEifQ==</vt:lpwstr>
  </property>
  <property fmtid="{D5CDD505-2E9C-101B-9397-08002B2CF9AE}" pid="3" name="ICV">
    <vt:lpwstr>B61345CAD4014B3F8C9CE03A91E4A112</vt:lpwstr>
  </property>
  <property fmtid="{D5CDD505-2E9C-101B-9397-08002B2CF9AE}" pid="4" name="KSOProductBuildVer">
    <vt:lpwstr>2052-11.1.0.10009</vt:lpwstr>
  </property>
</Properties>
</file>