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710"/>
        </w:tabs>
        <w:spacing w:before="0" w:after="0" w:line="326" w:lineRule="exact"/>
        <w:ind w:left="130"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4" o:spid="_x0000_s1025" type="#_x0000_t12" style="width:481.95pt;height:0.7pt;margin-top:215.15pt;margin-left:56.7pt;mso-height-relative:page;mso-position-horizontal-relative:page;mso-position-vertical-relative:page;mso-width-relative:page;position:absolute;z-index:251658240" coordsize="21600,21600" stroked="t" strokecolor="black">
            <v:fill opacity="0"/>
            <v:stroke joinstyle="miter"/>
          </v:shape>
        </w:pict>
      </w:r>
      <w:r>
        <w:pict>
          <v:shape id="WS_polygon199" o:spid="_x0000_s1026" type="#_x0000_t12" style="width:104.6pt;height:53.6pt;margin-top:46.55pt;margin-left:424.2pt;mso-height-relative:page;mso-position-horizontal-relative:page;mso-position-vertical-relative:page;mso-width-relative:page;position:absolute;z-index:-251657216" coordsize="21600,21600" fillcolor="white" stroked="f">
            <v:stroke joinstyle="miter"/>
          </v:shape>
        </w:pict>
      </w:r>
      <w:r>
        <w:rPr>
          <w:rFonts w:ascii="Microsoft YaHei UI" w:hAnsi="Microsoft YaHei UI" w:cs="Microsoft YaHei UI"/>
          <w:color w:val="000000"/>
          <w:spacing w:val="0"/>
          <w:w w:val="100"/>
          <w:position w:val="0"/>
          <w:sz w:val="22"/>
          <w:u w:val="none"/>
        </w:rPr>
        <w:t>ICS</w:t>
      </w:r>
      <w:r>
        <w:rPr>
          <w:rFonts w:cs="Calibri"/>
          <w:color w:val="000000"/>
          <w:spacing w:val="0"/>
          <w:w w:val="100"/>
          <w:u w:val="none"/>
        </w:rPr>
        <w:tab/>
      </w:r>
      <w:r>
        <w:rPr>
          <w:rFonts w:ascii="黑体" w:hAnsi="黑体" w:cs="黑体"/>
          <w:color w:val="000000"/>
          <w:spacing w:val="-1"/>
          <w:w w:val="100"/>
          <w:position w:val="2"/>
          <w:sz w:val="22"/>
          <w:u w:val="none"/>
        </w:rPr>
        <w:t>91.080.10</w:t>
      </w:r>
    </w:p>
    <w:p>
      <w:pPr>
        <w:tabs>
          <w:tab w:val="left" w:pos="785"/>
        </w:tabs>
        <w:spacing w:before="0" w:after="0" w:line="283" w:lineRule="exact"/>
        <w:ind w:left="130" w:firstLine="0"/>
        <w:jc w:val="left"/>
      </w:pPr>
      <w:r>
        <w:rPr>
          <w:rFonts w:ascii="Microsoft YaHei UI" w:hAnsi="Microsoft YaHei UI" w:cs="Microsoft YaHei UI"/>
          <w:color w:val="000000"/>
          <w:spacing w:val="-2"/>
          <w:w w:val="100"/>
          <w:position w:val="0"/>
          <w:sz w:val="22"/>
          <w:u w:val="none"/>
        </w:rPr>
        <w:t>CCS</w:t>
      </w:r>
      <w:r>
        <w:rPr>
          <w:rFonts w:cs="Calibri"/>
          <w:color w:val="000000"/>
          <w:spacing w:val="0"/>
          <w:w w:val="100"/>
          <w:u w:val="none"/>
        </w:rPr>
        <w:tab/>
      </w:r>
      <w:r>
        <w:rPr>
          <w:rFonts w:ascii="黑体" w:hAnsi="黑体" w:cs="黑体"/>
          <w:color w:val="000000"/>
          <w:spacing w:val="0"/>
          <w:w w:val="100"/>
          <w:position w:val="2"/>
          <w:sz w:val="22"/>
          <w:u w:val="none"/>
        </w:rPr>
        <w:t>P</w:t>
      </w:r>
      <w:r>
        <w:rPr>
          <w:rFonts w:ascii="Calibri" w:hAnsi="Calibri" w:cs="Calibri"/>
          <w:color w:val="000000"/>
          <w:spacing w:val="0"/>
          <w:w w:val="217"/>
          <w:sz w:val="22"/>
          <w:u w:val="none"/>
        </w:rPr>
        <w:t> </w:t>
      </w:r>
      <w:r>
        <w:rPr>
          <w:rFonts w:ascii="黑体" w:hAnsi="黑体" w:cs="黑体"/>
          <w:color w:val="000000"/>
          <w:spacing w:val="-1"/>
          <w:w w:val="100"/>
          <w:position w:val="2"/>
          <w:sz w:val="22"/>
          <w:u w:val="none"/>
        </w:rPr>
        <w:t>32</w:t>
      </w:r>
    </w:p>
    <w:p>
      <w:pPr>
        <w:spacing w:before="0" w:after="0" w:line="240" w:lineRule="exact"/>
        <w:ind w:left="130" w:firstLine="0"/>
      </w:pPr>
    </w:p>
    <w:p>
      <w:pPr>
        <w:spacing w:before="0" w:after="0" w:line="240" w:lineRule="exact"/>
        <w:ind w:left="130" w:firstLine="0"/>
      </w:pPr>
    </w:p>
    <w:p>
      <w:pPr>
        <w:spacing w:before="0" w:after="0" w:line="240" w:lineRule="exact"/>
        <w:ind w:left="130" w:firstLine="0"/>
      </w:pPr>
    </w:p>
    <w:p>
      <w:pPr>
        <w:spacing w:before="0" w:after="0" w:line="240" w:lineRule="exact"/>
        <w:ind w:left="130" w:firstLine="0"/>
      </w:pPr>
    </w:p>
    <w:p>
      <w:pPr>
        <w:spacing w:before="0" w:after="0" w:line="240" w:lineRule="exact"/>
        <w:ind w:left="130" w:firstLine="0"/>
      </w:pPr>
    </w:p>
    <w:p>
      <w:pPr>
        <w:spacing w:before="0" w:after="0" w:line="240" w:lineRule="exact"/>
        <w:ind w:left="130" w:firstLine="0"/>
      </w:pPr>
    </w:p>
    <w:p>
      <w:pPr>
        <w:spacing w:before="0" w:after="0" w:line="619" w:lineRule="exact"/>
        <w:ind w:left="130" w:firstLine="1238"/>
        <w:jc w:val="left"/>
      </w:pPr>
      <w:r>
        <w:rPr>
          <w:rFonts w:ascii="黑体" w:eastAsia="黑体" w:hAnsi="黑体" w:cs="黑体"/>
          <w:color w:val="000000"/>
          <w:spacing w:val="0"/>
          <w:w w:val="100"/>
          <w:position w:val="0"/>
          <w:sz w:val="52"/>
          <w:u w:val="none"/>
        </w:rPr>
        <w:t>辽</w:t>
      </w:r>
      <w:r>
        <w:rPr>
          <w:rFonts w:ascii="Calibri" w:hAnsi="Calibri" w:cs="Calibri"/>
          <w:color w:val="000000"/>
          <w:spacing w:val="0"/>
          <w:w w:val="297"/>
          <w:sz w:val="52"/>
          <w:u w:val="none"/>
        </w:rPr>
        <w:t> </w:t>
      </w:r>
      <w:r>
        <w:rPr>
          <w:rFonts w:ascii="黑体" w:eastAsia="黑体" w:hAnsi="黑体" w:cs="黑体"/>
          <w:color w:val="000000"/>
          <w:spacing w:val="0"/>
          <w:w w:val="100"/>
          <w:position w:val="0"/>
          <w:sz w:val="52"/>
          <w:u w:val="none"/>
        </w:rPr>
        <w:t>宁</w:t>
      </w:r>
      <w:r>
        <w:rPr>
          <w:rFonts w:ascii="Calibri" w:hAnsi="Calibri" w:cs="Calibri"/>
          <w:color w:val="000000"/>
          <w:spacing w:val="0"/>
          <w:w w:val="300"/>
          <w:sz w:val="52"/>
          <w:u w:val="none"/>
        </w:rPr>
        <w:t> </w:t>
      </w:r>
      <w:r>
        <w:rPr>
          <w:rFonts w:ascii="黑体" w:eastAsia="黑体" w:hAnsi="黑体" w:cs="黑体"/>
          <w:color w:val="000000"/>
          <w:spacing w:val="0"/>
          <w:w w:val="100"/>
          <w:position w:val="0"/>
          <w:sz w:val="52"/>
          <w:u w:val="none"/>
        </w:rPr>
        <w:t>省</w:t>
      </w:r>
      <w:r>
        <w:rPr>
          <w:rFonts w:ascii="Calibri" w:hAnsi="Calibri" w:cs="Calibri"/>
          <w:color w:val="000000"/>
          <w:spacing w:val="0"/>
          <w:w w:val="297"/>
          <w:sz w:val="52"/>
          <w:u w:val="none"/>
        </w:rPr>
        <w:t> </w:t>
      </w:r>
      <w:r>
        <w:rPr>
          <w:rFonts w:ascii="黑体" w:eastAsia="黑体" w:hAnsi="黑体" w:cs="黑体"/>
          <w:color w:val="000000"/>
          <w:spacing w:val="0"/>
          <w:w w:val="100"/>
          <w:position w:val="0"/>
          <w:sz w:val="52"/>
          <w:u w:val="none"/>
        </w:rPr>
        <w:t>地</w:t>
      </w:r>
      <w:r>
        <w:rPr>
          <w:rFonts w:ascii="Calibri" w:hAnsi="Calibri" w:cs="Calibri"/>
          <w:color w:val="000000"/>
          <w:spacing w:val="0"/>
          <w:w w:val="297"/>
          <w:sz w:val="52"/>
          <w:u w:val="none"/>
        </w:rPr>
        <w:t> </w:t>
      </w:r>
      <w:r>
        <w:rPr>
          <w:rFonts w:ascii="黑体" w:eastAsia="黑体" w:hAnsi="黑体" w:cs="黑体"/>
          <w:color w:val="000000"/>
          <w:spacing w:val="0"/>
          <w:w w:val="100"/>
          <w:position w:val="0"/>
          <w:sz w:val="52"/>
          <w:u w:val="none"/>
        </w:rPr>
        <w:t>方</w:t>
      </w:r>
      <w:r>
        <w:rPr>
          <w:rFonts w:ascii="Calibri" w:hAnsi="Calibri" w:cs="Calibri"/>
          <w:color w:val="000000"/>
          <w:spacing w:val="0"/>
          <w:w w:val="300"/>
          <w:sz w:val="52"/>
          <w:u w:val="none"/>
        </w:rPr>
        <w:t> </w:t>
      </w:r>
      <w:r>
        <w:rPr>
          <w:rFonts w:ascii="黑体" w:eastAsia="黑体" w:hAnsi="黑体" w:cs="黑体"/>
          <w:color w:val="000000"/>
          <w:spacing w:val="0"/>
          <w:w w:val="100"/>
          <w:position w:val="0"/>
          <w:sz w:val="52"/>
          <w:u w:val="none"/>
        </w:rPr>
        <w:t>标</w:t>
      </w:r>
      <w:r>
        <w:rPr>
          <w:rFonts w:ascii="Calibri" w:hAnsi="Calibri" w:cs="Calibri"/>
          <w:color w:val="000000"/>
          <w:spacing w:val="0"/>
          <w:w w:val="298"/>
          <w:sz w:val="52"/>
          <w:u w:val="none"/>
        </w:rPr>
        <w:t> </w:t>
      </w:r>
      <w:r>
        <w:rPr>
          <w:rFonts w:ascii="黑体" w:eastAsia="黑体" w:hAnsi="黑体" w:cs="黑体"/>
          <w:color w:val="000000"/>
          <w:spacing w:val="0"/>
          <w:w w:val="100"/>
          <w:position w:val="0"/>
          <w:sz w:val="52"/>
          <w:u w:val="none"/>
        </w:rPr>
        <w:t>准</w:t>
      </w:r>
    </w:p>
    <w:p>
      <w:pPr>
        <w:spacing w:before="0" w:after="0" w:line="240" w:lineRule="exact"/>
        <w:ind w:left="130" w:firstLine="1238"/>
      </w:pPr>
      <w:r>
        <w:br w:type="column"/>
      </w:r>
    </w:p>
    <w:p>
      <w:pPr>
        <w:spacing w:before="0" w:after="0" w:line="1064" w:lineRule="exact"/>
        <w:ind w:firstLine="235"/>
        <w:jc w:val="left"/>
      </w:pPr>
      <w:r>
        <w:rPr>
          <w:rFonts w:ascii="Microsoft YaHei UI" w:hAnsi="Microsoft YaHei UI" w:cs="Microsoft YaHei UI"/>
          <w:color w:val="000000"/>
          <w:spacing w:val="-31"/>
          <w:w w:val="100"/>
          <w:position w:val="0"/>
          <w:sz w:val="72"/>
          <w:u w:val="none"/>
        </w:rPr>
        <w:t>DB21</w:t>
      </w:r>
    </w:p>
    <w:p>
      <w:pPr>
        <w:spacing w:before="0" w:after="0" w:line="240" w:lineRule="exact"/>
        <w:ind w:firstLine="235"/>
      </w:pPr>
    </w:p>
    <w:p>
      <w:pPr>
        <w:spacing w:before="0" w:after="0" w:line="240" w:lineRule="exact"/>
        <w:ind w:firstLine="235"/>
      </w:pPr>
    </w:p>
    <w:p>
      <w:pPr>
        <w:spacing w:before="0" w:after="0" w:line="240" w:lineRule="exact"/>
        <w:ind w:firstLine="235"/>
      </w:pPr>
    </w:p>
    <w:p>
      <w:pPr>
        <w:spacing w:before="0" w:after="0" w:line="240" w:lineRule="exact"/>
        <w:ind w:firstLine="235"/>
      </w:pPr>
    </w:p>
    <w:p>
      <w:pPr>
        <w:spacing w:before="0" w:after="0" w:line="240" w:lineRule="exact"/>
        <w:ind w:firstLine="235"/>
      </w:pPr>
    </w:p>
    <w:p>
      <w:pPr>
        <w:spacing w:before="0" w:after="0" w:line="240" w:lineRule="exact"/>
        <w:ind w:firstLine="235"/>
      </w:pPr>
    </w:p>
    <w:p>
      <w:pPr>
        <w:spacing w:before="0" w:after="0" w:line="240" w:lineRule="exact"/>
        <w:ind w:firstLine="235"/>
      </w:pPr>
    </w:p>
    <w:p>
      <w:pPr>
        <w:spacing w:before="0" w:after="0" w:line="341" w:lineRule="exact"/>
        <w:ind w:firstLine="0"/>
        <w:jc w:val="left"/>
      </w:pPr>
      <w:r>
        <w:rPr>
          <w:rFonts w:ascii="黑体" w:hAnsi="黑体" w:cs="黑体"/>
          <w:color w:val="000000"/>
          <w:spacing w:val="-1"/>
          <w:w w:val="100"/>
          <w:position w:val="0"/>
          <w:sz w:val="28"/>
          <w:u w:val="none"/>
        </w:rPr>
        <w:t>DB21/T</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3911－2024</w:t>
      </w:r>
    </w:p>
    <w:p>
      <w:pPr>
        <w:widowControl/>
        <w:jc w:val="left"/>
        <w:sectPr>
          <w:type w:val="continuous"/>
          <w:pgSz w:w="11907" w:h="16840"/>
          <w:pgMar w:top="790" w:right="713" w:bottom="550" w:left="1073" w:header="0" w:footer="0" w:gutter="0"/>
          <w:cols w:num="2" w:space="708" w:equalWidth="0">
            <w:col w:w="7320" w:space="0"/>
            <w:col w:w="2801"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75" w:lineRule="exact"/>
        <w:ind w:firstLine="0"/>
      </w:pPr>
    </w:p>
    <w:p>
      <w:pPr>
        <w:widowControl/>
        <w:jc w:val="left"/>
        <w:sectPr>
          <w:type w:val="continuous"/>
          <w:pgSz w:w="11907" w:h="16840"/>
          <w:pgMar w:top="790" w:right="713" w:bottom="550" w:left="1073" w:header="0" w:footer="0" w:gutter="0"/>
          <w:pgNumType w:start="2"/>
          <w:cols w:num="1" w:space="720"/>
          <w:docGrid w:type="lines" w:linePitch="312" w:charSpace="0"/>
        </w:sectPr>
      </w:pPr>
    </w:p>
    <w:p>
      <w:pPr>
        <w:spacing w:before="0" w:after="0" w:line="365" w:lineRule="exact"/>
        <w:ind w:left="1761" w:firstLine="3"/>
        <w:jc w:val="left"/>
      </w:pPr>
      <w:r>
        <w:rPr>
          <w:rFonts w:ascii="黑体" w:eastAsia="黑体" w:hAnsi="黑体" w:cs="黑体"/>
          <w:color w:val="000000"/>
          <w:spacing w:val="-1"/>
          <w:w w:val="100"/>
          <w:position w:val="0"/>
          <w:sz w:val="36"/>
          <w:u w:val="none"/>
        </w:rPr>
        <w:t>轻钢结构装配装饰一体化建筑技术规程</w:t>
      </w:r>
    </w:p>
    <w:p>
      <w:pPr>
        <w:spacing w:before="0" w:after="0" w:line="240" w:lineRule="exact"/>
        <w:ind w:left="1761" w:firstLine="3"/>
      </w:pPr>
    </w:p>
    <w:p>
      <w:pPr>
        <w:spacing w:before="0" w:after="0" w:line="345" w:lineRule="exact"/>
        <w:ind w:left="1761" w:firstLine="23"/>
        <w:jc w:val="left"/>
      </w:pPr>
      <w:r>
        <w:rPr>
          <w:rFonts w:ascii="Microsoft YaHei UI" w:hAnsi="Microsoft YaHei UI" w:cs="Microsoft YaHei UI"/>
          <w:color w:val="000000"/>
          <w:spacing w:val="-14"/>
          <w:w w:val="100"/>
          <w:position w:val="0"/>
          <w:sz w:val="24"/>
          <w:u w:val="none"/>
        </w:rPr>
        <w:t>Technical</w:t>
      </w:r>
      <w:r>
        <w:rPr>
          <w:rFonts w:ascii="Calibri" w:hAnsi="Calibri" w:cs="Calibri"/>
          <w:color w:val="000000"/>
          <w:spacing w:val="5"/>
          <w:w w:val="100"/>
          <w:sz w:val="24"/>
          <w:u w:val="none"/>
        </w:rPr>
        <w:t> </w:t>
      </w:r>
      <w:r>
        <w:rPr>
          <w:rFonts w:ascii="Microsoft YaHei UI" w:hAnsi="Microsoft YaHei UI" w:cs="Microsoft YaHei UI"/>
          <w:color w:val="000000"/>
          <w:spacing w:val="-17"/>
          <w:w w:val="100"/>
          <w:position w:val="0"/>
          <w:sz w:val="24"/>
          <w:u w:val="none"/>
        </w:rPr>
        <w:t>specification</w:t>
      </w:r>
      <w:r>
        <w:rPr>
          <w:rFonts w:ascii="Calibri" w:hAnsi="Calibri" w:cs="Calibri"/>
          <w:color w:val="000000"/>
          <w:spacing w:val="7"/>
          <w:w w:val="100"/>
          <w:sz w:val="24"/>
          <w:u w:val="none"/>
        </w:rPr>
        <w:t> </w:t>
      </w:r>
      <w:r>
        <w:rPr>
          <w:rFonts w:ascii="Microsoft YaHei UI" w:hAnsi="Microsoft YaHei UI" w:cs="Microsoft YaHei UI"/>
          <w:color w:val="000000"/>
          <w:spacing w:val="-17"/>
          <w:w w:val="100"/>
          <w:position w:val="0"/>
          <w:sz w:val="24"/>
          <w:u w:val="none"/>
        </w:rPr>
        <w:t>for</w:t>
      </w:r>
      <w:r>
        <w:rPr>
          <w:rFonts w:ascii="Calibri" w:hAnsi="Calibri" w:cs="Calibri"/>
          <w:color w:val="000000"/>
          <w:spacing w:val="6"/>
          <w:w w:val="100"/>
          <w:sz w:val="24"/>
          <w:u w:val="none"/>
        </w:rPr>
        <w:t> </w:t>
      </w:r>
      <w:r>
        <w:rPr>
          <w:rFonts w:ascii="Microsoft YaHei UI" w:hAnsi="Microsoft YaHei UI" w:cs="Microsoft YaHei UI"/>
          <w:color w:val="000000"/>
          <w:spacing w:val="-19"/>
          <w:w w:val="100"/>
          <w:position w:val="0"/>
          <w:sz w:val="24"/>
          <w:u w:val="none"/>
        </w:rPr>
        <w:t>lightweight</w:t>
      </w:r>
      <w:r>
        <w:rPr>
          <w:rFonts w:ascii="Calibri" w:hAnsi="Calibri" w:cs="Calibri"/>
          <w:color w:val="000000"/>
          <w:spacing w:val="5"/>
          <w:w w:val="100"/>
          <w:sz w:val="24"/>
          <w:u w:val="none"/>
        </w:rPr>
        <w:t> </w:t>
      </w:r>
      <w:r>
        <w:rPr>
          <w:rFonts w:ascii="Microsoft YaHei UI" w:hAnsi="Microsoft YaHei UI" w:cs="Microsoft YaHei UI"/>
          <w:color w:val="000000"/>
          <w:spacing w:val="-20"/>
          <w:w w:val="100"/>
          <w:position w:val="0"/>
          <w:sz w:val="24"/>
          <w:u w:val="none"/>
        </w:rPr>
        <w:t>steel</w:t>
      </w:r>
      <w:r>
        <w:rPr>
          <w:rFonts w:ascii="Calibri" w:hAnsi="Calibri" w:cs="Calibri"/>
          <w:color w:val="000000"/>
          <w:spacing w:val="5"/>
          <w:w w:val="100"/>
          <w:sz w:val="24"/>
          <w:u w:val="none"/>
        </w:rPr>
        <w:t> </w:t>
      </w:r>
      <w:r>
        <w:rPr>
          <w:rFonts w:ascii="Microsoft YaHei UI" w:hAnsi="Microsoft YaHei UI" w:cs="Microsoft YaHei UI"/>
          <w:color w:val="000000"/>
          <w:spacing w:val="-21"/>
          <w:w w:val="100"/>
          <w:position w:val="0"/>
          <w:sz w:val="24"/>
          <w:u w:val="none"/>
        </w:rPr>
        <w:t>structure</w:t>
      </w:r>
      <w:r>
        <w:rPr>
          <w:rFonts w:ascii="Calibri" w:hAnsi="Calibri" w:cs="Calibri"/>
          <w:color w:val="000000"/>
          <w:spacing w:val="6"/>
          <w:w w:val="100"/>
          <w:sz w:val="24"/>
          <w:u w:val="none"/>
        </w:rPr>
        <w:t> </w:t>
      </w:r>
      <w:r>
        <w:rPr>
          <w:rFonts w:ascii="Microsoft YaHei UI" w:hAnsi="Microsoft YaHei UI" w:cs="Microsoft YaHei UI"/>
          <w:color w:val="000000"/>
          <w:spacing w:val="-21"/>
          <w:w w:val="100"/>
          <w:position w:val="0"/>
          <w:sz w:val="24"/>
          <w:u w:val="none"/>
        </w:rPr>
        <w:t>assembly</w:t>
      </w:r>
    </w:p>
    <w:p>
      <w:pPr>
        <w:spacing w:before="0" w:after="0" w:line="312" w:lineRule="exact"/>
        <w:ind w:left="1761" w:firstLine="1472"/>
        <w:jc w:val="left"/>
      </w:pPr>
      <w:r>
        <w:rPr>
          <w:rFonts w:ascii="Microsoft YaHei UI" w:hAnsi="Microsoft YaHei UI" w:cs="Microsoft YaHei UI"/>
          <w:color w:val="000000"/>
          <w:spacing w:val="0"/>
          <w:w w:val="79"/>
          <w:position w:val="0"/>
          <w:sz w:val="24"/>
          <w:u w:val="none"/>
        </w:rPr>
        <w:t>and</w:t>
      </w:r>
      <w:r>
        <w:rPr>
          <w:rFonts w:ascii="Calibri" w:hAnsi="Calibri" w:cs="Calibri"/>
          <w:color w:val="000000"/>
          <w:spacing w:val="4"/>
          <w:w w:val="100"/>
          <w:sz w:val="24"/>
          <w:u w:val="none"/>
        </w:rPr>
        <w:t> </w:t>
      </w:r>
      <w:r>
        <w:rPr>
          <w:rFonts w:ascii="Microsoft YaHei UI" w:hAnsi="Microsoft YaHei UI" w:cs="Microsoft YaHei UI"/>
          <w:color w:val="000000"/>
          <w:spacing w:val="-23"/>
          <w:w w:val="100"/>
          <w:position w:val="0"/>
          <w:sz w:val="24"/>
          <w:u w:val="none"/>
        </w:rPr>
        <w:t>decoration</w:t>
      </w:r>
      <w:r>
        <w:rPr>
          <w:rFonts w:ascii="Calibri" w:hAnsi="Calibri" w:cs="Calibri"/>
          <w:color w:val="000000"/>
          <w:spacing w:val="4"/>
          <w:w w:val="100"/>
          <w:sz w:val="24"/>
          <w:u w:val="none"/>
        </w:rPr>
        <w:t> </w:t>
      </w:r>
      <w:r>
        <w:rPr>
          <w:rFonts w:ascii="Microsoft YaHei UI" w:hAnsi="Microsoft YaHei UI" w:cs="Microsoft YaHei UI"/>
          <w:color w:val="000000"/>
          <w:spacing w:val="-24"/>
          <w:w w:val="100"/>
          <w:position w:val="0"/>
          <w:sz w:val="24"/>
          <w:u w:val="none"/>
        </w:rPr>
        <w:t>integrated</w:t>
      </w:r>
      <w:r>
        <w:rPr>
          <w:rFonts w:ascii="Calibri" w:hAnsi="Calibri" w:cs="Calibri"/>
          <w:color w:val="000000"/>
          <w:spacing w:val="7"/>
          <w:w w:val="100"/>
          <w:sz w:val="24"/>
          <w:u w:val="none"/>
        </w:rPr>
        <w:t> </w:t>
      </w:r>
      <w:r>
        <w:rPr>
          <w:rFonts w:ascii="Microsoft YaHei UI" w:hAnsi="Microsoft YaHei UI" w:cs="Microsoft YaHei UI"/>
          <w:color w:val="000000"/>
          <w:spacing w:val="-19"/>
          <w:w w:val="100"/>
          <w:position w:val="0"/>
          <w:sz w:val="24"/>
          <w:u w:val="none"/>
        </w:rPr>
        <w:t>building</w:t>
      </w:r>
    </w:p>
    <w:p>
      <w:pPr>
        <w:spacing w:before="0" w:after="0" w:line="240" w:lineRule="exact"/>
        <w:ind w:left="1761" w:firstLine="1472"/>
      </w:pPr>
    </w:p>
    <w:p>
      <w:pPr>
        <w:spacing w:before="0" w:after="0" w:line="240" w:lineRule="exact"/>
        <w:ind w:left="1761" w:firstLine="1472"/>
      </w:pPr>
    </w:p>
    <w:p>
      <w:pPr>
        <w:spacing w:before="0" w:after="0" w:line="1142" w:lineRule="exact"/>
        <w:ind w:left="1761" w:firstLine="0"/>
        <w:jc w:val="left"/>
        <w:rPr>
          <w:rFonts w:hint="eastAsia"/>
        </w:rPr>
      </w:pPr>
    </w:p>
    <w:p>
      <w:pPr>
        <w:widowControl/>
        <w:jc w:val="left"/>
        <w:sectPr>
          <w:type w:val="continuous"/>
          <w:pgSz w:w="11907" w:h="16840"/>
          <w:pgMar w:top="790" w:right="713" w:bottom="550" w:left="1073" w:header="0" w:footer="0" w:gutter="0"/>
          <w:pgNumType w:start="3"/>
          <w:cols w:num="1" w:space="708" w:equalWidth="0">
            <w:col w:w="10121" w:space="0"/>
          </w:cols>
          <w:docGrid w:type="lines" w:linePitch="312" w:charSpace="0"/>
        </w:sectPr>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403" w:lineRule="exact"/>
        <w:ind w:left="1761" w:firstLine="0"/>
      </w:pPr>
    </w:p>
    <w:p>
      <w:pPr>
        <w:widowControl/>
        <w:jc w:val="left"/>
        <w:sectPr>
          <w:type w:val="continuous"/>
          <w:pgSz w:w="11907" w:h="16840"/>
          <w:pgMar w:top="790" w:right="713" w:bottom="550" w:left="1073" w:header="0" w:footer="0" w:gutter="0"/>
          <w:pgNumType w:start="4"/>
          <w:cols w:num="1" w:space="720"/>
          <w:docGrid w:type="lines" w:linePitch="312" w:charSpace="0"/>
        </w:sectPr>
      </w:pPr>
    </w:p>
    <w:p>
      <w:pPr>
        <w:tabs>
          <w:tab w:val="left" w:pos="7920"/>
        </w:tabs>
        <w:spacing w:before="0" w:after="0" w:line="244" w:lineRule="exact"/>
        <w:ind w:left="60" w:firstLine="0"/>
        <w:jc w:val="left"/>
      </w:pPr>
      <w:r>
        <w:rPr>
          <w:rFonts w:ascii="黑体" w:eastAsia="黑体" w:hAnsi="黑体" w:cs="黑体"/>
          <w:color w:val="000000"/>
          <w:spacing w:val="-5"/>
          <w:w w:val="100"/>
          <w:position w:val="0"/>
          <w:sz w:val="24"/>
          <w:u w:val="single"/>
        </w:rPr>
        <w:t>2024-01-30 发布</w:t>
      </w:r>
      <w:r>
        <w:rPr>
          <w:rFonts w:cs="Calibri"/>
          <w:color w:val="000000"/>
          <w:spacing w:val="6"/>
          <w:w w:val="100"/>
          <w:u w:val="single"/>
        </w:rPr>
        <w:tab/>
      </w:r>
      <w:r>
        <w:rPr>
          <w:rFonts w:ascii="黑体" w:eastAsia="黑体" w:hAnsi="黑体" w:cs="黑体"/>
          <w:color w:val="000000"/>
          <w:spacing w:val="-5"/>
          <w:w w:val="100"/>
          <w:position w:val="0"/>
          <w:sz w:val="24"/>
          <w:u w:val="single"/>
        </w:rPr>
        <w:t>2024-03-01 实施</w:t>
      </w:r>
    </w:p>
    <w:p>
      <w:pPr>
        <w:widowControl/>
        <w:jc w:val="left"/>
        <w:sectPr>
          <w:type w:val="continuous"/>
          <w:pgSz w:w="11907" w:h="16840"/>
          <w:pgMar w:top="790" w:right="713" w:bottom="550" w:left="1073" w:header="0" w:footer="0" w:gutter="0"/>
          <w:pgNumType w:start="5"/>
          <w:cols w:num="1" w:space="708" w:equalWidth="0">
            <w:col w:w="10121" w:space="0"/>
          </w:cols>
          <w:docGrid w:type="lines" w:linePitch="312" w:charSpace="0"/>
        </w:sectPr>
      </w:pPr>
    </w:p>
    <w:p>
      <w:pPr>
        <w:spacing w:before="0" w:after="0" w:line="240" w:lineRule="exact"/>
        <w:ind w:left="60" w:firstLine="0"/>
      </w:pPr>
    </w:p>
    <w:p>
      <w:pPr>
        <w:spacing w:before="0" w:after="0" w:line="340" w:lineRule="exact"/>
        <w:ind w:left="60" w:firstLine="0"/>
      </w:pPr>
    </w:p>
    <w:p>
      <w:pPr>
        <w:widowControl/>
        <w:jc w:val="left"/>
        <w:sectPr>
          <w:type w:val="continuous"/>
          <w:pgSz w:w="11907" w:h="16840"/>
          <w:pgMar w:top="790" w:right="713" w:bottom="550" w:left="1073" w:header="0" w:footer="0" w:gutter="0"/>
          <w:pgNumType w:start="6"/>
          <w:cols w:num="1" w:space="720"/>
          <w:docGrid w:type="lines" w:linePitch="312" w:charSpace="0"/>
        </w:sectPr>
      </w:pPr>
    </w:p>
    <w:p>
      <w:pPr>
        <w:spacing w:before="0" w:after="0" w:line="244" w:lineRule="exact"/>
        <w:ind w:left="1805" w:firstLine="0"/>
        <w:jc w:val="left"/>
      </w:pPr>
      <w:r>
        <w:rPr>
          <w:rFonts w:ascii="黑体" w:eastAsia="黑体" w:hAnsi="黑体" w:cs="黑体"/>
          <w:color w:val="000000"/>
          <w:spacing w:val="-1"/>
          <w:w w:val="100"/>
          <w:position w:val="0"/>
          <w:sz w:val="24"/>
          <w:u w:val="none"/>
        </w:rPr>
        <w:t>辽</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宁</w:t>
      </w:r>
      <w:r>
        <w:rPr>
          <w:rFonts w:ascii="Calibri" w:hAnsi="Calibri" w:cs="Calibri"/>
          <w:color w:val="000000"/>
          <w:spacing w:val="0"/>
          <w:w w:val="278"/>
          <w:sz w:val="24"/>
          <w:u w:val="none"/>
        </w:rPr>
        <w:t> </w:t>
      </w:r>
      <w:r>
        <w:rPr>
          <w:rFonts w:ascii="黑体" w:eastAsia="黑体" w:hAnsi="黑体" w:cs="黑体"/>
          <w:color w:val="000000"/>
          <w:spacing w:val="-1"/>
          <w:w w:val="100"/>
          <w:position w:val="0"/>
          <w:sz w:val="24"/>
          <w:u w:val="none"/>
        </w:rPr>
        <w:t>省</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住</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房</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和</w:t>
      </w:r>
      <w:r>
        <w:rPr>
          <w:rFonts w:ascii="Calibri" w:hAnsi="Calibri" w:cs="Calibri"/>
          <w:color w:val="000000"/>
          <w:spacing w:val="0"/>
          <w:w w:val="278"/>
          <w:sz w:val="24"/>
          <w:u w:val="none"/>
        </w:rPr>
        <w:t> </w:t>
      </w:r>
      <w:r>
        <w:rPr>
          <w:rFonts w:ascii="黑体" w:eastAsia="黑体" w:hAnsi="黑体" w:cs="黑体"/>
          <w:color w:val="000000"/>
          <w:spacing w:val="-1"/>
          <w:w w:val="100"/>
          <w:position w:val="0"/>
          <w:sz w:val="24"/>
          <w:u w:val="none"/>
        </w:rPr>
        <w:t>城</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乡</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建</w:t>
      </w:r>
      <w:r>
        <w:rPr>
          <w:rFonts w:ascii="Calibri" w:hAnsi="Calibri" w:cs="Calibri"/>
          <w:color w:val="000000"/>
          <w:spacing w:val="0"/>
          <w:w w:val="283"/>
          <w:sz w:val="24"/>
          <w:u w:val="none"/>
        </w:rPr>
        <w:t> </w:t>
      </w:r>
      <w:r>
        <w:rPr>
          <w:rFonts w:ascii="黑体" w:eastAsia="黑体" w:hAnsi="黑体" w:cs="黑体"/>
          <w:color w:val="000000"/>
          <w:spacing w:val="-1"/>
          <w:w w:val="100"/>
          <w:position w:val="0"/>
          <w:sz w:val="24"/>
          <w:u w:val="none"/>
        </w:rPr>
        <w:t>设</w:t>
      </w:r>
      <w:r>
        <w:rPr>
          <w:rFonts w:ascii="Calibri" w:hAnsi="Calibri" w:cs="Calibri"/>
          <w:color w:val="000000"/>
          <w:spacing w:val="0"/>
          <w:w w:val="278"/>
          <w:sz w:val="24"/>
          <w:u w:val="none"/>
        </w:rPr>
        <w:t> </w:t>
      </w:r>
      <w:r>
        <w:rPr>
          <w:rFonts w:ascii="黑体" w:eastAsia="黑体" w:hAnsi="黑体" w:cs="黑体"/>
          <w:color w:val="000000"/>
          <w:spacing w:val="-1"/>
          <w:w w:val="100"/>
          <w:position w:val="0"/>
          <w:sz w:val="24"/>
          <w:u w:val="none"/>
        </w:rPr>
        <w:t>厅</w:t>
      </w:r>
    </w:p>
    <w:p>
      <w:pPr>
        <w:spacing w:before="0" w:after="0" w:line="240" w:lineRule="exact"/>
        <w:ind w:left="1805" w:firstLine="0"/>
      </w:pPr>
    </w:p>
    <w:p>
      <w:pPr>
        <w:spacing w:before="0" w:after="0" w:line="262" w:lineRule="exact"/>
        <w:ind w:left="1805" w:firstLine="0"/>
        <w:jc w:val="left"/>
      </w:pPr>
      <w:r>
        <w:rPr>
          <w:rFonts w:ascii="黑体" w:eastAsia="黑体" w:hAnsi="黑体" w:cs="黑体"/>
          <w:color w:val="000000"/>
          <w:spacing w:val="-1"/>
          <w:w w:val="100"/>
          <w:position w:val="0"/>
          <w:sz w:val="24"/>
          <w:u w:val="none"/>
        </w:rPr>
        <w:t>辽</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宁</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省</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市</w:t>
      </w:r>
      <w:r>
        <w:rPr>
          <w:rFonts w:ascii="Calibri" w:hAnsi="Calibri" w:cs="Calibri"/>
          <w:color w:val="000000"/>
          <w:spacing w:val="0"/>
          <w:w w:val="358"/>
          <w:sz w:val="24"/>
          <w:u w:val="none"/>
        </w:rPr>
        <w:t> </w:t>
      </w:r>
      <w:r>
        <w:rPr>
          <w:rFonts w:ascii="黑体" w:eastAsia="黑体" w:hAnsi="黑体" w:cs="黑体"/>
          <w:color w:val="000000"/>
          <w:spacing w:val="-1"/>
          <w:w w:val="100"/>
          <w:position w:val="0"/>
          <w:sz w:val="24"/>
          <w:u w:val="none"/>
        </w:rPr>
        <w:t>场</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监</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督</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管</w:t>
      </w:r>
      <w:r>
        <w:rPr>
          <w:rFonts w:ascii="Calibri" w:hAnsi="Calibri" w:cs="Calibri"/>
          <w:color w:val="000000"/>
          <w:spacing w:val="0"/>
          <w:w w:val="362"/>
          <w:sz w:val="24"/>
          <w:u w:val="none"/>
        </w:rPr>
        <w:t> </w:t>
      </w:r>
      <w:r>
        <w:rPr>
          <w:rFonts w:ascii="黑体" w:eastAsia="黑体" w:hAnsi="黑体" w:cs="黑体"/>
          <w:color w:val="000000"/>
          <w:spacing w:val="-1"/>
          <w:w w:val="100"/>
          <w:position w:val="0"/>
          <w:sz w:val="24"/>
          <w:u w:val="none"/>
        </w:rPr>
        <w:t>理</w:t>
      </w:r>
      <w:r>
        <w:rPr>
          <w:rFonts w:ascii="Calibri" w:hAnsi="Calibri" w:cs="Calibri"/>
          <w:color w:val="000000"/>
          <w:spacing w:val="0"/>
          <w:w w:val="358"/>
          <w:sz w:val="24"/>
          <w:u w:val="none"/>
        </w:rPr>
        <w:t> </w:t>
      </w:r>
      <w:r>
        <w:rPr>
          <w:rFonts w:ascii="黑体" w:eastAsia="黑体" w:hAnsi="黑体" w:cs="黑体"/>
          <w:color w:val="000000"/>
          <w:spacing w:val="-1"/>
          <w:w w:val="100"/>
          <w:position w:val="0"/>
          <w:sz w:val="24"/>
          <w:u w:val="none"/>
        </w:rPr>
        <w:t>局</w:t>
      </w:r>
    </w:p>
    <w:p>
      <w:pPr>
        <w:spacing w:before="0" w:after="0" w:line="431" w:lineRule="exact"/>
        <w:ind w:firstLine="0"/>
        <w:jc w:val="left"/>
      </w:pPr>
      <w:r>
        <w:br w:type="column"/>
      </w:r>
      <w:r>
        <w:rPr>
          <w:rFonts w:ascii="黑体" w:eastAsia="黑体" w:hAnsi="黑体" w:cs="黑体"/>
          <w:color w:val="000000"/>
          <w:spacing w:val="-1"/>
          <w:w w:val="100"/>
          <w:position w:val="0"/>
          <w:sz w:val="24"/>
          <w:u w:val="none"/>
        </w:rPr>
        <w:t>联合发布</w:t>
      </w:r>
    </w:p>
    <w:p>
      <w:pPr>
        <w:widowControl/>
        <w:jc w:val="left"/>
        <w:sectPr>
          <w:type w:val="continuous"/>
          <w:pgSz w:w="11907" w:h="16840"/>
          <w:pgMar w:top="790" w:right="713" w:bottom="550" w:left="1073" w:header="0" w:footer="0" w:gutter="0"/>
          <w:pgNumType w:start="7"/>
          <w:cols w:num="2" w:space="708" w:equalWidth="0">
            <w:col w:w="6902" w:space="0"/>
            <w:col w:w="3219" w:space="0"/>
          </w:cols>
          <w:docGrid w:type="lines" w:linePitch="312" w:charSpace="0"/>
        </w:sectPr>
      </w:pPr>
    </w:p>
    <w:p>
      <w:pPr>
        <w:spacing w:before="0" w:after="0" w:line="272" w:lineRule="exact"/>
        <w:ind w:left="7911" w:firstLine="0"/>
        <w:jc w:val="left"/>
      </w:pPr>
      <w:bookmarkStart w:id="1" w:name="2"/>
      <w:bookmarkEnd w:id="1"/>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widowControl/>
        <w:jc w:val="left"/>
        <w:sectPr>
          <w:type w:val="continuous"/>
          <w:pgSz w:w="11907" w:h="16839"/>
          <w:pgMar w:top="863" w:right="717" w:bottom="623" w:left="1077" w:header="0" w:footer="0" w:gutter="0"/>
          <w:pgNumType w:start="8"/>
          <w:cols w:num="1" w:space="708" w:equalWidth="0">
            <w:col w:w="10113" w:space="0"/>
          </w:cols>
          <w:docGrid w:type="lines" w:linePitch="312" w:charSpace="0"/>
        </w:sectPr>
      </w:pPr>
    </w:p>
    <w:p>
      <w:pPr>
        <w:spacing w:before="0" w:after="0" w:line="240" w:lineRule="exact"/>
        <w:ind w:left="7911" w:firstLine="0"/>
      </w:pPr>
    </w:p>
    <w:p>
      <w:pPr>
        <w:spacing w:before="0" w:after="0" w:line="240" w:lineRule="exact"/>
        <w:ind w:left="7911" w:firstLine="0"/>
      </w:pPr>
    </w:p>
    <w:p>
      <w:pPr>
        <w:spacing w:before="0" w:after="0" w:line="240" w:lineRule="exact"/>
        <w:ind w:left="7911" w:firstLine="0"/>
      </w:pPr>
    </w:p>
    <w:p>
      <w:pPr>
        <w:spacing w:before="0" w:after="0" w:line="240" w:lineRule="exact"/>
        <w:ind w:left="7911" w:firstLine="0"/>
      </w:pPr>
    </w:p>
    <w:p>
      <w:pPr>
        <w:spacing w:before="0" w:after="0" w:line="240" w:lineRule="exact"/>
        <w:ind w:left="7911" w:firstLine="0"/>
      </w:pPr>
    </w:p>
    <w:p>
      <w:pPr>
        <w:spacing w:before="0" w:after="0" w:line="240" w:lineRule="exact"/>
        <w:ind w:left="7911" w:firstLine="0"/>
      </w:pPr>
    </w:p>
    <w:p>
      <w:pPr>
        <w:spacing w:before="0" w:after="0" w:line="301" w:lineRule="exact"/>
        <w:ind w:left="7911" w:firstLine="0"/>
      </w:pPr>
    </w:p>
    <w:p>
      <w:pPr>
        <w:widowControl/>
        <w:jc w:val="left"/>
        <w:sectPr>
          <w:type w:val="continuous"/>
          <w:pgSz w:w="11907" w:h="16839"/>
          <w:pgMar w:top="863" w:right="717" w:bottom="623" w:left="1077" w:header="0" w:footer="0" w:gutter="0"/>
          <w:pgNumType w:start="9"/>
          <w:cols w:num="1" w:space="720"/>
          <w:docGrid w:type="lines" w:linePitch="312" w:charSpace="0"/>
        </w:sectPr>
      </w:pPr>
    </w:p>
    <w:p>
      <w:pPr>
        <w:spacing w:before="0" w:after="0" w:line="324" w:lineRule="exact"/>
        <w:ind w:left="747" w:firstLine="2170"/>
        <w:jc w:val="left"/>
      </w:pPr>
      <w:r>
        <w:rPr>
          <w:rFonts w:ascii="黑体" w:eastAsia="黑体" w:hAnsi="黑体" w:cs="黑体"/>
          <w:color w:val="000000"/>
          <w:spacing w:val="-2"/>
          <w:w w:val="100"/>
          <w:position w:val="0"/>
          <w:sz w:val="32"/>
          <w:u w:val="none"/>
        </w:rPr>
        <w:t>辽</w:t>
      </w:r>
      <w:r>
        <w:rPr>
          <w:rFonts w:ascii="Calibri" w:hAnsi="Calibri" w:cs="Calibri"/>
          <w:color w:val="000000"/>
          <w:spacing w:val="0"/>
          <w:w w:val="332"/>
          <w:sz w:val="32"/>
          <w:u w:val="none"/>
        </w:rPr>
        <w:t> </w:t>
      </w:r>
      <w:r>
        <w:rPr>
          <w:rFonts w:ascii="黑体" w:eastAsia="黑体" w:hAnsi="黑体" w:cs="黑体"/>
          <w:color w:val="000000"/>
          <w:spacing w:val="-2"/>
          <w:w w:val="100"/>
          <w:position w:val="0"/>
          <w:sz w:val="32"/>
          <w:u w:val="none"/>
        </w:rPr>
        <w:t>宁</w:t>
      </w:r>
      <w:r>
        <w:rPr>
          <w:rFonts w:ascii="Calibri" w:hAnsi="Calibri" w:cs="Calibri"/>
          <w:color w:val="000000"/>
          <w:spacing w:val="0"/>
          <w:w w:val="335"/>
          <w:sz w:val="32"/>
          <w:u w:val="none"/>
        </w:rPr>
        <w:t> </w:t>
      </w:r>
      <w:r>
        <w:rPr>
          <w:rFonts w:ascii="黑体" w:eastAsia="黑体" w:hAnsi="黑体" w:cs="黑体"/>
          <w:color w:val="000000"/>
          <w:spacing w:val="-2"/>
          <w:w w:val="100"/>
          <w:position w:val="0"/>
          <w:sz w:val="32"/>
          <w:u w:val="none"/>
        </w:rPr>
        <w:t>省</w:t>
      </w:r>
      <w:r>
        <w:rPr>
          <w:rFonts w:ascii="Calibri" w:hAnsi="Calibri" w:cs="Calibri"/>
          <w:color w:val="000000"/>
          <w:spacing w:val="0"/>
          <w:w w:val="332"/>
          <w:sz w:val="32"/>
          <w:u w:val="none"/>
        </w:rPr>
        <w:t> </w:t>
      </w:r>
      <w:r>
        <w:rPr>
          <w:rFonts w:ascii="黑体" w:eastAsia="黑体" w:hAnsi="黑体" w:cs="黑体"/>
          <w:color w:val="000000"/>
          <w:spacing w:val="-2"/>
          <w:w w:val="100"/>
          <w:position w:val="0"/>
          <w:sz w:val="32"/>
          <w:u w:val="none"/>
        </w:rPr>
        <w:t>地</w:t>
      </w:r>
      <w:r>
        <w:rPr>
          <w:rFonts w:ascii="Calibri" w:hAnsi="Calibri" w:cs="Calibri"/>
          <w:color w:val="000000"/>
          <w:spacing w:val="0"/>
          <w:w w:val="332"/>
          <w:sz w:val="32"/>
          <w:u w:val="none"/>
        </w:rPr>
        <w:t> </w:t>
      </w:r>
      <w:r>
        <w:rPr>
          <w:rFonts w:ascii="黑体" w:eastAsia="黑体" w:hAnsi="黑体" w:cs="黑体"/>
          <w:color w:val="000000"/>
          <w:spacing w:val="-2"/>
          <w:w w:val="100"/>
          <w:position w:val="0"/>
          <w:sz w:val="32"/>
          <w:u w:val="none"/>
        </w:rPr>
        <w:t>方</w:t>
      </w:r>
      <w:r>
        <w:rPr>
          <w:rFonts w:ascii="Calibri" w:hAnsi="Calibri" w:cs="Calibri"/>
          <w:color w:val="000000"/>
          <w:spacing w:val="0"/>
          <w:w w:val="335"/>
          <w:sz w:val="32"/>
          <w:u w:val="none"/>
        </w:rPr>
        <w:t> </w:t>
      </w:r>
      <w:r>
        <w:rPr>
          <w:rFonts w:ascii="黑体" w:eastAsia="黑体" w:hAnsi="黑体" w:cs="黑体"/>
          <w:color w:val="000000"/>
          <w:spacing w:val="-2"/>
          <w:w w:val="100"/>
          <w:position w:val="0"/>
          <w:sz w:val="32"/>
          <w:u w:val="none"/>
        </w:rPr>
        <w:t>标</w:t>
      </w:r>
      <w:r>
        <w:rPr>
          <w:rFonts w:ascii="Calibri" w:hAnsi="Calibri" w:cs="Calibri"/>
          <w:color w:val="000000"/>
          <w:spacing w:val="0"/>
          <w:w w:val="332"/>
          <w:sz w:val="32"/>
          <w:u w:val="none"/>
        </w:rPr>
        <w:t> </w:t>
      </w:r>
      <w:r>
        <w:rPr>
          <w:rFonts w:ascii="黑体" w:eastAsia="黑体" w:hAnsi="黑体" w:cs="黑体"/>
          <w:color w:val="000000"/>
          <w:spacing w:val="-2"/>
          <w:w w:val="100"/>
          <w:position w:val="0"/>
          <w:sz w:val="32"/>
          <w:u w:val="none"/>
        </w:rPr>
        <w:t>准</w:t>
      </w:r>
    </w:p>
    <w:p>
      <w:pPr>
        <w:spacing w:before="0" w:after="0" w:line="240" w:lineRule="exact"/>
        <w:ind w:left="747" w:firstLine="2170"/>
      </w:pPr>
    </w:p>
    <w:p>
      <w:pPr>
        <w:spacing w:before="0" w:after="0" w:line="240" w:lineRule="exact"/>
        <w:ind w:left="747" w:firstLine="2170"/>
      </w:pPr>
    </w:p>
    <w:p>
      <w:pPr>
        <w:spacing w:before="0" w:after="0" w:line="451" w:lineRule="exact"/>
        <w:ind w:left="747" w:firstLine="2170"/>
      </w:pPr>
    </w:p>
    <w:p>
      <w:pPr>
        <w:spacing w:before="0" w:after="0" w:line="324" w:lineRule="exact"/>
        <w:ind w:left="747" w:firstLine="1409"/>
        <w:jc w:val="left"/>
      </w:pPr>
      <w:r>
        <w:rPr>
          <w:rFonts w:ascii="黑体" w:eastAsia="黑体" w:hAnsi="黑体" w:cs="黑体"/>
          <w:color w:val="000000"/>
          <w:spacing w:val="-1"/>
          <w:w w:val="100"/>
          <w:position w:val="0"/>
          <w:sz w:val="32"/>
          <w:u w:val="none"/>
        </w:rPr>
        <w:t>轻钢结构装配装饰一体化建筑技术规程</w:t>
      </w:r>
    </w:p>
    <w:p>
      <w:pPr>
        <w:spacing w:before="0" w:after="0" w:line="235" w:lineRule="exact"/>
        <w:ind w:left="747" w:firstLine="1409"/>
      </w:pPr>
    </w:p>
    <w:p>
      <w:pPr>
        <w:spacing w:before="0" w:after="0" w:line="252" w:lineRule="exact"/>
        <w:ind w:left="747" w:firstLine="0"/>
        <w:jc w:val="left"/>
      </w:pPr>
      <w:r>
        <w:rPr>
          <w:rFonts w:ascii="Microsoft YaHei UI" w:hAnsi="Microsoft YaHei UI" w:cs="Microsoft YaHei UI"/>
          <w:color w:val="000000"/>
          <w:spacing w:val="-13"/>
          <w:w w:val="100"/>
          <w:position w:val="0"/>
          <w:sz w:val="21"/>
          <w:u w:val="none"/>
        </w:rPr>
        <w:t>Technical</w:t>
      </w:r>
      <w:r>
        <w:rPr>
          <w:rFonts w:ascii="Calibri" w:hAnsi="Calibri" w:cs="Calibri"/>
          <w:color w:val="000000"/>
          <w:spacing w:val="6"/>
          <w:w w:val="100"/>
          <w:sz w:val="21"/>
          <w:u w:val="none"/>
        </w:rPr>
        <w:t> </w:t>
      </w:r>
      <w:r>
        <w:rPr>
          <w:rFonts w:ascii="Microsoft YaHei UI" w:hAnsi="Microsoft YaHei UI" w:cs="Microsoft YaHei UI"/>
          <w:color w:val="000000"/>
          <w:spacing w:val="-15"/>
          <w:w w:val="100"/>
          <w:position w:val="0"/>
          <w:sz w:val="21"/>
          <w:u w:val="none"/>
        </w:rPr>
        <w:t>specification</w:t>
      </w:r>
      <w:r>
        <w:rPr>
          <w:rFonts w:ascii="Calibri" w:hAnsi="Calibri" w:cs="Calibri"/>
          <w:color w:val="000000"/>
          <w:spacing w:val="5"/>
          <w:w w:val="100"/>
          <w:sz w:val="21"/>
          <w:u w:val="none"/>
        </w:rPr>
        <w:t> </w:t>
      </w:r>
      <w:r>
        <w:rPr>
          <w:rFonts w:ascii="Microsoft YaHei UI" w:hAnsi="Microsoft YaHei UI" w:cs="Microsoft YaHei UI"/>
          <w:color w:val="000000"/>
          <w:spacing w:val="-15"/>
          <w:w w:val="100"/>
          <w:position w:val="0"/>
          <w:sz w:val="21"/>
          <w:u w:val="none"/>
        </w:rPr>
        <w:t>for</w:t>
      </w:r>
      <w:r>
        <w:rPr>
          <w:rFonts w:ascii="Calibri" w:hAnsi="Calibri" w:cs="Calibri"/>
          <w:color w:val="000000"/>
          <w:spacing w:val="6"/>
          <w:w w:val="100"/>
          <w:sz w:val="21"/>
          <w:u w:val="none"/>
        </w:rPr>
        <w:t> </w:t>
      </w:r>
      <w:r>
        <w:rPr>
          <w:rFonts w:ascii="Microsoft YaHei UI" w:hAnsi="Microsoft YaHei UI" w:cs="Microsoft YaHei UI"/>
          <w:color w:val="000000"/>
          <w:spacing w:val="-17"/>
          <w:w w:val="100"/>
          <w:position w:val="0"/>
          <w:sz w:val="21"/>
          <w:u w:val="none"/>
        </w:rPr>
        <w:t>lightweight</w:t>
      </w:r>
      <w:r>
        <w:rPr>
          <w:rFonts w:ascii="Calibri" w:hAnsi="Calibri" w:cs="Calibri"/>
          <w:color w:val="000000"/>
          <w:spacing w:val="6"/>
          <w:w w:val="100"/>
          <w:sz w:val="21"/>
          <w:u w:val="none"/>
        </w:rPr>
        <w:t> </w:t>
      </w:r>
      <w:r>
        <w:rPr>
          <w:rFonts w:ascii="Microsoft YaHei UI" w:hAnsi="Microsoft YaHei UI" w:cs="Microsoft YaHei UI"/>
          <w:color w:val="000000"/>
          <w:spacing w:val="-18"/>
          <w:w w:val="100"/>
          <w:position w:val="0"/>
          <w:sz w:val="21"/>
          <w:u w:val="none"/>
        </w:rPr>
        <w:t>steel</w:t>
      </w:r>
      <w:r>
        <w:rPr>
          <w:rFonts w:ascii="Calibri" w:hAnsi="Calibri" w:cs="Calibri"/>
          <w:color w:val="000000"/>
          <w:spacing w:val="3"/>
          <w:w w:val="100"/>
          <w:sz w:val="21"/>
          <w:u w:val="none"/>
        </w:rPr>
        <w:t> </w:t>
      </w:r>
      <w:r>
        <w:rPr>
          <w:rFonts w:ascii="Microsoft YaHei UI" w:hAnsi="Microsoft YaHei UI" w:cs="Microsoft YaHei UI"/>
          <w:color w:val="000000"/>
          <w:spacing w:val="-19"/>
          <w:w w:val="100"/>
          <w:position w:val="0"/>
          <w:sz w:val="21"/>
          <w:u w:val="none"/>
        </w:rPr>
        <w:t>structure</w:t>
      </w:r>
      <w:r>
        <w:rPr>
          <w:rFonts w:ascii="Calibri" w:hAnsi="Calibri" w:cs="Calibri"/>
          <w:color w:val="000000"/>
          <w:spacing w:val="5"/>
          <w:w w:val="100"/>
          <w:sz w:val="21"/>
          <w:u w:val="none"/>
        </w:rPr>
        <w:t> </w:t>
      </w:r>
      <w:r>
        <w:rPr>
          <w:rFonts w:ascii="Microsoft YaHei UI" w:hAnsi="Microsoft YaHei UI" w:cs="Microsoft YaHei UI"/>
          <w:color w:val="000000"/>
          <w:spacing w:val="-19"/>
          <w:w w:val="100"/>
          <w:position w:val="0"/>
          <w:sz w:val="21"/>
          <w:u w:val="none"/>
        </w:rPr>
        <w:t>assembly</w:t>
      </w:r>
      <w:r>
        <w:rPr>
          <w:rFonts w:ascii="Calibri" w:hAnsi="Calibri" w:cs="Calibri"/>
          <w:color w:val="000000"/>
          <w:spacing w:val="7"/>
          <w:w w:val="100"/>
          <w:sz w:val="21"/>
          <w:u w:val="none"/>
        </w:rPr>
        <w:t> </w:t>
      </w:r>
      <w:r>
        <w:rPr>
          <w:rFonts w:ascii="Microsoft YaHei UI" w:hAnsi="Microsoft YaHei UI" w:cs="Microsoft YaHei UI"/>
          <w:color w:val="000000"/>
          <w:spacing w:val="0"/>
          <w:w w:val="79"/>
          <w:position w:val="0"/>
          <w:sz w:val="21"/>
          <w:u w:val="none"/>
        </w:rPr>
        <w:t>and</w:t>
      </w:r>
      <w:r>
        <w:rPr>
          <w:rFonts w:ascii="Calibri" w:hAnsi="Calibri" w:cs="Calibri"/>
          <w:color w:val="000000"/>
          <w:spacing w:val="5"/>
          <w:w w:val="100"/>
          <w:sz w:val="21"/>
          <w:u w:val="none"/>
        </w:rPr>
        <w:t> </w:t>
      </w:r>
      <w:r>
        <w:rPr>
          <w:rFonts w:ascii="Microsoft YaHei UI" w:hAnsi="Microsoft YaHei UI" w:cs="Microsoft YaHei UI"/>
          <w:color w:val="000000"/>
          <w:spacing w:val="-21"/>
          <w:w w:val="100"/>
          <w:position w:val="0"/>
          <w:sz w:val="21"/>
          <w:u w:val="none"/>
        </w:rPr>
        <w:t>decoration</w:t>
      </w:r>
      <w:r>
        <w:rPr>
          <w:rFonts w:ascii="Calibri" w:hAnsi="Calibri" w:cs="Calibri"/>
          <w:color w:val="000000"/>
          <w:spacing w:val="5"/>
          <w:w w:val="100"/>
          <w:sz w:val="21"/>
          <w:u w:val="none"/>
        </w:rPr>
        <w:t> </w:t>
      </w:r>
      <w:r>
        <w:rPr>
          <w:rFonts w:ascii="Microsoft YaHei UI" w:hAnsi="Microsoft YaHei UI" w:cs="Microsoft YaHei UI"/>
          <w:color w:val="000000"/>
          <w:spacing w:val="-21"/>
          <w:w w:val="100"/>
          <w:position w:val="0"/>
          <w:sz w:val="21"/>
          <w:u w:val="none"/>
        </w:rPr>
        <w:t>integrated</w:t>
      </w:r>
      <w:r>
        <w:rPr>
          <w:rFonts w:ascii="Calibri" w:hAnsi="Calibri" w:cs="Calibri"/>
          <w:color w:val="000000"/>
          <w:spacing w:val="5"/>
          <w:w w:val="100"/>
          <w:sz w:val="21"/>
          <w:u w:val="none"/>
        </w:rPr>
        <w:t> </w:t>
      </w:r>
      <w:r>
        <w:rPr>
          <w:rFonts w:ascii="Microsoft YaHei UI" w:hAnsi="Microsoft YaHei UI" w:cs="Microsoft YaHei UI"/>
          <w:color w:val="000000"/>
          <w:spacing w:val="-17"/>
          <w:w w:val="100"/>
          <w:position w:val="0"/>
          <w:sz w:val="21"/>
          <w:u w:val="none"/>
        </w:rPr>
        <w:t>building</w:t>
      </w:r>
    </w:p>
    <w:p>
      <w:pPr>
        <w:spacing w:before="0" w:after="0" w:line="240" w:lineRule="exact"/>
        <w:ind w:left="747" w:firstLine="0"/>
      </w:pPr>
    </w:p>
    <w:p>
      <w:pPr>
        <w:spacing w:before="0" w:after="0" w:line="461" w:lineRule="exact"/>
        <w:ind w:left="747" w:firstLine="0"/>
      </w:pPr>
    </w:p>
    <w:p>
      <w:pPr>
        <w:spacing w:before="0" w:after="0" w:line="285" w:lineRule="exact"/>
        <w:ind w:left="747" w:firstLine="2940"/>
        <w:jc w:val="left"/>
      </w:pPr>
      <w:r>
        <w:rPr>
          <w:rFonts w:ascii="黑体" w:hAnsi="黑体" w:cs="黑体"/>
          <w:color w:val="000000"/>
          <w:spacing w:val="-1"/>
          <w:w w:val="100"/>
          <w:position w:val="0"/>
          <w:sz w:val="28"/>
          <w:u w:val="none"/>
        </w:rPr>
        <w:t>DB21/T</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3911－2024</w:t>
      </w:r>
    </w:p>
    <w:p>
      <w:pPr>
        <w:spacing w:before="0" w:after="0" w:line="240" w:lineRule="exact"/>
        <w:ind w:left="747" w:firstLine="2940"/>
      </w:pPr>
    </w:p>
    <w:p>
      <w:pPr>
        <w:spacing w:before="0" w:after="0" w:line="240" w:lineRule="exact"/>
        <w:ind w:left="747" w:firstLine="2940"/>
      </w:pPr>
    </w:p>
    <w:p>
      <w:pPr>
        <w:spacing w:before="0" w:after="0" w:line="240" w:lineRule="exact"/>
        <w:ind w:left="747" w:firstLine="2940"/>
      </w:pPr>
    </w:p>
    <w:p>
      <w:pPr>
        <w:spacing w:before="0" w:after="0" w:line="240" w:lineRule="exact"/>
        <w:ind w:left="747" w:firstLine="2940"/>
      </w:pPr>
    </w:p>
    <w:p>
      <w:pPr>
        <w:spacing w:before="0" w:after="0" w:line="240" w:lineRule="exact"/>
        <w:ind w:left="747" w:firstLine="2940"/>
      </w:pPr>
    </w:p>
    <w:p>
      <w:pPr>
        <w:spacing w:before="0" w:after="0" w:line="240" w:lineRule="exact"/>
        <w:ind w:left="747" w:firstLine="2940"/>
      </w:pPr>
    </w:p>
    <w:p>
      <w:pPr>
        <w:spacing w:before="0" w:after="0" w:line="240" w:lineRule="exact"/>
        <w:ind w:left="747" w:firstLine="2940"/>
      </w:pPr>
    </w:p>
    <w:p>
      <w:pPr>
        <w:spacing w:before="0" w:after="0" w:line="240" w:lineRule="exact"/>
        <w:ind w:left="747" w:firstLine="2940"/>
      </w:pPr>
    </w:p>
    <w:p>
      <w:pPr>
        <w:spacing w:before="0" w:after="0" w:line="1068" w:lineRule="exact"/>
        <w:ind w:left="747" w:firstLine="1009"/>
        <w:jc w:val="left"/>
        <w:rPr>
          <w:rFonts w:hint="eastAsia"/>
        </w:rPr>
      </w:pPr>
    </w:p>
    <w:p>
      <w:pPr>
        <w:widowControl/>
        <w:jc w:val="left"/>
        <w:sectPr>
          <w:type w:val="continuous"/>
          <w:pgSz w:w="11907" w:h="16839"/>
          <w:pgMar w:top="863" w:right="717" w:bottom="623" w:left="1077" w:header="0" w:footer="0" w:gutter="0"/>
          <w:pgNumType w:start="10"/>
          <w:cols w:num="1" w:space="708" w:equalWidth="0">
            <w:col w:w="10113" w:space="0"/>
          </w:cols>
          <w:docGrid w:type="lines" w:linePitch="312" w:charSpace="0"/>
        </w:sectPr>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240" w:lineRule="exact"/>
        <w:ind w:left="747" w:firstLine="1009"/>
      </w:pPr>
    </w:p>
    <w:p>
      <w:pPr>
        <w:spacing w:before="0" w:after="0" w:line="447" w:lineRule="exact"/>
        <w:ind w:left="747" w:firstLine="1009"/>
      </w:pPr>
    </w:p>
    <w:p>
      <w:pPr>
        <w:widowControl/>
        <w:jc w:val="left"/>
        <w:sectPr>
          <w:type w:val="continuous"/>
          <w:pgSz w:w="11907" w:h="16839"/>
          <w:pgMar w:top="863" w:right="717" w:bottom="623" w:left="1077" w:header="0" w:footer="0" w:gutter="0"/>
          <w:pgNumType w:start="11"/>
          <w:cols w:num="1" w:space="720"/>
          <w:docGrid w:type="lines" w:linePitch="312" w:charSpace="0"/>
        </w:sectPr>
      </w:pPr>
    </w:p>
    <w:p>
      <w:pPr>
        <w:spacing w:before="0" w:after="0" w:line="209" w:lineRule="exact"/>
        <w:ind w:left="2933" w:firstLine="0"/>
        <w:jc w:val="left"/>
      </w:pPr>
      <w:r>
        <w:rPr>
          <w:rFonts w:ascii="宋体" w:eastAsia="宋体" w:hAnsi="宋体" w:cs="宋体"/>
          <w:color w:val="000000"/>
          <w:spacing w:val="-1"/>
          <w:w w:val="100"/>
          <w:position w:val="0"/>
          <w:sz w:val="21"/>
          <w:u w:val="none"/>
        </w:rPr>
        <w:t>主编单位：</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辽宁福瑞达建筑科技有限公司</w:t>
      </w:r>
    </w:p>
    <w:p>
      <w:pPr>
        <w:spacing w:before="0" w:after="0" w:line="312" w:lineRule="exact"/>
        <w:ind w:left="2933" w:firstLine="0"/>
        <w:jc w:val="left"/>
      </w:pPr>
      <w:r>
        <w:rPr>
          <w:rFonts w:ascii="宋体" w:eastAsia="宋体" w:hAnsi="宋体" w:cs="宋体"/>
          <w:color w:val="000000"/>
          <w:spacing w:val="-1"/>
          <w:w w:val="100"/>
          <w:position w:val="0"/>
          <w:sz w:val="21"/>
          <w:u w:val="none"/>
        </w:rPr>
        <w:t>批准部门：</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辽</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宁</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省</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住</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房</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城</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乡</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建</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设</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厅</w:t>
      </w:r>
    </w:p>
    <w:p>
      <w:pPr>
        <w:tabs>
          <w:tab w:val="left" w:pos="4993"/>
          <w:tab w:val="left" w:pos="5497"/>
          <w:tab w:val="left" w:pos="5797"/>
          <w:tab w:val="left" w:pos="6301"/>
          <w:tab w:val="left" w:pos="6601"/>
        </w:tabs>
        <w:spacing w:before="0" w:after="0" w:line="312" w:lineRule="exact"/>
        <w:ind w:left="2933" w:firstLine="0"/>
        <w:jc w:val="left"/>
      </w:pPr>
      <w:r>
        <w:rPr>
          <w:rFonts w:ascii="宋体" w:eastAsia="宋体" w:hAnsi="宋体" w:cs="宋体"/>
          <w:color w:val="000000"/>
          <w:spacing w:val="-1"/>
          <w:w w:val="100"/>
          <w:position w:val="0"/>
          <w:sz w:val="21"/>
          <w:u w:val="none"/>
        </w:rPr>
        <w:t>施行日期：</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199"/>
          <w:sz w:val="21"/>
          <w:u w:val="none"/>
        </w:rPr>
        <w:t> </w:t>
      </w:r>
      <w:r>
        <w:rPr>
          <w:rFonts w:ascii="宋体" w:hAnsi="宋体" w:cs="宋体"/>
          <w:color w:val="000000"/>
          <w:spacing w:val="-1"/>
          <w:w w:val="100"/>
          <w:position w:val="0"/>
          <w:sz w:val="21"/>
          <w:u w:val="none"/>
        </w:rPr>
        <w:t>0</w:t>
      </w:r>
      <w:r>
        <w:rPr>
          <w:rFonts w:ascii="Calibri" w:hAnsi="Calibri" w:cs="Calibri"/>
          <w:color w:val="000000"/>
          <w:spacing w:val="0"/>
          <w:w w:val="204"/>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09"/>
          <w:sz w:val="21"/>
          <w:u w:val="none"/>
        </w:rPr>
        <w:t> </w:t>
      </w:r>
      <w:r>
        <w:rPr>
          <w:rFonts w:ascii="宋体" w:hAnsi="宋体" w:cs="宋体"/>
          <w:color w:val="000000"/>
          <w:spacing w:val="-1"/>
          <w:w w:val="100"/>
          <w:position w:val="0"/>
          <w:sz w:val="21"/>
          <w:u w:val="none"/>
        </w:rPr>
        <w:t>4</w:t>
      </w:r>
      <w:r>
        <w:rPr>
          <w:rFonts w:cs="Calibri"/>
          <w:spacing w:val="-5"/>
          <w:w w:val="100"/>
        </w:rPr>
        <w:tab/>
      </w:r>
      <w:r>
        <w:rPr>
          <w:rFonts w:ascii="宋体" w:eastAsia="宋体" w:hAnsi="宋体" w:cs="宋体"/>
          <w:color w:val="000000"/>
          <w:spacing w:val="-2"/>
          <w:w w:val="100"/>
          <w:position w:val="0"/>
          <w:sz w:val="21"/>
          <w:u w:val="none"/>
        </w:rPr>
        <w:t>年</w:t>
      </w:r>
      <w:r>
        <w:rPr>
          <w:rFonts w:cs="Calibri"/>
          <w:color w:val="000000"/>
          <w:spacing w:val="-1"/>
          <w:w w:val="100"/>
          <w:u w:val="none"/>
        </w:rPr>
        <w:tab/>
      </w:r>
      <w:r>
        <w:rPr>
          <w:rFonts w:ascii="宋体" w:hAnsi="宋体" w:cs="宋体"/>
          <w:color w:val="000000"/>
          <w:spacing w:val="-1"/>
          <w:w w:val="100"/>
          <w:position w:val="0"/>
          <w:sz w:val="21"/>
          <w:u w:val="none"/>
        </w:rPr>
        <w:t>3</w:t>
      </w:r>
      <w:r>
        <w:rPr>
          <w:rFonts w:cs="Calibri"/>
          <w:spacing w:val="-2"/>
          <w:w w:val="100"/>
        </w:rPr>
        <w:tab/>
      </w:r>
      <w:r>
        <w:rPr>
          <w:rFonts w:ascii="宋体" w:eastAsia="宋体" w:hAnsi="宋体" w:cs="宋体"/>
          <w:color w:val="000000"/>
          <w:spacing w:val="-2"/>
          <w:w w:val="100"/>
          <w:position w:val="0"/>
          <w:sz w:val="21"/>
          <w:u w:val="none"/>
        </w:rPr>
        <w:t>月</w:t>
      </w:r>
      <w:r>
        <w:rPr>
          <w:rFonts w:cs="Calibri"/>
          <w:color w:val="000000"/>
          <w:spacing w:val="-1"/>
          <w:w w:val="100"/>
          <w:u w:val="none"/>
        </w:rPr>
        <w:tab/>
      </w:r>
      <w:r>
        <w:rPr>
          <w:rFonts w:ascii="宋体" w:hAnsi="宋体" w:cs="宋体"/>
          <w:color w:val="000000"/>
          <w:spacing w:val="-1"/>
          <w:w w:val="100"/>
          <w:position w:val="0"/>
          <w:sz w:val="21"/>
          <w:u w:val="none"/>
        </w:rPr>
        <w:t>1</w:t>
      </w:r>
      <w:r>
        <w:rPr>
          <w:rFonts w:cs="Calibri"/>
          <w:spacing w:val="-2"/>
          <w:w w:val="100"/>
        </w:rPr>
        <w:tab/>
      </w:r>
      <w:r>
        <w:rPr>
          <w:rFonts w:ascii="宋体" w:eastAsia="宋体" w:hAnsi="宋体" w:cs="宋体"/>
          <w:color w:val="000000"/>
          <w:spacing w:val="-2"/>
          <w:w w:val="100"/>
          <w:position w:val="0"/>
          <w:sz w:val="21"/>
          <w:u w:val="none"/>
        </w:rPr>
        <w:t>日</w:t>
      </w:r>
    </w:p>
    <w:p>
      <w:pPr>
        <w:widowControl/>
        <w:jc w:val="left"/>
        <w:sectPr>
          <w:type w:val="continuous"/>
          <w:pgSz w:w="11907" w:h="16839"/>
          <w:pgMar w:top="863" w:right="717" w:bottom="623" w:left="1077" w:header="0" w:footer="0" w:gutter="0"/>
          <w:pgNumType w:start="12"/>
          <w:cols w:num="1" w:space="708" w:equalWidth="0">
            <w:col w:w="10113" w:space="0"/>
          </w:cols>
          <w:docGrid w:type="lines" w:linePitch="312" w:charSpace="0"/>
        </w:sectPr>
      </w:pPr>
    </w:p>
    <w:p>
      <w:pPr>
        <w:spacing w:before="0" w:after="0" w:line="240" w:lineRule="exact"/>
        <w:ind w:left="2933" w:firstLine="0"/>
      </w:pPr>
    </w:p>
    <w:p>
      <w:pPr>
        <w:spacing w:before="0" w:after="0" w:line="240" w:lineRule="exact"/>
        <w:ind w:left="2933" w:firstLine="0"/>
      </w:pPr>
    </w:p>
    <w:p>
      <w:pPr>
        <w:spacing w:before="0" w:after="0" w:line="240" w:lineRule="exact"/>
        <w:ind w:left="2933" w:firstLine="0"/>
      </w:pPr>
    </w:p>
    <w:p>
      <w:pPr>
        <w:spacing w:before="0" w:after="0" w:line="240" w:lineRule="exact"/>
        <w:ind w:left="2933" w:firstLine="0"/>
      </w:pPr>
    </w:p>
    <w:p>
      <w:pPr>
        <w:spacing w:before="0" w:after="0" w:line="240" w:lineRule="exact"/>
        <w:ind w:left="2933" w:firstLine="0"/>
      </w:pPr>
    </w:p>
    <w:p>
      <w:pPr>
        <w:spacing w:before="0" w:after="0" w:line="240" w:lineRule="exact"/>
        <w:ind w:left="2933" w:firstLine="0"/>
      </w:pPr>
    </w:p>
    <w:p>
      <w:pPr>
        <w:spacing w:before="0" w:after="0" w:line="307" w:lineRule="exact"/>
        <w:ind w:left="2933" w:firstLine="0"/>
      </w:pPr>
    </w:p>
    <w:p>
      <w:pPr>
        <w:widowControl/>
        <w:jc w:val="left"/>
        <w:sectPr>
          <w:type w:val="continuous"/>
          <w:pgSz w:w="11907" w:h="16839"/>
          <w:pgMar w:top="863" w:right="717" w:bottom="623" w:left="1077" w:header="0" w:footer="0" w:gutter="0"/>
          <w:pgNumType w:start="13"/>
          <w:cols w:num="1" w:space="720"/>
          <w:docGrid w:type="lines" w:linePitch="312" w:charSpace="0"/>
        </w:sectPr>
      </w:pPr>
    </w:p>
    <w:p>
      <w:pPr>
        <w:tabs>
          <w:tab w:val="left" w:pos="5295"/>
        </w:tabs>
        <w:spacing w:before="0" w:after="0" w:line="244" w:lineRule="exact"/>
        <w:ind w:left="4215" w:firstLine="0"/>
        <w:jc w:val="left"/>
      </w:pPr>
      <w:r>
        <w:rPr>
          <w:rFonts w:ascii="黑体" w:hAnsi="黑体" w:cs="黑体"/>
          <w:color w:val="000000"/>
          <w:spacing w:val="-1"/>
          <w:w w:val="100"/>
          <w:position w:val="0"/>
          <w:sz w:val="24"/>
          <w:u w:val="none"/>
        </w:rPr>
        <w:t>2024</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沈</w:t>
      </w:r>
      <w:r>
        <w:rPr>
          <w:rFonts w:cs="Calibri"/>
          <w:color w:val="000000"/>
          <w:spacing w:val="-2"/>
          <w:w w:val="100"/>
          <w:u w:val="none"/>
        </w:rPr>
        <w:tab/>
      </w:r>
      <w:r>
        <w:rPr>
          <w:rFonts w:ascii="黑体" w:eastAsia="黑体" w:hAnsi="黑体" w:cs="黑体"/>
          <w:color w:val="000000"/>
          <w:spacing w:val="-1"/>
          <w:w w:val="100"/>
          <w:position w:val="0"/>
          <w:sz w:val="24"/>
          <w:u w:val="none"/>
        </w:rPr>
        <w:t>阳</w:t>
      </w:r>
    </w:p>
    <w:p>
      <w:pPr>
        <w:widowControl/>
        <w:jc w:val="left"/>
        <w:sectPr>
          <w:type w:val="continuous"/>
          <w:pgSz w:w="11907" w:h="16839"/>
          <w:pgMar w:top="863" w:right="717" w:bottom="623" w:left="1077" w:header="0" w:footer="0" w:gutter="0"/>
          <w:pgNumType w:start="14"/>
          <w:cols w:num="1" w:space="708" w:equalWidth="0">
            <w:col w:w="10113" w:space="0"/>
          </w:cols>
          <w:docGrid w:type="lines" w:linePitch="312" w:charSpace="0"/>
        </w:sectPr>
      </w:pPr>
    </w:p>
    <w:p>
      <w:pPr>
        <w:spacing w:before="0" w:after="0" w:line="72" w:lineRule="exact"/>
      </w:pPr>
      <w:bookmarkStart w:id="2" w:name="3"/>
      <w:bookmarkEnd w:id="2"/>
      <w:bookmarkStart w:id="3" w:name="4"/>
      <w:bookmarkEnd w:id="3"/>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p>
    <w:p>
      <w:pPr>
        <w:spacing w:before="0" w:after="0" w:line="72" w:lineRule="exact"/>
      </w:pPr>
      <w:bookmarkStart w:id="4" w:name="_GoBack"/>
      <w:bookmarkEnd w:id="4"/>
    </w:p>
    <w:p>
      <w:pPr>
        <w:widowControl/>
        <w:jc w:val="left"/>
        <w:sectPr>
          <w:type w:val="continuous"/>
          <w:pgSz w:w="11907" w:h="16839"/>
          <w:pgMar w:top="736" w:right="610" w:bottom="496" w:left="970" w:header="0" w:footer="0" w:gutter="0"/>
          <w:pgNumType w:start="15"/>
          <w:cols w:num="1" w:space="720"/>
          <w:docGrid w:type="lines" w:linePitch="312" w:charSpace="0"/>
        </w:sectPr>
      </w:pPr>
    </w:p>
    <w:p>
      <w:pPr>
        <w:spacing w:before="0" w:after="0" w:line="212" w:lineRule="exact"/>
        <w:ind w:left="163" w:firstLine="7855"/>
        <w:jc w:val="left"/>
      </w:pPr>
      <w:r>
        <w:pict>
          <v:shapetype id="_x0000_t202" coordsize="21600,21600" o:spt="202" path="m,l,21600r21600,l21600,xe">
            <v:stroke joinstyle="miter"/>
            <v:path gradientshapeok="t" o:connecttype="rect"/>
          </v:shapetype>
          <v:shape id="_x0000_s2052"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163" w:firstLine="7855"/>
      </w:pPr>
    </w:p>
    <w:p>
      <w:pPr>
        <w:spacing w:before="0" w:after="0" w:line="240" w:lineRule="exact"/>
        <w:ind w:left="163" w:firstLine="7855"/>
      </w:pPr>
    </w:p>
    <w:p>
      <w:pPr>
        <w:tabs>
          <w:tab w:val="left" w:pos="5263"/>
        </w:tabs>
        <w:spacing w:before="0" w:after="0" w:line="318" w:lineRule="exact"/>
        <w:ind w:left="163" w:firstLine="4260"/>
        <w:jc w:val="left"/>
      </w:pPr>
      <w:r>
        <w:rPr>
          <w:rFonts w:ascii="黑体" w:eastAsia="黑体" w:hAnsi="黑体" w:cs="黑体"/>
          <w:color w:val="000000"/>
          <w:spacing w:val="0"/>
          <w:w w:val="100"/>
          <w:position w:val="0"/>
          <w:sz w:val="28"/>
          <w:u w:val="none"/>
        </w:rPr>
        <w:t>前</w:t>
      </w:r>
      <w:r>
        <w:rPr>
          <w:rFonts w:cs="Calibri"/>
          <w:color w:val="000000"/>
          <w:spacing w:val="0"/>
          <w:w w:val="100"/>
          <w:u w:val="none"/>
        </w:rPr>
        <w:tab/>
      </w:r>
      <w:r>
        <w:rPr>
          <w:rFonts w:ascii="黑体" w:eastAsia="黑体" w:hAnsi="黑体" w:cs="黑体"/>
          <w:color w:val="000000"/>
          <w:spacing w:val="0"/>
          <w:w w:val="100"/>
          <w:position w:val="0"/>
          <w:sz w:val="28"/>
          <w:u w:val="none"/>
        </w:rPr>
        <w:t>言</w:t>
      </w:r>
    </w:p>
    <w:p>
      <w:pPr>
        <w:spacing w:before="0" w:after="0" w:line="427" w:lineRule="exact"/>
        <w:ind w:left="163" w:firstLine="420"/>
        <w:jc w:val="left"/>
      </w:pPr>
      <w:r>
        <w:rPr>
          <w:rFonts w:ascii="宋体" w:eastAsia="宋体" w:hAnsi="宋体" w:cs="宋体"/>
          <w:color w:val="000000"/>
          <w:spacing w:val="0"/>
          <w:w w:val="100"/>
          <w:position w:val="0"/>
          <w:sz w:val="21"/>
          <w:u w:val="none"/>
        </w:rPr>
        <w:t>根据辽宁省市场监督管理局</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2021</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年辽宁省地方标准制修订文件要求，由辽宁福瑞达建筑科技有限公</w:t>
      </w:r>
    </w:p>
    <w:p>
      <w:pPr>
        <w:spacing w:before="0" w:after="0" w:line="312" w:lineRule="exact"/>
        <w:ind w:left="163" w:firstLine="0"/>
        <w:jc w:val="left"/>
      </w:pPr>
      <w:r>
        <w:rPr>
          <w:rFonts w:ascii="宋体" w:hAnsi="宋体" w:cs="宋体"/>
          <w:color w:val="000000"/>
          <w:spacing w:val="-1"/>
          <w:w w:val="100"/>
          <w:position w:val="0"/>
          <w:sz w:val="21"/>
          <w:u w:val="none"/>
        </w:rPr>
        <w:t>司会同有关单位编制完成本规程。本规程编制过程中，编制组经广泛调查研究，参考国内外先进工作经验</w:t>
      </w:r>
    </w:p>
    <w:p>
      <w:pPr>
        <w:spacing w:before="0" w:after="0" w:line="312" w:lineRule="exact"/>
        <w:ind w:left="163" w:firstLine="0"/>
        <w:jc w:val="left"/>
      </w:pPr>
      <w:r>
        <w:rPr>
          <w:rFonts w:ascii="宋体" w:hAnsi="宋体" w:cs="宋体"/>
          <w:color w:val="000000"/>
          <w:spacing w:val="-1"/>
          <w:w w:val="100"/>
          <w:position w:val="0"/>
          <w:sz w:val="21"/>
          <w:u w:val="none"/>
        </w:rPr>
        <w:t>及其他相关标准，并广泛征求意见的基础上，制定本规程。</w:t>
      </w:r>
    </w:p>
    <w:p>
      <w:pPr>
        <w:spacing w:before="0" w:after="0" w:line="312" w:lineRule="exact"/>
        <w:ind w:left="163" w:firstLine="420"/>
        <w:jc w:val="left"/>
      </w:pPr>
      <w:r>
        <w:rPr>
          <w:rFonts w:ascii="宋体" w:eastAsia="宋体" w:hAnsi="宋体" w:cs="宋体"/>
          <w:color w:val="000000"/>
          <w:spacing w:val="0"/>
          <w:w w:val="100"/>
          <w:position w:val="0"/>
          <w:sz w:val="21"/>
          <w:u w:val="none"/>
        </w:rPr>
        <w:t>本规程的主要技术内容是：1</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总则；2</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术语和符号；3</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材料与设计指标；4</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建筑与集成设计；5</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结构设</w:t>
      </w:r>
    </w:p>
    <w:p>
      <w:pPr>
        <w:spacing w:before="0" w:after="0" w:line="312" w:lineRule="exact"/>
        <w:ind w:left="163" w:firstLine="0"/>
        <w:jc w:val="left"/>
      </w:pPr>
      <w:r>
        <w:rPr>
          <w:rFonts w:ascii="宋体" w:eastAsia="宋体" w:hAnsi="宋体" w:cs="宋体"/>
          <w:color w:val="000000"/>
          <w:spacing w:val="-1"/>
          <w:w w:val="100"/>
          <w:position w:val="0"/>
          <w:sz w:val="21"/>
          <w:u w:val="none"/>
        </w:rPr>
        <w:t>计；6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制作、防腐、安装及验收。</w:t>
      </w:r>
    </w:p>
    <w:p>
      <w:pPr>
        <w:spacing w:before="0" w:after="0" w:line="312" w:lineRule="exact"/>
        <w:ind w:left="163" w:firstLine="420"/>
        <w:jc w:val="left"/>
      </w:pPr>
      <w:r>
        <w:rPr>
          <w:rFonts w:ascii="宋体" w:eastAsia="宋体" w:hAnsi="宋体" w:cs="宋体"/>
          <w:color w:val="000000"/>
          <w:spacing w:val="-1"/>
          <w:w w:val="100"/>
          <w:position w:val="0"/>
          <w:sz w:val="21"/>
          <w:u w:val="none"/>
        </w:rPr>
        <w:t>本规程由辽宁省住房和城乡建设厅负责管理，由辽宁福瑞达建筑科技有限公司负责具体技术内容的解</w:t>
      </w:r>
    </w:p>
    <w:p>
      <w:pPr>
        <w:spacing w:before="0" w:after="0" w:line="312" w:lineRule="exact"/>
        <w:ind w:left="163" w:firstLine="0"/>
        <w:jc w:val="left"/>
      </w:pPr>
      <w:r>
        <w:rPr>
          <w:rFonts w:ascii="宋体" w:hAnsi="宋体" w:cs="宋体"/>
          <w:color w:val="000000"/>
          <w:spacing w:val="-2"/>
          <w:w w:val="100"/>
          <w:position w:val="0"/>
          <w:sz w:val="21"/>
          <w:u w:val="none"/>
        </w:rPr>
        <w:t>释。</w:t>
      </w:r>
    </w:p>
    <w:p>
      <w:pPr>
        <w:spacing w:before="0" w:after="0" w:line="312" w:lineRule="exact"/>
        <w:ind w:left="163" w:firstLine="420"/>
        <w:jc w:val="left"/>
      </w:pPr>
      <w:r>
        <w:rPr>
          <w:rFonts w:ascii="宋体" w:hAnsi="宋体" w:cs="宋体"/>
          <w:color w:val="000000"/>
          <w:spacing w:val="-1"/>
          <w:w w:val="100"/>
          <w:position w:val="0"/>
          <w:sz w:val="21"/>
          <w:u w:val="none"/>
        </w:rPr>
        <w:t>本规程发布实施后，任何单位或个人如有意见或建议，均可来电和来函等方式进行反馈。</w:t>
      </w:r>
    </w:p>
    <w:p>
      <w:pPr>
        <w:spacing w:before="0" w:after="0" w:line="312" w:lineRule="exact"/>
        <w:ind w:left="163" w:firstLine="420"/>
        <w:jc w:val="left"/>
      </w:pPr>
      <w:r>
        <w:rPr>
          <w:rFonts w:ascii="宋体" w:eastAsia="宋体" w:hAnsi="宋体" w:cs="宋体"/>
          <w:color w:val="000000"/>
          <w:spacing w:val="-1"/>
          <w:w w:val="100"/>
          <w:position w:val="0"/>
          <w:sz w:val="21"/>
          <w:u w:val="none"/>
        </w:rPr>
        <w:t>辽宁省住房和城乡建设厅</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地址：沈阳市和平区太原北街</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号；联系电话：024-23447652。</w:t>
      </w:r>
    </w:p>
    <w:p>
      <w:pPr>
        <w:spacing w:before="0" w:after="0" w:line="312" w:lineRule="exact"/>
        <w:ind w:left="163" w:firstLine="420"/>
        <w:jc w:val="left"/>
      </w:pPr>
      <w:r>
        <w:rPr>
          <w:rFonts w:ascii="宋体" w:eastAsia="宋体" w:hAnsi="宋体" w:cs="宋体"/>
          <w:color w:val="000000"/>
          <w:spacing w:val="-1"/>
          <w:w w:val="100"/>
          <w:position w:val="0"/>
          <w:sz w:val="21"/>
          <w:u w:val="none"/>
        </w:rPr>
        <w:t>辽宁福瑞达建筑科技有限公司</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地址：鞍山市台安县工业园区；联系电话：0411-4945566，电子邮箱：</w:t>
      </w:r>
    </w:p>
    <w:p>
      <w:pPr>
        <w:spacing w:before="0" w:after="0" w:line="312" w:lineRule="exact"/>
        <w:ind w:left="163" w:firstLine="0"/>
        <w:jc w:val="left"/>
      </w:pPr>
      <w:r>
        <w:rPr>
          <w:rFonts w:ascii="宋体" w:hAnsi="宋体" w:cs="宋体"/>
          <w:color w:val="000000"/>
          <w:spacing w:val="-1"/>
          <w:w w:val="100"/>
          <w:position w:val="0"/>
          <w:sz w:val="21"/>
          <w:u w:val="none"/>
        </w:rPr>
        <w:t>Lnfrdjz@163.com，邮编：114100。</w:t>
      </w:r>
    </w:p>
    <w:p>
      <w:pPr>
        <w:spacing w:before="0" w:after="0" w:line="312" w:lineRule="exact"/>
        <w:ind w:left="163" w:firstLine="420"/>
        <w:jc w:val="left"/>
      </w:pPr>
      <w:r>
        <w:rPr>
          <w:rFonts w:ascii="宋体" w:eastAsia="宋体" w:hAnsi="宋体" w:cs="宋体"/>
          <w:color w:val="000000"/>
          <w:spacing w:val="-1"/>
          <w:w w:val="100"/>
          <w:position w:val="0"/>
          <w:sz w:val="21"/>
          <w:u w:val="none"/>
        </w:rPr>
        <w:t>本规程主编单位：辽宁福瑞达建筑科技有限公司</w:t>
      </w:r>
    </w:p>
    <w:p>
      <w:pPr>
        <w:spacing w:before="0" w:after="0" w:line="312" w:lineRule="exact"/>
        <w:ind w:left="163" w:firstLine="425"/>
        <w:jc w:val="left"/>
      </w:pPr>
      <w:r>
        <w:rPr>
          <w:rFonts w:ascii="宋体" w:eastAsia="宋体" w:hAnsi="宋体" w:cs="宋体"/>
          <w:color w:val="000000"/>
          <w:spacing w:val="-1"/>
          <w:w w:val="100"/>
          <w:position w:val="0"/>
          <w:sz w:val="21"/>
          <w:u w:val="none"/>
        </w:rPr>
        <w:t>本规程参编单位：辽宁省检验检测认证中心</w:t>
      </w:r>
    </w:p>
    <w:p>
      <w:pPr>
        <w:spacing w:before="0" w:after="0" w:line="312" w:lineRule="exact"/>
        <w:ind w:left="163" w:firstLine="2105"/>
        <w:jc w:val="left"/>
      </w:pPr>
      <w:r>
        <w:rPr>
          <w:rFonts w:ascii="宋体" w:eastAsia="宋体" w:hAnsi="宋体" w:cs="宋体"/>
          <w:color w:val="000000"/>
          <w:spacing w:val="-1"/>
          <w:w w:val="100"/>
          <w:position w:val="0"/>
          <w:sz w:val="21"/>
          <w:u w:val="none"/>
        </w:rPr>
        <w:t>同济大学</w:t>
      </w:r>
    </w:p>
    <w:p>
      <w:pPr>
        <w:spacing w:before="0" w:after="0" w:line="312" w:lineRule="exact"/>
        <w:ind w:left="163" w:firstLine="2126"/>
        <w:jc w:val="left"/>
      </w:pPr>
      <w:r>
        <w:rPr>
          <w:rFonts w:ascii="宋体" w:eastAsia="宋体" w:hAnsi="宋体" w:cs="宋体"/>
          <w:color w:val="000000"/>
          <w:spacing w:val="-1"/>
          <w:w w:val="100"/>
          <w:position w:val="0"/>
          <w:sz w:val="21"/>
          <w:u w:val="none"/>
        </w:rPr>
        <w:t>沈阳建筑大学</w:t>
      </w:r>
    </w:p>
    <w:p>
      <w:pPr>
        <w:spacing w:before="0" w:after="0" w:line="312" w:lineRule="exact"/>
        <w:ind w:left="163" w:firstLine="2126"/>
        <w:jc w:val="left"/>
      </w:pPr>
      <w:r>
        <w:rPr>
          <w:rFonts w:ascii="宋体" w:eastAsia="宋体" w:hAnsi="宋体" w:cs="宋体"/>
          <w:color w:val="000000"/>
          <w:spacing w:val="-1"/>
          <w:w w:val="100"/>
          <w:position w:val="0"/>
          <w:sz w:val="21"/>
          <w:u w:val="none"/>
        </w:rPr>
        <w:t>上海同磊土木工程技术有限公司</w:t>
      </w:r>
    </w:p>
    <w:p>
      <w:pPr>
        <w:spacing w:before="0" w:after="0" w:line="312" w:lineRule="exact"/>
        <w:ind w:left="163" w:firstLine="2126"/>
        <w:jc w:val="left"/>
      </w:pPr>
      <w:r>
        <w:rPr>
          <w:rFonts w:ascii="宋体" w:eastAsia="宋体" w:hAnsi="宋体" w:cs="宋体"/>
          <w:color w:val="000000"/>
          <w:spacing w:val="-1"/>
          <w:w w:val="100"/>
          <w:position w:val="0"/>
          <w:sz w:val="21"/>
          <w:u w:val="none"/>
        </w:rPr>
        <w:t>杭萧钢构(河北)建设有限公司</w:t>
      </w:r>
    </w:p>
    <w:p>
      <w:pPr>
        <w:spacing w:before="0" w:after="0" w:line="312" w:lineRule="exact"/>
        <w:ind w:left="163" w:firstLine="2126"/>
        <w:jc w:val="left"/>
      </w:pPr>
      <w:r>
        <w:rPr>
          <w:rFonts w:ascii="宋体" w:eastAsia="宋体" w:hAnsi="宋体" w:cs="宋体"/>
          <w:color w:val="000000"/>
          <w:spacing w:val="-1"/>
          <w:w w:val="100"/>
          <w:position w:val="0"/>
          <w:sz w:val="21"/>
          <w:u w:val="none"/>
        </w:rPr>
        <w:t>辽宁省政兴集团工业工程有限责任公司</w:t>
      </w:r>
    </w:p>
    <w:p>
      <w:pPr>
        <w:spacing w:before="0" w:after="0" w:line="312" w:lineRule="exact"/>
        <w:ind w:left="163" w:firstLine="2126"/>
        <w:jc w:val="left"/>
      </w:pPr>
      <w:r>
        <w:rPr>
          <w:rFonts w:ascii="宋体" w:eastAsia="宋体" w:hAnsi="宋体" w:cs="宋体"/>
          <w:color w:val="000000"/>
          <w:spacing w:val="-1"/>
          <w:w w:val="100"/>
          <w:position w:val="0"/>
          <w:sz w:val="21"/>
          <w:u w:val="none"/>
        </w:rPr>
        <w:t>重庆市镁晶防火材料有限公司</w:t>
      </w:r>
    </w:p>
    <w:p>
      <w:pPr>
        <w:spacing w:before="0" w:after="0" w:line="312" w:lineRule="exact"/>
        <w:ind w:left="163" w:firstLine="2126"/>
        <w:jc w:val="left"/>
      </w:pPr>
      <w:r>
        <w:rPr>
          <w:rFonts w:ascii="宋体" w:eastAsia="宋体" w:hAnsi="宋体" w:cs="宋体"/>
          <w:color w:val="000000"/>
          <w:spacing w:val="-1"/>
          <w:w w:val="100"/>
          <w:position w:val="0"/>
          <w:sz w:val="21"/>
          <w:u w:val="none"/>
        </w:rPr>
        <w:t>海城市建筑设计研究院</w:t>
      </w:r>
    </w:p>
    <w:p>
      <w:pPr>
        <w:spacing w:before="0" w:after="0" w:line="240" w:lineRule="exact"/>
        <w:ind w:left="163" w:firstLine="2126"/>
      </w:pPr>
    </w:p>
    <w:p>
      <w:pPr>
        <w:spacing w:before="0" w:after="0" w:line="384" w:lineRule="exact"/>
        <w:ind w:left="163" w:firstLine="425"/>
        <w:jc w:val="left"/>
      </w:pPr>
      <w:r>
        <w:rPr>
          <w:rFonts w:ascii="宋体" w:eastAsia="宋体" w:hAnsi="宋体" w:cs="宋体"/>
          <w:color w:val="000000"/>
          <w:spacing w:val="-1"/>
          <w:w w:val="100"/>
          <w:position w:val="0"/>
          <w:sz w:val="21"/>
          <w:u w:val="none"/>
        </w:rPr>
        <w:t>本规程主要起草人员：杨立田</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张其林</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陈伯超</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王严平</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赫亮亮</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刘敬东</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王振中</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曲</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波</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王文亭</w:t>
      </w:r>
    </w:p>
    <w:p>
      <w:pPr>
        <w:spacing w:before="0" w:after="0" w:line="312" w:lineRule="exact"/>
        <w:ind w:left="163" w:firstLine="2525"/>
        <w:jc w:val="left"/>
      </w:pPr>
      <w:r>
        <w:rPr>
          <w:rFonts w:ascii="宋体" w:eastAsia="宋体" w:hAnsi="宋体" w:cs="宋体"/>
          <w:color w:val="000000"/>
          <w:spacing w:val="-1"/>
          <w:w w:val="100"/>
          <w:position w:val="0"/>
          <w:sz w:val="21"/>
          <w:u w:val="none"/>
        </w:rPr>
        <w:t>唐建设</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乔国强</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胡立黎</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罗晓群</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杨</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宽</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秦</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鹤</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朱长江</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姚正凯</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帅</w:t>
      </w:r>
    </w:p>
    <w:p>
      <w:pPr>
        <w:spacing w:before="0" w:after="0" w:line="312" w:lineRule="exact"/>
        <w:ind w:left="163" w:firstLine="2525"/>
        <w:jc w:val="left"/>
      </w:pPr>
      <w:r>
        <w:rPr>
          <w:rFonts w:ascii="宋体" w:eastAsia="宋体" w:hAnsi="宋体" w:cs="宋体"/>
          <w:color w:val="000000"/>
          <w:spacing w:val="-2"/>
          <w:w w:val="100"/>
          <w:position w:val="0"/>
          <w:sz w:val="21"/>
          <w:u w:val="none"/>
        </w:rPr>
        <w:t>陈</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伟</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常治国</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董连勇</w:t>
      </w:r>
    </w:p>
    <w:p>
      <w:pPr>
        <w:spacing w:before="0" w:after="0" w:line="240" w:lineRule="exact"/>
        <w:ind w:left="163" w:firstLine="2525"/>
      </w:pPr>
    </w:p>
    <w:p>
      <w:pPr>
        <w:spacing w:before="0" w:after="0" w:line="384" w:lineRule="exact"/>
        <w:ind w:left="163" w:firstLine="420"/>
        <w:jc w:val="left"/>
      </w:pPr>
      <w:r>
        <w:rPr>
          <w:rFonts w:ascii="宋体" w:eastAsia="宋体" w:hAnsi="宋体" w:cs="宋体"/>
          <w:color w:val="000000"/>
          <w:spacing w:val="-1"/>
          <w:w w:val="100"/>
          <w:position w:val="0"/>
          <w:sz w:val="21"/>
          <w:u w:val="none"/>
        </w:rPr>
        <w:t>本规程主要审查人员：夏志忠</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于永彬</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宋作军</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张春良</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杨</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璐</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杨正余</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熊</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伟</w:t>
      </w:r>
    </w:p>
    <w:p>
      <w:pPr>
        <w:widowControl/>
        <w:jc w:val="left"/>
        <w:sectPr>
          <w:type w:val="continuous"/>
          <w:pgSz w:w="11907" w:h="16839"/>
          <w:pgMar w:top="736" w:right="610" w:bottom="496" w:left="970" w:header="0" w:footer="0" w:gutter="0"/>
          <w:pgNumType w:start="16"/>
          <w:cols w:num="1" w:space="708" w:equalWidth="0">
            <w:col w:w="10327" w:space="0"/>
          </w:cols>
          <w:docGrid w:type="lines" w:linePitch="312" w:charSpace="0"/>
        </w:sectPr>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40" w:lineRule="exact"/>
        <w:ind w:left="163" w:firstLine="420"/>
      </w:pPr>
    </w:p>
    <w:p>
      <w:pPr>
        <w:spacing w:before="0" w:after="0" w:line="260" w:lineRule="exact"/>
        <w:ind w:left="163" w:firstLine="420"/>
      </w:pPr>
    </w:p>
    <w:p>
      <w:pPr>
        <w:widowControl/>
        <w:jc w:val="left"/>
        <w:sectPr>
          <w:type w:val="continuous"/>
          <w:pgSz w:w="11907" w:h="16839"/>
          <w:pgMar w:top="736" w:right="610" w:bottom="496" w:left="970" w:header="0" w:footer="0" w:gutter="0"/>
          <w:pgNumType w:start="17"/>
          <w:cols w:num="1" w:space="720"/>
          <w:docGrid w:type="lines" w:linePitch="312" w:charSpace="0"/>
        </w:sectPr>
      </w:pPr>
    </w:p>
    <w:p>
      <w:pPr>
        <w:spacing w:before="0" w:after="0" w:line="217" w:lineRule="exact"/>
        <w:ind w:left="9744" w:firstLine="0"/>
        <w:jc w:val="left"/>
      </w:pPr>
      <w:r>
        <w:rPr>
          <w:rFonts w:ascii="Microsoft YaHei UI" w:hAnsi="Microsoft YaHei UI" w:cs="Microsoft YaHei UI"/>
          <w:color w:val="000000"/>
          <w:spacing w:val="6"/>
          <w:w w:val="100"/>
          <w:position w:val="0"/>
          <w:sz w:val="18"/>
          <w:u w:val="none"/>
        </w:rPr>
        <w:t>I</w:t>
      </w:r>
    </w:p>
    <w:p>
      <w:pPr>
        <w:widowControl/>
        <w:jc w:val="left"/>
        <w:sectPr>
          <w:type w:val="continuous"/>
          <w:pgSz w:w="11907" w:h="16839"/>
          <w:pgMar w:top="736" w:right="610" w:bottom="496" w:left="970" w:header="0" w:footer="0" w:gutter="0"/>
          <w:pgNumType w:start="18"/>
          <w:cols w:num="1" w:space="708" w:equalWidth="0">
            <w:col w:w="10327" w:space="0"/>
          </w:cols>
          <w:docGrid w:type="lines" w:linePitch="312" w:charSpace="0"/>
        </w:sectPr>
      </w:pPr>
    </w:p>
    <w:p>
      <w:pPr>
        <w:spacing w:before="0" w:after="0" w:line="284" w:lineRule="exact"/>
        <w:ind w:left="60" w:firstLine="0"/>
        <w:jc w:val="left"/>
      </w:pPr>
      <w:bookmarkStart w:id="5" w:name="5"/>
      <w:bookmarkEnd w:id="5"/>
      <w:r>
        <w:pict>
          <v:shape id="_x0000_s2053"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60" w:firstLine="0"/>
      </w:pPr>
    </w:p>
    <w:p>
      <w:pPr>
        <w:spacing w:before="0" w:after="0" w:line="240" w:lineRule="exact"/>
        <w:ind w:left="60" w:firstLine="0"/>
      </w:pPr>
    </w:p>
    <w:p>
      <w:pPr>
        <w:tabs>
          <w:tab w:val="left" w:pos="5021"/>
        </w:tabs>
        <w:spacing w:before="0" w:after="0" w:line="314" w:lineRule="exact"/>
        <w:ind w:left="60" w:firstLine="4399"/>
        <w:jc w:val="left"/>
      </w:pPr>
      <w:r>
        <w:rPr>
          <w:rFonts w:ascii="宋体" w:eastAsia="宋体" w:hAnsi="宋体" w:cs="宋体"/>
          <w:color w:val="000000"/>
          <w:spacing w:val="0"/>
          <w:w w:val="100"/>
          <w:position w:val="0"/>
          <w:sz w:val="28"/>
          <w:u w:val="none"/>
        </w:rPr>
        <w:t>目</w:t>
      </w:r>
      <w:r>
        <w:rPr>
          <w:rFonts w:cs="Calibri"/>
          <w:spacing w:val="-1"/>
          <w:w w:val="100"/>
        </w:rPr>
        <w:tab/>
      </w:r>
      <w:r>
        <w:rPr>
          <w:rFonts w:ascii="宋体" w:eastAsia="宋体" w:hAnsi="宋体" w:cs="宋体"/>
          <w:color w:val="000000"/>
          <w:spacing w:val="0"/>
          <w:w w:val="100"/>
          <w:position w:val="0"/>
          <w:sz w:val="28"/>
          <w:u w:val="none"/>
        </w:rPr>
        <w:t>录</w:t>
      </w:r>
    </w:p>
    <w:p>
      <w:pPr>
        <w:spacing w:before="0" w:after="0" w:line="240" w:lineRule="exact"/>
        <w:ind w:left="60" w:firstLine="4399"/>
      </w:pPr>
    </w:p>
    <w:p>
      <w:pPr>
        <w:tabs>
          <w:tab w:val="left" w:pos="420"/>
        </w:tabs>
        <w:spacing w:before="0" w:after="0" w:line="401" w:lineRule="exact"/>
        <w:ind w:left="60" w:firstLine="0"/>
        <w:jc w:val="left"/>
      </w:pPr>
      <w:hyperlink w:anchor="6" w:history="1">
        <w:r>
          <w:rPr>
            <w:rStyle w:val="Hyperlink"/>
            <w:rFonts w:ascii="Microsoft YaHei UI" w:hAnsi="Microsoft YaHei UI" w:cs="Microsoft YaHei UI"/>
            <w:color w:val="000000"/>
            <w:spacing w:val="10"/>
            <w:w w:val="100"/>
            <w:position w:val="0"/>
            <w:sz w:val="22"/>
            <w:u w:val="none"/>
          </w:rPr>
          <w:t>1</w:t>
        </w:r>
      </w:hyperlink>
      <w:r>
        <w:rPr>
          <w:rFonts w:cs="Calibri"/>
          <w:w w:val="100"/>
        </w:rPr>
        <w:tab/>
      </w:r>
      <w:hyperlink w:anchor="6" w:history="1">
        <w:r>
          <w:rPr>
            <w:rStyle w:val="Hyperlink"/>
            <w:rFonts w:ascii="宋体" w:eastAsia="宋体" w:hAnsi="宋体" w:cs="宋体"/>
            <w:color w:val="000000"/>
            <w:spacing w:val="0"/>
            <w:w w:val="100"/>
            <w:position w:val="7"/>
            <w:sz w:val="22"/>
            <w:u w:val="none"/>
          </w:rPr>
          <w:t>总则</w:t>
        </w:r>
      </w:hyperlink>
      <w:r>
        <w:rPr>
          <w:rFonts w:ascii="Calibri" w:hAnsi="Calibri" w:cs="Calibri"/>
          <w:b/>
          <w:color w:val="000000"/>
          <w:spacing w:val="-10"/>
          <w:w w:val="100"/>
          <w:sz w:val="20"/>
          <w:u w:val="none"/>
        </w:rPr>
        <w:t> </w:t>
      </w:r>
      <w:hyperlink w:anchor="6"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8"/>
          <w:w w:val="100"/>
          <w:sz w:val="20"/>
          <w:u w:val="none"/>
        </w:rPr>
        <w:t> </w:t>
      </w:r>
      <w:hyperlink w:anchor="6" w:history="1">
        <w:r>
          <w:rPr>
            <w:rStyle w:val="Hyperlink"/>
            <w:rFonts w:ascii="Microsoft YaHei UI" w:hAnsi="Microsoft YaHei UI" w:cs="Microsoft YaHei UI"/>
            <w:b/>
            <w:color w:val="000000"/>
            <w:spacing w:val="13"/>
            <w:w w:val="80"/>
            <w:position w:val="0"/>
            <w:sz w:val="20"/>
            <w:u w:val="none"/>
          </w:rPr>
          <w:t>1</w:t>
        </w:r>
      </w:hyperlink>
    </w:p>
    <w:p>
      <w:pPr>
        <w:tabs>
          <w:tab w:val="left" w:pos="420"/>
        </w:tabs>
        <w:spacing w:before="0" w:after="0" w:line="432" w:lineRule="exact"/>
        <w:ind w:left="60" w:firstLine="0"/>
        <w:jc w:val="left"/>
      </w:pPr>
      <w:hyperlink w:anchor="9" w:history="1">
        <w:r>
          <w:rPr>
            <w:rStyle w:val="Hyperlink"/>
            <w:rFonts w:ascii="Microsoft YaHei UI" w:hAnsi="Microsoft YaHei UI" w:cs="Microsoft YaHei UI"/>
            <w:color w:val="000000"/>
            <w:spacing w:val="10"/>
            <w:w w:val="100"/>
            <w:position w:val="0"/>
            <w:sz w:val="22"/>
            <w:u w:val="none"/>
          </w:rPr>
          <w:t>2</w:t>
        </w:r>
      </w:hyperlink>
      <w:r>
        <w:rPr>
          <w:rFonts w:cs="Calibri"/>
          <w:w w:val="100"/>
        </w:rPr>
        <w:tab/>
      </w:r>
      <w:hyperlink w:anchor="9" w:history="1">
        <w:r>
          <w:rPr>
            <w:rStyle w:val="Hyperlink"/>
            <w:rFonts w:ascii="宋体" w:eastAsia="宋体" w:hAnsi="宋体" w:cs="宋体"/>
            <w:color w:val="000000"/>
            <w:spacing w:val="0"/>
            <w:w w:val="100"/>
            <w:position w:val="7"/>
            <w:sz w:val="22"/>
            <w:u w:val="none"/>
          </w:rPr>
          <w:t>术语和符号</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2</w:t>
      </w:r>
    </w:p>
    <w:p>
      <w:pPr>
        <w:tabs>
          <w:tab w:val="left" w:pos="9550"/>
        </w:tabs>
        <w:spacing w:before="0" w:after="0" w:line="432" w:lineRule="exact"/>
        <w:ind w:left="60" w:firstLine="0"/>
        <w:jc w:val="left"/>
      </w:pPr>
      <w:hyperlink w:anchor="9" w:history="1">
        <w:r>
          <w:rPr>
            <w:rStyle w:val="Hyperlink"/>
            <w:rFonts w:ascii="Microsoft YaHei UI" w:hAnsi="Microsoft YaHei UI" w:cs="Microsoft YaHei UI"/>
            <w:color w:val="000000"/>
            <w:spacing w:val="11"/>
            <w:w w:val="100"/>
            <w:position w:val="0"/>
            <w:sz w:val="22"/>
            <w:u w:val="none"/>
          </w:rPr>
          <w:t>2.1</w:t>
        </w:r>
      </w:hyperlink>
      <w:r>
        <w:rPr>
          <w:rFonts w:ascii="Calibri" w:hAnsi="Calibri" w:cs="Calibri"/>
          <w:color w:val="000000"/>
          <w:spacing w:val="0"/>
          <w:w w:val="224"/>
          <w:sz w:val="22"/>
          <w:u w:val="none"/>
        </w:rPr>
        <w:t> </w:t>
      </w:r>
      <w:hyperlink w:anchor="9" w:history="1">
        <w:r>
          <w:rPr>
            <w:rStyle w:val="Hyperlink"/>
            <w:rFonts w:ascii="宋体" w:eastAsia="宋体" w:hAnsi="宋体" w:cs="宋体"/>
            <w:color w:val="000000"/>
            <w:spacing w:val="0"/>
            <w:w w:val="100"/>
            <w:position w:val="7"/>
            <w:sz w:val="22"/>
            <w:u w:val="none"/>
          </w:rPr>
          <w:t>术语</w:t>
        </w:r>
      </w:hyperlink>
      <w:r>
        <w:rPr>
          <w:rFonts w:ascii="Calibri" w:hAnsi="Calibri" w:cs="Calibri"/>
          <w:b/>
          <w:color w:val="000000"/>
          <w:spacing w:val="-10"/>
          <w:w w:val="100"/>
          <w:sz w:val="20"/>
          <w:u w:val="none"/>
        </w:rPr>
        <w:t> </w:t>
      </w:r>
      <w:hyperlink w:anchor="9"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6"/>
          <w:w w:val="100"/>
          <w:sz w:val="20"/>
          <w:u w:val="none"/>
        </w:rPr>
        <w:t> </w:t>
      </w:r>
      <w:r>
        <w:rPr>
          <w:rFonts w:cs="Calibri"/>
          <w:w w:val="100"/>
        </w:rPr>
        <w:tab/>
      </w:r>
      <w:hyperlink w:anchor="9" w:history="1">
        <w:r>
          <w:rPr>
            <w:rStyle w:val="Hyperlink"/>
            <w:rFonts w:ascii="Microsoft YaHei UI" w:hAnsi="Microsoft YaHei UI" w:cs="Microsoft YaHei UI"/>
            <w:b/>
            <w:color w:val="000000"/>
            <w:spacing w:val="13"/>
            <w:w w:val="80"/>
            <w:position w:val="0"/>
            <w:sz w:val="20"/>
            <w:u w:val="none"/>
          </w:rPr>
          <w:t>2</w:t>
        </w:r>
      </w:hyperlink>
    </w:p>
    <w:p>
      <w:pPr>
        <w:tabs>
          <w:tab w:val="left" w:pos="631"/>
        </w:tabs>
        <w:spacing w:before="0" w:after="0" w:line="432" w:lineRule="exact"/>
        <w:ind w:left="60" w:firstLine="0"/>
        <w:jc w:val="left"/>
      </w:pPr>
      <w:hyperlink w:anchor="10" w:history="1">
        <w:r>
          <w:rPr>
            <w:rStyle w:val="Hyperlink"/>
            <w:rFonts w:ascii="Microsoft YaHei UI" w:hAnsi="Microsoft YaHei UI" w:cs="Microsoft YaHei UI"/>
            <w:color w:val="000000"/>
            <w:spacing w:val="11"/>
            <w:w w:val="100"/>
            <w:position w:val="0"/>
            <w:sz w:val="22"/>
            <w:u w:val="none"/>
          </w:rPr>
          <w:t>2.2</w:t>
        </w:r>
      </w:hyperlink>
      <w:r>
        <w:rPr>
          <w:rFonts w:cs="Calibri"/>
          <w:color w:val="000000"/>
          <w:w w:val="100"/>
          <w:u w:val="none"/>
        </w:rPr>
        <w:tab/>
      </w:r>
      <w:hyperlink w:anchor="10" w:history="1">
        <w:r>
          <w:rPr>
            <w:rStyle w:val="Hyperlink"/>
            <w:rFonts w:ascii="宋体" w:eastAsia="宋体" w:hAnsi="宋体" w:cs="宋体"/>
            <w:color w:val="000000"/>
            <w:spacing w:val="0"/>
            <w:w w:val="100"/>
            <w:position w:val="7"/>
            <w:sz w:val="22"/>
            <w:u w:val="none"/>
          </w:rPr>
          <w:t>符号</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3</w:t>
      </w:r>
    </w:p>
    <w:p>
      <w:pPr>
        <w:tabs>
          <w:tab w:val="left" w:pos="420"/>
        </w:tabs>
        <w:spacing w:before="0" w:after="0" w:line="432" w:lineRule="exact"/>
        <w:ind w:left="60" w:firstLine="0"/>
        <w:jc w:val="left"/>
      </w:pPr>
      <w:hyperlink w:anchor="12" w:history="1">
        <w:r>
          <w:rPr>
            <w:rStyle w:val="Hyperlink"/>
            <w:rFonts w:ascii="Microsoft YaHei UI" w:hAnsi="Microsoft YaHei UI" w:cs="Microsoft YaHei UI"/>
            <w:color w:val="000000"/>
            <w:spacing w:val="10"/>
            <w:w w:val="100"/>
            <w:position w:val="0"/>
            <w:sz w:val="22"/>
            <w:u w:val="none"/>
          </w:rPr>
          <w:t>3</w:t>
        </w:r>
      </w:hyperlink>
      <w:r>
        <w:rPr>
          <w:rFonts w:cs="Calibri"/>
          <w:w w:val="100"/>
        </w:rPr>
        <w:tab/>
      </w:r>
      <w:hyperlink w:anchor="12" w:history="1">
        <w:r>
          <w:rPr>
            <w:rStyle w:val="Hyperlink"/>
            <w:rFonts w:ascii="宋体" w:eastAsia="宋体" w:hAnsi="宋体" w:cs="宋体"/>
            <w:color w:val="000000"/>
            <w:spacing w:val="0"/>
            <w:w w:val="100"/>
            <w:position w:val="7"/>
            <w:sz w:val="22"/>
            <w:u w:val="none"/>
          </w:rPr>
          <w:t>材料与设计指标</w:t>
        </w:r>
      </w:hyperlink>
      <w:r>
        <w:rPr>
          <w:rFonts w:ascii="Calibri" w:hAnsi="Calibri" w:cs="Calibri"/>
          <w:b/>
          <w:color w:val="000000"/>
          <w:spacing w:val="-7"/>
          <w:w w:val="100"/>
          <w:sz w:val="20"/>
          <w:u w:val="none"/>
        </w:rPr>
        <w:t> </w:t>
      </w:r>
      <w:hyperlink w:anchor="1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9"/>
          <w:w w:val="100"/>
          <w:sz w:val="20"/>
          <w:u w:val="none"/>
        </w:rPr>
        <w:t> </w:t>
      </w:r>
      <w:hyperlink w:anchor="12" w:history="1">
        <w:r>
          <w:rPr>
            <w:rStyle w:val="Hyperlink"/>
            <w:rFonts w:ascii="Microsoft YaHei UI" w:hAnsi="Microsoft YaHei UI" w:cs="Microsoft YaHei UI"/>
            <w:b/>
            <w:color w:val="000000"/>
            <w:spacing w:val="13"/>
            <w:w w:val="80"/>
            <w:position w:val="0"/>
            <w:sz w:val="20"/>
            <w:u w:val="none"/>
          </w:rPr>
          <w:t>5</w:t>
        </w:r>
      </w:hyperlink>
    </w:p>
    <w:p>
      <w:pPr>
        <w:tabs>
          <w:tab w:val="left" w:pos="631"/>
        </w:tabs>
        <w:spacing w:before="0" w:after="0" w:line="432" w:lineRule="exact"/>
        <w:ind w:left="60" w:firstLine="0"/>
        <w:jc w:val="left"/>
      </w:pPr>
      <w:hyperlink w:anchor="12" w:history="1">
        <w:r>
          <w:rPr>
            <w:rStyle w:val="Hyperlink"/>
            <w:rFonts w:ascii="Microsoft YaHei UI" w:hAnsi="Microsoft YaHei UI" w:cs="Microsoft YaHei UI"/>
            <w:color w:val="000000"/>
            <w:spacing w:val="11"/>
            <w:w w:val="100"/>
            <w:position w:val="0"/>
            <w:sz w:val="22"/>
            <w:u w:val="none"/>
          </w:rPr>
          <w:t>3.1</w:t>
        </w:r>
      </w:hyperlink>
      <w:r>
        <w:rPr>
          <w:rFonts w:cs="Calibri"/>
          <w:color w:val="000000"/>
          <w:w w:val="100"/>
          <w:u w:val="none"/>
        </w:rPr>
        <w:tab/>
      </w:r>
      <w:hyperlink w:anchor="12" w:history="1">
        <w:r>
          <w:rPr>
            <w:rStyle w:val="Hyperlink"/>
            <w:rFonts w:ascii="宋体" w:eastAsia="宋体" w:hAnsi="宋体" w:cs="宋体"/>
            <w:color w:val="000000"/>
            <w:spacing w:val="0"/>
            <w:w w:val="100"/>
            <w:position w:val="7"/>
            <w:sz w:val="22"/>
            <w:u w:val="none"/>
          </w:rPr>
          <w:t>材料选用</w:t>
        </w:r>
      </w:hyperlink>
      <w:r>
        <w:rPr>
          <w:rFonts w:ascii="Calibri" w:hAnsi="Calibri" w:cs="Calibri"/>
          <w:b/>
          <w:color w:val="000000"/>
          <w:spacing w:val="-10"/>
          <w:w w:val="100"/>
          <w:sz w:val="20"/>
          <w:u w:val="none"/>
        </w:rPr>
        <w:t> </w:t>
      </w:r>
      <w:hyperlink w:anchor="1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4"/>
          <w:w w:val="100"/>
          <w:sz w:val="20"/>
          <w:u w:val="none"/>
        </w:rPr>
        <w:t> </w:t>
      </w:r>
      <w:hyperlink w:anchor="12" w:history="1">
        <w:r>
          <w:rPr>
            <w:rStyle w:val="Hyperlink"/>
            <w:rFonts w:ascii="Microsoft YaHei UI" w:hAnsi="Microsoft YaHei UI" w:cs="Microsoft YaHei UI"/>
            <w:b/>
            <w:color w:val="000000"/>
            <w:spacing w:val="13"/>
            <w:w w:val="80"/>
            <w:position w:val="0"/>
            <w:sz w:val="20"/>
            <w:u w:val="none"/>
          </w:rPr>
          <w:t>5</w:t>
        </w:r>
      </w:hyperlink>
    </w:p>
    <w:p>
      <w:pPr>
        <w:tabs>
          <w:tab w:val="left" w:pos="631"/>
        </w:tabs>
        <w:spacing w:before="0" w:after="0" w:line="432" w:lineRule="exact"/>
        <w:ind w:left="60" w:firstLine="0"/>
        <w:jc w:val="left"/>
      </w:pPr>
      <w:hyperlink w:anchor="12" w:history="1">
        <w:r>
          <w:rPr>
            <w:rStyle w:val="Hyperlink"/>
            <w:rFonts w:ascii="Microsoft YaHei UI" w:hAnsi="Microsoft YaHei UI" w:cs="Microsoft YaHei UI"/>
            <w:color w:val="000000"/>
            <w:spacing w:val="11"/>
            <w:w w:val="100"/>
            <w:position w:val="0"/>
            <w:sz w:val="22"/>
            <w:u w:val="none"/>
          </w:rPr>
          <w:t>3.2</w:t>
        </w:r>
      </w:hyperlink>
      <w:r>
        <w:rPr>
          <w:rFonts w:cs="Calibri"/>
          <w:color w:val="000000"/>
          <w:w w:val="100"/>
          <w:u w:val="none"/>
        </w:rPr>
        <w:tab/>
      </w:r>
      <w:hyperlink w:anchor="12" w:history="1">
        <w:r>
          <w:rPr>
            <w:rStyle w:val="Hyperlink"/>
            <w:rFonts w:ascii="宋体" w:eastAsia="宋体" w:hAnsi="宋体" w:cs="宋体"/>
            <w:color w:val="000000"/>
            <w:spacing w:val="0"/>
            <w:w w:val="100"/>
            <w:position w:val="7"/>
            <w:sz w:val="22"/>
            <w:u w:val="none"/>
          </w:rPr>
          <w:t>设计指标</w:t>
        </w:r>
      </w:hyperlink>
      <w:r>
        <w:rPr>
          <w:rFonts w:ascii="Calibri" w:hAnsi="Calibri" w:cs="Calibri"/>
          <w:b/>
          <w:color w:val="000000"/>
          <w:spacing w:val="-10"/>
          <w:w w:val="100"/>
          <w:sz w:val="20"/>
          <w:u w:val="none"/>
        </w:rPr>
        <w:t> </w:t>
      </w:r>
      <w:hyperlink w:anchor="1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4"/>
          <w:w w:val="100"/>
          <w:sz w:val="20"/>
          <w:u w:val="none"/>
        </w:rPr>
        <w:t> </w:t>
      </w:r>
      <w:hyperlink w:anchor="12" w:history="1">
        <w:r>
          <w:rPr>
            <w:rStyle w:val="Hyperlink"/>
            <w:rFonts w:ascii="Microsoft YaHei UI" w:hAnsi="Microsoft YaHei UI" w:cs="Microsoft YaHei UI"/>
            <w:b/>
            <w:color w:val="000000"/>
            <w:spacing w:val="13"/>
            <w:w w:val="80"/>
            <w:position w:val="0"/>
            <w:sz w:val="20"/>
            <w:u w:val="none"/>
          </w:rPr>
          <w:t>5</w:t>
        </w:r>
      </w:hyperlink>
    </w:p>
    <w:p>
      <w:pPr>
        <w:tabs>
          <w:tab w:val="left" w:pos="420"/>
        </w:tabs>
        <w:spacing w:before="0" w:after="0" w:line="432" w:lineRule="exact"/>
        <w:ind w:left="60" w:firstLine="0"/>
        <w:jc w:val="left"/>
      </w:pPr>
      <w:hyperlink w:anchor="13" w:history="1">
        <w:r>
          <w:rPr>
            <w:rStyle w:val="Hyperlink"/>
            <w:rFonts w:ascii="Microsoft YaHei UI" w:hAnsi="Microsoft YaHei UI" w:cs="Microsoft YaHei UI"/>
            <w:color w:val="000000"/>
            <w:spacing w:val="10"/>
            <w:w w:val="100"/>
            <w:position w:val="0"/>
            <w:sz w:val="22"/>
            <w:u w:val="none"/>
          </w:rPr>
          <w:t>4</w:t>
        </w:r>
      </w:hyperlink>
      <w:r>
        <w:rPr>
          <w:rFonts w:cs="Calibri"/>
          <w:w w:val="100"/>
        </w:rPr>
        <w:tab/>
      </w:r>
      <w:hyperlink w:anchor="13" w:history="1">
        <w:r>
          <w:rPr>
            <w:rStyle w:val="Hyperlink"/>
            <w:rFonts w:ascii="宋体" w:eastAsia="宋体" w:hAnsi="宋体" w:cs="宋体"/>
            <w:color w:val="000000"/>
            <w:spacing w:val="0"/>
            <w:w w:val="100"/>
            <w:position w:val="7"/>
            <w:sz w:val="22"/>
            <w:u w:val="none"/>
          </w:rPr>
          <w:t>建筑与集成设计</w:t>
        </w:r>
      </w:hyperlink>
      <w:r>
        <w:rPr>
          <w:rFonts w:ascii="Calibri" w:hAnsi="Calibri" w:cs="Calibri"/>
          <w:b/>
          <w:color w:val="000000"/>
          <w:spacing w:val="-7"/>
          <w:w w:val="100"/>
          <w:sz w:val="20"/>
          <w:u w:val="none"/>
        </w:rPr>
        <w:t> </w:t>
      </w:r>
      <w:hyperlink w:anchor="1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9"/>
          <w:w w:val="100"/>
          <w:sz w:val="20"/>
          <w:u w:val="none"/>
        </w:rPr>
        <w:t> </w:t>
      </w:r>
      <w:hyperlink w:anchor="13" w:history="1">
        <w:r>
          <w:rPr>
            <w:rStyle w:val="Hyperlink"/>
            <w:rFonts w:ascii="Microsoft YaHei UI" w:hAnsi="Microsoft YaHei UI" w:cs="Microsoft YaHei UI"/>
            <w:b/>
            <w:color w:val="000000"/>
            <w:spacing w:val="13"/>
            <w:w w:val="80"/>
            <w:position w:val="0"/>
            <w:sz w:val="20"/>
            <w:u w:val="none"/>
          </w:rPr>
          <w:t>6</w:t>
        </w:r>
      </w:hyperlink>
    </w:p>
    <w:p>
      <w:pPr>
        <w:tabs>
          <w:tab w:val="left" w:pos="631"/>
        </w:tabs>
        <w:spacing w:before="0" w:after="0" w:line="432" w:lineRule="exact"/>
        <w:ind w:left="60" w:firstLine="0"/>
        <w:jc w:val="left"/>
      </w:pPr>
      <w:hyperlink w:anchor="13" w:history="1">
        <w:r>
          <w:rPr>
            <w:rStyle w:val="Hyperlink"/>
            <w:rFonts w:ascii="Microsoft YaHei UI" w:hAnsi="Microsoft YaHei UI" w:cs="Microsoft YaHei UI"/>
            <w:color w:val="000000"/>
            <w:spacing w:val="11"/>
            <w:w w:val="100"/>
            <w:position w:val="0"/>
            <w:sz w:val="22"/>
            <w:u w:val="none"/>
          </w:rPr>
          <w:t>4.1</w:t>
        </w:r>
      </w:hyperlink>
      <w:r>
        <w:rPr>
          <w:rFonts w:cs="Calibri"/>
          <w:color w:val="000000"/>
          <w:w w:val="100"/>
          <w:u w:val="none"/>
        </w:rPr>
        <w:tab/>
      </w:r>
      <w:hyperlink w:anchor="13" w:history="1">
        <w:r>
          <w:rPr>
            <w:rStyle w:val="Hyperlink"/>
            <w:rFonts w:ascii="宋体" w:eastAsia="宋体" w:hAnsi="宋体" w:cs="宋体"/>
            <w:color w:val="000000"/>
            <w:spacing w:val="0"/>
            <w:w w:val="100"/>
            <w:position w:val="7"/>
            <w:sz w:val="22"/>
            <w:u w:val="none"/>
          </w:rPr>
          <w:t>建筑设计</w:t>
        </w:r>
      </w:hyperlink>
      <w:r>
        <w:rPr>
          <w:rFonts w:ascii="Calibri" w:hAnsi="Calibri" w:cs="Calibri"/>
          <w:b/>
          <w:color w:val="000000"/>
          <w:spacing w:val="-10"/>
          <w:w w:val="100"/>
          <w:sz w:val="20"/>
          <w:u w:val="none"/>
        </w:rPr>
        <w:t> </w:t>
      </w:r>
      <w:hyperlink w:anchor="1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4"/>
          <w:w w:val="100"/>
          <w:sz w:val="20"/>
          <w:u w:val="none"/>
        </w:rPr>
        <w:t> </w:t>
      </w:r>
      <w:hyperlink w:anchor="13" w:history="1">
        <w:r>
          <w:rPr>
            <w:rStyle w:val="Hyperlink"/>
            <w:rFonts w:ascii="Microsoft YaHei UI" w:hAnsi="Microsoft YaHei UI" w:cs="Microsoft YaHei UI"/>
            <w:b/>
            <w:color w:val="000000"/>
            <w:spacing w:val="13"/>
            <w:w w:val="80"/>
            <w:position w:val="0"/>
            <w:sz w:val="20"/>
            <w:u w:val="none"/>
          </w:rPr>
          <w:t>6</w:t>
        </w:r>
      </w:hyperlink>
    </w:p>
    <w:p>
      <w:pPr>
        <w:tabs>
          <w:tab w:val="left" w:pos="840"/>
        </w:tabs>
        <w:spacing w:before="0" w:after="0" w:line="432" w:lineRule="exact"/>
        <w:ind w:left="60" w:firstLine="0"/>
        <w:jc w:val="left"/>
      </w:pPr>
      <w:hyperlink w:anchor="13" w:history="1">
        <w:r>
          <w:rPr>
            <w:rStyle w:val="Hyperlink"/>
            <w:rFonts w:ascii="Microsoft YaHei UI" w:hAnsi="Microsoft YaHei UI" w:cs="Microsoft YaHei UI"/>
            <w:color w:val="000000"/>
            <w:spacing w:val="12"/>
            <w:w w:val="100"/>
            <w:position w:val="0"/>
            <w:sz w:val="22"/>
            <w:u w:val="none"/>
          </w:rPr>
          <w:t>4.1.1</w:t>
        </w:r>
      </w:hyperlink>
      <w:r>
        <w:rPr>
          <w:rFonts w:cs="Calibri"/>
          <w:color w:val="000000"/>
          <w:w w:val="100"/>
          <w:u w:val="none"/>
        </w:rPr>
        <w:tab/>
      </w:r>
      <w:hyperlink w:anchor="13" w:history="1">
        <w:r>
          <w:rPr>
            <w:rStyle w:val="Hyperlink"/>
            <w:rFonts w:ascii="宋体" w:eastAsia="宋体" w:hAnsi="宋体" w:cs="宋体"/>
            <w:color w:val="000000"/>
            <w:spacing w:val="0"/>
            <w:w w:val="100"/>
            <w:position w:val="7"/>
            <w:sz w:val="22"/>
            <w:u w:val="none"/>
          </w:rPr>
          <w:t>基本规定</w:t>
        </w:r>
      </w:hyperlink>
      <w:r>
        <w:rPr>
          <w:rFonts w:ascii="Calibri" w:hAnsi="Calibri" w:cs="Calibri"/>
          <w:b/>
          <w:color w:val="000000"/>
          <w:spacing w:val="-7"/>
          <w:w w:val="100"/>
          <w:sz w:val="20"/>
          <w:u w:val="none"/>
        </w:rPr>
        <w:t> </w:t>
      </w:r>
      <w:hyperlink w:anchor="1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4"/>
          <w:w w:val="100"/>
          <w:sz w:val="20"/>
          <w:u w:val="none"/>
        </w:rPr>
        <w:t> </w:t>
      </w:r>
      <w:hyperlink w:anchor="13" w:history="1">
        <w:r>
          <w:rPr>
            <w:rStyle w:val="Hyperlink"/>
            <w:rFonts w:ascii="Microsoft YaHei UI" w:hAnsi="Microsoft YaHei UI" w:cs="Microsoft YaHei UI"/>
            <w:b/>
            <w:color w:val="000000"/>
            <w:spacing w:val="13"/>
            <w:w w:val="80"/>
            <w:position w:val="0"/>
            <w:sz w:val="20"/>
            <w:u w:val="none"/>
          </w:rPr>
          <w:t>6</w:t>
        </w:r>
      </w:hyperlink>
    </w:p>
    <w:p>
      <w:pPr>
        <w:tabs>
          <w:tab w:val="left" w:pos="840"/>
        </w:tabs>
        <w:spacing w:before="0" w:after="0" w:line="432" w:lineRule="exact"/>
        <w:ind w:left="60" w:firstLine="0"/>
        <w:jc w:val="left"/>
      </w:pPr>
      <w:hyperlink w:anchor="13" w:history="1">
        <w:r>
          <w:rPr>
            <w:rStyle w:val="Hyperlink"/>
            <w:rFonts w:ascii="Microsoft YaHei UI" w:hAnsi="Microsoft YaHei UI" w:cs="Microsoft YaHei UI"/>
            <w:color w:val="000000"/>
            <w:spacing w:val="12"/>
            <w:w w:val="100"/>
            <w:position w:val="0"/>
            <w:sz w:val="22"/>
            <w:u w:val="none"/>
          </w:rPr>
          <w:t>4.1.2</w:t>
        </w:r>
      </w:hyperlink>
      <w:r>
        <w:rPr>
          <w:rFonts w:cs="Calibri"/>
          <w:color w:val="000000"/>
          <w:w w:val="100"/>
          <w:u w:val="none"/>
        </w:rPr>
        <w:tab/>
      </w:r>
      <w:hyperlink w:anchor="13" w:history="1">
        <w:r>
          <w:rPr>
            <w:rStyle w:val="Hyperlink"/>
            <w:rFonts w:ascii="宋体" w:eastAsia="宋体" w:hAnsi="宋体" w:cs="宋体"/>
            <w:color w:val="000000"/>
            <w:spacing w:val="0"/>
            <w:w w:val="100"/>
            <w:position w:val="7"/>
            <w:sz w:val="22"/>
            <w:u w:val="none"/>
          </w:rPr>
          <w:t>荷载与作用</w:t>
        </w:r>
      </w:hyperlink>
      <w:r>
        <w:rPr>
          <w:rFonts w:ascii="Calibri" w:hAnsi="Calibri" w:cs="Calibri"/>
          <w:b/>
          <w:color w:val="000000"/>
          <w:spacing w:val="-10"/>
          <w:w w:val="100"/>
          <w:sz w:val="20"/>
          <w:u w:val="none"/>
        </w:rPr>
        <w:t> </w:t>
      </w:r>
      <w:hyperlink w:anchor="1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4"/>
          <w:w w:val="100"/>
          <w:sz w:val="20"/>
          <w:u w:val="none"/>
        </w:rPr>
        <w:t> </w:t>
      </w:r>
      <w:hyperlink w:anchor="13" w:history="1">
        <w:r>
          <w:rPr>
            <w:rStyle w:val="Hyperlink"/>
            <w:rFonts w:ascii="Microsoft YaHei UI" w:hAnsi="Microsoft YaHei UI" w:cs="Microsoft YaHei UI"/>
            <w:b/>
            <w:color w:val="000000"/>
            <w:spacing w:val="13"/>
            <w:w w:val="80"/>
            <w:position w:val="0"/>
            <w:sz w:val="20"/>
            <w:u w:val="none"/>
          </w:rPr>
          <w:t>6</w:t>
        </w:r>
      </w:hyperlink>
    </w:p>
    <w:p>
      <w:pPr>
        <w:tabs>
          <w:tab w:val="left" w:pos="840"/>
        </w:tabs>
        <w:spacing w:before="0" w:after="0" w:line="432" w:lineRule="exact"/>
        <w:ind w:left="60" w:firstLine="0"/>
        <w:jc w:val="left"/>
      </w:pPr>
      <w:hyperlink w:anchor="14" w:history="1">
        <w:r>
          <w:rPr>
            <w:rStyle w:val="Hyperlink"/>
            <w:rFonts w:ascii="Microsoft YaHei UI" w:hAnsi="Microsoft YaHei UI" w:cs="Microsoft YaHei UI"/>
            <w:color w:val="000000"/>
            <w:spacing w:val="12"/>
            <w:w w:val="100"/>
            <w:position w:val="0"/>
            <w:sz w:val="22"/>
            <w:u w:val="none"/>
          </w:rPr>
          <w:t>4.1.3</w:t>
        </w:r>
      </w:hyperlink>
      <w:r>
        <w:rPr>
          <w:rFonts w:cs="Calibri"/>
          <w:color w:val="000000"/>
          <w:w w:val="100"/>
          <w:u w:val="none"/>
        </w:rPr>
        <w:tab/>
      </w:r>
      <w:hyperlink w:anchor="14" w:history="1">
        <w:r>
          <w:rPr>
            <w:rStyle w:val="Hyperlink"/>
            <w:rFonts w:ascii="宋体" w:eastAsia="宋体" w:hAnsi="宋体" w:cs="宋体"/>
            <w:color w:val="000000"/>
            <w:spacing w:val="0"/>
            <w:w w:val="100"/>
            <w:position w:val="7"/>
            <w:sz w:val="22"/>
            <w:u w:val="none"/>
          </w:rPr>
          <w:t>建筑设计及结构布置</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7</w:t>
      </w:r>
    </w:p>
    <w:p>
      <w:pPr>
        <w:tabs>
          <w:tab w:val="left" w:pos="631"/>
        </w:tabs>
        <w:spacing w:before="0" w:after="0" w:line="432" w:lineRule="exact"/>
        <w:ind w:left="60" w:firstLine="0"/>
        <w:jc w:val="left"/>
      </w:pPr>
      <w:hyperlink w:anchor="15" w:history="1">
        <w:r>
          <w:rPr>
            <w:rStyle w:val="Hyperlink"/>
            <w:rFonts w:ascii="Microsoft YaHei UI" w:hAnsi="Microsoft YaHei UI" w:cs="Microsoft YaHei UI"/>
            <w:color w:val="000000"/>
            <w:spacing w:val="11"/>
            <w:w w:val="100"/>
            <w:position w:val="0"/>
            <w:sz w:val="22"/>
            <w:u w:val="none"/>
          </w:rPr>
          <w:t>4.2</w:t>
        </w:r>
      </w:hyperlink>
      <w:r>
        <w:rPr>
          <w:rFonts w:cs="Calibri"/>
          <w:color w:val="000000"/>
          <w:w w:val="100"/>
          <w:u w:val="none"/>
        </w:rPr>
        <w:tab/>
      </w:r>
      <w:hyperlink w:anchor="15" w:history="1">
        <w:r>
          <w:rPr>
            <w:rStyle w:val="Hyperlink"/>
            <w:rFonts w:ascii="宋体" w:eastAsia="宋体" w:hAnsi="宋体" w:cs="宋体"/>
            <w:color w:val="000000"/>
            <w:spacing w:val="0"/>
            <w:w w:val="100"/>
            <w:position w:val="7"/>
            <w:sz w:val="22"/>
            <w:u w:val="none"/>
          </w:rPr>
          <w:t>集成设计</w:t>
        </w:r>
      </w:hyperlink>
      <w:r>
        <w:rPr>
          <w:rFonts w:ascii="Calibri" w:hAnsi="Calibri" w:cs="Calibri"/>
          <w:b/>
          <w:color w:val="000000"/>
          <w:spacing w:val="-10"/>
          <w:w w:val="100"/>
          <w:sz w:val="20"/>
          <w:u w:val="none"/>
        </w:rPr>
        <w:t> </w:t>
      </w:r>
      <w:hyperlink w:anchor="15"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4"/>
          <w:w w:val="100"/>
          <w:sz w:val="20"/>
          <w:u w:val="none"/>
        </w:rPr>
        <w:t> </w:t>
      </w:r>
      <w:hyperlink w:anchor="15" w:history="1">
        <w:r>
          <w:rPr>
            <w:rStyle w:val="Hyperlink"/>
            <w:rFonts w:ascii="Microsoft YaHei UI" w:hAnsi="Microsoft YaHei UI" w:cs="Microsoft YaHei UI"/>
            <w:b/>
            <w:color w:val="000000"/>
            <w:spacing w:val="13"/>
            <w:w w:val="80"/>
            <w:position w:val="0"/>
            <w:sz w:val="20"/>
            <w:u w:val="none"/>
          </w:rPr>
          <w:t>8</w:t>
        </w:r>
      </w:hyperlink>
    </w:p>
    <w:p>
      <w:pPr>
        <w:tabs>
          <w:tab w:val="left" w:pos="840"/>
        </w:tabs>
        <w:spacing w:before="0" w:after="0" w:line="432" w:lineRule="exact"/>
        <w:ind w:left="60" w:firstLine="0"/>
        <w:jc w:val="left"/>
      </w:pPr>
      <w:hyperlink w:anchor="15" w:history="1">
        <w:r>
          <w:rPr>
            <w:rStyle w:val="Hyperlink"/>
            <w:rFonts w:ascii="Microsoft YaHei UI" w:hAnsi="Microsoft YaHei UI" w:cs="Microsoft YaHei UI"/>
            <w:color w:val="000000"/>
            <w:spacing w:val="12"/>
            <w:w w:val="100"/>
            <w:position w:val="0"/>
            <w:sz w:val="22"/>
            <w:u w:val="none"/>
          </w:rPr>
          <w:t>4.2.1</w:t>
        </w:r>
      </w:hyperlink>
      <w:r>
        <w:rPr>
          <w:rFonts w:cs="Calibri"/>
          <w:color w:val="000000"/>
          <w:w w:val="100"/>
          <w:u w:val="none"/>
        </w:rPr>
        <w:tab/>
      </w:r>
      <w:hyperlink w:anchor="15" w:history="1">
        <w:r>
          <w:rPr>
            <w:rStyle w:val="Hyperlink"/>
            <w:rFonts w:ascii="宋体" w:eastAsia="宋体" w:hAnsi="宋体" w:cs="宋体"/>
            <w:color w:val="000000"/>
            <w:spacing w:val="0"/>
            <w:w w:val="100"/>
            <w:position w:val="7"/>
            <w:sz w:val="22"/>
            <w:u w:val="none"/>
          </w:rPr>
          <w:t>一般规定</w:t>
        </w:r>
      </w:hyperlink>
      <w:r>
        <w:rPr>
          <w:rFonts w:ascii="Calibri" w:hAnsi="Calibri" w:cs="Calibri"/>
          <w:b/>
          <w:color w:val="000000"/>
          <w:spacing w:val="-7"/>
          <w:w w:val="100"/>
          <w:sz w:val="20"/>
          <w:u w:val="none"/>
        </w:rPr>
        <w:t> </w:t>
      </w:r>
      <w:hyperlink w:anchor="15"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4"/>
          <w:w w:val="100"/>
          <w:sz w:val="20"/>
          <w:u w:val="none"/>
        </w:rPr>
        <w:t> </w:t>
      </w:r>
      <w:hyperlink w:anchor="15" w:history="1">
        <w:r>
          <w:rPr>
            <w:rStyle w:val="Hyperlink"/>
            <w:rFonts w:ascii="Microsoft YaHei UI" w:hAnsi="Microsoft YaHei UI" w:cs="Microsoft YaHei UI"/>
            <w:b/>
            <w:color w:val="000000"/>
            <w:spacing w:val="13"/>
            <w:w w:val="80"/>
            <w:position w:val="0"/>
            <w:sz w:val="20"/>
            <w:u w:val="none"/>
          </w:rPr>
          <w:t>8</w:t>
        </w:r>
      </w:hyperlink>
    </w:p>
    <w:p>
      <w:pPr>
        <w:tabs>
          <w:tab w:val="left" w:pos="840"/>
        </w:tabs>
        <w:spacing w:before="0" w:after="0" w:line="432" w:lineRule="exact"/>
        <w:ind w:left="60" w:firstLine="0"/>
        <w:jc w:val="left"/>
      </w:pPr>
      <w:hyperlink w:anchor="15" w:history="1">
        <w:r>
          <w:rPr>
            <w:rStyle w:val="Hyperlink"/>
            <w:rFonts w:ascii="Microsoft YaHei UI" w:hAnsi="Microsoft YaHei UI" w:cs="Microsoft YaHei UI"/>
            <w:color w:val="000000"/>
            <w:spacing w:val="12"/>
            <w:w w:val="100"/>
            <w:position w:val="0"/>
            <w:sz w:val="22"/>
            <w:u w:val="none"/>
          </w:rPr>
          <w:t>4.2.2</w:t>
        </w:r>
      </w:hyperlink>
      <w:r>
        <w:rPr>
          <w:rFonts w:cs="Calibri"/>
          <w:color w:val="000000"/>
          <w:w w:val="100"/>
          <w:u w:val="none"/>
        </w:rPr>
        <w:tab/>
      </w:r>
      <w:hyperlink w:anchor="15" w:history="1">
        <w:r>
          <w:rPr>
            <w:rStyle w:val="Hyperlink"/>
            <w:rFonts w:ascii="宋体" w:eastAsia="宋体" w:hAnsi="宋体" w:cs="宋体"/>
            <w:color w:val="000000"/>
            <w:spacing w:val="0"/>
            <w:w w:val="100"/>
            <w:position w:val="7"/>
            <w:sz w:val="22"/>
            <w:u w:val="none"/>
          </w:rPr>
          <w:t>外围护系统</w:t>
        </w:r>
      </w:hyperlink>
      <w:r>
        <w:rPr>
          <w:rFonts w:ascii="Calibri" w:hAnsi="Calibri" w:cs="Calibri"/>
          <w:b/>
          <w:color w:val="000000"/>
          <w:spacing w:val="-10"/>
          <w:w w:val="100"/>
          <w:sz w:val="20"/>
          <w:u w:val="none"/>
        </w:rPr>
        <w:t> </w:t>
      </w:r>
      <w:hyperlink w:anchor="15"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4"/>
          <w:w w:val="100"/>
          <w:sz w:val="20"/>
          <w:u w:val="none"/>
        </w:rPr>
        <w:t> </w:t>
      </w:r>
      <w:hyperlink w:anchor="15" w:history="1">
        <w:r>
          <w:rPr>
            <w:rStyle w:val="Hyperlink"/>
            <w:rFonts w:ascii="Microsoft YaHei UI" w:hAnsi="Microsoft YaHei UI" w:cs="Microsoft YaHei UI"/>
            <w:b/>
            <w:color w:val="000000"/>
            <w:spacing w:val="13"/>
            <w:w w:val="80"/>
            <w:position w:val="0"/>
            <w:sz w:val="20"/>
            <w:u w:val="none"/>
          </w:rPr>
          <w:t>8</w:t>
        </w:r>
      </w:hyperlink>
    </w:p>
    <w:p>
      <w:pPr>
        <w:tabs>
          <w:tab w:val="left" w:pos="840"/>
        </w:tabs>
        <w:spacing w:before="0" w:after="0" w:line="432" w:lineRule="exact"/>
        <w:ind w:left="60" w:firstLine="0"/>
        <w:jc w:val="left"/>
      </w:pPr>
      <w:hyperlink w:anchor="17" w:history="1">
        <w:r>
          <w:rPr>
            <w:rStyle w:val="Hyperlink"/>
            <w:rFonts w:ascii="Microsoft YaHei UI" w:hAnsi="Microsoft YaHei UI" w:cs="Microsoft YaHei UI"/>
            <w:color w:val="000000"/>
            <w:spacing w:val="12"/>
            <w:w w:val="100"/>
            <w:position w:val="0"/>
            <w:sz w:val="22"/>
            <w:u w:val="none"/>
          </w:rPr>
          <w:t>4.2.3</w:t>
        </w:r>
      </w:hyperlink>
      <w:r>
        <w:rPr>
          <w:rFonts w:cs="Calibri"/>
          <w:color w:val="000000"/>
          <w:w w:val="100"/>
          <w:u w:val="none"/>
        </w:rPr>
        <w:tab/>
      </w:r>
      <w:hyperlink w:anchor="17" w:history="1">
        <w:r>
          <w:rPr>
            <w:rStyle w:val="Hyperlink"/>
            <w:rFonts w:ascii="宋体" w:eastAsia="宋体" w:hAnsi="宋体" w:cs="宋体"/>
            <w:color w:val="000000"/>
            <w:spacing w:val="0"/>
            <w:w w:val="100"/>
            <w:position w:val="7"/>
            <w:sz w:val="22"/>
            <w:u w:val="none"/>
          </w:rPr>
          <w:t>设备与管线系统</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10</w:t>
      </w:r>
    </w:p>
    <w:p>
      <w:pPr>
        <w:tabs>
          <w:tab w:val="left" w:pos="840"/>
        </w:tabs>
        <w:spacing w:before="0" w:after="0" w:line="432" w:lineRule="exact"/>
        <w:ind w:left="60" w:firstLine="0"/>
        <w:jc w:val="left"/>
      </w:pPr>
      <w:hyperlink w:anchor="18" w:history="1">
        <w:r>
          <w:rPr>
            <w:rStyle w:val="Hyperlink"/>
            <w:rFonts w:ascii="Microsoft YaHei UI" w:hAnsi="Microsoft YaHei UI" w:cs="Microsoft YaHei UI"/>
            <w:color w:val="000000"/>
            <w:spacing w:val="12"/>
            <w:w w:val="100"/>
            <w:position w:val="0"/>
            <w:sz w:val="22"/>
            <w:u w:val="none"/>
          </w:rPr>
          <w:t>4.2.4</w:t>
        </w:r>
      </w:hyperlink>
      <w:r>
        <w:rPr>
          <w:rFonts w:cs="Calibri"/>
          <w:color w:val="000000"/>
          <w:w w:val="100"/>
          <w:u w:val="none"/>
        </w:rPr>
        <w:tab/>
      </w:r>
      <w:hyperlink w:anchor="18" w:history="1">
        <w:r>
          <w:rPr>
            <w:rStyle w:val="Hyperlink"/>
            <w:rFonts w:ascii="宋体" w:eastAsia="宋体" w:hAnsi="宋体" w:cs="宋体"/>
            <w:color w:val="000000"/>
            <w:spacing w:val="0"/>
            <w:w w:val="100"/>
            <w:position w:val="7"/>
            <w:sz w:val="22"/>
            <w:u w:val="none"/>
          </w:rPr>
          <w:t>内部装修系统</w:t>
        </w:r>
      </w:hyperlink>
      <w:r>
        <w:rPr>
          <w:rFonts w:ascii="Calibri" w:hAnsi="Calibri" w:cs="Calibri"/>
          <w:b/>
          <w:color w:val="000000"/>
          <w:spacing w:val="-7"/>
          <w:w w:val="100"/>
          <w:sz w:val="20"/>
          <w:u w:val="none"/>
        </w:rPr>
        <w:t> </w:t>
      </w:r>
      <w:hyperlink w:anchor="18"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2"/>
          <w:w w:val="100"/>
          <w:sz w:val="20"/>
          <w:u w:val="none"/>
        </w:rPr>
        <w:t> </w:t>
      </w:r>
      <w:hyperlink w:anchor="18" w:history="1">
        <w:r>
          <w:rPr>
            <w:rStyle w:val="Hyperlink"/>
            <w:rFonts w:ascii="Microsoft YaHei UI" w:hAnsi="Microsoft YaHei UI" w:cs="Microsoft YaHei UI"/>
            <w:b/>
            <w:color w:val="000000"/>
            <w:spacing w:val="13"/>
            <w:w w:val="80"/>
            <w:position w:val="0"/>
            <w:sz w:val="20"/>
            <w:u w:val="none"/>
          </w:rPr>
          <w:t>11</w:t>
        </w:r>
      </w:hyperlink>
    </w:p>
    <w:p>
      <w:pPr>
        <w:tabs>
          <w:tab w:val="left" w:pos="840"/>
        </w:tabs>
        <w:spacing w:before="0" w:after="0" w:line="432" w:lineRule="exact"/>
        <w:ind w:left="60" w:firstLine="0"/>
        <w:jc w:val="left"/>
      </w:pPr>
      <w:hyperlink w:anchor="19" w:history="1">
        <w:r>
          <w:rPr>
            <w:rStyle w:val="Hyperlink"/>
            <w:rFonts w:ascii="Microsoft YaHei UI" w:hAnsi="Microsoft YaHei UI" w:cs="Microsoft YaHei UI"/>
            <w:color w:val="000000"/>
            <w:spacing w:val="12"/>
            <w:w w:val="100"/>
            <w:position w:val="0"/>
            <w:sz w:val="22"/>
            <w:u w:val="none"/>
          </w:rPr>
          <w:t>4.2.5</w:t>
        </w:r>
      </w:hyperlink>
      <w:r>
        <w:rPr>
          <w:rFonts w:cs="Calibri"/>
          <w:color w:val="000000"/>
          <w:w w:val="100"/>
          <w:u w:val="none"/>
        </w:rPr>
        <w:tab/>
      </w:r>
      <w:hyperlink w:anchor="19" w:history="1">
        <w:r>
          <w:rPr>
            <w:rStyle w:val="Hyperlink"/>
            <w:rFonts w:ascii="宋体" w:eastAsia="宋体" w:hAnsi="宋体" w:cs="宋体"/>
            <w:color w:val="000000"/>
            <w:spacing w:val="0"/>
            <w:w w:val="100"/>
            <w:position w:val="7"/>
            <w:sz w:val="22"/>
            <w:u w:val="none"/>
          </w:rPr>
          <w:t>集成墙体板</w:t>
        </w:r>
      </w:hyperlink>
      <w:r>
        <w:rPr>
          <w:rFonts w:ascii="Calibri" w:hAnsi="Calibri" w:cs="Calibri"/>
          <w:b/>
          <w:color w:val="000000"/>
          <w:spacing w:val="-10"/>
          <w:w w:val="100"/>
          <w:sz w:val="20"/>
          <w:u w:val="none"/>
        </w:rPr>
        <w:t> </w:t>
      </w:r>
      <w:hyperlink w:anchor="19"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5"/>
          <w:w w:val="100"/>
          <w:sz w:val="20"/>
          <w:u w:val="none"/>
        </w:rPr>
        <w:t> </w:t>
      </w:r>
      <w:hyperlink w:anchor="19" w:history="1">
        <w:r>
          <w:rPr>
            <w:rStyle w:val="Hyperlink"/>
            <w:rFonts w:ascii="Microsoft YaHei UI" w:hAnsi="Microsoft YaHei UI" w:cs="Microsoft YaHei UI"/>
            <w:b/>
            <w:color w:val="000000"/>
            <w:spacing w:val="13"/>
            <w:w w:val="80"/>
            <w:position w:val="0"/>
            <w:sz w:val="20"/>
            <w:u w:val="none"/>
          </w:rPr>
          <w:t>12</w:t>
        </w:r>
      </w:hyperlink>
    </w:p>
    <w:p>
      <w:pPr>
        <w:tabs>
          <w:tab w:val="left" w:pos="840"/>
        </w:tabs>
        <w:spacing w:before="0" w:after="0" w:line="432" w:lineRule="exact"/>
        <w:ind w:left="60" w:firstLine="0"/>
        <w:jc w:val="left"/>
      </w:pPr>
      <w:hyperlink w:anchor="19" w:history="1">
        <w:r>
          <w:rPr>
            <w:rStyle w:val="Hyperlink"/>
            <w:rFonts w:ascii="Microsoft YaHei UI" w:hAnsi="Microsoft YaHei UI" w:cs="Microsoft YaHei UI"/>
            <w:color w:val="000000"/>
            <w:spacing w:val="12"/>
            <w:w w:val="100"/>
            <w:position w:val="0"/>
            <w:sz w:val="22"/>
            <w:u w:val="none"/>
          </w:rPr>
          <w:t>4.2.6</w:t>
        </w:r>
      </w:hyperlink>
      <w:r>
        <w:rPr>
          <w:rFonts w:cs="Calibri"/>
          <w:color w:val="000000"/>
          <w:w w:val="100"/>
          <w:u w:val="none"/>
        </w:rPr>
        <w:tab/>
      </w:r>
      <w:hyperlink w:anchor="19" w:history="1">
        <w:r>
          <w:rPr>
            <w:rStyle w:val="Hyperlink"/>
            <w:rFonts w:ascii="宋体" w:eastAsia="宋体" w:hAnsi="宋体" w:cs="宋体"/>
            <w:color w:val="000000"/>
            <w:spacing w:val="0"/>
            <w:w w:val="100"/>
            <w:position w:val="7"/>
            <w:sz w:val="22"/>
            <w:u w:val="none"/>
          </w:rPr>
          <w:t>集成楼盖板</w:t>
        </w:r>
      </w:hyperlink>
      <w:r>
        <w:rPr>
          <w:rFonts w:ascii="Calibri" w:hAnsi="Calibri" w:cs="Calibri"/>
          <w:b/>
          <w:color w:val="000000"/>
          <w:spacing w:val="-10"/>
          <w:w w:val="100"/>
          <w:sz w:val="20"/>
          <w:u w:val="none"/>
        </w:rPr>
        <w:t> </w:t>
      </w:r>
      <w:hyperlink w:anchor="19"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5"/>
          <w:w w:val="100"/>
          <w:sz w:val="20"/>
          <w:u w:val="none"/>
        </w:rPr>
        <w:t> </w:t>
      </w:r>
      <w:hyperlink w:anchor="19" w:history="1">
        <w:r>
          <w:rPr>
            <w:rStyle w:val="Hyperlink"/>
            <w:rFonts w:ascii="Microsoft YaHei UI" w:hAnsi="Microsoft YaHei UI" w:cs="Microsoft YaHei UI"/>
            <w:b/>
            <w:color w:val="000000"/>
            <w:spacing w:val="13"/>
            <w:w w:val="80"/>
            <w:position w:val="0"/>
            <w:sz w:val="20"/>
            <w:u w:val="none"/>
          </w:rPr>
          <w:t>12</w:t>
        </w:r>
      </w:hyperlink>
    </w:p>
    <w:p>
      <w:pPr>
        <w:tabs>
          <w:tab w:val="left" w:pos="840"/>
        </w:tabs>
        <w:spacing w:before="0" w:after="0" w:line="432" w:lineRule="exact"/>
        <w:ind w:left="60" w:firstLine="0"/>
        <w:jc w:val="left"/>
      </w:pPr>
      <w:hyperlink w:anchor="20" w:history="1">
        <w:r>
          <w:rPr>
            <w:rStyle w:val="Hyperlink"/>
            <w:rFonts w:ascii="Microsoft YaHei UI" w:hAnsi="Microsoft YaHei UI" w:cs="Microsoft YaHei UI"/>
            <w:color w:val="000000"/>
            <w:spacing w:val="12"/>
            <w:w w:val="100"/>
            <w:position w:val="0"/>
            <w:sz w:val="22"/>
            <w:u w:val="none"/>
          </w:rPr>
          <w:t>4.2.7</w:t>
        </w:r>
      </w:hyperlink>
      <w:r>
        <w:rPr>
          <w:rFonts w:cs="Calibri"/>
          <w:color w:val="000000"/>
          <w:w w:val="100"/>
          <w:u w:val="none"/>
        </w:rPr>
        <w:tab/>
      </w:r>
      <w:hyperlink w:anchor="20" w:history="1">
        <w:r>
          <w:rPr>
            <w:rStyle w:val="Hyperlink"/>
            <w:rFonts w:ascii="宋体" w:eastAsia="宋体" w:hAnsi="宋体" w:cs="宋体"/>
            <w:color w:val="000000"/>
            <w:spacing w:val="0"/>
            <w:w w:val="100"/>
            <w:position w:val="7"/>
            <w:sz w:val="22"/>
            <w:u w:val="none"/>
          </w:rPr>
          <w:t>建筑的底盘（基础）系统</w:t>
        </w:r>
      </w:hyperlink>
      <w:r>
        <w:rPr>
          <w:rFonts w:ascii="Calibri" w:hAnsi="Calibri" w:cs="Calibri"/>
          <w:b/>
          <w:color w:val="000000"/>
          <w:spacing w:val="-10"/>
          <w:w w:val="100"/>
          <w:sz w:val="20"/>
          <w:u w:val="none"/>
        </w:rPr>
        <w:t> </w:t>
      </w:r>
      <w:hyperlink w:anchor="20"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2"/>
          <w:w w:val="100"/>
          <w:sz w:val="20"/>
          <w:u w:val="none"/>
        </w:rPr>
        <w:t> </w:t>
      </w:r>
      <w:hyperlink w:anchor="20" w:history="1">
        <w:r>
          <w:rPr>
            <w:rStyle w:val="Hyperlink"/>
            <w:rFonts w:ascii="Microsoft YaHei UI" w:hAnsi="Microsoft YaHei UI" w:cs="Microsoft YaHei UI"/>
            <w:b/>
            <w:color w:val="000000"/>
            <w:spacing w:val="13"/>
            <w:w w:val="80"/>
            <w:position w:val="0"/>
            <w:sz w:val="20"/>
            <w:u w:val="none"/>
          </w:rPr>
          <w:t>13</w:t>
        </w:r>
      </w:hyperlink>
    </w:p>
    <w:p>
      <w:pPr>
        <w:tabs>
          <w:tab w:val="left" w:pos="420"/>
        </w:tabs>
        <w:spacing w:before="0" w:after="0" w:line="432" w:lineRule="exact"/>
        <w:ind w:left="60" w:firstLine="0"/>
        <w:jc w:val="left"/>
      </w:pPr>
      <w:hyperlink w:anchor="21" w:history="1">
        <w:r>
          <w:rPr>
            <w:rStyle w:val="Hyperlink"/>
            <w:rFonts w:ascii="Microsoft YaHei UI" w:hAnsi="Microsoft YaHei UI" w:cs="Microsoft YaHei UI"/>
            <w:color w:val="000000"/>
            <w:spacing w:val="10"/>
            <w:w w:val="100"/>
            <w:position w:val="0"/>
            <w:sz w:val="22"/>
            <w:u w:val="none"/>
          </w:rPr>
          <w:t>5</w:t>
        </w:r>
      </w:hyperlink>
      <w:r>
        <w:rPr>
          <w:rFonts w:cs="Calibri"/>
          <w:w w:val="100"/>
        </w:rPr>
        <w:tab/>
      </w:r>
      <w:hyperlink w:anchor="21" w:history="1">
        <w:r>
          <w:rPr>
            <w:rStyle w:val="Hyperlink"/>
            <w:rFonts w:ascii="宋体" w:eastAsia="宋体" w:hAnsi="宋体" w:cs="宋体"/>
            <w:color w:val="000000"/>
            <w:spacing w:val="0"/>
            <w:w w:val="100"/>
            <w:position w:val="7"/>
            <w:sz w:val="22"/>
            <w:u w:val="none"/>
          </w:rPr>
          <w:t>结构设计</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14</w:t>
      </w:r>
    </w:p>
    <w:p>
      <w:pPr>
        <w:tabs>
          <w:tab w:val="left" w:pos="631"/>
        </w:tabs>
        <w:spacing w:before="0" w:after="0" w:line="432" w:lineRule="exact"/>
        <w:ind w:left="60" w:firstLine="0"/>
        <w:jc w:val="left"/>
      </w:pPr>
      <w:hyperlink w:anchor="21" w:history="1">
        <w:r>
          <w:rPr>
            <w:rStyle w:val="Hyperlink"/>
            <w:rFonts w:ascii="Microsoft YaHei UI" w:hAnsi="Microsoft YaHei UI" w:cs="Microsoft YaHei UI"/>
            <w:color w:val="000000"/>
            <w:spacing w:val="11"/>
            <w:w w:val="100"/>
            <w:position w:val="0"/>
            <w:sz w:val="22"/>
            <w:u w:val="none"/>
          </w:rPr>
          <w:t>5.1</w:t>
        </w:r>
      </w:hyperlink>
      <w:r>
        <w:rPr>
          <w:rFonts w:cs="Calibri"/>
          <w:color w:val="000000"/>
          <w:w w:val="100"/>
          <w:u w:val="none"/>
        </w:rPr>
        <w:tab/>
      </w:r>
      <w:hyperlink w:anchor="21" w:history="1">
        <w:r>
          <w:rPr>
            <w:rStyle w:val="Hyperlink"/>
            <w:rFonts w:ascii="宋体" w:eastAsia="宋体" w:hAnsi="宋体" w:cs="宋体"/>
            <w:color w:val="000000"/>
            <w:spacing w:val="0"/>
            <w:w w:val="100"/>
            <w:position w:val="7"/>
            <w:sz w:val="22"/>
            <w:u w:val="none"/>
          </w:rPr>
          <w:t>结构计算原则</w:t>
        </w:r>
      </w:hyperlink>
      <w:r>
        <w:rPr>
          <w:rFonts w:ascii="Calibri" w:hAnsi="Calibri" w:cs="Calibri"/>
          <w:b/>
          <w:color w:val="000000"/>
          <w:spacing w:val="-10"/>
          <w:w w:val="100"/>
          <w:sz w:val="20"/>
          <w:u w:val="none"/>
        </w:rPr>
        <w:t> </w:t>
      </w:r>
      <w:hyperlink w:anchor="21"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21" w:history="1">
        <w:r>
          <w:rPr>
            <w:rStyle w:val="Hyperlink"/>
            <w:rFonts w:ascii="Microsoft YaHei UI" w:hAnsi="Microsoft YaHei UI" w:cs="Microsoft YaHei UI"/>
            <w:b/>
            <w:color w:val="000000"/>
            <w:spacing w:val="13"/>
            <w:w w:val="80"/>
            <w:position w:val="0"/>
            <w:sz w:val="20"/>
            <w:u w:val="none"/>
          </w:rPr>
          <w:t>14</w:t>
        </w:r>
      </w:hyperlink>
    </w:p>
    <w:p>
      <w:pPr>
        <w:tabs>
          <w:tab w:val="left" w:pos="840"/>
        </w:tabs>
        <w:spacing w:before="0" w:after="0" w:line="432" w:lineRule="exact"/>
        <w:ind w:left="60" w:firstLine="0"/>
        <w:jc w:val="left"/>
      </w:pPr>
      <w:hyperlink w:anchor="21" w:history="1">
        <w:r>
          <w:rPr>
            <w:rStyle w:val="Hyperlink"/>
            <w:rFonts w:ascii="Microsoft YaHei UI" w:hAnsi="Microsoft YaHei UI" w:cs="Microsoft YaHei UI"/>
            <w:color w:val="000000"/>
            <w:spacing w:val="12"/>
            <w:w w:val="100"/>
            <w:position w:val="0"/>
            <w:sz w:val="22"/>
            <w:u w:val="none"/>
          </w:rPr>
          <w:t>5.2.1</w:t>
        </w:r>
      </w:hyperlink>
      <w:r>
        <w:rPr>
          <w:rFonts w:cs="Calibri"/>
          <w:color w:val="000000"/>
          <w:w w:val="100"/>
          <w:u w:val="none"/>
        </w:rPr>
        <w:tab/>
      </w:r>
      <w:hyperlink w:anchor="21" w:history="1">
        <w:r>
          <w:rPr>
            <w:rStyle w:val="Hyperlink"/>
            <w:rFonts w:ascii="宋体" w:eastAsia="宋体" w:hAnsi="宋体" w:cs="宋体"/>
            <w:color w:val="000000"/>
            <w:spacing w:val="0"/>
            <w:w w:val="100"/>
            <w:position w:val="7"/>
            <w:sz w:val="22"/>
            <w:u w:val="none"/>
          </w:rPr>
          <w:t>构件计算</w:t>
        </w:r>
      </w:hyperlink>
      <w:r>
        <w:rPr>
          <w:rFonts w:ascii="Calibri" w:hAnsi="Calibri" w:cs="Calibri"/>
          <w:b/>
          <w:color w:val="000000"/>
          <w:spacing w:val="-7"/>
          <w:w w:val="100"/>
          <w:sz w:val="20"/>
          <w:u w:val="none"/>
        </w:rPr>
        <w:t> </w:t>
      </w:r>
      <w:hyperlink w:anchor="21"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21" w:history="1">
        <w:r>
          <w:rPr>
            <w:rStyle w:val="Hyperlink"/>
            <w:rFonts w:ascii="Microsoft YaHei UI" w:hAnsi="Microsoft YaHei UI" w:cs="Microsoft YaHei UI"/>
            <w:b/>
            <w:color w:val="000000"/>
            <w:spacing w:val="13"/>
            <w:w w:val="80"/>
            <w:position w:val="0"/>
            <w:sz w:val="20"/>
            <w:u w:val="none"/>
          </w:rPr>
          <w:t>14</w:t>
        </w:r>
      </w:hyperlink>
    </w:p>
    <w:p>
      <w:pPr>
        <w:tabs>
          <w:tab w:val="left" w:pos="840"/>
        </w:tabs>
        <w:spacing w:before="0" w:after="0" w:line="432" w:lineRule="exact"/>
        <w:ind w:left="60" w:firstLine="0"/>
        <w:jc w:val="left"/>
      </w:pPr>
      <w:hyperlink w:anchor="23" w:history="1">
        <w:r>
          <w:rPr>
            <w:rStyle w:val="Hyperlink"/>
            <w:rFonts w:ascii="Microsoft YaHei UI" w:hAnsi="Microsoft YaHei UI" w:cs="Microsoft YaHei UI"/>
            <w:color w:val="000000"/>
            <w:spacing w:val="12"/>
            <w:w w:val="100"/>
            <w:position w:val="0"/>
            <w:sz w:val="22"/>
            <w:u w:val="none"/>
          </w:rPr>
          <w:t>5.2.2</w:t>
        </w:r>
      </w:hyperlink>
      <w:r>
        <w:rPr>
          <w:rFonts w:cs="Calibri"/>
          <w:color w:val="000000"/>
          <w:w w:val="100"/>
          <w:u w:val="none"/>
        </w:rPr>
        <w:tab/>
      </w:r>
      <w:hyperlink w:anchor="23" w:history="1">
        <w:r>
          <w:rPr>
            <w:rStyle w:val="Hyperlink"/>
            <w:rFonts w:ascii="宋体" w:eastAsia="宋体" w:hAnsi="宋体" w:cs="宋体"/>
            <w:color w:val="000000"/>
            <w:spacing w:val="0"/>
            <w:w w:val="100"/>
            <w:position w:val="7"/>
            <w:sz w:val="22"/>
            <w:u w:val="none"/>
          </w:rPr>
          <w:t>连接计算和构造</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16</w:t>
      </w:r>
    </w:p>
    <w:p>
      <w:pPr>
        <w:tabs>
          <w:tab w:val="left" w:pos="840"/>
        </w:tabs>
        <w:spacing w:before="0" w:after="0" w:line="432" w:lineRule="exact"/>
        <w:ind w:left="60" w:firstLine="0"/>
        <w:jc w:val="left"/>
      </w:pPr>
      <w:hyperlink w:anchor="23" w:history="1">
        <w:r>
          <w:rPr>
            <w:rStyle w:val="Hyperlink"/>
            <w:rFonts w:ascii="Microsoft YaHei UI" w:hAnsi="Microsoft YaHei UI" w:cs="Microsoft YaHei UI"/>
            <w:color w:val="000000"/>
            <w:spacing w:val="12"/>
            <w:w w:val="100"/>
            <w:position w:val="0"/>
            <w:sz w:val="22"/>
            <w:u w:val="none"/>
          </w:rPr>
          <w:t>5.2.3</w:t>
        </w:r>
      </w:hyperlink>
      <w:r>
        <w:rPr>
          <w:rFonts w:cs="Calibri"/>
          <w:color w:val="000000"/>
          <w:w w:val="100"/>
          <w:u w:val="none"/>
        </w:rPr>
        <w:tab/>
      </w:r>
      <w:hyperlink w:anchor="23" w:history="1">
        <w:r>
          <w:rPr>
            <w:rStyle w:val="Hyperlink"/>
            <w:rFonts w:ascii="宋体" w:eastAsia="宋体" w:hAnsi="宋体" w:cs="宋体"/>
            <w:color w:val="000000"/>
            <w:spacing w:val="0"/>
            <w:w w:val="100"/>
            <w:position w:val="7"/>
            <w:sz w:val="22"/>
            <w:u w:val="none"/>
          </w:rPr>
          <w:t>变形限值</w:t>
        </w:r>
      </w:hyperlink>
      <w:r>
        <w:rPr>
          <w:rFonts w:ascii="Calibri" w:hAnsi="Calibri" w:cs="Calibri"/>
          <w:b/>
          <w:color w:val="000000"/>
          <w:spacing w:val="-7"/>
          <w:w w:val="100"/>
          <w:sz w:val="20"/>
          <w:u w:val="none"/>
        </w:rPr>
        <w:t> </w:t>
      </w:r>
      <w:hyperlink w:anchor="2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23" w:history="1">
        <w:r>
          <w:rPr>
            <w:rStyle w:val="Hyperlink"/>
            <w:rFonts w:ascii="Microsoft YaHei UI" w:hAnsi="Microsoft YaHei UI" w:cs="Microsoft YaHei UI"/>
            <w:b/>
            <w:color w:val="000000"/>
            <w:spacing w:val="13"/>
            <w:w w:val="80"/>
            <w:position w:val="0"/>
            <w:sz w:val="20"/>
            <w:u w:val="none"/>
          </w:rPr>
          <w:t>16</w:t>
        </w:r>
      </w:hyperlink>
    </w:p>
    <w:p>
      <w:pPr>
        <w:tabs>
          <w:tab w:val="left" w:pos="840"/>
        </w:tabs>
        <w:spacing w:before="0" w:after="0" w:line="432" w:lineRule="exact"/>
        <w:ind w:left="60" w:firstLine="0"/>
        <w:jc w:val="left"/>
      </w:pPr>
      <w:hyperlink w:anchor="24" w:history="1">
        <w:r>
          <w:rPr>
            <w:rStyle w:val="Hyperlink"/>
            <w:rFonts w:ascii="Microsoft YaHei UI" w:hAnsi="Microsoft YaHei UI" w:cs="Microsoft YaHei UI"/>
            <w:color w:val="000000"/>
            <w:spacing w:val="12"/>
            <w:w w:val="100"/>
            <w:position w:val="0"/>
            <w:sz w:val="22"/>
            <w:u w:val="none"/>
          </w:rPr>
          <w:t>5.2.4</w:t>
        </w:r>
      </w:hyperlink>
      <w:r>
        <w:rPr>
          <w:rFonts w:cs="Calibri"/>
          <w:color w:val="000000"/>
          <w:w w:val="100"/>
          <w:u w:val="none"/>
        </w:rPr>
        <w:tab/>
      </w:r>
      <w:hyperlink w:anchor="24" w:history="1">
        <w:r>
          <w:rPr>
            <w:rStyle w:val="Hyperlink"/>
            <w:rFonts w:ascii="宋体" w:eastAsia="宋体" w:hAnsi="宋体" w:cs="宋体"/>
            <w:color w:val="000000"/>
            <w:spacing w:val="0"/>
            <w:w w:val="100"/>
            <w:position w:val="7"/>
            <w:sz w:val="22"/>
            <w:u w:val="none"/>
          </w:rPr>
          <w:t>一般构造规定</w:t>
        </w:r>
      </w:hyperlink>
      <w:r>
        <w:rPr>
          <w:rFonts w:ascii="Calibri" w:hAnsi="Calibri" w:cs="Calibri"/>
          <w:b/>
          <w:color w:val="000000"/>
          <w:spacing w:val="-7"/>
          <w:w w:val="100"/>
          <w:sz w:val="20"/>
          <w:u w:val="none"/>
        </w:rPr>
        <w:t> </w:t>
      </w:r>
      <w:hyperlink w:anchor="24"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2"/>
          <w:w w:val="100"/>
          <w:sz w:val="20"/>
          <w:u w:val="none"/>
        </w:rPr>
        <w:t> </w:t>
      </w:r>
      <w:hyperlink w:anchor="24" w:history="1">
        <w:r>
          <w:rPr>
            <w:rStyle w:val="Hyperlink"/>
            <w:rFonts w:ascii="Microsoft YaHei UI" w:hAnsi="Microsoft YaHei UI" w:cs="Microsoft YaHei UI"/>
            <w:b/>
            <w:color w:val="000000"/>
            <w:spacing w:val="13"/>
            <w:w w:val="80"/>
            <w:position w:val="0"/>
            <w:sz w:val="20"/>
            <w:u w:val="none"/>
          </w:rPr>
          <w:t>17</w:t>
        </w:r>
      </w:hyperlink>
    </w:p>
    <w:p>
      <w:pPr>
        <w:tabs>
          <w:tab w:val="left" w:pos="631"/>
        </w:tabs>
        <w:spacing w:before="0" w:after="0" w:line="432" w:lineRule="exact"/>
        <w:ind w:left="60" w:firstLine="0"/>
        <w:jc w:val="left"/>
      </w:pPr>
      <w:hyperlink w:anchor="26" w:history="1">
        <w:r>
          <w:rPr>
            <w:rStyle w:val="Hyperlink"/>
            <w:rFonts w:ascii="Microsoft YaHei UI" w:hAnsi="Microsoft YaHei UI" w:cs="Microsoft YaHei UI"/>
            <w:color w:val="000000"/>
            <w:spacing w:val="11"/>
            <w:w w:val="100"/>
            <w:position w:val="0"/>
            <w:sz w:val="22"/>
            <w:u w:val="none"/>
          </w:rPr>
          <w:t>5.3</w:t>
        </w:r>
      </w:hyperlink>
      <w:r>
        <w:rPr>
          <w:rFonts w:cs="Calibri"/>
          <w:color w:val="000000"/>
          <w:w w:val="100"/>
          <w:u w:val="none"/>
        </w:rPr>
        <w:tab/>
      </w:r>
      <w:hyperlink w:anchor="26" w:history="1">
        <w:r>
          <w:rPr>
            <w:rStyle w:val="Hyperlink"/>
            <w:rFonts w:ascii="宋体" w:eastAsia="宋体" w:hAnsi="宋体" w:cs="宋体"/>
            <w:color w:val="000000"/>
            <w:spacing w:val="0"/>
            <w:w w:val="100"/>
            <w:position w:val="7"/>
            <w:sz w:val="22"/>
            <w:u w:val="none"/>
          </w:rPr>
          <w:t>楼盖设计</w:t>
        </w:r>
      </w:hyperlink>
      <w:r>
        <w:rPr>
          <w:rFonts w:ascii="Calibri" w:hAnsi="Calibri" w:cs="Calibri"/>
          <w:b/>
          <w:color w:val="000000"/>
          <w:spacing w:val="-10"/>
          <w:w w:val="100"/>
          <w:sz w:val="20"/>
          <w:u w:val="none"/>
        </w:rPr>
        <w:t> </w:t>
      </w:r>
      <w:hyperlink w:anchor="26"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1"/>
          <w:w w:val="100"/>
          <w:sz w:val="20"/>
          <w:u w:val="none"/>
        </w:rPr>
        <w:t> </w:t>
      </w:r>
      <w:hyperlink w:anchor="26" w:history="1">
        <w:r>
          <w:rPr>
            <w:rStyle w:val="Hyperlink"/>
            <w:rFonts w:ascii="Microsoft YaHei UI" w:hAnsi="Microsoft YaHei UI" w:cs="Microsoft YaHei UI"/>
            <w:b/>
            <w:color w:val="000000"/>
            <w:spacing w:val="13"/>
            <w:w w:val="80"/>
            <w:position w:val="0"/>
            <w:sz w:val="20"/>
            <w:u w:val="none"/>
          </w:rPr>
          <w:t>19</w:t>
        </w:r>
      </w:hyperlink>
    </w:p>
    <w:p>
      <w:pPr>
        <w:tabs>
          <w:tab w:val="left" w:pos="840"/>
        </w:tabs>
        <w:spacing w:before="0" w:after="0" w:line="432" w:lineRule="exact"/>
        <w:ind w:left="60" w:firstLine="0"/>
        <w:jc w:val="left"/>
      </w:pPr>
      <w:hyperlink w:anchor="26" w:history="1">
        <w:r>
          <w:rPr>
            <w:rStyle w:val="Hyperlink"/>
            <w:rFonts w:ascii="Microsoft YaHei UI" w:hAnsi="Microsoft YaHei UI" w:cs="Microsoft YaHei UI"/>
            <w:color w:val="000000"/>
            <w:spacing w:val="12"/>
            <w:w w:val="100"/>
            <w:position w:val="0"/>
            <w:sz w:val="22"/>
            <w:u w:val="none"/>
          </w:rPr>
          <w:t>5.3.1</w:t>
        </w:r>
      </w:hyperlink>
      <w:r>
        <w:rPr>
          <w:rFonts w:cs="Calibri"/>
          <w:color w:val="000000"/>
          <w:w w:val="100"/>
          <w:u w:val="none"/>
        </w:rPr>
        <w:tab/>
      </w:r>
      <w:hyperlink w:anchor="26" w:history="1">
        <w:r>
          <w:rPr>
            <w:rStyle w:val="Hyperlink"/>
            <w:rFonts w:ascii="宋体" w:eastAsia="宋体" w:hAnsi="宋体" w:cs="宋体"/>
            <w:color w:val="000000"/>
            <w:spacing w:val="0"/>
            <w:w w:val="100"/>
            <w:position w:val="7"/>
            <w:sz w:val="22"/>
            <w:u w:val="none"/>
          </w:rPr>
          <w:t>一般规定</w:t>
        </w:r>
      </w:hyperlink>
      <w:r>
        <w:rPr>
          <w:rFonts w:ascii="Calibri" w:hAnsi="Calibri" w:cs="Calibri"/>
          <w:b/>
          <w:color w:val="000000"/>
          <w:spacing w:val="-7"/>
          <w:w w:val="100"/>
          <w:sz w:val="20"/>
          <w:u w:val="none"/>
        </w:rPr>
        <w:t> </w:t>
      </w:r>
      <w:hyperlink w:anchor="26"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26" w:history="1">
        <w:r>
          <w:rPr>
            <w:rStyle w:val="Hyperlink"/>
            <w:rFonts w:ascii="Microsoft YaHei UI" w:hAnsi="Microsoft YaHei UI" w:cs="Microsoft YaHei UI"/>
            <w:b/>
            <w:color w:val="000000"/>
            <w:spacing w:val="13"/>
            <w:w w:val="80"/>
            <w:position w:val="0"/>
            <w:sz w:val="20"/>
            <w:u w:val="none"/>
          </w:rPr>
          <w:t>19</w:t>
        </w:r>
      </w:hyperlink>
    </w:p>
    <w:p>
      <w:pPr>
        <w:tabs>
          <w:tab w:val="left" w:pos="840"/>
        </w:tabs>
        <w:spacing w:before="0" w:after="0" w:line="432" w:lineRule="exact"/>
        <w:ind w:left="60" w:firstLine="0"/>
        <w:jc w:val="left"/>
      </w:pPr>
      <w:hyperlink w:anchor="26" w:history="1">
        <w:r>
          <w:rPr>
            <w:rStyle w:val="Hyperlink"/>
            <w:rFonts w:ascii="Microsoft YaHei UI" w:hAnsi="Microsoft YaHei UI" w:cs="Microsoft YaHei UI"/>
            <w:color w:val="000000"/>
            <w:spacing w:val="12"/>
            <w:w w:val="100"/>
            <w:position w:val="0"/>
            <w:sz w:val="22"/>
            <w:u w:val="none"/>
          </w:rPr>
          <w:t>5.3.2</w:t>
        </w:r>
      </w:hyperlink>
      <w:r>
        <w:rPr>
          <w:rFonts w:cs="Calibri"/>
          <w:color w:val="000000"/>
          <w:w w:val="100"/>
          <w:u w:val="none"/>
        </w:rPr>
        <w:tab/>
      </w:r>
      <w:hyperlink w:anchor="26" w:history="1">
        <w:r>
          <w:rPr>
            <w:rStyle w:val="Hyperlink"/>
            <w:rFonts w:ascii="宋体" w:eastAsia="宋体" w:hAnsi="宋体" w:cs="宋体"/>
            <w:color w:val="000000"/>
            <w:spacing w:val="0"/>
            <w:w w:val="100"/>
            <w:position w:val="7"/>
            <w:sz w:val="22"/>
            <w:u w:val="none"/>
          </w:rPr>
          <w:t>楼盖构造</w:t>
        </w:r>
      </w:hyperlink>
      <w:r>
        <w:rPr>
          <w:rFonts w:ascii="Calibri" w:hAnsi="Calibri" w:cs="Calibri"/>
          <w:b/>
          <w:color w:val="000000"/>
          <w:spacing w:val="-7"/>
          <w:w w:val="100"/>
          <w:sz w:val="20"/>
          <w:u w:val="none"/>
        </w:rPr>
        <w:t> </w:t>
      </w:r>
      <w:hyperlink w:anchor="26"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26" w:history="1">
        <w:r>
          <w:rPr>
            <w:rStyle w:val="Hyperlink"/>
            <w:rFonts w:ascii="Microsoft YaHei UI" w:hAnsi="Microsoft YaHei UI" w:cs="Microsoft YaHei UI"/>
            <w:b/>
            <w:color w:val="000000"/>
            <w:spacing w:val="13"/>
            <w:w w:val="80"/>
            <w:position w:val="0"/>
            <w:sz w:val="20"/>
            <w:u w:val="none"/>
          </w:rPr>
          <w:t>19</w:t>
        </w:r>
      </w:hyperlink>
    </w:p>
    <w:p>
      <w:pPr>
        <w:tabs>
          <w:tab w:val="left" w:pos="631"/>
        </w:tabs>
        <w:spacing w:before="0" w:after="0" w:line="432" w:lineRule="exact"/>
        <w:ind w:left="60" w:firstLine="0"/>
        <w:jc w:val="left"/>
      </w:pPr>
      <w:hyperlink w:anchor="32" w:history="1">
        <w:r>
          <w:rPr>
            <w:rStyle w:val="Hyperlink"/>
            <w:rFonts w:ascii="Microsoft YaHei UI" w:hAnsi="Microsoft YaHei UI" w:cs="Microsoft YaHei UI"/>
            <w:color w:val="000000"/>
            <w:spacing w:val="11"/>
            <w:w w:val="100"/>
            <w:position w:val="0"/>
            <w:sz w:val="22"/>
            <w:u w:val="none"/>
          </w:rPr>
          <w:t>5.4</w:t>
        </w:r>
      </w:hyperlink>
      <w:r>
        <w:rPr>
          <w:rFonts w:cs="Calibri"/>
          <w:color w:val="000000"/>
          <w:w w:val="100"/>
          <w:u w:val="none"/>
        </w:rPr>
        <w:tab/>
      </w:r>
      <w:hyperlink w:anchor="32" w:history="1">
        <w:r>
          <w:rPr>
            <w:rStyle w:val="Hyperlink"/>
            <w:rFonts w:ascii="宋体" w:eastAsia="宋体" w:hAnsi="宋体" w:cs="宋体"/>
            <w:color w:val="000000"/>
            <w:spacing w:val="0"/>
            <w:w w:val="100"/>
            <w:position w:val="7"/>
            <w:sz w:val="22"/>
            <w:u w:val="none"/>
          </w:rPr>
          <w:t>墙体设计</w:t>
        </w:r>
      </w:hyperlink>
      <w:r>
        <w:rPr>
          <w:rFonts w:ascii="Calibri" w:hAnsi="Calibri" w:cs="Calibri"/>
          <w:b/>
          <w:color w:val="000000"/>
          <w:spacing w:val="-10"/>
          <w:w w:val="100"/>
          <w:sz w:val="20"/>
          <w:u w:val="none"/>
        </w:rPr>
        <w:t> </w:t>
      </w:r>
      <w:hyperlink w:anchor="3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1"/>
          <w:w w:val="100"/>
          <w:sz w:val="20"/>
          <w:u w:val="none"/>
        </w:rPr>
        <w:t> </w:t>
      </w:r>
      <w:hyperlink w:anchor="32" w:history="1">
        <w:r>
          <w:rPr>
            <w:rStyle w:val="Hyperlink"/>
            <w:rFonts w:ascii="Microsoft YaHei UI" w:hAnsi="Microsoft YaHei UI" w:cs="Microsoft YaHei UI"/>
            <w:b/>
            <w:color w:val="000000"/>
            <w:spacing w:val="13"/>
            <w:w w:val="80"/>
            <w:position w:val="0"/>
            <w:sz w:val="20"/>
            <w:u w:val="none"/>
          </w:rPr>
          <w:t>25</w:t>
        </w:r>
      </w:hyperlink>
    </w:p>
    <w:p>
      <w:pPr>
        <w:tabs>
          <w:tab w:val="left" w:pos="840"/>
        </w:tabs>
        <w:spacing w:before="0" w:after="0" w:line="432" w:lineRule="exact"/>
        <w:ind w:left="60" w:firstLine="0"/>
        <w:jc w:val="left"/>
      </w:pPr>
      <w:hyperlink w:anchor="32" w:history="1">
        <w:r>
          <w:rPr>
            <w:rStyle w:val="Hyperlink"/>
            <w:rFonts w:ascii="Microsoft YaHei UI" w:hAnsi="Microsoft YaHei UI" w:cs="Microsoft YaHei UI"/>
            <w:color w:val="000000"/>
            <w:spacing w:val="12"/>
            <w:w w:val="100"/>
            <w:position w:val="0"/>
            <w:sz w:val="22"/>
            <w:u w:val="none"/>
          </w:rPr>
          <w:t>5.4.1</w:t>
        </w:r>
      </w:hyperlink>
      <w:r>
        <w:rPr>
          <w:rFonts w:cs="Calibri"/>
          <w:color w:val="000000"/>
          <w:w w:val="100"/>
          <w:u w:val="none"/>
        </w:rPr>
        <w:tab/>
      </w:r>
      <w:hyperlink w:anchor="32" w:history="1">
        <w:r>
          <w:rPr>
            <w:rStyle w:val="Hyperlink"/>
            <w:rFonts w:ascii="宋体" w:eastAsia="宋体" w:hAnsi="宋体" w:cs="宋体"/>
            <w:color w:val="000000"/>
            <w:spacing w:val="0"/>
            <w:w w:val="100"/>
            <w:position w:val="7"/>
            <w:sz w:val="22"/>
            <w:u w:val="none"/>
          </w:rPr>
          <w:t>一般规定</w:t>
        </w:r>
      </w:hyperlink>
      <w:r>
        <w:rPr>
          <w:rFonts w:ascii="Calibri" w:hAnsi="Calibri" w:cs="Calibri"/>
          <w:b/>
          <w:color w:val="000000"/>
          <w:spacing w:val="-7"/>
          <w:w w:val="100"/>
          <w:sz w:val="20"/>
          <w:u w:val="none"/>
        </w:rPr>
        <w:t> </w:t>
      </w:r>
      <w:hyperlink w:anchor="3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32" w:history="1">
        <w:r>
          <w:rPr>
            <w:rStyle w:val="Hyperlink"/>
            <w:rFonts w:ascii="Microsoft YaHei UI" w:hAnsi="Microsoft YaHei UI" w:cs="Microsoft YaHei UI"/>
            <w:b/>
            <w:color w:val="000000"/>
            <w:spacing w:val="13"/>
            <w:w w:val="80"/>
            <w:position w:val="0"/>
            <w:sz w:val="20"/>
            <w:u w:val="none"/>
          </w:rPr>
          <w:t>25</w:t>
        </w:r>
      </w:hyperlink>
    </w:p>
    <w:p>
      <w:pPr>
        <w:spacing w:before="0" w:after="0" w:line="240" w:lineRule="exact"/>
        <w:ind w:left="60" w:firstLine="0"/>
      </w:pPr>
    </w:p>
    <w:p>
      <w:pPr>
        <w:spacing w:before="0" w:after="0" w:line="388" w:lineRule="exact"/>
        <w:ind w:left="60" w:firstLine="0"/>
        <w:jc w:val="left"/>
        <w:sectPr>
          <w:type w:val="continuous"/>
          <w:pgSz w:w="11907" w:h="16840"/>
          <w:pgMar w:top="736" w:right="713" w:bottom="496" w:left="1073" w:header="0" w:footer="0" w:gutter="0"/>
          <w:pgNumType w:start="19"/>
          <w:cols w:num="1" w:space="720"/>
        </w:sectPr>
      </w:pPr>
      <w:r>
        <w:rPr>
          <w:rFonts w:ascii="Microsoft YaHei UI" w:hAnsi="Microsoft YaHei UI" w:cs="Microsoft YaHei UI"/>
          <w:color w:val="000000"/>
          <w:spacing w:val="4"/>
          <w:w w:val="100"/>
          <w:position w:val="0"/>
          <w:sz w:val="18"/>
          <w:u w:val="none"/>
        </w:rPr>
        <w:t>II</w:t>
      </w:r>
    </w:p>
    <w:p>
      <w:pPr>
        <w:spacing w:before="0" w:after="0" w:line="72" w:lineRule="exact"/>
      </w:pPr>
      <w:bookmarkStart w:id="6" w:name="6"/>
      <w:bookmarkEnd w:id="6"/>
    </w:p>
    <w:p>
      <w:pPr>
        <w:widowControl/>
        <w:jc w:val="left"/>
        <w:sectPr>
          <w:type w:val="continuous"/>
          <w:pgSz w:w="11907" w:h="16839"/>
          <w:pgMar w:top="736" w:right="713" w:bottom="496" w:left="1073" w:header="0" w:footer="0" w:gutter="0"/>
          <w:pgNumType w:start="20"/>
          <w:cols w:num="1" w:space="720"/>
          <w:docGrid w:type="lines" w:linePitch="312" w:charSpace="0"/>
        </w:sectPr>
      </w:pPr>
    </w:p>
    <w:p>
      <w:pPr>
        <w:spacing w:before="0" w:after="0" w:line="212" w:lineRule="exact"/>
        <w:ind w:left="60" w:firstLine="7855"/>
        <w:jc w:val="left"/>
      </w:pPr>
      <w:r>
        <w:pict>
          <v:shape id="_x0000_s2054"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60" w:firstLine="7855"/>
      </w:pPr>
    </w:p>
    <w:p>
      <w:pPr>
        <w:tabs>
          <w:tab w:val="left" w:pos="840"/>
        </w:tabs>
        <w:spacing w:before="0" w:after="0" w:line="451" w:lineRule="exact"/>
        <w:ind w:left="60" w:firstLine="0"/>
        <w:jc w:val="left"/>
      </w:pPr>
      <w:hyperlink w:anchor="33" w:history="1">
        <w:r>
          <w:rPr>
            <w:rStyle w:val="Hyperlink"/>
            <w:rFonts w:ascii="Microsoft YaHei UI" w:hAnsi="Microsoft YaHei UI" w:cs="Microsoft YaHei UI"/>
            <w:color w:val="000000"/>
            <w:spacing w:val="12"/>
            <w:w w:val="100"/>
            <w:position w:val="0"/>
            <w:sz w:val="22"/>
            <w:u w:val="none"/>
          </w:rPr>
          <w:t>5.4.2</w:t>
        </w:r>
      </w:hyperlink>
      <w:r>
        <w:rPr>
          <w:rFonts w:cs="Calibri"/>
          <w:color w:val="000000"/>
          <w:w w:val="100"/>
          <w:u w:val="none"/>
        </w:rPr>
        <w:tab/>
      </w:r>
      <w:hyperlink w:anchor="33" w:history="1">
        <w:r>
          <w:rPr>
            <w:rStyle w:val="Hyperlink"/>
            <w:rFonts w:ascii="宋体" w:eastAsia="宋体" w:hAnsi="宋体" w:cs="宋体"/>
            <w:color w:val="000000"/>
            <w:spacing w:val="0"/>
            <w:w w:val="100"/>
            <w:position w:val="7"/>
            <w:sz w:val="22"/>
            <w:u w:val="none"/>
          </w:rPr>
          <w:t>墙体设计计算</w:t>
        </w:r>
      </w:hyperlink>
      <w:r>
        <w:rPr>
          <w:rFonts w:ascii="Calibri" w:hAnsi="Calibri" w:cs="Calibri"/>
          <w:b/>
          <w:color w:val="000000"/>
          <w:spacing w:val="-7"/>
          <w:w w:val="100"/>
          <w:sz w:val="20"/>
          <w:u w:val="none"/>
        </w:rPr>
        <w:t> </w:t>
      </w:r>
      <w:hyperlink w:anchor="3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2"/>
          <w:w w:val="100"/>
          <w:sz w:val="20"/>
          <w:u w:val="none"/>
        </w:rPr>
        <w:t> </w:t>
      </w:r>
      <w:hyperlink w:anchor="33" w:history="1">
        <w:r>
          <w:rPr>
            <w:rStyle w:val="Hyperlink"/>
            <w:rFonts w:ascii="Microsoft YaHei UI" w:hAnsi="Microsoft YaHei UI" w:cs="Microsoft YaHei UI"/>
            <w:b/>
            <w:color w:val="000000"/>
            <w:spacing w:val="13"/>
            <w:w w:val="80"/>
            <w:position w:val="0"/>
            <w:sz w:val="20"/>
            <w:u w:val="none"/>
          </w:rPr>
          <w:t>26</w:t>
        </w:r>
      </w:hyperlink>
    </w:p>
    <w:p>
      <w:pPr>
        <w:tabs>
          <w:tab w:val="left" w:pos="840"/>
        </w:tabs>
        <w:spacing w:before="0" w:after="0" w:line="432" w:lineRule="exact"/>
        <w:ind w:left="60" w:firstLine="0"/>
        <w:jc w:val="left"/>
      </w:pPr>
      <w:hyperlink w:anchor="33" w:history="1">
        <w:r>
          <w:rPr>
            <w:rStyle w:val="Hyperlink"/>
            <w:rFonts w:ascii="Microsoft YaHei UI" w:hAnsi="Microsoft YaHei UI" w:cs="Microsoft YaHei UI"/>
            <w:color w:val="000000"/>
            <w:spacing w:val="12"/>
            <w:w w:val="100"/>
            <w:position w:val="0"/>
            <w:sz w:val="22"/>
            <w:u w:val="none"/>
          </w:rPr>
          <w:t>5.4.3</w:t>
        </w:r>
      </w:hyperlink>
      <w:r>
        <w:rPr>
          <w:rFonts w:cs="Calibri"/>
          <w:color w:val="000000"/>
          <w:w w:val="100"/>
          <w:u w:val="none"/>
        </w:rPr>
        <w:tab/>
      </w:r>
      <w:hyperlink w:anchor="33" w:history="1">
        <w:r>
          <w:rPr>
            <w:rStyle w:val="Hyperlink"/>
            <w:rFonts w:ascii="宋体" w:eastAsia="宋体" w:hAnsi="宋体" w:cs="宋体"/>
            <w:color w:val="000000"/>
            <w:spacing w:val="0"/>
            <w:w w:val="100"/>
            <w:position w:val="7"/>
            <w:sz w:val="22"/>
            <w:u w:val="none"/>
          </w:rPr>
          <w:t>构造要求</w:t>
        </w:r>
      </w:hyperlink>
      <w:r>
        <w:rPr>
          <w:rFonts w:ascii="Calibri" w:hAnsi="Calibri" w:cs="Calibri"/>
          <w:b/>
          <w:color w:val="000000"/>
          <w:spacing w:val="-7"/>
          <w:w w:val="100"/>
          <w:sz w:val="20"/>
          <w:u w:val="none"/>
        </w:rPr>
        <w:t> </w:t>
      </w:r>
      <w:hyperlink w:anchor="3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33" w:history="1">
        <w:r>
          <w:rPr>
            <w:rStyle w:val="Hyperlink"/>
            <w:rFonts w:ascii="Microsoft YaHei UI" w:hAnsi="Microsoft YaHei UI" w:cs="Microsoft YaHei UI"/>
            <w:b/>
            <w:color w:val="000000"/>
            <w:spacing w:val="13"/>
            <w:w w:val="80"/>
            <w:position w:val="0"/>
            <w:sz w:val="20"/>
            <w:u w:val="none"/>
          </w:rPr>
          <w:t>26</w:t>
        </w:r>
      </w:hyperlink>
    </w:p>
    <w:p>
      <w:pPr>
        <w:tabs>
          <w:tab w:val="left" w:pos="420"/>
        </w:tabs>
        <w:spacing w:before="0" w:after="0" w:line="432" w:lineRule="exact"/>
        <w:ind w:left="60" w:firstLine="0"/>
        <w:jc w:val="left"/>
      </w:pPr>
      <w:hyperlink w:anchor="37" w:history="1">
        <w:r>
          <w:rPr>
            <w:rStyle w:val="Hyperlink"/>
            <w:rFonts w:ascii="Microsoft YaHei UI" w:hAnsi="Microsoft YaHei UI" w:cs="Microsoft YaHei UI"/>
            <w:color w:val="000000"/>
            <w:spacing w:val="10"/>
            <w:w w:val="100"/>
            <w:position w:val="0"/>
            <w:sz w:val="22"/>
            <w:u w:val="none"/>
          </w:rPr>
          <w:t>6</w:t>
        </w:r>
      </w:hyperlink>
      <w:r>
        <w:rPr>
          <w:rFonts w:cs="Calibri"/>
          <w:w w:val="100"/>
        </w:rPr>
        <w:tab/>
      </w:r>
      <w:hyperlink w:anchor="37" w:history="1">
        <w:r>
          <w:rPr>
            <w:rStyle w:val="Hyperlink"/>
            <w:rFonts w:ascii="宋体" w:hAnsi="宋体" w:cs="宋体"/>
            <w:color w:val="000000"/>
            <w:spacing w:val="0"/>
            <w:w w:val="100"/>
            <w:position w:val="7"/>
            <w:sz w:val="22"/>
            <w:u w:val="none"/>
          </w:rPr>
          <w:t>制作、防腐、安装及验收</w:t>
        </w:r>
      </w:hyperlink>
      <w:r>
        <w:rPr>
          <w:rFonts w:ascii="Calibri" w:hAnsi="Calibri" w:cs="Calibri"/>
          <w:b/>
          <w:color w:val="000000"/>
          <w:spacing w:val="-10"/>
          <w:w w:val="100"/>
          <w:sz w:val="20"/>
          <w:u w:val="none"/>
        </w:rPr>
        <w:t> </w:t>
      </w:r>
      <w:hyperlink w:anchor="37"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0"/>
          <w:w w:val="162"/>
          <w:sz w:val="20"/>
          <w:u w:val="none"/>
        </w:rPr>
        <w:t> </w:t>
      </w:r>
      <w:hyperlink w:anchor="37" w:history="1">
        <w:r>
          <w:rPr>
            <w:rStyle w:val="Hyperlink"/>
            <w:rFonts w:ascii="Microsoft YaHei UI" w:hAnsi="Microsoft YaHei UI" w:cs="Microsoft YaHei UI"/>
            <w:b/>
            <w:color w:val="000000"/>
            <w:spacing w:val="13"/>
            <w:w w:val="80"/>
            <w:position w:val="0"/>
            <w:sz w:val="20"/>
            <w:u w:val="none"/>
          </w:rPr>
          <w:t>30</w:t>
        </w:r>
      </w:hyperlink>
    </w:p>
    <w:p>
      <w:pPr>
        <w:tabs>
          <w:tab w:val="left" w:pos="631"/>
        </w:tabs>
        <w:spacing w:before="0" w:after="0" w:line="432" w:lineRule="exact"/>
        <w:ind w:left="60" w:firstLine="0"/>
        <w:jc w:val="left"/>
      </w:pPr>
      <w:hyperlink w:anchor="37" w:history="1">
        <w:r>
          <w:rPr>
            <w:rStyle w:val="Hyperlink"/>
            <w:rFonts w:ascii="Microsoft YaHei UI" w:hAnsi="Microsoft YaHei UI" w:cs="Microsoft YaHei UI"/>
            <w:color w:val="000000"/>
            <w:spacing w:val="11"/>
            <w:w w:val="100"/>
            <w:position w:val="0"/>
            <w:sz w:val="22"/>
            <w:u w:val="none"/>
          </w:rPr>
          <w:t>6.1</w:t>
        </w:r>
      </w:hyperlink>
      <w:r>
        <w:rPr>
          <w:rFonts w:cs="Calibri"/>
          <w:color w:val="000000"/>
          <w:w w:val="100"/>
          <w:u w:val="none"/>
        </w:rPr>
        <w:tab/>
      </w:r>
      <w:hyperlink w:anchor="37" w:history="1">
        <w:r>
          <w:rPr>
            <w:rStyle w:val="Hyperlink"/>
            <w:rFonts w:ascii="宋体" w:eastAsia="宋体" w:hAnsi="宋体" w:cs="宋体"/>
            <w:color w:val="000000"/>
            <w:spacing w:val="0"/>
            <w:w w:val="100"/>
            <w:position w:val="7"/>
            <w:sz w:val="22"/>
            <w:u w:val="none"/>
          </w:rPr>
          <w:t>制作</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30</w:t>
      </w:r>
    </w:p>
    <w:p>
      <w:pPr>
        <w:tabs>
          <w:tab w:val="left" w:pos="631"/>
        </w:tabs>
        <w:spacing w:before="0" w:after="0" w:line="432" w:lineRule="exact"/>
        <w:ind w:left="60" w:firstLine="0"/>
        <w:jc w:val="left"/>
      </w:pPr>
      <w:hyperlink w:anchor="38" w:history="1">
        <w:r>
          <w:rPr>
            <w:rStyle w:val="Hyperlink"/>
            <w:rFonts w:ascii="Microsoft YaHei UI" w:hAnsi="Microsoft YaHei UI" w:cs="Microsoft YaHei UI"/>
            <w:color w:val="000000"/>
            <w:spacing w:val="11"/>
            <w:w w:val="100"/>
            <w:position w:val="0"/>
            <w:sz w:val="22"/>
            <w:u w:val="none"/>
          </w:rPr>
          <w:t>6.2</w:t>
        </w:r>
      </w:hyperlink>
      <w:r>
        <w:rPr>
          <w:rFonts w:cs="Calibri"/>
          <w:color w:val="000000"/>
          <w:w w:val="100"/>
          <w:u w:val="none"/>
        </w:rPr>
        <w:tab/>
      </w:r>
      <w:hyperlink w:anchor="38" w:history="1">
        <w:r>
          <w:rPr>
            <w:rStyle w:val="Hyperlink"/>
            <w:rFonts w:ascii="宋体" w:eastAsia="宋体" w:hAnsi="宋体" w:cs="宋体"/>
            <w:color w:val="000000"/>
            <w:spacing w:val="0"/>
            <w:w w:val="100"/>
            <w:position w:val="7"/>
            <w:sz w:val="22"/>
            <w:u w:val="none"/>
          </w:rPr>
          <w:t>防腐</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31</w:t>
      </w:r>
    </w:p>
    <w:p>
      <w:pPr>
        <w:tabs>
          <w:tab w:val="left" w:pos="631"/>
        </w:tabs>
        <w:spacing w:before="0" w:after="0" w:line="432" w:lineRule="exact"/>
        <w:ind w:left="60" w:firstLine="0"/>
        <w:jc w:val="left"/>
      </w:pPr>
      <w:hyperlink w:anchor="38" w:history="1">
        <w:r>
          <w:rPr>
            <w:rStyle w:val="Hyperlink"/>
            <w:rFonts w:ascii="Microsoft YaHei UI" w:hAnsi="Microsoft YaHei UI" w:cs="Microsoft YaHei UI"/>
            <w:color w:val="000000"/>
            <w:spacing w:val="11"/>
            <w:w w:val="100"/>
            <w:position w:val="0"/>
            <w:sz w:val="22"/>
            <w:u w:val="none"/>
          </w:rPr>
          <w:t>6.3</w:t>
        </w:r>
      </w:hyperlink>
      <w:r>
        <w:rPr>
          <w:rFonts w:cs="Calibri"/>
          <w:color w:val="000000"/>
          <w:w w:val="100"/>
          <w:u w:val="none"/>
        </w:rPr>
        <w:tab/>
      </w:r>
      <w:hyperlink w:anchor="38" w:history="1">
        <w:r>
          <w:rPr>
            <w:rStyle w:val="Hyperlink"/>
            <w:rFonts w:ascii="宋体" w:eastAsia="宋体" w:hAnsi="宋体" w:cs="宋体"/>
            <w:color w:val="000000"/>
            <w:spacing w:val="0"/>
            <w:w w:val="100"/>
            <w:position w:val="7"/>
            <w:sz w:val="22"/>
            <w:u w:val="none"/>
          </w:rPr>
          <w:t>安装</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31</w:t>
      </w:r>
    </w:p>
    <w:p>
      <w:pPr>
        <w:tabs>
          <w:tab w:val="left" w:pos="631"/>
        </w:tabs>
        <w:spacing w:before="0" w:after="0" w:line="432" w:lineRule="exact"/>
        <w:ind w:left="60" w:firstLine="0"/>
        <w:jc w:val="left"/>
      </w:pPr>
      <w:hyperlink w:anchor="40" w:history="1">
        <w:r>
          <w:rPr>
            <w:rStyle w:val="Hyperlink"/>
            <w:rFonts w:ascii="Microsoft YaHei UI" w:hAnsi="Microsoft YaHei UI" w:cs="Microsoft YaHei UI"/>
            <w:color w:val="000000"/>
            <w:spacing w:val="11"/>
            <w:w w:val="100"/>
            <w:position w:val="0"/>
            <w:sz w:val="22"/>
            <w:u w:val="none"/>
          </w:rPr>
          <w:t>6.4</w:t>
        </w:r>
      </w:hyperlink>
      <w:r>
        <w:rPr>
          <w:rFonts w:cs="Calibri"/>
          <w:color w:val="000000"/>
          <w:w w:val="100"/>
          <w:u w:val="none"/>
        </w:rPr>
        <w:tab/>
      </w:r>
      <w:hyperlink w:anchor="40" w:history="1">
        <w:r>
          <w:rPr>
            <w:rStyle w:val="Hyperlink"/>
            <w:rFonts w:ascii="宋体" w:eastAsia="宋体" w:hAnsi="宋体" w:cs="宋体"/>
            <w:color w:val="000000"/>
            <w:spacing w:val="0"/>
            <w:w w:val="100"/>
            <w:position w:val="7"/>
            <w:sz w:val="22"/>
            <w:u w:val="none"/>
          </w:rPr>
          <w:t>验收</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33</w:t>
      </w:r>
    </w:p>
    <w:p>
      <w:pPr>
        <w:tabs>
          <w:tab w:val="left" w:pos="631"/>
        </w:tabs>
        <w:spacing w:before="0" w:after="0" w:line="432" w:lineRule="exact"/>
        <w:ind w:left="60" w:firstLine="0"/>
        <w:jc w:val="left"/>
      </w:pPr>
      <w:hyperlink w:anchor="43" w:history="1">
        <w:r>
          <w:rPr>
            <w:rStyle w:val="Hyperlink"/>
            <w:rFonts w:ascii="Microsoft YaHei UI" w:hAnsi="Microsoft YaHei UI" w:cs="Microsoft YaHei UI"/>
            <w:color w:val="000000"/>
            <w:spacing w:val="11"/>
            <w:w w:val="100"/>
            <w:position w:val="0"/>
            <w:sz w:val="22"/>
            <w:u w:val="none"/>
          </w:rPr>
          <w:t>6.5</w:t>
        </w:r>
      </w:hyperlink>
      <w:r>
        <w:rPr>
          <w:rFonts w:cs="Calibri"/>
          <w:color w:val="000000"/>
          <w:w w:val="100"/>
          <w:u w:val="none"/>
        </w:rPr>
        <w:tab/>
      </w:r>
      <w:hyperlink w:anchor="43" w:history="1">
        <w:r>
          <w:rPr>
            <w:rStyle w:val="Hyperlink"/>
            <w:rFonts w:ascii="宋体" w:eastAsia="宋体" w:hAnsi="宋体" w:cs="宋体"/>
            <w:color w:val="000000"/>
            <w:spacing w:val="0"/>
            <w:w w:val="100"/>
            <w:position w:val="7"/>
            <w:sz w:val="22"/>
            <w:u w:val="none"/>
          </w:rPr>
          <w:t>防火</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36</w:t>
      </w:r>
    </w:p>
    <w:p>
      <w:pPr>
        <w:tabs>
          <w:tab w:val="left" w:pos="9413"/>
        </w:tabs>
        <w:spacing w:before="0" w:after="0" w:line="412" w:lineRule="exact"/>
        <w:ind w:left="60" w:firstLine="0"/>
        <w:jc w:val="left"/>
      </w:pPr>
      <w:hyperlink w:anchor="44" w:history="1">
        <w:r>
          <w:rPr>
            <w:rStyle w:val="Hyperlink"/>
            <w:rFonts w:ascii="宋体" w:eastAsia="宋体" w:hAnsi="宋体" w:cs="宋体"/>
            <w:color w:val="000000"/>
            <w:spacing w:val="0"/>
            <w:w w:val="100"/>
            <w:position w:val="5"/>
            <w:sz w:val="22"/>
            <w:u w:val="none"/>
          </w:rPr>
          <w:t>本规程用词说明</w:t>
        </w:r>
      </w:hyperlink>
      <w:r>
        <w:rPr>
          <w:rFonts w:ascii="Calibri" w:hAnsi="Calibri" w:cs="Calibri"/>
          <w:b/>
          <w:color w:val="000000"/>
          <w:spacing w:val="-7"/>
          <w:w w:val="100"/>
          <w:sz w:val="20"/>
          <w:u w:val="none"/>
        </w:rPr>
        <w:t> </w:t>
      </w:r>
      <w:hyperlink w:anchor="44"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24"/>
          <w:w w:val="100"/>
          <w:sz w:val="20"/>
          <w:u w:val="none"/>
        </w:rPr>
        <w:t> </w:t>
      </w:r>
      <w:r>
        <w:rPr>
          <w:rFonts w:cs="Calibri"/>
          <w:w w:val="100"/>
        </w:rPr>
        <w:tab/>
      </w:r>
      <w:hyperlink w:anchor="44" w:history="1">
        <w:r>
          <w:rPr>
            <w:rStyle w:val="Hyperlink"/>
            <w:rFonts w:ascii="Microsoft YaHei UI" w:hAnsi="Microsoft YaHei UI" w:cs="Microsoft YaHei UI"/>
            <w:b/>
            <w:color w:val="000000"/>
            <w:spacing w:val="13"/>
            <w:w w:val="80"/>
            <w:position w:val="0"/>
            <w:sz w:val="20"/>
            <w:u w:val="none"/>
          </w:rPr>
          <w:t>37</w:t>
        </w:r>
      </w:hyperlink>
    </w:p>
    <w:p>
      <w:pPr>
        <w:tabs>
          <w:tab w:val="left" w:pos="9413"/>
        </w:tabs>
        <w:spacing w:before="0" w:after="0" w:line="432" w:lineRule="exact"/>
        <w:ind w:left="60" w:firstLine="0"/>
        <w:jc w:val="left"/>
      </w:pPr>
      <w:hyperlink w:anchor="45" w:history="1">
        <w:r>
          <w:rPr>
            <w:rStyle w:val="Hyperlink"/>
            <w:rFonts w:ascii="宋体" w:eastAsia="宋体" w:hAnsi="宋体" w:cs="宋体"/>
            <w:color w:val="000000"/>
            <w:spacing w:val="0"/>
            <w:w w:val="100"/>
            <w:position w:val="5"/>
            <w:sz w:val="22"/>
            <w:u w:val="none"/>
          </w:rPr>
          <w:t>引用标准名录</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cs="Calibri"/>
          <w:spacing w:val="13"/>
          <w:w w:val="100"/>
        </w:rPr>
        <w:tab/>
      </w:r>
      <w:r>
        <w:rPr>
          <w:rFonts w:ascii="Microsoft YaHei UI" w:hAnsi="Microsoft YaHei UI" w:cs="Microsoft YaHei UI"/>
          <w:b/>
          <w:color w:val="000000"/>
          <w:spacing w:val="13"/>
          <w:w w:val="80"/>
          <w:position w:val="0"/>
          <w:sz w:val="20"/>
          <w:u w:val="none"/>
        </w:rPr>
        <w:t>38</w:t>
      </w:r>
    </w:p>
    <w:p>
      <w:pPr>
        <w:tabs>
          <w:tab w:val="left" w:pos="420"/>
        </w:tabs>
        <w:spacing w:before="0" w:after="0" w:line="452" w:lineRule="exact"/>
        <w:ind w:left="60" w:firstLine="0"/>
        <w:jc w:val="left"/>
      </w:pPr>
      <w:hyperlink w:anchor="50" w:history="1">
        <w:r>
          <w:rPr>
            <w:rStyle w:val="Hyperlink"/>
            <w:rFonts w:ascii="Microsoft YaHei UI" w:hAnsi="Microsoft YaHei UI" w:cs="Microsoft YaHei UI"/>
            <w:color w:val="000000"/>
            <w:spacing w:val="10"/>
            <w:w w:val="100"/>
            <w:position w:val="0"/>
            <w:sz w:val="22"/>
            <w:u w:val="none"/>
          </w:rPr>
          <w:t>1</w:t>
        </w:r>
      </w:hyperlink>
      <w:r>
        <w:rPr>
          <w:rFonts w:cs="Calibri"/>
          <w:w w:val="100"/>
        </w:rPr>
        <w:tab/>
      </w:r>
      <w:hyperlink w:anchor="50" w:history="1">
        <w:r>
          <w:rPr>
            <w:rStyle w:val="Hyperlink"/>
            <w:rFonts w:ascii="宋体" w:eastAsia="宋体" w:hAnsi="宋体" w:cs="宋体"/>
            <w:color w:val="000000"/>
            <w:spacing w:val="0"/>
            <w:w w:val="100"/>
            <w:position w:val="7"/>
            <w:sz w:val="22"/>
            <w:u w:val="none"/>
          </w:rPr>
          <w:t>总则</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43</w:t>
      </w:r>
    </w:p>
    <w:p>
      <w:pPr>
        <w:tabs>
          <w:tab w:val="left" w:pos="420"/>
        </w:tabs>
        <w:spacing w:before="0" w:after="0" w:line="432" w:lineRule="exact"/>
        <w:ind w:left="60" w:firstLine="0"/>
        <w:jc w:val="left"/>
      </w:pPr>
      <w:hyperlink w:anchor="51" w:history="1">
        <w:r>
          <w:rPr>
            <w:rStyle w:val="Hyperlink"/>
            <w:rFonts w:ascii="Microsoft YaHei UI" w:hAnsi="Microsoft YaHei UI" w:cs="Microsoft YaHei UI"/>
            <w:color w:val="000000"/>
            <w:spacing w:val="10"/>
            <w:w w:val="100"/>
            <w:position w:val="0"/>
            <w:sz w:val="22"/>
            <w:u w:val="none"/>
          </w:rPr>
          <w:t>3</w:t>
        </w:r>
      </w:hyperlink>
      <w:r>
        <w:rPr>
          <w:rFonts w:cs="Calibri"/>
          <w:w w:val="100"/>
        </w:rPr>
        <w:tab/>
      </w:r>
      <w:hyperlink w:anchor="51" w:history="1">
        <w:r>
          <w:rPr>
            <w:rStyle w:val="Hyperlink"/>
            <w:rFonts w:ascii="宋体" w:eastAsia="宋体" w:hAnsi="宋体" w:cs="宋体"/>
            <w:color w:val="000000"/>
            <w:spacing w:val="0"/>
            <w:w w:val="100"/>
            <w:position w:val="7"/>
            <w:sz w:val="22"/>
            <w:u w:val="none"/>
          </w:rPr>
          <w:t>材料与设计指标</w:t>
        </w:r>
      </w:hyperlink>
      <w:r>
        <w:rPr>
          <w:rFonts w:ascii="Calibri" w:hAnsi="Calibri" w:cs="Calibri"/>
          <w:b/>
          <w:color w:val="000000"/>
          <w:spacing w:val="-7"/>
          <w:w w:val="100"/>
          <w:sz w:val="20"/>
          <w:u w:val="none"/>
        </w:rPr>
        <w:t> </w:t>
      </w:r>
      <w:hyperlink w:anchor="51"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6"/>
          <w:w w:val="100"/>
          <w:sz w:val="20"/>
          <w:u w:val="none"/>
        </w:rPr>
        <w:t> </w:t>
      </w:r>
      <w:hyperlink w:anchor="51" w:history="1">
        <w:r>
          <w:rPr>
            <w:rStyle w:val="Hyperlink"/>
            <w:rFonts w:ascii="Microsoft YaHei UI" w:hAnsi="Microsoft YaHei UI" w:cs="Microsoft YaHei UI"/>
            <w:b/>
            <w:color w:val="000000"/>
            <w:spacing w:val="13"/>
            <w:w w:val="80"/>
            <w:position w:val="0"/>
            <w:sz w:val="20"/>
            <w:u w:val="none"/>
          </w:rPr>
          <w:t>44</w:t>
        </w:r>
      </w:hyperlink>
    </w:p>
    <w:p>
      <w:pPr>
        <w:tabs>
          <w:tab w:val="left" w:pos="631"/>
        </w:tabs>
        <w:spacing w:before="0" w:after="0" w:line="432" w:lineRule="exact"/>
        <w:ind w:left="60" w:firstLine="0"/>
        <w:jc w:val="left"/>
      </w:pPr>
      <w:hyperlink w:anchor="51" w:history="1">
        <w:r>
          <w:rPr>
            <w:rStyle w:val="Hyperlink"/>
            <w:rFonts w:ascii="Microsoft YaHei UI" w:hAnsi="Microsoft YaHei UI" w:cs="Microsoft YaHei UI"/>
            <w:color w:val="000000"/>
            <w:spacing w:val="11"/>
            <w:w w:val="100"/>
            <w:position w:val="0"/>
            <w:sz w:val="22"/>
            <w:u w:val="none"/>
          </w:rPr>
          <w:t>3.1</w:t>
        </w:r>
      </w:hyperlink>
      <w:r>
        <w:rPr>
          <w:rFonts w:cs="Calibri"/>
          <w:color w:val="000000"/>
          <w:w w:val="100"/>
          <w:u w:val="none"/>
        </w:rPr>
        <w:tab/>
      </w:r>
      <w:hyperlink w:anchor="51" w:history="1">
        <w:r>
          <w:rPr>
            <w:rStyle w:val="Hyperlink"/>
            <w:rFonts w:ascii="宋体" w:eastAsia="宋体" w:hAnsi="宋体" w:cs="宋体"/>
            <w:color w:val="000000"/>
            <w:spacing w:val="0"/>
            <w:w w:val="100"/>
            <w:position w:val="7"/>
            <w:sz w:val="22"/>
            <w:u w:val="none"/>
          </w:rPr>
          <w:t>材料选用</w:t>
        </w:r>
      </w:hyperlink>
      <w:r>
        <w:rPr>
          <w:rFonts w:ascii="Calibri" w:hAnsi="Calibri" w:cs="Calibri"/>
          <w:b/>
          <w:color w:val="000000"/>
          <w:spacing w:val="-10"/>
          <w:w w:val="100"/>
          <w:sz w:val="20"/>
          <w:u w:val="none"/>
        </w:rPr>
        <w:t> </w:t>
      </w:r>
      <w:hyperlink w:anchor="51"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11"/>
          <w:w w:val="100"/>
          <w:sz w:val="20"/>
          <w:u w:val="none"/>
        </w:rPr>
        <w:t> </w:t>
      </w:r>
      <w:hyperlink w:anchor="51" w:history="1">
        <w:r>
          <w:rPr>
            <w:rStyle w:val="Hyperlink"/>
            <w:rFonts w:ascii="Microsoft YaHei UI" w:hAnsi="Microsoft YaHei UI" w:cs="Microsoft YaHei UI"/>
            <w:b/>
            <w:color w:val="000000"/>
            <w:spacing w:val="13"/>
            <w:w w:val="80"/>
            <w:position w:val="0"/>
            <w:sz w:val="20"/>
            <w:u w:val="none"/>
          </w:rPr>
          <w:t>44</w:t>
        </w:r>
      </w:hyperlink>
    </w:p>
    <w:p>
      <w:pPr>
        <w:tabs>
          <w:tab w:val="left" w:pos="420"/>
        </w:tabs>
        <w:spacing w:before="0" w:after="0" w:line="432" w:lineRule="exact"/>
        <w:ind w:left="60" w:firstLine="0"/>
        <w:jc w:val="left"/>
      </w:pPr>
      <w:hyperlink w:anchor="52" w:history="1">
        <w:r>
          <w:rPr>
            <w:rStyle w:val="Hyperlink"/>
            <w:rFonts w:ascii="Microsoft YaHei UI" w:hAnsi="Microsoft YaHei UI" w:cs="Microsoft YaHei UI"/>
            <w:color w:val="000000"/>
            <w:spacing w:val="10"/>
            <w:w w:val="100"/>
            <w:position w:val="0"/>
            <w:sz w:val="22"/>
            <w:u w:val="none"/>
          </w:rPr>
          <w:t>5</w:t>
        </w:r>
      </w:hyperlink>
      <w:r>
        <w:rPr>
          <w:rFonts w:cs="Calibri"/>
          <w:w w:val="100"/>
        </w:rPr>
        <w:tab/>
      </w:r>
      <w:hyperlink w:anchor="52" w:history="1">
        <w:r>
          <w:rPr>
            <w:rStyle w:val="Hyperlink"/>
            <w:rFonts w:ascii="宋体" w:eastAsia="宋体" w:hAnsi="宋体" w:cs="宋体"/>
            <w:color w:val="000000"/>
            <w:spacing w:val="0"/>
            <w:w w:val="100"/>
            <w:position w:val="7"/>
            <w:sz w:val="22"/>
            <w:u w:val="none"/>
          </w:rPr>
          <w:t>结构设计</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45</w:t>
      </w:r>
    </w:p>
    <w:p>
      <w:pPr>
        <w:tabs>
          <w:tab w:val="left" w:pos="840"/>
        </w:tabs>
        <w:spacing w:before="0" w:after="0" w:line="432" w:lineRule="exact"/>
        <w:ind w:left="60" w:firstLine="0"/>
        <w:jc w:val="left"/>
      </w:pPr>
      <w:hyperlink w:anchor="52" w:history="1">
        <w:r>
          <w:rPr>
            <w:rStyle w:val="Hyperlink"/>
            <w:rFonts w:ascii="Microsoft YaHei UI" w:hAnsi="Microsoft YaHei UI" w:cs="Microsoft YaHei UI"/>
            <w:color w:val="000000"/>
            <w:spacing w:val="12"/>
            <w:w w:val="100"/>
            <w:position w:val="0"/>
            <w:sz w:val="22"/>
            <w:u w:val="none"/>
          </w:rPr>
          <w:t>5.2.4</w:t>
        </w:r>
      </w:hyperlink>
      <w:r>
        <w:rPr>
          <w:rFonts w:cs="Calibri"/>
          <w:color w:val="000000"/>
          <w:w w:val="100"/>
          <w:u w:val="none"/>
        </w:rPr>
        <w:tab/>
      </w:r>
      <w:hyperlink w:anchor="52" w:history="1">
        <w:r>
          <w:rPr>
            <w:rStyle w:val="Hyperlink"/>
            <w:rFonts w:ascii="宋体" w:eastAsia="宋体" w:hAnsi="宋体" w:cs="宋体"/>
            <w:color w:val="000000"/>
            <w:spacing w:val="0"/>
            <w:w w:val="100"/>
            <w:position w:val="7"/>
            <w:sz w:val="22"/>
            <w:u w:val="none"/>
          </w:rPr>
          <w:t>构造的一般规定</w:t>
        </w:r>
      </w:hyperlink>
      <w:r>
        <w:rPr>
          <w:rFonts w:ascii="Calibri" w:hAnsi="Calibri" w:cs="Calibri"/>
          <w:b/>
          <w:color w:val="000000"/>
          <w:spacing w:val="-7"/>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45</w:t>
      </w:r>
    </w:p>
    <w:p>
      <w:pPr>
        <w:tabs>
          <w:tab w:val="left" w:pos="840"/>
        </w:tabs>
        <w:spacing w:before="0" w:after="0" w:line="432" w:lineRule="exact"/>
        <w:ind w:left="60" w:firstLine="0"/>
        <w:jc w:val="left"/>
      </w:pPr>
      <w:hyperlink w:anchor="52" w:history="1">
        <w:r>
          <w:rPr>
            <w:rStyle w:val="Hyperlink"/>
            <w:rFonts w:ascii="Microsoft YaHei UI" w:hAnsi="Microsoft YaHei UI" w:cs="Microsoft YaHei UI"/>
            <w:color w:val="000000"/>
            <w:spacing w:val="12"/>
            <w:w w:val="100"/>
            <w:position w:val="0"/>
            <w:sz w:val="22"/>
            <w:u w:val="none"/>
          </w:rPr>
          <w:t>5.3.2</w:t>
        </w:r>
      </w:hyperlink>
      <w:r>
        <w:rPr>
          <w:rFonts w:cs="Calibri"/>
          <w:color w:val="000000"/>
          <w:w w:val="100"/>
          <w:u w:val="none"/>
        </w:rPr>
        <w:tab/>
      </w:r>
      <w:hyperlink w:anchor="52" w:history="1">
        <w:r>
          <w:rPr>
            <w:rStyle w:val="Hyperlink"/>
            <w:rFonts w:ascii="宋体" w:eastAsia="宋体" w:hAnsi="宋体" w:cs="宋体"/>
            <w:color w:val="000000"/>
            <w:spacing w:val="0"/>
            <w:w w:val="100"/>
            <w:position w:val="7"/>
            <w:sz w:val="22"/>
            <w:u w:val="none"/>
          </w:rPr>
          <w:t>楼盖构造</w:t>
        </w:r>
      </w:hyperlink>
      <w:r>
        <w:rPr>
          <w:rFonts w:ascii="Calibri" w:hAnsi="Calibri" w:cs="Calibri"/>
          <w:b/>
          <w:color w:val="000000"/>
          <w:spacing w:val="-7"/>
          <w:w w:val="100"/>
          <w:sz w:val="20"/>
          <w:u w:val="none"/>
        </w:rPr>
        <w:t> </w:t>
      </w:r>
      <w:hyperlink w:anchor="5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52" w:history="1">
        <w:r>
          <w:rPr>
            <w:rStyle w:val="Hyperlink"/>
            <w:rFonts w:ascii="Microsoft YaHei UI" w:hAnsi="Microsoft YaHei UI" w:cs="Microsoft YaHei UI"/>
            <w:b/>
            <w:color w:val="000000"/>
            <w:spacing w:val="13"/>
            <w:w w:val="80"/>
            <w:position w:val="0"/>
            <w:sz w:val="20"/>
            <w:u w:val="none"/>
          </w:rPr>
          <w:t>45</w:t>
        </w:r>
      </w:hyperlink>
    </w:p>
    <w:p>
      <w:pPr>
        <w:tabs>
          <w:tab w:val="left" w:pos="840"/>
        </w:tabs>
        <w:spacing w:before="0" w:after="0" w:line="432" w:lineRule="exact"/>
        <w:ind w:left="60" w:firstLine="0"/>
        <w:jc w:val="left"/>
      </w:pPr>
      <w:hyperlink w:anchor="52" w:history="1">
        <w:r>
          <w:rPr>
            <w:rStyle w:val="Hyperlink"/>
            <w:rFonts w:ascii="Microsoft YaHei UI" w:hAnsi="Microsoft YaHei UI" w:cs="Microsoft YaHei UI"/>
            <w:color w:val="000000"/>
            <w:spacing w:val="12"/>
            <w:w w:val="100"/>
            <w:position w:val="0"/>
            <w:sz w:val="22"/>
            <w:u w:val="none"/>
          </w:rPr>
          <w:t>5.4.1</w:t>
        </w:r>
      </w:hyperlink>
      <w:r>
        <w:rPr>
          <w:rFonts w:cs="Calibri"/>
          <w:color w:val="000000"/>
          <w:w w:val="100"/>
          <w:u w:val="none"/>
        </w:rPr>
        <w:tab/>
      </w:r>
      <w:hyperlink w:anchor="52" w:history="1">
        <w:r>
          <w:rPr>
            <w:rStyle w:val="Hyperlink"/>
            <w:rFonts w:ascii="宋体" w:eastAsia="宋体" w:hAnsi="宋体" w:cs="宋体"/>
            <w:color w:val="000000"/>
            <w:spacing w:val="0"/>
            <w:w w:val="100"/>
            <w:position w:val="7"/>
            <w:sz w:val="22"/>
            <w:u w:val="none"/>
          </w:rPr>
          <w:t>一般规定</w:t>
        </w:r>
      </w:hyperlink>
      <w:r>
        <w:rPr>
          <w:rFonts w:ascii="Calibri" w:hAnsi="Calibri" w:cs="Calibri"/>
          <w:b/>
          <w:color w:val="000000"/>
          <w:spacing w:val="-7"/>
          <w:w w:val="100"/>
          <w:sz w:val="20"/>
          <w:u w:val="none"/>
        </w:rPr>
        <w:t> </w:t>
      </w:r>
      <w:hyperlink w:anchor="52"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5"/>
          <w:w w:val="100"/>
          <w:sz w:val="20"/>
          <w:u w:val="none"/>
        </w:rPr>
        <w:t> </w:t>
      </w:r>
      <w:hyperlink w:anchor="52" w:history="1">
        <w:r>
          <w:rPr>
            <w:rStyle w:val="Hyperlink"/>
            <w:rFonts w:ascii="Microsoft YaHei UI" w:hAnsi="Microsoft YaHei UI" w:cs="Microsoft YaHei UI"/>
            <w:b/>
            <w:color w:val="000000"/>
            <w:spacing w:val="13"/>
            <w:w w:val="80"/>
            <w:position w:val="0"/>
            <w:sz w:val="20"/>
            <w:u w:val="none"/>
          </w:rPr>
          <w:t>45</w:t>
        </w:r>
      </w:hyperlink>
    </w:p>
    <w:p>
      <w:pPr>
        <w:tabs>
          <w:tab w:val="left" w:pos="420"/>
        </w:tabs>
        <w:spacing w:before="0" w:after="0" w:line="432" w:lineRule="exact"/>
        <w:ind w:left="60" w:firstLine="0"/>
        <w:jc w:val="left"/>
      </w:pPr>
      <w:hyperlink w:anchor="53" w:history="1">
        <w:r>
          <w:rPr>
            <w:rStyle w:val="Hyperlink"/>
            <w:rFonts w:ascii="Microsoft YaHei UI" w:hAnsi="Microsoft YaHei UI" w:cs="Microsoft YaHei UI"/>
            <w:color w:val="000000"/>
            <w:spacing w:val="10"/>
            <w:w w:val="100"/>
            <w:position w:val="0"/>
            <w:sz w:val="22"/>
            <w:u w:val="none"/>
          </w:rPr>
          <w:t>6</w:t>
        </w:r>
      </w:hyperlink>
      <w:r>
        <w:rPr>
          <w:rFonts w:cs="Calibri"/>
          <w:w w:val="100"/>
        </w:rPr>
        <w:tab/>
      </w:r>
      <w:hyperlink w:anchor="53" w:history="1">
        <w:r>
          <w:rPr>
            <w:rStyle w:val="Hyperlink"/>
            <w:rFonts w:ascii="宋体" w:hAnsi="宋体" w:cs="宋体"/>
            <w:color w:val="000000"/>
            <w:spacing w:val="0"/>
            <w:w w:val="100"/>
            <w:position w:val="7"/>
            <w:sz w:val="22"/>
            <w:u w:val="none"/>
          </w:rPr>
          <w:t>制作、防腐、安装及验收</w:t>
        </w:r>
      </w:hyperlink>
      <w:r>
        <w:rPr>
          <w:rFonts w:ascii="Calibri" w:hAnsi="Calibri" w:cs="Calibri"/>
          <w:b/>
          <w:color w:val="000000"/>
          <w:spacing w:val="-10"/>
          <w:w w:val="100"/>
          <w:sz w:val="20"/>
          <w:u w:val="none"/>
        </w:rPr>
        <w:t> </w:t>
      </w:r>
      <w:hyperlink w:anchor="53" w:history="1">
        <w:r>
          <w:rPr>
            <w:rStyle w:val="Hyperlink"/>
            <w:rFonts w:ascii="Microsoft YaHei UI" w:hAnsi="Microsoft YaHei UI" w:cs="Microsoft YaHei UI"/>
            <w:b/>
            <w:color w:val="000000"/>
            <w:spacing w:val="17"/>
            <w:w w:val="80"/>
            <w:position w:val="0"/>
            <w:sz w:val="20"/>
            <w:u w:val="none"/>
          </w:rPr>
          <w:t>.....................................................................................</w:t>
        </w:r>
      </w:hyperlink>
      <w:r>
        <w:rPr>
          <w:rFonts w:ascii="Calibri" w:hAnsi="Calibri" w:cs="Calibri"/>
          <w:b/>
          <w:color w:val="000000"/>
          <w:spacing w:val="0"/>
          <w:w w:val="162"/>
          <w:sz w:val="20"/>
          <w:u w:val="none"/>
        </w:rPr>
        <w:t> </w:t>
      </w:r>
      <w:hyperlink w:anchor="53" w:history="1">
        <w:r>
          <w:rPr>
            <w:rStyle w:val="Hyperlink"/>
            <w:rFonts w:ascii="Microsoft YaHei UI" w:hAnsi="Microsoft YaHei UI" w:cs="Microsoft YaHei UI"/>
            <w:b/>
            <w:color w:val="000000"/>
            <w:spacing w:val="13"/>
            <w:w w:val="80"/>
            <w:position w:val="0"/>
            <w:sz w:val="20"/>
            <w:u w:val="none"/>
          </w:rPr>
          <w:t>46</w:t>
        </w:r>
      </w:hyperlink>
    </w:p>
    <w:p>
      <w:pPr>
        <w:tabs>
          <w:tab w:val="left" w:pos="631"/>
        </w:tabs>
        <w:spacing w:before="0" w:after="0" w:line="432" w:lineRule="exact"/>
        <w:ind w:left="60" w:firstLine="0"/>
        <w:jc w:val="left"/>
      </w:pPr>
      <w:hyperlink w:anchor="53" w:history="1">
        <w:r>
          <w:rPr>
            <w:rStyle w:val="Hyperlink"/>
            <w:rFonts w:ascii="Microsoft YaHei UI" w:hAnsi="Microsoft YaHei UI" w:cs="Microsoft YaHei UI"/>
            <w:color w:val="000000"/>
            <w:spacing w:val="11"/>
            <w:w w:val="100"/>
            <w:position w:val="0"/>
            <w:sz w:val="22"/>
            <w:u w:val="none"/>
          </w:rPr>
          <w:t>6.1</w:t>
        </w:r>
      </w:hyperlink>
      <w:r>
        <w:rPr>
          <w:rFonts w:cs="Calibri"/>
          <w:color w:val="000000"/>
          <w:w w:val="100"/>
          <w:u w:val="none"/>
        </w:rPr>
        <w:tab/>
      </w:r>
      <w:hyperlink w:anchor="53" w:history="1">
        <w:r>
          <w:rPr>
            <w:rStyle w:val="Hyperlink"/>
            <w:rFonts w:ascii="宋体" w:eastAsia="宋体" w:hAnsi="宋体" w:cs="宋体"/>
            <w:color w:val="000000"/>
            <w:spacing w:val="0"/>
            <w:w w:val="100"/>
            <w:position w:val="7"/>
            <w:sz w:val="22"/>
            <w:u w:val="none"/>
          </w:rPr>
          <w:t>制作</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46</w:t>
      </w:r>
    </w:p>
    <w:p>
      <w:pPr>
        <w:tabs>
          <w:tab w:val="left" w:pos="631"/>
        </w:tabs>
        <w:spacing w:before="0" w:after="0" w:line="432" w:lineRule="exact"/>
        <w:ind w:left="60" w:firstLine="0"/>
        <w:jc w:val="left"/>
      </w:pPr>
      <w:hyperlink w:anchor="53" w:history="1">
        <w:r>
          <w:rPr>
            <w:rStyle w:val="Hyperlink"/>
            <w:rFonts w:ascii="Microsoft YaHei UI" w:hAnsi="Microsoft YaHei UI" w:cs="Microsoft YaHei UI"/>
            <w:color w:val="000000"/>
            <w:spacing w:val="11"/>
            <w:w w:val="100"/>
            <w:position w:val="0"/>
            <w:sz w:val="22"/>
            <w:u w:val="none"/>
          </w:rPr>
          <w:t>6.2</w:t>
        </w:r>
      </w:hyperlink>
      <w:r>
        <w:rPr>
          <w:rFonts w:cs="Calibri"/>
          <w:color w:val="000000"/>
          <w:w w:val="100"/>
          <w:u w:val="none"/>
        </w:rPr>
        <w:tab/>
      </w:r>
      <w:hyperlink w:anchor="53" w:history="1">
        <w:r>
          <w:rPr>
            <w:rStyle w:val="Hyperlink"/>
            <w:rFonts w:ascii="宋体" w:eastAsia="宋体" w:hAnsi="宋体" w:cs="宋体"/>
            <w:color w:val="000000"/>
            <w:spacing w:val="0"/>
            <w:w w:val="100"/>
            <w:position w:val="7"/>
            <w:sz w:val="22"/>
            <w:u w:val="none"/>
          </w:rPr>
          <w:t>防腐</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46</w:t>
      </w:r>
    </w:p>
    <w:p>
      <w:pPr>
        <w:tabs>
          <w:tab w:val="left" w:pos="631"/>
        </w:tabs>
        <w:spacing w:before="0" w:after="0" w:line="432" w:lineRule="exact"/>
        <w:ind w:left="60" w:firstLine="0"/>
        <w:jc w:val="left"/>
      </w:pPr>
      <w:hyperlink w:anchor="53" w:history="1">
        <w:r>
          <w:rPr>
            <w:rStyle w:val="Hyperlink"/>
            <w:rFonts w:ascii="Microsoft YaHei UI" w:hAnsi="Microsoft YaHei UI" w:cs="Microsoft YaHei UI"/>
            <w:color w:val="000000"/>
            <w:spacing w:val="11"/>
            <w:w w:val="100"/>
            <w:position w:val="0"/>
            <w:sz w:val="22"/>
            <w:u w:val="none"/>
          </w:rPr>
          <w:t>6.3</w:t>
        </w:r>
      </w:hyperlink>
      <w:r>
        <w:rPr>
          <w:rFonts w:cs="Calibri"/>
          <w:color w:val="000000"/>
          <w:w w:val="100"/>
          <w:u w:val="none"/>
        </w:rPr>
        <w:tab/>
      </w:r>
      <w:hyperlink w:anchor="53" w:history="1">
        <w:r>
          <w:rPr>
            <w:rStyle w:val="Hyperlink"/>
            <w:rFonts w:ascii="宋体" w:eastAsia="宋体" w:hAnsi="宋体" w:cs="宋体"/>
            <w:color w:val="000000"/>
            <w:spacing w:val="0"/>
            <w:w w:val="100"/>
            <w:position w:val="7"/>
            <w:sz w:val="22"/>
            <w:u w:val="none"/>
          </w:rPr>
          <w:t>安装</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46</w:t>
      </w:r>
    </w:p>
    <w:p>
      <w:pPr>
        <w:tabs>
          <w:tab w:val="left" w:pos="631"/>
        </w:tabs>
        <w:spacing w:before="0" w:after="0" w:line="432" w:lineRule="exact"/>
        <w:ind w:left="60" w:firstLine="0"/>
        <w:jc w:val="left"/>
      </w:pPr>
      <w:hyperlink w:anchor="53" w:history="1">
        <w:r>
          <w:rPr>
            <w:rStyle w:val="Hyperlink"/>
            <w:rFonts w:ascii="Microsoft YaHei UI" w:hAnsi="Microsoft YaHei UI" w:cs="Microsoft YaHei UI"/>
            <w:color w:val="000000"/>
            <w:spacing w:val="11"/>
            <w:w w:val="100"/>
            <w:position w:val="0"/>
            <w:sz w:val="22"/>
            <w:u w:val="none"/>
          </w:rPr>
          <w:t>6.4</w:t>
        </w:r>
      </w:hyperlink>
      <w:r>
        <w:rPr>
          <w:rFonts w:cs="Calibri"/>
          <w:color w:val="000000"/>
          <w:w w:val="100"/>
          <w:u w:val="none"/>
        </w:rPr>
        <w:tab/>
      </w:r>
      <w:hyperlink w:anchor="53" w:history="1">
        <w:r>
          <w:rPr>
            <w:rStyle w:val="Hyperlink"/>
            <w:rFonts w:ascii="宋体" w:eastAsia="宋体" w:hAnsi="宋体" w:cs="宋体"/>
            <w:color w:val="000000"/>
            <w:spacing w:val="0"/>
            <w:w w:val="100"/>
            <w:position w:val="7"/>
            <w:sz w:val="22"/>
            <w:u w:val="none"/>
          </w:rPr>
          <w:t>验收</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46</w:t>
      </w:r>
    </w:p>
    <w:p>
      <w:pPr>
        <w:tabs>
          <w:tab w:val="left" w:pos="631"/>
        </w:tabs>
        <w:spacing w:before="0" w:after="0" w:line="432" w:lineRule="exact"/>
        <w:ind w:left="60" w:firstLine="0"/>
        <w:jc w:val="left"/>
      </w:pPr>
      <w:hyperlink w:anchor="53" w:history="1">
        <w:r>
          <w:rPr>
            <w:rStyle w:val="Hyperlink"/>
            <w:rFonts w:ascii="Microsoft YaHei UI" w:hAnsi="Microsoft YaHei UI" w:cs="Microsoft YaHei UI"/>
            <w:color w:val="000000"/>
            <w:spacing w:val="11"/>
            <w:w w:val="100"/>
            <w:position w:val="0"/>
            <w:sz w:val="22"/>
            <w:u w:val="none"/>
          </w:rPr>
          <w:t>6.5</w:t>
        </w:r>
      </w:hyperlink>
      <w:r>
        <w:rPr>
          <w:rFonts w:cs="Calibri"/>
          <w:color w:val="000000"/>
          <w:w w:val="100"/>
          <w:u w:val="none"/>
        </w:rPr>
        <w:tab/>
      </w:r>
      <w:hyperlink w:anchor="53" w:history="1">
        <w:r>
          <w:rPr>
            <w:rStyle w:val="Hyperlink"/>
            <w:rFonts w:ascii="宋体" w:eastAsia="宋体" w:hAnsi="宋体" w:cs="宋体"/>
            <w:color w:val="000000"/>
            <w:spacing w:val="0"/>
            <w:w w:val="100"/>
            <w:position w:val="7"/>
            <w:sz w:val="22"/>
            <w:u w:val="none"/>
          </w:rPr>
          <w:t>防火</w:t>
        </w:r>
      </w:hyperlink>
      <w:r>
        <w:rPr>
          <w:rFonts w:ascii="Calibri" w:hAnsi="Calibri" w:cs="Calibri"/>
          <w:b/>
          <w:color w:val="000000"/>
          <w:spacing w:val="-10"/>
          <w:w w:val="100"/>
          <w:sz w:val="20"/>
          <w:u w:val="none"/>
        </w:rPr>
        <w:t> </w:t>
      </w:r>
      <w:r>
        <w:rPr>
          <w:rFonts w:ascii="Microsoft YaHei UI" w:hAnsi="Microsoft YaHei UI" w:cs="Microsoft YaHei UI"/>
          <w:b/>
          <w:color w:val="000000"/>
          <w:spacing w:val="18"/>
          <w:w w:val="80"/>
          <w:position w:val="0"/>
          <w:sz w:val="20"/>
          <w:u w:val="none"/>
        </w:rPr>
        <w:t>............................................................................................................</w:t>
      </w:r>
      <w:r>
        <w:rPr>
          <w:rFonts w:ascii="Microsoft YaHei UI" w:hAnsi="Microsoft YaHei UI" w:cs="Microsoft YaHei UI"/>
          <w:b/>
          <w:color w:val="000000"/>
          <w:spacing w:val="13"/>
          <w:w w:val="80"/>
          <w:position w:val="0"/>
          <w:sz w:val="20"/>
          <w:u w:val="none"/>
        </w:rPr>
        <w:t>46</w:t>
      </w:r>
    </w:p>
    <w:p>
      <w:pPr>
        <w:widowControl/>
        <w:jc w:val="left"/>
        <w:sectPr>
          <w:type w:val="continuous"/>
          <w:pgSz w:w="11907" w:h="16839"/>
          <w:pgMar w:top="736" w:right="713" w:bottom="496" w:left="1073" w:header="0" w:footer="0" w:gutter="0"/>
          <w:pgNumType w:start="21"/>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1" w:lineRule="exact"/>
        <w:ind w:left="60" w:firstLine="0"/>
      </w:pPr>
    </w:p>
    <w:p>
      <w:pPr>
        <w:widowControl/>
        <w:jc w:val="left"/>
        <w:sectPr>
          <w:type w:val="continuous"/>
          <w:pgSz w:w="11907" w:h="16839"/>
          <w:pgMar w:top="736" w:right="713" w:bottom="496" w:left="1073" w:header="0" w:footer="0" w:gutter="0"/>
          <w:pgNumType w:start="22"/>
          <w:cols w:num="1" w:space="720"/>
          <w:docGrid w:type="lines" w:linePitch="312" w:charSpace="0"/>
        </w:sectPr>
      </w:pPr>
    </w:p>
    <w:p>
      <w:pPr>
        <w:spacing w:before="0" w:after="0" w:line="217" w:lineRule="exact"/>
        <w:ind w:left="9521" w:firstLine="0"/>
        <w:jc w:val="left"/>
      </w:pPr>
      <w:r>
        <w:rPr>
          <w:rFonts w:ascii="Microsoft YaHei UI" w:hAnsi="Microsoft YaHei UI" w:cs="Microsoft YaHei UI"/>
          <w:color w:val="000000"/>
          <w:spacing w:val="5"/>
          <w:w w:val="100"/>
          <w:position w:val="0"/>
          <w:sz w:val="18"/>
          <w:u w:val="none"/>
        </w:rPr>
        <w:t>III</w:t>
      </w:r>
    </w:p>
    <w:p>
      <w:pPr>
        <w:widowControl/>
        <w:jc w:val="left"/>
        <w:sectPr>
          <w:type w:val="continuous"/>
          <w:pgSz w:w="11907" w:h="16839"/>
          <w:pgMar w:top="736" w:right="713" w:bottom="496" w:left="1073" w:header="0" w:footer="0" w:gutter="0"/>
          <w:pgNumType w:start="23"/>
          <w:cols w:num="1" w:space="708" w:equalWidth="0">
            <w:col w:w="10121"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5" w:lineRule="exact"/>
        <w:ind w:left="1033" w:firstLine="0"/>
        <w:jc w:val="left"/>
        <w:rPr>
          <w:rFonts w:hint="eastAsia"/>
        </w:rPr>
        <w:sectPr>
          <w:type w:val="continuous"/>
          <w:pgSz w:w="11907" w:h="16840"/>
          <w:pgMar w:top="1440" w:right="1440" w:bottom="1200" w:left="1800" w:header="0" w:footer="0" w:gutter="0"/>
          <w:pgNumType w:start="24"/>
          <w:cols w:num="1" w:space="720"/>
        </w:sectPr>
      </w:pPr>
    </w:p>
    <w:p>
      <w:pPr>
        <w:spacing w:before="0" w:after="0" w:line="72" w:lineRule="exact"/>
      </w:pPr>
      <w:bookmarkStart w:id="8" w:name="8"/>
      <w:bookmarkEnd w:id="8"/>
    </w:p>
    <w:p>
      <w:pPr>
        <w:widowControl/>
        <w:jc w:val="left"/>
        <w:sectPr>
          <w:type w:val="continuous"/>
          <w:pgSz w:w="11907" w:h="16839"/>
          <w:pgMar w:top="736" w:right="713" w:bottom="496" w:left="1073" w:header="0" w:footer="0" w:gutter="0"/>
          <w:pgNumType w:start="25"/>
          <w:cols w:num="1" w:space="720"/>
          <w:docGrid w:type="lines" w:linePitch="312" w:charSpace="0"/>
        </w:sectPr>
      </w:pPr>
    </w:p>
    <w:p>
      <w:pPr>
        <w:spacing w:before="0" w:after="0" w:line="212" w:lineRule="exact"/>
        <w:ind w:left="60" w:firstLine="7855"/>
        <w:jc w:val="left"/>
      </w:pP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60" w:firstLine="7855"/>
      </w:pPr>
    </w:p>
    <w:p>
      <w:pPr>
        <w:spacing w:before="0" w:after="0" w:line="240" w:lineRule="exact"/>
        <w:ind w:left="60" w:firstLine="7855"/>
      </w:pPr>
    </w:p>
    <w:p>
      <w:pPr>
        <w:tabs>
          <w:tab w:val="left" w:pos="5016"/>
        </w:tabs>
        <w:spacing w:before="0" w:after="0" w:line="329" w:lineRule="exact"/>
        <w:ind w:left="60" w:firstLine="4505"/>
        <w:jc w:val="left"/>
      </w:pPr>
      <w:r>
        <w:rPr>
          <w:rFonts w:ascii="黑体" w:hAnsi="黑体" w:cs="黑体"/>
          <w:color w:val="000000"/>
          <w:spacing w:val="-1"/>
          <w:w w:val="100"/>
          <w:position w:val="0"/>
          <w:sz w:val="30"/>
          <w:u w:val="none"/>
        </w:rPr>
        <w:t>1</w:t>
      </w:r>
      <w:r>
        <w:rPr>
          <w:rFonts w:cs="Calibri"/>
          <w:color w:val="000000"/>
          <w:spacing w:val="18"/>
          <w:w w:val="100"/>
          <w:u w:val="none"/>
        </w:rPr>
        <w:tab/>
      </w:r>
      <w:r>
        <w:rPr>
          <w:rFonts w:ascii="黑体" w:eastAsia="黑体" w:hAnsi="黑体" w:cs="黑体"/>
          <w:color w:val="000000"/>
          <w:spacing w:val="-1"/>
          <w:w w:val="100"/>
          <w:position w:val="0"/>
          <w:sz w:val="30"/>
          <w:u w:val="none"/>
        </w:rPr>
        <w:t>总则</w:t>
      </w:r>
    </w:p>
    <w:p>
      <w:pPr>
        <w:spacing w:before="0" w:after="0" w:line="420" w:lineRule="exact"/>
        <w:ind w:left="60" w:firstLine="0"/>
        <w:jc w:val="left"/>
      </w:pPr>
      <w:r>
        <w:rPr>
          <w:rFonts w:ascii="黑体" w:hAnsi="黑体" w:cs="黑体"/>
          <w:color w:val="000000"/>
          <w:spacing w:val="-1"/>
          <w:w w:val="100"/>
          <w:position w:val="0"/>
          <w:sz w:val="21"/>
          <w:u w:val="none"/>
        </w:rPr>
        <w:t>1.0.1</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为贯彻执行国家的技术经济政策，规范低层轻钢结构房屋建筑的</w:t>
      </w:r>
      <w:r>
        <w:rPr>
          <w:rFonts w:ascii="宋体" w:hAnsi="宋体" w:cs="宋体"/>
          <w:color w:val="000000"/>
          <w:spacing w:val="0"/>
          <w:w w:val="100"/>
          <w:position w:val="0"/>
          <w:sz w:val="21"/>
          <w:u w:val="none"/>
        </w:rPr>
        <w:t>设计、</w:t>
      </w:r>
      <w:r>
        <w:rPr>
          <w:rFonts w:ascii="宋体" w:eastAsia="宋体" w:hAnsi="宋体" w:cs="宋体"/>
          <w:color w:val="000000"/>
          <w:spacing w:val="0"/>
          <w:w w:val="100"/>
          <w:position w:val="0"/>
          <w:sz w:val="21"/>
          <w:u w:val="none"/>
        </w:rPr>
        <w:t>施工及验收，做到安全适</w:t>
      </w:r>
    </w:p>
    <w:p>
      <w:pPr>
        <w:spacing w:before="0" w:after="0" w:line="309" w:lineRule="exact"/>
        <w:ind w:left="60" w:firstLine="0"/>
        <w:jc w:val="left"/>
      </w:pPr>
      <w:r>
        <w:rPr>
          <w:rFonts w:ascii="宋体" w:hAnsi="宋体" w:cs="宋体"/>
          <w:color w:val="000000"/>
          <w:spacing w:val="0"/>
          <w:w w:val="100"/>
          <w:position w:val="0"/>
          <w:sz w:val="21"/>
          <w:u w:val="none"/>
        </w:rPr>
        <w:t>用、技术先进、经济合理、确保质量、保护环境，制定本规程。</w:t>
      </w:r>
    </w:p>
    <w:p>
      <w:pPr>
        <w:widowControl/>
        <w:jc w:val="left"/>
        <w:sectPr>
          <w:type w:val="continuous"/>
          <w:pgSz w:w="11907" w:h="16839"/>
          <w:pgMar w:top="736" w:right="713" w:bottom="496" w:left="1073" w:header="0" w:footer="0" w:gutter="0"/>
          <w:pgNumType w:start="26"/>
          <w:cols w:num="1" w:space="708" w:equalWidth="0">
            <w:col w:w="10121" w:space="0"/>
          </w:cols>
          <w:docGrid w:type="lines" w:linePitch="312" w:charSpace="0"/>
        </w:sectPr>
      </w:pPr>
    </w:p>
    <w:p>
      <w:pPr>
        <w:spacing w:before="0" w:after="0" w:line="315" w:lineRule="exact"/>
        <w:ind w:left="60" w:firstLine="0"/>
        <w:jc w:val="left"/>
      </w:pPr>
      <w:r>
        <w:rPr>
          <w:rFonts w:ascii="黑体" w:hAnsi="黑体" w:cs="黑体"/>
          <w:color w:val="000000"/>
          <w:spacing w:val="-1"/>
          <w:w w:val="100"/>
          <w:position w:val="0"/>
          <w:sz w:val="21"/>
          <w:u w:val="none"/>
        </w:rPr>
        <w:t>1.0.2</w:t>
      </w:r>
    </w:p>
    <w:p>
      <w:pPr>
        <w:spacing w:before="0" w:after="0" w:line="379" w:lineRule="exact"/>
        <w:ind w:firstLine="0"/>
        <w:jc w:val="left"/>
      </w:pPr>
      <w:r>
        <w:br w:type="column"/>
      </w:r>
      <w:r>
        <w:rPr>
          <w:rFonts w:ascii="宋体" w:eastAsia="宋体" w:hAnsi="宋体" w:cs="宋体"/>
          <w:color w:val="000000"/>
          <w:spacing w:val="0"/>
          <w:w w:val="100"/>
          <w:position w:val="6"/>
          <w:sz w:val="21"/>
          <w:u w:val="none"/>
        </w:rPr>
        <w:t>本规程适用于以冷弯薄壁型钢为主要承重构件，层数不大于</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0"/>
          <w:w w:val="100"/>
          <w:position w:val="6"/>
          <w:sz w:val="21"/>
          <w:u w:val="none"/>
        </w:rPr>
        <w:t>层，层高度不大于</w:t>
      </w:r>
      <w:r>
        <w:rPr>
          <w:rFonts w:ascii="Calibri" w:hAnsi="Calibri" w:cs="Calibri"/>
          <w:color w:val="000000"/>
          <w:spacing w:val="9"/>
          <w:w w:val="100"/>
          <w:sz w:val="21"/>
          <w:u w:val="none"/>
        </w:rPr>
        <w:t> </w:t>
      </w:r>
      <w:r>
        <w:rPr>
          <w:rFonts w:ascii="宋体" w:hAnsi="宋体" w:cs="宋体"/>
          <w:color w:val="000000"/>
          <w:spacing w:val="-1"/>
          <w:w w:val="100"/>
          <w:position w:val="6"/>
          <w:sz w:val="21"/>
          <w:u w:val="none"/>
        </w:rPr>
        <w:t>4</w:t>
      </w:r>
      <w:r>
        <w:rPr>
          <w:rFonts w:ascii="Calibri" w:hAnsi="Calibri" w:cs="Calibri"/>
          <w:color w:val="000000"/>
          <w:spacing w:val="0"/>
          <w:w w:val="219"/>
          <w:sz w:val="21"/>
          <w:u w:val="none"/>
        </w:rPr>
        <w:t> </w:t>
      </w:r>
      <w:r>
        <w:rPr>
          <w:rFonts w:ascii="宋体" w:hAnsi="宋体" w:cs="宋体"/>
          <w:color w:val="000000"/>
          <w:spacing w:val="-1"/>
          <w:w w:val="100"/>
          <w:position w:val="6"/>
          <w:sz w:val="21"/>
          <w:u w:val="none"/>
        </w:rPr>
        <w:t>m</w:t>
      </w:r>
      <w:r>
        <w:rPr>
          <w:rFonts w:ascii="Calibri" w:hAnsi="Calibri" w:cs="Calibri"/>
          <w:color w:val="000000"/>
          <w:spacing w:val="7"/>
          <w:w w:val="100"/>
          <w:sz w:val="21"/>
          <w:u w:val="none"/>
        </w:rPr>
        <w:t> </w:t>
      </w:r>
      <w:r>
        <w:rPr>
          <w:rFonts w:ascii="宋体" w:eastAsia="宋体" w:hAnsi="宋体" w:cs="宋体"/>
          <w:color w:val="000000"/>
          <w:spacing w:val="0"/>
          <w:w w:val="100"/>
          <w:position w:val="6"/>
          <w:sz w:val="21"/>
          <w:u w:val="none"/>
        </w:rPr>
        <w:t>的低层房屋</w:t>
      </w:r>
    </w:p>
    <w:p>
      <w:pPr>
        <w:widowControl/>
        <w:jc w:val="left"/>
        <w:sectPr>
          <w:type w:val="continuous"/>
          <w:pgSz w:w="11907" w:h="16839"/>
          <w:pgMar w:top="736" w:right="713" w:bottom="496" w:left="1073" w:header="0" w:footer="0" w:gutter="0"/>
          <w:pgNumType w:start="27"/>
          <w:cols w:num="2" w:space="708" w:equalWidth="0">
            <w:col w:w="799" w:space="0"/>
            <w:col w:w="9322" w:space="0"/>
          </w:cols>
          <w:docGrid w:type="lines" w:linePitch="312" w:charSpace="0"/>
        </w:sectPr>
      </w:pPr>
    </w:p>
    <w:p>
      <w:pPr>
        <w:spacing w:before="0" w:after="0" w:line="245" w:lineRule="exact"/>
        <w:ind w:left="60" w:firstLine="0"/>
        <w:jc w:val="left"/>
      </w:pPr>
      <w:r>
        <w:rPr>
          <w:rFonts w:ascii="宋体" w:hAnsi="宋体" w:cs="宋体"/>
          <w:color w:val="000000"/>
          <w:spacing w:val="0"/>
          <w:w w:val="100"/>
          <w:position w:val="0"/>
          <w:sz w:val="21"/>
          <w:u w:val="none"/>
        </w:rPr>
        <w:t>建筑的设计、施工及验收。</w:t>
      </w:r>
    </w:p>
    <w:p>
      <w:pPr>
        <w:spacing w:before="0" w:after="0" w:line="315" w:lineRule="exact"/>
        <w:ind w:left="60" w:firstLine="0"/>
        <w:jc w:val="left"/>
      </w:pPr>
      <w:r>
        <w:rPr>
          <w:rFonts w:ascii="黑体" w:hAnsi="黑体" w:cs="黑体"/>
          <w:color w:val="000000"/>
          <w:spacing w:val="-1"/>
          <w:w w:val="100"/>
          <w:position w:val="0"/>
          <w:sz w:val="21"/>
          <w:u w:val="none"/>
        </w:rPr>
        <w:t>1.0.3</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轻钢结构装配装饰一体化建筑的设</w:t>
      </w:r>
      <w:r>
        <w:rPr>
          <w:rFonts w:ascii="宋体" w:hAnsi="宋体" w:cs="宋体"/>
          <w:color w:val="000000"/>
          <w:spacing w:val="0"/>
          <w:w w:val="100"/>
          <w:position w:val="0"/>
          <w:sz w:val="21"/>
          <w:u w:val="none"/>
        </w:rPr>
        <w:t>计、施</w:t>
      </w:r>
      <w:r>
        <w:rPr>
          <w:rFonts w:ascii="宋体" w:eastAsia="宋体" w:hAnsi="宋体" w:cs="宋体"/>
          <w:color w:val="000000"/>
          <w:spacing w:val="0"/>
          <w:w w:val="100"/>
          <w:position w:val="0"/>
          <w:sz w:val="21"/>
          <w:u w:val="none"/>
        </w:rPr>
        <w:t>工及验收，除应符合本规程外，尚应符合现行国家及</w:t>
      </w:r>
      <w:r>
        <w:rPr>
          <w:rFonts w:ascii="宋体" w:eastAsia="宋体" w:hAnsi="宋体" w:cs="宋体"/>
          <w:color w:val="000000"/>
          <w:spacing w:val="-2"/>
          <w:w w:val="100"/>
          <w:position w:val="0"/>
          <w:sz w:val="21"/>
          <w:u w:val="none"/>
        </w:rPr>
        <w:t>辽</w:t>
      </w:r>
    </w:p>
    <w:p>
      <w:pPr>
        <w:spacing w:before="0" w:after="0" w:line="309" w:lineRule="exact"/>
        <w:ind w:left="60" w:firstLine="0"/>
        <w:jc w:val="left"/>
      </w:pPr>
      <w:r>
        <w:rPr>
          <w:rFonts w:ascii="宋体" w:hAnsi="宋体" w:cs="宋体"/>
          <w:color w:val="000000"/>
          <w:spacing w:val="0"/>
          <w:w w:val="100"/>
          <w:position w:val="0"/>
          <w:sz w:val="21"/>
          <w:u w:val="none"/>
        </w:rPr>
        <w:t>宁省有关标准的规定。</w:t>
      </w:r>
    </w:p>
    <w:p>
      <w:pPr>
        <w:widowControl/>
        <w:jc w:val="left"/>
        <w:sectPr>
          <w:type w:val="continuous"/>
          <w:pgSz w:w="11907" w:h="16839"/>
          <w:pgMar w:top="736" w:right="713" w:bottom="496" w:left="1073" w:header="0" w:footer="0" w:gutter="0"/>
          <w:pgNumType w:start="28"/>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9" w:lineRule="exact"/>
        <w:ind w:left="60" w:firstLine="0"/>
      </w:pPr>
    </w:p>
    <w:p>
      <w:pPr>
        <w:widowControl/>
        <w:jc w:val="left"/>
        <w:sectPr>
          <w:type w:val="continuous"/>
          <w:pgSz w:w="11907" w:h="16839"/>
          <w:pgMar w:top="736" w:right="713" w:bottom="496" w:left="1073" w:header="0" w:footer="0" w:gutter="0"/>
          <w:pgNumType w:start="29"/>
          <w:cols w:num="1" w:space="720"/>
          <w:docGrid w:type="lines" w:linePitch="312" w:charSpace="0"/>
        </w:sectPr>
      </w:pPr>
    </w:p>
    <w:p>
      <w:pPr>
        <w:spacing w:before="0" w:after="0" w:line="960" w:lineRule="exact"/>
        <w:ind w:left="1761" w:firstLine="0"/>
        <w:jc w:val="left"/>
        <w:rPr>
          <w:rFonts w:hint="eastAsia"/>
        </w:rPr>
      </w:pPr>
    </w:p>
    <w:p>
      <w:pPr>
        <w:widowControl/>
        <w:jc w:val="left"/>
        <w:sectPr>
          <w:type w:val="continuous"/>
          <w:pgSz w:w="11907" w:h="16839"/>
          <w:pgMar w:top="736" w:right="713" w:bottom="496" w:left="1073" w:header="0" w:footer="0" w:gutter="0"/>
          <w:pgNumType w:start="30"/>
          <w:cols w:num="1" w:space="708" w:equalWidth="0">
            <w:col w:w="10121" w:space="0"/>
          </w:cols>
          <w:docGrid w:type="lines" w:linePitch="312" w:charSpace="0"/>
        </w:sectPr>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431" w:lineRule="exact"/>
        <w:ind w:left="1761" w:firstLine="0"/>
      </w:pPr>
    </w:p>
    <w:p>
      <w:pPr>
        <w:widowControl/>
        <w:jc w:val="left"/>
        <w:sectPr>
          <w:type w:val="continuous"/>
          <w:pgSz w:w="11907" w:h="16839"/>
          <w:pgMar w:top="736" w:right="713" w:bottom="496" w:left="1073" w:header="0" w:footer="0" w:gutter="0"/>
          <w:pgNumType w:start="31"/>
          <w:cols w:num="1" w:space="720"/>
          <w:docGrid w:type="lines" w:linePitch="312" w:charSpace="0"/>
        </w:sectPr>
      </w:pPr>
    </w:p>
    <w:p>
      <w:pPr>
        <w:spacing w:before="0" w:after="0" w:line="217" w:lineRule="exact"/>
        <w:ind w:left="9610" w:firstLine="0"/>
        <w:jc w:val="left"/>
      </w:pPr>
      <w:r>
        <w:rPr>
          <w:rFonts w:ascii="Microsoft YaHei UI" w:hAnsi="Microsoft YaHei UI" w:cs="Microsoft YaHei UI"/>
          <w:color w:val="000000"/>
          <w:spacing w:val="-16"/>
          <w:w w:val="100"/>
          <w:position w:val="0"/>
          <w:sz w:val="18"/>
          <w:u w:val="none"/>
        </w:rPr>
        <w:t>1</w:t>
      </w:r>
    </w:p>
    <w:p>
      <w:pPr>
        <w:widowControl/>
        <w:jc w:val="left"/>
        <w:sectPr>
          <w:type w:val="continuous"/>
          <w:pgSz w:w="11907" w:h="16839"/>
          <w:pgMar w:top="736" w:right="713" w:bottom="496" w:left="1073" w:header="0" w:footer="0" w:gutter="0"/>
          <w:pgNumType w:start="32"/>
          <w:cols w:num="1" w:space="708" w:equalWidth="0">
            <w:col w:w="10121" w:space="0"/>
          </w:cols>
          <w:docGrid w:type="lines" w:linePitch="312" w:charSpace="0"/>
        </w:sectPr>
      </w:pPr>
    </w:p>
    <w:p>
      <w:pPr>
        <w:spacing w:before="0" w:after="0" w:line="284" w:lineRule="exact"/>
        <w:ind w:left="163" w:firstLine="0"/>
        <w:jc w:val="left"/>
      </w:pPr>
      <w:bookmarkStart w:id="9" w:name="9"/>
      <w:bookmarkEnd w:id="9"/>
      <w:r>
        <w:pict>
          <v:shape id="_x0000_s2055"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163" w:firstLine="0"/>
      </w:pPr>
    </w:p>
    <w:p>
      <w:pPr>
        <w:spacing w:before="0" w:after="0" w:line="240" w:lineRule="exact"/>
        <w:ind w:left="163" w:firstLine="0"/>
      </w:pPr>
    </w:p>
    <w:p>
      <w:pPr>
        <w:tabs>
          <w:tab w:val="left" w:pos="4459"/>
        </w:tabs>
        <w:spacing w:before="0" w:after="0" w:line="329" w:lineRule="exact"/>
        <w:ind w:left="163" w:firstLine="3845"/>
        <w:jc w:val="left"/>
      </w:pPr>
      <w:r>
        <w:rPr>
          <w:rFonts w:ascii="黑体" w:hAnsi="黑体" w:cs="黑体"/>
          <w:color w:val="000000"/>
          <w:spacing w:val="-1"/>
          <w:w w:val="100"/>
          <w:position w:val="0"/>
          <w:sz w:val="30"/>
          <w:u w:val="none"/>
        </w:rPr>
        <w:t>2</w:t>
      </w:r>
      <w:r>
        <w:rPr>
          <w:rFonts w:cs="Calibri"/>
          <w:color w:val="000000"/>
          <w:spacing w:val="0"/>
          <w:w w:val="100"/>
          <w:u w:val="none"/>
        </w:rPr>
        <w:tab/>
      </w:r>
      <w:r>
        <w:rPr>
          <w:rFonts w:ascii="黑体" w:eastAsia="黑体" w:hAnsi="黑体" w:cs="黑体"/>
          <w:color w:val="000000"/>
          <w:spacing w:val="-1"/>
          <w:w w:val="100"/>
          <w:position w:val="0"/>
          <w:sz w:val="30"/>
          <w:u w:val="none"/>
        </w:rPr>
        <w:t>术语和符号</w:t>
      </w:r>
    </w:p>
    <w:p>
      <w:pPr>
        <w:spacing w:before="0" w:after="0" w:line="240" w:lineRule="exact"/>
        <w:ind w:left="163" w:firstLine="3845"/>
      </w:pPr>
    </w:p>
    <w:p>
      <w:pPr>
        <w:spacing w:before="0" w:after="0" w:line="336" w:lineRule="exact"/>
        <w:ind w:left="163" w:firstLine="4399"/>
        <w:jc w:val="left"/>
      </w:pPr>
      <w:r>
        <w:rPr>
          <w:rFonts w:ascii="黑体" w:hAnsi="黑体" w:cs="黑体"/>
          <w:color w:val="000000"/>
          <w:spacing w:val="-1"/>
          <w:w w:val="100"/>
          <w:position w:val="0"/>
          <w:sz w:val="21"/>
          <w:u w:val="none"/>
        </w:rPr>
        <w:t>2.1</w:t>
      </w:r>
      <w:r>
        <w:rPr>
          <w:rFonts w:ascii="Calibri" w:hAnsi="Calibri" w:cs="Calibri"/>
          <w:color w:val="000000"/>
          <w:spacing w:val="0"/>
          <w:w w:val="224"/>
          <w:sz w:val="21"/>
          <w:u w:val="none"/>
        </w:rPr>
        <w:t> </w:t>
      </w:r>
      <w:r>
        <w:rPr>
          <w:rFonts w:ascii="黑体" w:eastAsia="黑体" w:hAnsi="黑体" w:cs="黑体"/>
          <w:color w:val="000000"/>
          <w:spacing w:val="-2"/>
          <w:w w:val="100"/>
          <w:position w:val="0"/>
          <w:sz w:val="21"/>
          <w:u w:val="none"/>
        </w:rPr>
        <w:t>术语</w:t>
      </w:r>
    </w:p>
    <w:p>
      <w:pPr>
        <w:spacing w:before="0" w:after="0" w:line="240" w:lineRule="exact"/>
        <w:ind w:left="163" w:firstLine="4399"/>
      </w:pPr>
    </w:p>
    <w:p>
      <w:pPr>
        <w:spacing w:before="0" w:after="0" w:line="228" w:lineRule="exact"/>
        <w:ind w:left="163" w:firstLine="0"/>
        <w:jc w:val="left"/>
      </w:pPr>
      <w:r>
        <w:rPr>
          <w:rFonts w:ascii="黑体" w:hAnsi="黑体" w:cs="黑体"/>
          <w:color w:val="000000"/>
          <w:spacing w:val="-1"/>
          <w:w w:val="100"/>
          <w:position w:val="0"/>
          <w:sz w:val="21"/>
          <w:u w:val="none"/>
        </w:rPr>
        <w:t>2.1.1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腹板加劲件</w:t>
      </w:r>
      <w:r>
        <w:rPr>
          <w:rFonts w:ascii="Calibri" w:hAnsi="Calibri" w:cs="Calibri"/>
          <w:color w:val="000000"/>
          <w:spacing w:val="0"/>
          <w:w w:val="389"/>
          <w:sz w:val="24"/>
          <w:u w:val="none"/>
        </w:rPr>
        <w:t> </w:t>
      </w:r>
      <w:r>
        <w:rPr>
          <w:rFonts w:ascii="宋体" w:hAnsi="宋体" w:cs="宋体"/>
          <w:color w:val="000000"/>
          <w:spacing w:val="-2"/>
          <w:w w:val="100"/>
          <w:position w:val="0"/>
          <w:sz w:val="21"/>
          <w:u w:val="none"/>
        </w:rPr>
        <w:t>web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stiffener</w:t>
      </w:r>
    </w:p>
    <w:p>
      <w:pPr>
        <w:spacing w:before="0" w:after="0" w:line="309" w:lineRule="exact"/>
        <w:ind w:left="163" w:firstLine="420"/>
        <w:jc w:val="left"/>
      </w:pPr>
      <w:r>
        <w:rPr>
          <w:rFonts w:ascii="宋体" w:hAnsi="宋体" w:cs="宋体"/>
          <w:color w:val="000000"/>
          <w:spacing w:val="-1"/>
          <w:w w:val="100"/>
          <w:position w:val="0"/>
          <w:sz w:val="21"/>
          <w:u w:val="none"/>
        </w:rPr>
        <w:t>与腹板连接防止腹板屈曲的部件。</w:t>
      </w:r>
    </w:p>
    <w:p>
      <w:pPr>
        <w:spacing w:before="0" w:after="0" w:line="315" w:lineRule="exact"/>
        <w:ind w:left="163" w:firstLine="0"/>
        <w:jc w:val="left"/>
      </w:pPr>
      <w:r>
        <w:rPr>
          <w:rFonts w:ascii="黑体" w:hAnsi="黑体" w:cs="黑体"/>
          <w:color w:val="000000"/>
          <w:spacing w:val="-1"/>
          <w:w w:val="100"/>
          <w:position w:val="0"/>
          <w:sz w:val="21"/>
          <w:u w:val="none"/>
        </w:rPr>
        <w:t>2.1.2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刚性撑杆</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rigid</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struts</w:t>
      </w:r>
    </w:p>
    <w:p>
      <w:pPr>
        <w:spacing w:before="0" w:after="0" w:line="309" w:lineRule="exact"/>
        <w:ind w:left="163" w:firstLine="420"/>
        <w:jc w:val="left"/>
      </w:pPr>
      <w:r>
        <w:rPr>
          <w:rFonts w:ascii="宋体" w:hAnsi="宋体" w:cs="宋体"/>
          <w:color w:val="000000"/>
          <w:spacing w:val="-1"/>
          <w:w w:val="100"/>
          <w:position w:val="0"/>
          <w:sz w:val="21"/>
          <w:u w:val="none"/>
        </w:rPr>
        <w:t>与结构构件相连，传递结构构件平面外侧向力，为被支承构件提供侧向支点的构件。</w:t>
      </w:r>
    </w:p>
    <w:p>
      <w:pPr>
        <w:spacing w:before="0" w:after="0" w:line="315" w:lineRule="exact"/>
        <w:ind w:left="163" w:firstLine="0"/>
        <w:jc w:val="left"/>
      </w:pPr>
      <w:r>
        <w:rPr>
          <w:rFonts w:ascii="黑体" w:hAnsi="黑体" w:cs="黑体"/>
          <w:color w:val="000000"/>
          <w:spacing w:val="-1"/>
          <w:w w:val="100"/>
          <w:position w:val="0"/>
          <w:sz w:val="21"/>
          <w:u w:val="none"/>
        </w:rPr>
        <w:t>2.1.3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拼合构件</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splice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components</w:t>
      </w:r>
    </w:p>
    <w:p>
      <w:pPr>
        <w:spacing w:before="0" w:after="0" w:line="309" w:lineRule="exact"/>
        <w:ind w:left="163" w:firstLine="420"/>
        <w:jc w:val="left"/>
      </w:pPr>
      <w:r>
        <w:rPr>
          <w:rFonts w:ascii="宋体" w:hAnsi="宋体" w:cs="宋体"/>
          <w:color w:val="000000"/>
          <w:spacing w:val="-1"/>
          <w:w w:val="100"/>
          <w:position w:val="0"/>
          <w:sz w:val="21"/>
          <w:u w:val="none"/>
        </w:rPr>
        <w:t>由槽形或卷边槽形构件等通过连接组成的工字形或箱形构件。</w:t>
      </w:r>
    </w:p>
    <w:p>
      <w:pPr>
        <w:spacing w:before="0" w:after="0" w:line="315" w:lineRule="exact"/>
        <w:ind w:left="163" w:firstLine="0"/>
        <w:jc w:val="left"/>
      </w:pPr>
      <w:r>
        <w:rPr>
          <w:rFonts w:ascii="黑体" w:hAnsi="黑体" w:cs="黑体"/>
          <w:color w:val="000000"/>
          <w:spacing w:val="-1"/>
          <w:w w:val="100"/>
          <w:position w:val="0"/>
          <w:sz w:val="21"/>
          <w:u w:val="none"/>
        </w:rPr>
        <w:t>2.1.4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连接角钢</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connect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the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angles</w:t>
      </w:r>
    </w:p>
    <w:p>
      <w:pPr>
        <w:spacing w:before="0" w:after="0" w:line="338" w:lineRule="exact"/>
        <w:ind w:left="163" w:firstLine="420"/>
        <w:jc w:val="left"/>
      </w:pPr>
      <w:r>
        <w:rPr>
          <w:rFonts w:ascii="宋体" w:eastAsia="宋体" w:hAnsi="宋体" w:cs="宋体"/>
          <w:color w:val="000000"/>
          <w:spacing w:val="-1"/>
          <w:w w:val="100"/>
          <w:position w:val="2"/>
          <w:sz w:val="21"/>
          <w:u w:val="none"/>
        </w:rPr>
        <w:t>用于构件之间连接，通常弯成</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90</w:t>
      </w:r>
      <w:r>
        <w:rPr>
          <w:rFonts w:ascii="宋体" w:hAnsi="宋体" w:cs="宋体"/>
          <w:color w:val="000000"/>
          <w:spacing w:val="-1"/>
          <w:w w:val="100"/>
          <w:position w:val="2"/>
          <w:sz w:val="21"/>
          <w:u w:val="none"/>
        </w:rPr>
        <w:t>°的构件。</w:t>
      </w:r>
    </w:p>
    <w:p>
      <w:pPr>
        <w:spacing w:before="0" w:after="0" w:line="286" w:lineRule="exact"/>
        <w:ind w:left="163" w:firstLine="0"/>
        <w:jc w:val="left"/>
      </w:pPr>
      <w:r>
        <w:rPr>
          <w:rFonts w:ascii="黑体" w:hAnsi="黑体" w:cs="黑体"/>
          <w:color w:val="000000"/>
          <w:spacing w:val="-1"/>
          <w:w w:val="100"/>
          <w:position w:val="0"/>
          <w:sz w:val="21"/>
          <w:u w:val="none"/>
        </w:rPr>
        <w:t>2.1.5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屋檐悬挑距离</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overhanging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distance</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of</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eaves</w:t>
      </w:r>
    </w:p>
    <w:p>
      <w:pPr>
        <w:spacing w:before="0" w:after="0" w:line="309" w:lineRule="exact"/>
        <w:ind w:left="163" w:firstLine="420"/>
        <w:jc w:val="left"/>
      </w:pPr>
      <w:r>
        <w:rPr>
          <w:rFonts w:ascii="宋体" w:hAnsi="宋体" w:cs="宋体"/>
          <w:color w:val="000000"/>
          <w:spacing w:val="-1"/>
          <w:w w:val="100"/>
          <w:position w:val="0"/>
          <w:sz w:val="21"/>
          <w:u w:val="none"/>
        </w:rPr>
        <w:t>从外墙的结构外皮到屋顶结构外皮之间的水平距离。</w:t>
      </w:r>
    </w:p>
    <w:p>
      <w:pPr>
        <w:spacing w:before="0" w:after="0" w:line="315" w:lineRule="exact"/>
        <w:ind w:left="163" w:firstLine="0"/>
        <w:jc w:val="left"/>
      </w:pPr>
      <w:r>
        <w:rPr>
          <w:rFonts w:ascii="黑体" w:hAnsi="黑体" w:cs="黑体"/>
          <w:color w:val="000000"/>
          <w:spacing w:val="-1"/>
          <w:w w:val="100"/>
          <w:position w:val="0"/>
          <w:sz w:val="21"/>
          <w:u w:val="none"/>
        </w:rPr>
        <w:t>2.1.6</w:t>
      </w:r>
      <w:r>
        <w:rPr>
          <w:rFonts w:ascii="Calibri" w:hAnsi="Calibri" w:cs="Calibri"/>
          <w:color w:val="000000"/>
          <w:spacing w:val="0"/>
          <w:w w:val="195"/>
          <w:sz w:val="24"/>
          <w:u w:val="none"/>
        </w:rPr>
        <w:t>  </w:t>
      </w:r>
      <w:r>
        <w:rPr>
          <w:rFonts w:ascii="宋体" w:eastAsia="宋体" w:hAnsi="宋体" w:cs="宋体"/>
          <w:color w:val="000000"/>
          <w:spacing w:val="-2"/>
          <w:w w:val="100"/>
          <w:position w:val="0"/>
          <w:sz w:val="21"/>
          <w:u w:val="none"/>
        </w:rPr>
        <w:t>钢带</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steel</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strip</w:t>
      </w:r>
    </w:p>
    <w:p>
      <w:pPr>
        <w:spacing w:before="0" w:after="0" w:line="309" w:lineRule="exact"/>
        <w:ind w:left="163" w:firstLine="420"/>
        <w:jc w:val="left"/>
      </w:pPr>
      <w:r>
        <w:rPr>
          <w:rFonts w:ascii="宋体" w:hAnsi="宋体" w:cs="宋体"/>
          <w:color w:val="000000"/>
          <w:spacing w:val="-1"/>
          <w:w w:val="100"/>
          <w:position w:val="0"/>
          <w:sz w:val="21"/>
          <w:u w:val="none"/>
        </w:rPr>
        <w:t>由钢板切割成一定宽度的板带，可用于支撑中的拉条或传递拉力的构件。</w:t>
      </w:r>
    </w:p>
    <w:p>
      <w:pPr>
        <w:spacing w:before="0" w:after="0" w:line="315" w:lineRule="exact"/>
        <w:ind w:left="163" w:firstLine="0"/>
        <w:jc w:val="left"/>
      </w:pPr>
      <w:r>
        <w:rPr>
          <w:rFonts w:ascii="黑体" w:hAnsi="黑体" w:cs="黑体"/>
          <w:color w:val="000000"/>
          <w:spacing w:val="-1"/>
          <w:w w:val="100"/>
          <w:position w:val="0"/>
          <w:sz w:val="21"/>
          <w:u w:val="none"/>
        </w:rPr>
        <w:t>2.1.7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楼面梁</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floor</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beams</w:t>
      </w:r>
    </w:p>
    <w:p>
      <w:pPr>
        <w:spacing w:before="0" w:after="0" w:line="309" w:lineRule="exact"/>
        <w:ind w:left="163" w:firstLine="420"/>
        <w:jc w:val="left"/>
      </w:pPr>
      <w:r>
        <w:rPr>
          <w:rFonts w:ascii="宋体" w:hAnsi="宋体" w:cs="宋体"/>
          <w:color w:val="000000"/>
          <w:spacing w:val="-1"/>
          <w:w w:val="100"/>
          <w:position w:val="0"/>
          <w:sz w:val="21"/>
          <w:u w:val="none"/>
        </w:rPr>
        <w:t>支承楼面荷载的水平构件。</w:t>
      </w:r>
    </w:p>
    <w:p>
      <w:pPr>
        <w:spacing w:before="0" w:after="0" w:line="315" w:lineRule="exact"/>
        <w:ind w:left="163" w:firstLine="0"/>
        <w:jc w:val="left"/>
      </w:pPr>
      <w:r>
        <w:rPr>
          <w:rFonts w:ascii="黑体" w:hAnsi="黑体" w:cs="黑体"/>
          <w:color w:val="000000"/>
          <w:spacing w:val="-1"/>
          <w:w w:val="100"/>
          <w:position w:val="0"/>
          <w:sz w:val="21"/>
          <w:u w:val="none"/>
        </w:rPr>
        <w:t>2.1.8</w:t>
      </w:r>
      <w:r>
        <w:rPr>
          <w:rFonts w:ascii="Calibri" w:hAnsi="Calibri" w:cs="Calibri"/>
          <w:color w:val="000000"/>
          <w:spacing w:val="0"/>
          <w:w w:val="195"/>
          <w:sz w:val="24"/>
          <w:u w:val="none"/>
        </w:rPr>
        <w:t>  </w:t>
      </w:r>
      <w:r>
        <w:rPr>
          <w:rFonts w:ascii="宋体" w:eastAsia="宋体" w:hAnsi="宋体" w:cs="宋体"/>
          <w:color w:val="000000"/>
          <w:spacing w:val="-2"/>
          <w:w w:val="100"/>
          <w:position w:val="0"/>
          <w:sz w:val="21"/>
          <w:u w:val="none"/>
        </w:rPr>
        <w:t>过梁</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lintel</w:t>
      </w:r>
    </w:p>
    <w:p>
      <w:pPr>
        <w:spacing w:before="0" w:after="0" w:line="309" w:lineRule="exact"/>
        <w:ind w:left="163" w:firstLine="420"/>
        <w:jc w:val="left"/>
      </w:pPr>
      <w:r>
        <w:rPr>
          <w:rFonts w:ascii="宋体" w:hAnsi="宋体" w:cs="宋体"/>
          <w:color w:val="000000"/>
          <w:spacing w:val="-1"/>
          <w:w w:val="100"/>
          <w:position w:val="0"/>
          <w:sz w:val="21"/>
          <w:u w:val="none"/>
        </w:rPr>
        <w:t>墙或屋面开口处主要将竖向荷载传递到相邻的竖向受力构件的水平构件。</w:t>
      </w:r>
    </w:p>
    <w:p>
      <w:pPr>
        <w:spacing w:before="0" w:after="0" w:line="315" w:lineRule="exact"/>
        <w:ind w:left="163" w:firstLine="0"/>
        <w:jc w:val="left"/>
      </w:pPr>
      <w:r>
        <w:rPr>
          <w:rFonts w:ascii="黑体" w:hAnsi="黑体" w:cs="黑体"/>
          <w:color w:val="000000"/>
          <w:spacing w:val="-1"/>
          <w:w w:val="100"/>
          <w:position w:val="0"/>
          <w:sz w:val="21"/>
          <w:u w:val="none"/>
        </w:rPr>
        <w:t>2.1.9</w:t>
      </w:r>
      <w:r>
        <w:rPr>
          <w:rFonts w:ascii="Calibri" w:hAnsi="Calibri" w:cs="Calibri"/>
          <w:color w:val="000000"/>
          <w:spacing w:val="0"/>
          <w:w w:val="195"/>
          <w:sz w:val="24"/>
          <w:u w:val="none"/>
        </w:rPr>
        <w:t>  </w:t>
      </w:r>
      <w:r>
        <w:rPr>
          <w:rFonts w:ascii="宋体" w:eastAsia="宋体" w:hAnsi="宋体" w:cs="宋体"/>
          <w:color w:val="000000"/>
          <w:spacing w:val="-2"/>
          <w:w w:val="100"/>
          <w:position w:val="0"/>
          <w:sz w:val="21"/>
          <w:u w:val="none"/>
        </w:rPr>
        <w:t>立柱</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columns</w:t>
      </w:r>
    </w:p>
    <w:p>
      <w:pPr>
        <w:spacing w:before="0" w:after="0" w:line="309" w:lineRule="exact"/>
        <w:ind w:left="163" w:firstLine="420"/>
        <w:jc w:val="left"/>
      </w:pPr>
      <w:r>
        <w:rPr>
          <w:rFonts w:ascii="宋体" w:hAnsi="宋体" w:cs="宋体"/>
          <w:color w:val="000000"/>
          <w:spacing w:val="-1"/>
          <w:w w:val="100"/>
          <w:position w:val="0"/>
          <w:sz w:val="21"/>
          <w:u w:val="none"/>
        </w:rPr>
        <w:t>组成墙体单元的竖向受力构件。</w:t>
      </w:r>
    </w:p>
    <w:p>
      <w:pPr>
        <w:spacing w:before="0" w:after="0" w:line="315" w:lineRule="exact"/>
        <w:ind w:left="163" w:firstLine="0"/>
        <w:jc w:val="left"/>
      </w:pPr>
      <w:r>
        <w:rPr>
          <w:rFonts w:ascii="黑体" w:hAnsi="黑体" w:cs="黑体"/>
          <w:color w:val="000000"/>
          <w:spacing w:val="-1"/>
          <w:w w:val="100"/>
          <w:position w:val="0"/>
          <w:sz w:val="21"/>
          <w:u w:val="none"/>
        </w:rPr>
        <w:t>2.1.10</w:t>
      </w:r>
      <w:r>
        <w:rPr>
          <w:rFonts w:ascii="Calibri" w:hAnsi="Calibri" w:cs="Calibri"/>
          <w:color w:val="000000"/>
          <w:spacing w:val="0"/>
          <w:w w:val="195"/>
          <w:sz w:val="24"/>
          <w:u w:val="none"/>
        </w:rPr>
        <w:t>  </w:t>
      </w:r>
      <w:r>
        <w:rPr>
          <w:rFonts w:ascii="宋体" w:eastAsia="宋体" w:hAnsi="宋体" w:cs="宋体"/>
          <w:color w:val="000000"/>
          <w:spacing w:val="-2"/>
          <w:w w:val="100"/>
          <w:position w:val="0"/>
          <w:sz w:val="21"/>
          <w:u w:val="none"/>
        </w:rPr>
        <w:t>斜梁</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inclined</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beam</w:t>
      </w:r>
    </w:p>
    <w:p>
      <w:pPr>
        <w:spacing w:before="0" w:after="0" w:line="309" w:lineRule="exact"/>
        <w:ind w:left="163" w:firstLine="420"/>
        <w:jc w:val="left"/>
      </w:pPr>
      <w:r>
        <w:rPr>
          <w:rFonts w:ascii="宋体" w:hAnsi="宋体" w:cs="宋体"/>
          <w:color w:val="000000"/>
          <w:spacing w:val="-1"/>
          <w:w w:val="100"/>
          <w:position w:val="0"/>
          <w:sz w:val="21"/>
          <w:u w:val="none"/>
        </w:rPr>
        <w:t>按屋面坡度倾斜布置的支承屋面荷载的屋面构件。</w:t>
      </w:r>
    </w:p>
    <w:p>
      <w:pPr>
        <w:spacing w:before="0" w:after="0" w:line="315" w:lineRule="exact"/>
        <w:ind w:left="163" w:firstLine="0"/>
        <w:jc w:val="left"/>
      </w:pPr>
      <w:r>
        <w:rPr>
          <w:rFonts w:ascii="黑体" w:hAnsi="黑体" w:cs="黑体"/>
          <w:color w:val="000000"/>
          <w:spacing w:val="-1"/>
          <w:w w:val="100"/>
          <w:position w:val="0"/>
          <w:sz w:val="21"/>
          <w:u w:val="none"/>
        </w:rPr>
        <w:t>2.1.11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山墙悬挑距离</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gable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cantilevered</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distance</w:t>
      </w:r>
    </w:p>
    <w:p>
      <w:pPr>
        <w:spacing w:before="0" w:after="0" w:line="309" w:lineRule="exact"/>
        <w:ind w:left="163" w:firstLine="437"/>
        <w:jc w:val="left"/>
      </w:pPr>
      <w:r>
        <w:rPr>
          <w:rFonts w:ascii="宋体" w:hAnsi="宋体" w:cs="宋体"/>
          <w:color w:val="000000"/>
          <w:spacing w:val="-1"/>
          <w:w w:val="100"/>
          <w:position w:val="0"/>
          <w:sz w:val="21"/>
          <w:u w:val="none"/>
        </w:rPr>
        <w:t>从山墙的结构外皮到屋盖结构外皮之间的水平距离。</w:t>
      </w:r>
    </w:p>
    <w:p>
      <w:pPr>
        <w:spacing w:before="0" w:after="0" w:line="315" w:lineRule="exact"/>
        <w:ind w:left="163" w:firstLine="0"/>
        <w:jc w:val="left"/>
      </w:pPr>
      <w:r>
        <w:rPr>
          <w:rFonts w:ascii="黑体" w:hAnsi="黑体" w:cs="黑体"/>
          <w:color w:val="000000"/>
          <w:spacing w:val="0"/>
          <w:w w:val="100"/>
          <w:position w:val="0"/>
          <w:sz w:val="21"/>
          <w:u w:val="none"/>
        </w:rPr>
        <w:t>2.1.12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受力蒙皮作用</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stress</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skin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effect</w:t>
      </w:r>
    </w:p>
    <w:p>
      <w:pPr>
        <w:spacing w:before="0" w:after="0" w:line="309" w:lineRule="exact"/>
        <w:ind w:left="163" w:firstLine="437"/>
        <w:jc w:val="left"/>
      </w:pPr>
      <w:r>
        <w:rPr>
          <w:rFonts w:ascii="宋体" w:hAnsi="宋体" w:cs="宋体"/>
          <w:color w:val="000000"/>
          <w:spacing w:val="-1"/>
          <w:w w:val="100"/>
          <w:position w:val="0"/>
          <w:sz w:val="21"/>
          <w:u w:val="none"/>
        </w:rPr>
        <w:t>与支承构件可靠连接的结构面板体系所具有的抵抗自身平面内剪切变形的能力。</w:t>
      </w:r>
    </w:p>
    <w:p>
      <w:pPr>
        <w:spacing w:before="0" w:after="0" w:line="315" w:lineRule="exact"/>
        <w:ind w:left="163" w:firstLine="0"/>
        <w:jc w:val="left"/>
      </w:pPr>
      <w:r>
        <w:rPr>
          <w:rFonts w:ascii="黑体" w:hAnsi="黑体" w:cs="黑体"/>
          <w:color w:val="000000"/>
          <w:spacing w:val="0"/>
          <w:w w:val="100"/>
          <w:position w:val="0"/>
          <w:sz w:val="21"/>
          <w:u w:val="none"/>
        </w:rPr>
        <w:t>2.1.13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结构面板</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structural</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panel</w:t>
      </w:r>
    </w:p>
    <w:p>
      <w:pPr>
        <w:spacing w:before="0" w:after="0" w:line="338" w:lineRule="exact"/>
        <w:ind w:left="163" w:firstLine="437"/>
        <w:jc w:val="left"/>
      </w:pPr>
      <w:r>
        <w:rPr>
          <w:rFonts w:ascii="宋体" w:eastAsia="宋体" w:hAnsi="宋体" w:cs="宋体"/>
          <w:color w:val="000000"/>
          <w:spacing w:val="-1"/>
          <w:w w:val="100"/>
          <w:position w:val="2"/>
          <w:sz w:val="21"/>
          <w:u w:val="none"/>
        </w:rPr>
        <w:t>直接安装在立柱或梁上的面板，用以传递荷载和支承墙</w:t>
      </w:r>
      <w:r>
        <w:rPr>
          <w:rFonts w:ascii="Microsoft YaHei UI" w:hAnsi="Microsoft YaHei UI" w:cs="Microsoft YaHei UI"/>
          <w:color w:val="000000"/>
          <w:spacing w:val="-1"/>
          <w:w w:val="100"/>
          <w:position w:val="0"/>
          <w:sz w:val="21"/>
          <w:u w:val="none"/>
        </w:rPr>
        <w:t>(</w:t>
      </w:r>
      <w:r>
        <w:rPr>
          <w:rFonts w:ascii="宋体" w:eastAsia="宋体" w:hAnsi="宋体" w:cs="宋体"/>
          <w:color w:val="000000"/>
          <w:spacing w:val="-2"/>
          <w:w w:val="100"/>
          <w:position w:val="2"/>
          <w:sz w:val="21"/>
          <w:u w:val="none"/>
        </w:rPr>
        <w:t>梁</w:t>
      </w:r>
      <w:r>
        <w:rPr>
          <w:rFonts w:ascii="Microsoft YaHei UI" w:hAnsi="Microsoft YaHei UI" w:cs="Microsoft YaHei UI"/>
          <w:color w:val="000000"/>
          <w:spacing w:val="-1"/>
          <w:w w:val="100"/>
          <w:position w:val="0"/>
          <w:sz w:val="21"/>
          <w:u w:val="none"/>
        </w:rPr>
        <w:t>)</w:t>
      </w:r>
      <w:r>
        <w:rPr>
          <w:rFonts w:ascii="宋体" w:hAnsi="宋体" w:cs="宋体"/>
          <w:color w:val="000000"/>
          <w:spacing w:val="-2"/>
          <w:w w:val="100"/>
          <w:position w:val="2"/>
          <w:sz w:val="21"/>
          <w:u w:val="none"/>
        </w:rPr>
        <w:t>。</w:t>
      </w:r>
    </w:p>
    <w:p>
      <w:pPr>
        <w:spacing w:before="0" w:after="0" w:line="286" w:lineRule="exact"/>
        <w:ind w:left="163" w:firstLine="0"/>
        <w:jc w:val="left"/>
      </w:pPr>
      <w:r>
        <w:rPr>
          <w:rFonts w:ascii="黑体" w:hAnsi="黑体" w:cs="黑体"/>
          <w:color w:val="000000"/>
          <w:spacing w:val="-1"/>
          <w:w w:val="100"/>
          <w:position w:val="0"/>
          <w:sz w:val="21"/>
          <w:u w:val="none"/>
        </w:rPr>
        <w:t>2.1.14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顶导梁、底导梁或边梁</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top</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guide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beam</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bottom</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guide</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beam</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or</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side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beam</w:t>
      </w:r>
    </w:p>
    <w:p>
      <w:pPr>
        <w:spacing w:before="0" w:after="0" w:line="309" w:lineRule="exact"/>
        <w:ind w:left="163" w:firstLine="437"/>
        <w:jc w:val="left"/>
      </w:pPr>
      <w:r>
        <w:rPr>
          <w:rFonts w:ascii="宋体" w:hAnsi="宋体" w:cs="宋体"/>
          <w:color w:val="000000"/>
          <w:spacing w:val="-1"/>
          <w:w w:val="100"/>
          <w:position w:val="0"/>
          <w:sz w:val="21"/>
          <w:u w:val="none"/>
        </w:rPr>
        <w:t>布置在墙的顶部或底部以及楼层系统周边的槽形构件。</w:t>
      </w:r>
    </w:p>
    <w:p>
      <w:pPr>
        <w:spacing w:before="0" w:after="0" w:line="315" w:lineRule="exact"/>
        <w:ind w:left="163" w:firstLine="0"/>
        <w:jc w:val="left"/>
      </w:pPr>
      <w:r>
        <w:rPr>
          <w:rFonts w:ascii="黑体" w:hAnsi="黑体" w:cs="黑体"/>
          <w:color w:val="000000"/>
          <w:spacing w:val="-1"/>
          <w:w w:val="100"/>
          <w:position w:val="0"/>
          <w:sz w:val="21"/>
          <w:u w:val="none"/>
        </w:rPr>
        <w:t>2.1.15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墙体结构</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wall</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structure</w:t>
      </w:r>
    </w:p>
    <w:p>
      <w:pPr>
        <w:spacing w:before="0" w:after="0" w:line="309" w:lineRule="exact"/>
        <w:ind w:left="163" w:firstLine="437"/>
        <w:jc w:val="left"/>
      </w:pPr>
      <w:r>
        <w:rPr>
          <w:rFonts w:ascii="宋体" w:hAnsi="宋体" w:cs="宋体"/>
          <w:color w:val="000000"/>
          <w:spacing w:val="-1"/>
          <w:w w:val="100"/>
          <w:position w:val="0"/>
          <w:sz w:val="21"/>
          <w:u w:val="none"/>
        </w:rPr>
        <w:t>由立柱、顶导梁、底导梁、面板、支撑、拉条或撑杆等部件通过连接件形成的组合构件，用于承受竖</w:t>
      </w:r>
    </w:p>
    <w:p>
      <w:pPr>
        <w:spacing w:before="0" w:after="0" w:line="312" w:lineRule="exact"/>
        <w:ind w:left="163" w:firstLine="0"/>
        <w:jc w:val="left"/>
      </w:pPr>
      <w:r>
        <w:rPr>
          <w:rFonts w:ascii="宋体" w:hAnsi="宋体" w:cs="宋体"/>
          <w:color w:val="000000"/>
          <w:spacing w:val="-1"/>
          <w:w w:val="100"/>
          <w:position w:val="0"/>
          <w:sz w:val="21"/>
          <w:u w:val="none"/>
        </w:rPr>
        <w:t>向荷载或水平荷载。</w:t>
      </w:r>
    </w:p>
    <w:p>
      <w:pPr>
        <w:spacing w:before="0" w:after="0" w:line="315" w:lineRule="exact"/>
        <w:ind w:left="163" w:firstLine="0"/>
        <w:jc w:val="left"/>
      </w:pPr>
      <w:r>
        <w:rPr>
          <w:rFonts w:ascii="黑体" w:hAnsi="黑体" w:cs="黑体"/>
          <w:color w:val="000000"/>
          <w:spacing w:val="-1"/>
          <w:w w:val="100"/>
          <w:position w:val="0"/>
          <w:sz w:val="21"/>
          <w:u w:val="none"/>
        </w:rPr>
        <w:t>2.1.16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承重墙</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load-bearing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wall</w:t>
      </w:r>
    </w:p>
    <w:p>
      <w:pPr>
        <w:spacing w:before="0" w:after="0" w:line="309" w:lineRule="exact"/>
        <w:ind w:left="163" w:firstLine="437"/>
        <w:jc w:val="left"/>
      </w:pPr>
      <w:r>
        <w:rPr>
          <w:rFonts w:ascii="宋体" w:hAnsi="宋体" w:cs="宋体"/>
          <w:color w:val="000000"/>
          <w:spacing w:val="-1"/>
          <w:w w:val="100"/>
          <w:position w:val="0"/>
          <w:sz w:val="21"/>
          <w:u w:val="none"/>
        </w:rPr>
        <w:t>承受竖向外荷载的墙体。</w:t>
      </w:r>
    </w:p>
    <w:p>
      <w:pPr>
        <w:spacing w:before="0" w:after="0" w:line="315" w:lineRule="exact"/>
        <w:ind w:left="163" w:firstLine="0"/>
        <w:jc w:val="left"/>
      </w:pPr>
      <w:r>
        <w:rPr>
          <w:rFonts w:ascii="黑体" w:hAnsi="黑体" w:cs="黑体"/>
          <w:color w:val="000000"/>
          <w:spacing w:val="-1"/>
          <w:w w:val="100"/>
          <w:position w:val="0"/>
          <w:sz w:val="21"/>
          <w:u w:val="none"/>
        </w:rPr>
        <w:t>2.1.17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抗剪墙</w:t>
      </w:r>
      <w:r>
        <w:rPr>
          <w:rFonts w:ascii="Calibri" w:hAnsi="Calibri" w:cs="Calibri"/>
          <w:color w:val="000000"/>
          <w:spacing w:val="0"/>
          <w:w w:val="389"/>
          <w:sz w:val="24"/>
          <w:u w:val="none"/>
        </w:rPr>
        <w:t> </w:t>
      </w:r>
      <w:r>
        <w:rPr>
          <w:rFonts w:ascii="宋体" w:hAnsi="宋体" w:cs="宋体"/>
          <w:color w:val="000000"/>
          <w:spacing w:val="-1"/>
          <w:w w:val="100"/>
          <w:position w:val="0"/>
          <w:sz w:val="21"/>
          <w:u w:val="none"/>
        </w:rPr>
        <w:t>shear</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walls</w:t>
      </w:r>
    </w:p>
    <w:p>
      <w:pPr>
        <w:spacing w:before="0" w:after="0" w:line="309" w:lineRule="exact"/>
        <w:ind w:left="163" w:firstLine="437"/>
        <w:jc w:val="left"/>
      </w:pPr>
      <w:r>
        <w:rPr>
          <w:rFonts w:ascii="宋体" w:hAnsi="宋体" w:cs="宋体"/>
          <w:color w:val="000000"/>
          <w:spacing w:val="-1"/>
          <w:w w:val="100"/>
          <w:position w:val="0"/>
          <w:sz w:val="21"/>
          <w:u w:val="none"/>
        </w:rPr>
        <w:t>承受面内水平荷载的墙体。</w:t>
      </w:r>
    </w:p>
    <w:p>
      <w:pPr>
        <w:spacing w:before="0" w:after="0" w:line="315" w:lineRule="exact"/>
        <w:ind w:left="163" w:firstLine="0"/>
        <w:jc w:val="left"/>
      </w:pPr>
      <w:r>
        <w:rPr>
          <w:rFonts w:ascii="黑体" w:hAnsi="黑体" w:cs="黑体"/>
          <w:color w:val="000000"/>
          <w:spacing w:val="-1"/>
          <w:w w:val="100"/>
          <w:position w:val="0"/>
          <w:sz w:val="21"/>
          <w:u w:val="none"/>
        </w:rPr>
        <w:t>2.1.18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非承重墙</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non-load-bearing</w:t>
      </w:r>
      <w:r>
        <w:rPr>
          <w:rFonts w:ascii="Calibri" w:hAnsi="Calibri" w:cs="Calibri"/>
          <w:color w:val="000000"/>
          <w:spacing w:val="0"/>
          <w:w w:val="225"/>
          <w:sz w:val="21"/>
          <w:u w:val="none"/>
        </w:rPr>
        <w:t> </w:t>
      </w:r>
      <w:r>
        <w:rPr>
          <w:rFonts w:ascii="宋体" w:hAnsi="宋体" w:cs="宋体"/>
          <w:color w:val="000000"/>
          <w:spacing w:val="-1"/>
          <w:w w:val="100"/>
          <w:position w:val="0"/>
          <w:sz w:val="21"/>
          <w:u w:val="none"/>
        </w:rPr>
        <w:t>wall</w:t>
      </w:r>
    </w:p>
    <w:p>
      <w:pPr>
        <w:spacing w:before="0" w:after="0" w:line="309" w:lineRule="exact"/>
        <w:ind w:left="163" w:firstLine="437"/>
        <w:jc w:val="left"/>
      </w:pPr>
      <w:r>
        <w:rPr>
          <w:rFonts w:ascii="宋体" w:hAnsi="宋体" w:cs="宋体"/>
          <w:color w:val="000000"/>
          <w:spacing w:val="-1"/>
          <w:w w:val="100"/>
          <w:position w:val="0"/>
          <w:sz w:val="21"/>
          <w:u w:val="none"/>
        </w:rPr>
        <w:t>不承受竖向外荷载的墙体。</w:t>
      </w:r>
    </w:p>
    <w:p>
      <w:pPr>
        <w:spacing w:before="0" w:after="0" w:line="315" w:lineRule="exact"/>
        <w:ind w:left="163" w:firstLine="0"/>
        <w:jc w:val="left"/>
      </w:pPr>
      <w:r>
        <w:rPr>
          <w:rFonts w:ascii="黑体" w:hAnsi="黑体" w:cs="黑体"/>
          <w:color w:val="000000"/>
          <w:spacing w:val="-1"/>
          <w:w w:val="100"/>
          <w:position w:val="0"/>
          <w:sz w:val="21"/>
          <w:u w:val="none"/>
        </w:rPr>
        <w:t>2.1.19</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钢板厚度</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thickness</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of</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steel</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plate</w:t>
      </w:r>
    </w:p>
    <w:p>
      <w:pPr>
        <w:spacing w:before="0" w:after="0" w:line="309" w:lineRule="exact"/>
        <w:ind w:left="163" w:firstLine="420"/>
        <w:jc w:val="left"/>
      </w:pPr>
      <w:r>
        <w:rPr>
          <w:rFonts w:ascii="宋体" w:hAnsi="宋体" w:cs="宋体"/>
          <w:color w:val="000000"/>
          <w:spacing w:val="-1"/>
          <w:w w:val="100"/>
          <w:position w:val="0"/>
          <w:sz w:val="21"/>
          <w:u w:val="none"/>
        </w:rPr>
        <w:t>钢基板厚度和镀层厚度之和。</w:t>
      </w:r>
    </w:p>
    <w:p>
      <w:pPr>
        <w:tabs>
          <w:tab w:val="left" w:pos="1056"/>
          <w:tab w:val="left" w:pos="4394"/>
        </w:tabs>
        <w:spacing w:before="0" w:after="0" w:line="315" w:lineRule="exact"/>
        <w:ind w:left="163" w:firstLine="0"/>
        <w:jc w:val="left"/>
      </w:pPr>
      <w:r>
        <w:rPr>
          <w:rFonts w:ascii="黑体" w:hAnsi="黑体" w:cs="黑体"/>
          <w:color w:val="000000"/>
          <w:spacing w:val="0"/>
          <w:w w:val="100"/>
          <w:position w:val="0"/>
          <w:sz w:val="21"/>
          <w:u w:val="none"/>
        </w:rPr>
        <w:t>2.1.20</w:t>
      </w:r>
      <w:r>
        <w:rPr>
          <w:rFonts w:cs="Calibri"/>
          <w:color w:val="000000"/>
          <w:spacing w:val="-1"/>
          <w:w w:val="100"/>
          <w:u w:val="none"/>
        </w:rPr>
        <w:tab/>
      </w:r>
      <w:r>
        <w:rPr>
          <w:rFonts w:ascii="宋体" w:eastAsia="宋体" w:hAnsi="宋体" w:cs="宋体"/>
          <w:color w:val="000000"/>
          <w:spacing w:val="23"/>
          <w:w w:val="100"/>
          <w:position w:val="0"/>
          <w:sz w:val="21"/>
          <w:u w:val="none"/>
        </w:rPr>
        <w:t>轻钢结构装配装饰一体化建筑</w:t>
      </w:r>
      <w:r>
        <w:rPr>
          <w:rFonts w:cs="Calibri"/>
          <w:color w:val="000000"/>
          <w:spacing w:val="-2"/>
          <w:w w:val="100"/>
          <w:u w:val="none"/>
        </w:rPr>
        <w:tab/>
      </w:r>
      <w:r>
        <w:rPr>
          <w:rFonts w:ascii="宋体" w:hAnsi="宋体" w:cs="宋体"/>
          <w:color w:val="000000"/>
          <w:spacing w:val="-1"/>
          <w:w w:val="100"/>
          <w:position w:val="0"/>
          <w:sz w:val="21"/>
          <w:u w:val="none"/>
        </w:rPr>
        <w:t>the</w:t>
      </w:r>
      <w:r>
        <w:rPr>
          <w:rFonts w:ascii="Calibri" w:hAnsi="Calibri" w:cs="Calibri"/>
          <w:color w:val="000000"/>
          <w:spacing w:val="0"/>
          <w:w w:val="280"/>
          <w:sz w:val="21"/>
          <w:u w:val="none"/>
        </w:rPr>
        <w:t> </w:t>
      </w:r>
      <w:r>
        <w:rPr>
          <w:rFonts w:ascii="宋体" w:hAnsi="宋体" w:cs="宋体"/>
          <w:color w:val="000000"/>
          <w:spacing w:val="-1"/>
          <w:w w:val="100"/>
          <w:position w:val="0"/>
          <w:sz w:val="21"/>
          <w:u w:val="none"/>
        </w:rPr>
        <w:t>light</w:t>
      </w:r>
      <w:r>
        <w:rPr>
          <w:rFonts w:ascii="Calibri" w:hAnsi="Calibri" w:cs="Calibri"/>
          <w:color w:val="000000"/>
          <w:spacing w:val="0"/>
          <w:w w:val="285"/>
          <w:sz w:val="21"/>
          <w:u w:val="none"/>
        </w:rPr>
        <w:t> </w:t>
      </w:r>
      <w:r>
        <w:rPr>
          <w:rFonts w:ascii="宋体" w:hAnsi="宋体" w:cs="宋体"/>
          <w:color w:val="000000"/>
          <w:spacing w:val="-1"/>
          <w:w w:val="100"/>
          <w:position w:val="0"/>
          <w:sz w:val="21"/>
          <w:u w:val="none"/>
        </w:rPr>
        <w:t>steel</w:t>
      </w:r>
      <w:r>
        <w:rPr>
          <w:rFonts w:ascii="Calibri" w:hAnsi="Calibri" w:cs="Calibri"/>
          <w:color w:val="000000"/>
          <w:spacing w:val="0"/>
          <w:w w:val="280"/>
          <w:sz w:val="21"/>
          <w:u w:val="none"/>
        </w:rPr>
        <w:t> </w:t>
      </w:r>
      <w:r>
        <w:rPr>
          <w:rFonts w:ascii="宋体" w:hAnsi="宋体" w:cs="宋体"/>
          <w:color w:val="000000"/>
          <w:spacing w:val="-1"/>
          <w:w w:val="100"/>
          <w:position w:val="0"/>
          <w:sz w:val="21"/>
          <w:u w:val="none"/>
        </w:rPr>
        <w:t>structure</w:t>
      </w:r>
      <w:r>
        <w:rPr>
          <w:rFonts w:ascii="Calibri" w:hAnsi="Calibri" w:cs="Calibri"/>
          <w:color w:val="000000"/>
          <w:spacing w:val="0"/>
          <w:w w:val="285"/>
          <w:sz w:val="21"/>
          <w:u w:val="none"/>
        </w:rPr>
        <w:t> </w:t>
      </w:r>
      <w:r>
        <w:rPr>
          <w:rFonts w:ascii="宋体" w:hAnsi="宋体" w:cs="宋体"/>
          <w:color w:val="000000"/>
          <w:spacing w:val="-1"/>
          <w:w w:val="100"/>
          <w:position w:val="0"/>
          <w:sz w:val="21"/>
          <w:u w:val="none"/>
        </w:rPr>
        <w:t>assembles</w:t>
      </w:r>
      <w:r>
        <w:rPr>
          <w:rFonts w:ascii="Calibri" w:hAnsi="Calibri" w:cs="Calibri"/>
          <w:color w:val="000000"/>
          <w:spacing w:val="0"/>
          <w:w w:val="280"/>
          <w:sz w:val="21"/>
          <w:u w:val="none"/>
        </w:rPr>
        <w:t> </w:t>
      </w:r>
      <w:r>
        <w:rPr>
          <w:rFonts w:ascii="宋体" w:hAnsi="宋体" w:cs="宋体"/>
          <w:color w:val="000000"/>
          <w:spacing w:val="-1"/>
          <w:w w:val="100"/>
          <w:position w:val="0"/>
          <w:sz w:val="21"/>
          <w:u w:val="none"/>
        </w:rPr>
        <w:t>the</w:t>
      </w:r>
      <w:r>
        <w:rPr>
          <w:rFonts w:ascii="Calibri" w:hAnsi="Calibri" w:cs="Calibri"/>
          <w:color w:val="000000"/>
          <w:spacing w:val="0"/>
          <w:w w:val="280"/>
          <w:sz w:val="21"/>
          <w:u w:val="none"/>
        </w:rPr>
        <w:t> </w:t>
      </w:r>
      <w:r>
        <w:rPr>
          <w:rFonts w:ascii="宋体" w:hAnsi="宋体" w:cs="宋体"/>
          <w:color w:val="000000"/>
          <w:spacing w:val="-1"/>
          <w:w w:val="100"/>
          <w:position w:val="0"/>
          <w:sz w:val="21"/>
          <w:u w:val="none"/>
        </w:rPr>
        <w:t>decoration</w:t>
      </w:r>
    </w:p>
    <w:p>
      <w:pPr>
        <w:spacing w:before="0" w:after="0" w:line="309" w:lineRule="exact"/>
        <w:ind w:left="163" w:firstLine="0"/>
        <w:jc w:val="left"/>
      </w:pPr>
      <w:r>
        <w:rPr>
          <w:rFonts w:ascii="宋体" w:hAnsi="宋体" w:cs="宋体"/>
          <w:color w:val="000000"/>
          <w:spacing w:val="-1"/>
          <w:w w:val="100"/>
          <w:position w:val="0"/>
          <w:sz w:val="21"/>
          <w:u w:val="none"/>
        </w:rPr>
        <w:t>integration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building</w:t>
      </w:r>
    </w:p>
    <w:p>
      <w:pPr>
        <w:spacing w:before="0" w:after="0" w:line="312" w:lineRule="exact"/>
        <w:ind w:left="163" w:firstLine="437"/>
        <w:jc w:val="left"/>
      </w:pPr>
      <w:r>
        <w:rPr>
          <w:rFonts w:ascii="宋体" w:hAnsi="宋体" w:cs="宋体"/>
          <w:color w:val="000000"/>
          <w:spacing w:val="-4"/>
          <w:w w:val="100"/>
          <w:position w:val="0"/>
          <w:sz w:val="21"/>
          <w:u w:val="none"/>
        </w:rPr>
        <w:t>结构系统、外围护系统、设备与管线系统和内装系统主要部分采用预制部品部件集成的轻钢结构建筑。</w:t>
      </w:r>
    </w:p>
    <w:p>
      <w:pPr>
        <w:spacing w:before="0" w:after="0" w:line="381" w:lineRule="exact"/>
        <w:ind w:left="163" w:firstLine="0"/>
        <w:jc w:val="left"/>
        <w:sectPr>
          <w:type w:val="continuous"/>
          <w:pgSz w:w="11907" w:h="16840"/>
          <w:pgMar w:top="736" w:right="610" w:bottom="496" w:left="970" w:header="0" w:footer="0" w:gutter="0"/>
          <w:pgNumType w:start="33"/>
          <w:cols w:num="1" w:space="720"/>
        </w:sectPr>
      </w:pPr>
      <w:r>
        <w:rPr>
          <w:rFonts w:ascii="Microsoft YaHei UI" w:hAnsi="Microsoft YaHei UI" w:cs="Microsoft YaHei UI"/>
          <w:color w:val="000000"/>
          <w:spacing w:val="-16"/>
          <w:w w:val="100"/>
          <w:position w:val="0"/>
          <w:sz w:val="18"/>
          <w:u w:val="none"/>
        </w:rPr>
        <w:t>2</w:t>
      </w:r>
    </w:p>
    <w:p>
      <w:pPr>
        <w:spacing w:before="0" w:after="0" w:line="284" w:lineRule="exact"/>
        <w:ind w:left="84" w:firstLine="7855"/>
        <w:jc w:val="left"/>
      </w:pPr>
      <w:bookmarkStart w:id="10" w:name="10"/>
      <w:bookmarkEnd w:id="10"/>
      <w:r>
        <w:pict>
          <v:shape id="_x0000_s2056"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84" w:firstLine="7855"/>
      </w:pPr>
    </w:p>
    <w:p>
      <w:pPr>
        <w:spacing w:before="0" w:after="0" w:line="240" w:lineRule="exact"/>
        <w:ind w:left="84" w:firstLine="7855"/>
      </w:pPr>
    </w:p>
    <w:p>
      <w:pPr>
        <w:spacing w:before="0" w:after="0" w:line="281" w:lineRule="exact"/>
        <w:ind w:left="84" w:firstLine="4349"/>
        <w:jc w:val="left"/>
      </w:pPr>
      <w:r>
        <w:rPr>
          <w:rFonts w:ascii="黑体" w:hAnsi="黑体" w:cs="黑体"/>
          <w:color w:val="000000"/>
          <w:spacing w:val="-1"/>
          <w:w w:val="100"/>
          <w:position w:val="0"/>
          <w:sz w:val="21"/>
          <w:u w:val="none"/>
        </w:rPr>
        <w:t>2.2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符号</w:t>
      </w:r>
    </w:p>
    <w:p>
      <w:pPr>
        <w:spacing w:before="0" w:after="0" w:line="240" w:lineRule="exact"/>
        <w:ind w:left="84" w:firstLine="4349"/>
      </w:pPr>
    </w:p>
    <w:p>
      <w:pPr>
        <w:spacing w:before="0" w:after="0" w:line="228" w:lineRule="exact"/>
        <w:ind w:left="84" w:firstLine="0"/>
        <w:jc w:val="left"/>
      </w:pPr>
      <w:r>
        <w:rPr>
          <w:rFonts w:ascii="黑体" w:hAnsi="黑体" w:cs="黑体"/>
          <w:color w:val="000000"/>
          <w:spacing w:val="-1"/>
          <w:w w:val="100"/>
          <w:position w:val="0"/>
          <w:sz w:val="21"/>
          <w:u w:val="none"/>
        </w:rPr>
        <w:t>2.2.1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作用和作用效应</w:t>
      </w:r>
    </w:p>
    <w:p>
      <w:pPr>
        <w:spacing w:before="0" w:after="0" w:line="350" w:lineRule="exact"/>
        <w:ind w:left="84" w:firstLine="425"/>
        <w:jc w:val="left"/>
      </w:pPr>
      <w:r>
        <w:rPr>
          <w:rFonts w:ascii="DejaVu Math TeX Gyre" w:eastAsia="DejaVu Math TeX Gyre" w:hAnsi="DejaVu Math TeX Gyre" w:cs="DejaVu Math TeX Gyre"/>
          <w:color w:val="000000"/>
          <w:spacing w:val="0"/>
          <w:w w:val="333"/>
          <w:position w:val="0"/>
          <w:sz w:val="21"/>
          <w:u w:val="none"/>
        </w:rPr>
        <w:t>�</w:t>
      </w:r>
      <w:r>
        <w:rPr>
          <w:rFonts w:ascii="宋体" w:hAnsi="宋体" w:cs="宋体"/>
          <w:color w:val="000000"/>
          <w:spacing w:val="-1"/>
          <w:w w:val="100"/>
          <w:position w:val="4"/>
          <w:sz w:val="21"/>
          <w:u w:val="none"/>
        </w:rPr>
        <w:t>——弯矩；</w:t>
      </w:r>
    </w:p>
    <w:p>
      <w:pPr>
        <w:spacing w:before="0" w:after="0" w:line="312" w:lineRule="exact"/>
        <w:ind w:left="84" w:firstLine="492"/>
        <w:jc w:val="left"/>
      </w:pPr>
      <w:r>
        <w:rPr>
          <w:rFonts w:ascii="DejaVu Math TeX Gyre" w:eastAsia="DejaVu Math TeX Gyre" w:hAnsi="DejaVu Math TeX Gyre" w:cs="DejaVu Math TeX Gyre"/>
          <w:color w:val="000000"/>
          <w:spacing w:val="0"/>
          <w:w w:val="296"/>
          <w:position w:val="0"/>
          <w:sz w:val="21"/>
          <w:u w:val="none"/>
        </w:rPr>
        <w:t>�</w:t>
      </w:r>
      <w:r>
        <w:rPr>
          <w:rFonts w:ascii="宋体" w:hAnsi="宋体" w:cs="宋体"/>
          <w:color w:val="000000"/>
          <w:spacing w:val="-1"/>
          <w:w w:val="100"/>
          <w:position w:val="4"/>
          <w:sz w:val="21"/>
          <w:u w:val="none"/>
        </w:rPr>
        <w:t>——轴力；</w:t>
      </w:r>
    </w:p>
    <w:p>
      <w:pPr>
        <w:spacing w:before="0" w:after="0" w:line="339" w:lineRule="exact"/>
        <w:ind w:left="84" w:firstLine="425"/>
        <w:jc w:val="left"/>
      </w:pPr>
      <w:r>
        <w:pict>
          <v:shape id="wondershare_49" o:spid="_x0000_s1032" type="#_x0000_t202" style="width:22.75pt;height:14.65pt;margin-top:146.9pt;margin-left:92.6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194" w:lineRule="exact"/>
                    <w:jc w:val="left"/>
                  </w:pPr>
                  <w:r>
                    <w:rPr>
                      <w:rFonts w:ascii="DejaVu Math TeX Gyre" w:hAnsi="DejaVu Math TeX Gyre" w:cs="DejaVu Math TeX Gyre"/>
                      <w:color w:val="000000"/>
                      <w:spacing w:val="-1"/>
                      <w:w w:val="100"/>
                      <w:position w:val="0"/>
                      <w:sz w:val="15"/>
                      <w:u w:val="none"/>
                    </w:rPr>
                    <w:t>f</w:t>
                  </w:r>
                </w:p>
              </w:txbxContent>
            </v:textbox>
          </v:shape>
        </w:pict>
      </w:r>
      <w:r>
        <w:rPr>
          <w:rFonts w:ascii="DejaVu Math TeX Gyre" w:eastAsia="DejaVu Math TeX Gyre" w:hAnsi="DejaVu Math TeX Gyre" w:cs="DejaVu Math TeX Gyre"/>
          <w:color w:val="000000"/>
          <w:spacing w:val="0"/>
          <w:w w:val="296"/>
          <w:position w:val="2"/>
          <w:sz w:val="21"/>
          <w:u w:val="none"/>
        </w:rPr>
        <w:t>�</w:t>
      </w:r>
      <w:r>
        <w:rPr>
          <w:rFonts w:ascii="Calibri" w:hAnsi="Calibri" w:cs="Calibri"/>
          <w:color w:val="000000"/>
          <w:spacing w:val="0"/>
          <w:w w:val="202"/>
          <w:sz w:val="15"/>
          <w:u w:val="none"/>
        </w:rPr>
        <w:t> </w:t>
      </w:r>
      <w:r>
        <w:rPr>
          <w:rFonts w:ascii="DejaVu Math TeX Gyre" w:hAnsi="DejaVu Math TeX Gyre" w:cs="DejaVu Math TeX Gyre"/>
          <w:color w:val="000000"/>
          <w:spacing w:val="-1"/>
          <w:w w:val="100"/>
          <w:position w:val="0"/>
          <w:sz w:val="15"/>
          <w:u w:val="none"/>
        </w:rPr>
        <w:t>v</w:t>
      </w:r>
      <w:r>
        <w:rPr>
          <w:rFonts w:ascii="宋体" w:hAnsi="宋体" w:cs="宋体"/>
          <w:color w:val="000000"/>
          <w:spacing w:val="-2"/>
          <w:w w:val="100"/>
          <w:position w:val="6"/>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6"/>
          <w:sz w:val="21"/>
          <w:u w:val="none"/>
        </w:rPr>
        <w:t>一个螺钉的抗剪承载力设计值；</w:t>
      </w:r>
    </w:p>
    <w:p>
      <w:pPr>
        <w:spacing w:before="0" w:after="0" w:line="307" w:lineRule="exact"/>
        <w:ind w:left="84" w:firstLine="425"/>
        <w:jc w:val="left"/>
      </w:pPr>
      <w:r>
        <w:rPr>
          <w:rFonts w:ascii="DejaVu Math TeX Gyre" w:eastAsia="DejaVu Math TeX Gyre" w:hAnsi="DejaVu Math TeX Gyre" w:cs="DejaVu Math TeX Gyre"/>
          <w:color w:val="000000"/>
          <w:spacing w:val="0"/>
          <w:w w:val="232"/>
          <w:position w:val="2"/>
          <w:sz w:val="21"/>
          <w:u w:val="none"/>
        </w:rPr>
        <w:t>�</w:t>
      </w:r>
      <w:r>
        <w:rPr>
          <w:rFonts w:ascii="DejaVu Math TeX Gyre" w:hAnsi="DejaVu Math TeX Gyre" w:cs="DejaVu Math TeX Gyre"/>
          <w:color w:val="000000"/>
          <w:spacing w:val="-1"/>
          <w:w w:val="100"/>
          <w:position w:val="0"/>
          <w:sz w:val="15"/>
          <w:u w:val="none"/>
        </w:rPr>
        <w:t>s</w:t>
      </w:r>
      <w:r>
        <w:rPr>
          <w:rFonts w:ascii="宋体" w:hAnsi="宋体" w:cs="宋体"/>
          <w:color w:val="000000"/>
          <w:spacing w:val="-2"/>
          <w:w w:val="100"/>
          <w:position w:val="6"/>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6"/>
          <w:sz w:val="21"/>
          <w:u w:val="none"/>
        </w:rPr>
        <w:t>一对抗拔连接件之间墙体段承受的水平剪力；</w:t>
      </w:r>
    </w:p>
    <w:p>
      <w:pPr>
        <w:spacing w:before="0" w:after="0" w:line="312" w:lineRule="exact"/>
        <w:ind w:left="84" w:firstLine="425"/>
        <w:jc w:val="left"/>
      </w:pPr>
      <w:r>
        <w:rPr>
          <w:rFonts w:ascii="DejaVu Math TeX Gyre" w:eastAsia="DejaVu Math TeX Gyre" w:hAnsi="DejaVu Math TeX Gyre" w:cs="DejaVu Math TeX Gyre"/>
          <w:color w:val="000000"/>
          <w:spacing w:val="0"/>
          <w:w w:val="210"/>
          <w:position w:val="2"/>
          <w:sz w:val="21"/>
          <w:u w:val="none"/>
        </w:rPr>
        <w:t>�</w:t>
      </w:r>
      <w:r>
        <w:rPr>
          <w:rFonts w:ascii="DejaVu Math TeX Gyre" w:hAnsi="DejaVu Math TeX Gyre" w:cs="DejaVu Math TeX Gyre"/>
          <w:color w:val="000000"/>
          <w:spacing w:val="-1"/>
          <w:w w:val="100"/>
          <w:position w:val="0"/>
          <w:sz w:val="15"/>
          <w:u w:val="none"/>
        </w:rPr>
        <w:t>w</w:t>
      </w:r>
      <w:r>
        <w:rPr>
          <w:rFonts w:ascii="宋体" w:hAnsi="宋体" w:cs="宋体"/>
          <w:color w:val="000000"/>
          <w:spacing w:val="-1"/>
          <w:w w:val="100"/>
          <w:position w:val="6"/>
          <w:sz w:val="21"/>
          <w:u w:val="none"/>
        </w:rPr>
        <w:t>——考虑风荷载效应组合下抗剪墙单位计算长度的剪力；</w:t>
      </w:r>
    </w:p>
    <w:p>
      <w:pPr>
        <w:spacing w:before="0" w:after="0" w:line="312" w:lineRule="exact"/>
        <w:ind w:left="84" w:firstLine="425"/>
        <w:jc w:val="left"/>
      </w:pPr>
      <w:r>
        <w:rPr>
          <w:rFonts w:ascii="DejaVu Math TeX Gyre" w:eastAsia="DejaVu Math TeX Gyre" w:hAnsi="DejaVu Math TeX Gyre" w:cs="DejaVu Math TeX Gyre"/>
          <w:color w:val="000000"/>
          <w:spacing w:val="0"/>
          <w:w w:val="210"/>
          <w:position w:val="2"/>
          <w:sz w:val="21"/>
          <w:u w:val="none"/>
        </w:rPr>
        <w:t>�</w:t>
      </w:r>
      <w:r>
        <w:rPr>
          <w:rFonts w:ascii="DejaVu Math TeX Gyre" w:hAnsi="DejaVu Math TeX Gyre" w:cs="DejaVu Math TeX Gyre"/>
          <w:color w:val="000000"/>
          <w:spacing w:val="-1"/>
          <w:w w:val="100"/>
          <w:position w:val="0"/>
          <w:sz w:val="15"/>
          <w:u w:val="none"/>
        </w:rPr>
        <w:t>E</w:t>
      </w:r>
      <w:r>
        <w:rPr>
          <w:rFonts w:ascii="宋体" w:hAnsi="宋体" w:cs="宋体"/>
          <w:color w:val="000000"/>
          <w:spacing w:val="-1"/>
          <w:w w:val="100"/>
          <w:position w:val="6"/>
          <w:sz w:val="21"/>
          <w:u w:val="none"/>
        </w:rPr>
        <w:t>——考虑地震作用效应组合下抗剪墙单位计算长度的剪力；</w:t>
      </w:r>
    </w:p>
    <w:p>
      <w:pPr>
        <w:spacing w:before="0" w:after="0" w:line="305" w:lineRule="exact"/>
        <w:ind w:left="84" w:firstLine="425"/>
        <w:jc w:val="left"/>
      </w:pPr>
      <w:r>
        <w:rPr>
          <w:rFonts w:ascii="DejaVu Math TeX Gyre" w:eastAsia="DejaVu Math TeX Gyre" w:hAnsi="DejaVu Math TeX Gyre" w:cs="DejaVu Math TeX Gyre"/>
          <w:color w:val="000000"/>
          <w:spacing w:val="0"/>
          <w:w w:val="210"/>
          <w:position w:val="2"/>
          <w:sz w:val="21"/>
          <w:u w:val="none"/>
        </w:rPr>
        <w:t>�</w:t>
      </w:r>
      <w:r>
        <w:rPr>
          <w:rFonts w:ascii="DejaVu Math TeX Gyre" w:hAnsi="DejaVu Math TeX Gyre" w:cs="DejaVu Math TeX Gyre"/>
          <w:color w:val="000000"/>
          <w:spacing w:val="-1"/>
          <w:w w:val="100"/>
          <w:position w:val="0"/>
          <w:sz w:val="15"/>
          <w:u w:val="none"/>
        </w:rPr>
        <w:t>j</w:t>
      </w:r>
      <w:r>
        <w:rPr>
          <w:rFonts w:ascii="宋体" w:hAnsi="宋体" w:cs="宋体"/>
          <w:color w:val="000000"/>
          <w:spacing w:val="-1"/>
          <w:w w:val="100"/>
          <w:position w:val="6"/>
          <w:sz w:val="21"/>
          <w:u w:val="none"/>
        </w:rPr>
        <w:t>——作用在第</w:t>
      </w:r>
      <w:r>
        <w:rPr>
          <w:rFonts w:ascii="Calibri" w:hAnsi="Calibri" w:cs="Calibri"/>
          <w:color w:val="000000"/>
          <w:spacing w:val="4"/>
          <w:w w:val="100"/>
          <w:sz w:val="21"/>
          <w:u w:val="none"/>
        </w:rPr>
        <w:t> </w:t>
      </w:r>
      <w:r>
        <w:rPr>
          <w:rFonts w:ascii="宋体" w:hAnsi="宋体" w:cs="宋体"/>
          <w:color w:val="000000"/>
          <w:spacing w:val="-1"/>
          <w:w w:val="100"/>
          <w:position w:val="6"/>
          <w:sz w:val="21"/>
          <w:u w:val="none"/>
        </w:rPr>
        <w:t>j</w:t>
      </w:r>
      <w:r>
        <w:rPr>
          <w:rFonts w:ascii="Calibri" w:hAnsi="Calibri" w:cs="Calibri"/>
          <w:color w:val="000000"/>
          <w:spacing w:val="5"/>
          <w:w w:val="100"/>
          <w:sz w:val="21"/>
          <w:u w:val="none"/>
        </w:rPr>
        <w:t> </w:t>
      </w:r>
      <w:r>
        <w:rPr>
          <w:rFonts w:ascii="宋体" w:eastAsia="宋体" w:hAnsi="宋体" w:cs="宋体"/>
          <w:color w:val="000000"/>
          <w:spacing w:val="-1"/>
          <w:w w:val="100"/>
          <w:position w:val="6"/>
          <w:sz w:val="21"/>
          <w:u w:val="none"/>
        </w:rPr>
        <w:t>面抗剪墙体单位长度上的水平剪力；</w:t>
      </w:r>
    </w:p>
    <w:p>
      <w:pPr>
        <w:spacing w:before="0" w:after="0" w:line="319" w:lineRule="exact"/>
        <w:ind w:left="84" w:firstLine="425"/>
        <w:jc w:val="left"/>
      </w:pPr>
      <w:r>
        <w:rPr>
          <w:rFonts w:ascii="DejaVu Math TeX Gyre" w:eastAsia="DejaVu Math TeX Gyre" w:hAnsi="DejaVu Math TeX Gyre" w:cs="DejaVu Math TeX Gyre"/>
          <w:color w:val="000000"/>
          <w:spacing w:val="0"/>
          <w:w w:val="243"/>
          <w:position w:val="2"/>
          <w:sz w:val="21"/>
          <w:u w:val="none"/>
        </w:rPr>
        <w:t>�</w:t>
      </w:r>
      <w:r>
        <w:rPr>
          <w:rFonts w:ascii="DejaVu Math TeX Gyre" w:hAnsi="DejaVu Math TeX Gyre" w:cs="DejaVu Math TeX Gyre"/>
          <w:color w:val="000000"/>
          <w:spacing w:val="-1"/>
          <w:w w:val="100"/>
          <w:position w:val="0"/>
          <w:sz w:val="15"/>
          <w:u w:val="none"/>
        </w:rPr>
        <w:t>t</w:t>
      </w:r>
      <w:r>
        <w:rPr>
          <w:rFonts w:ascii="宋体" w:hAnsi="宋体" w:cs="宋体"/>
          <w:color w:val="000000"/>
          <w:spacing w:val="-1"/>
          <w:w w:val="100"/>
          <w:position w:val="6"/>
          <w:sz w:val="21"/>
          <w:u w:val="none"/>
        </w:rPr>
        <w:t>——目标试验荷载；</w:t>
      </w:r>
    </w:p>
    <w:p>
      <w:pPr>
        <w:spacing w:before="0" w:after="0" w:line="312" w:lineRule="exact"/>
        <w:ind w:left="84" w:firstLine="425"/>
        <w:jc w:val="left"/>
      </w:pPr>
      <w:r>
        <w:rPr>
          <w:rFonts w:ascii="DejaVu Math TeX Gyre" w:eastAsia="DejaVu Math TeX Gyre" w:hAnsi="DejaVu Math TeX Gyre" w:cs="DejaVu Math TeX Gyre"/>
          <w:color w:val="000000"/>
          <w:spacing w:val="0"/>
          <w:w w:val="243"/>
          <w:position w:val="2"/>
          <w:sz w:val="21"/>
          <w:u w:val="none"/>
        </w:rPr>
        <w:t>�</w:t>
      </w:r>
      <w:r>
        <w:rPr>
          <w:rFonts w:ascii="DejaVu Math TeX Gyre" w:hAnsi="DejaVu Math TeX Gyre" w:cs="DejaVu Math TeX Gyre"/>
          <w:color w:val="000000"/>
          <w:spacing w:val="-1"/>
          <w:w w:val="100"/>
          <w:position w:val="0"/>
          <w:sz w:val="15"/>
          <w:u w:val="none"/>
        </w:rPr>
        <w:t>min</w:t>
      </w:r>
      <w:r>
        <w:rPr>
          <w:rFonts w:ascii="宋体" w:hAnsi="宋体" w:cs="宋体"/>
          <w:color w:val="000000"/>
          <w:spacing w:val="-1"/>
          <w:w w:val="100"/>
          <w:position w:val="6"/>
          <w:sz w:val="21"/>
          <w:u w:val="none"/>
        </w:rPr>
        <w:t>——试验荷载结果的最小值；</w:t>
      </w:r>
    </w:p>
    <w:p>
      <w:pPr>
        <w:spacing w:before="0" w:after="0" w:line="290" w:lineRule="exact"/>
        <w:ind w:left="84" w:firstLine="425"/>
        <w:jc w:val="left"/>
      </w:pPr>
      <w:r>
        <w:rPr>
          <w:rFonts w:ascii="DejaVu Math TeX Gyre" w:eastAsia="DejaVu Math TeX Gyre" w:hAnsi="DejaVu Math TeX Gyre" w:cs="DejaVu Math TeX Gyre"/>
          <w:color w:val="000000"/>
          <w:spacing w:val="0"/>
          <w:w w:val="250"/>
          <w:position w:val="0"/>
          <w:sz w:val="21"/>
          <w:u w:val="none"/>
        </w:rPr>
        <w:t>�</w:t>
      </w:r>
      <w:r>
        <w:rPr>
          <w:rFonts w:ascii="宋体" w:hAnsi="宋体" w:cs="宋体"/>
          <w:color w:val="000000"/>
          <w:spacing w:val="-1"/>
          <w:w w:val="100"/>
          <w:position w:val="4"/>
          <w:sz w:val="21"/>
          <w:u w:val="none"/>
        </w:rPr>
        <w:t>——剪力；</w:t>
      </w:r>
    </w:p>
    <w:p>
      <w:pPr>
        <w:spacing w:before="0" w:after="0" w:line="351" w:lineRule="exact"/>
        <w:ind w:left="84" w:firstLine="425"/>
        <w:jc w:val="left"/>
      </w:pPr>
      <w:r>
        <w:rPr>
          <w:rFonts w:ascii="宋体" w:hAnsi="宋体" w:cs="宋体"/>
          <w:color w:val="000000"/>
          <w:spacing w:val="0"/>
          <w:w w:val="100"/>
          <w:sz w:val="22"/>
          <w:u w:val="none"/>
        </w:rPr>
        <w:t>б</w:t>
      </w:r>
      <w:r>
        <w:rPr>
          <w:rFonts w:ascii="DejaVu Math TeX Gyre" w:hAnsi="DejaVu Math TeX Gyre" w:cs="DejaVu Math TeX Gyre"/>
          <w:color w:val="000000"/>
          <w:spacing w:val="-2"/>
          <w:w w:val="100"/>
          <w:position w:val="0"/>
          <w:sz w:val="15"/>
          <w:u w:val="none"/>
        </w:rPr>
        <w:t>cd</w:t>
      </w:r>
      <w:r>
        <w:rPr>
          <w:rFonts w:ascii="宋体" w:hAnsi="宋体" w:cs="宋体"/>
          <w:color w:val="000000"/>
          <w:spacing w:val="-1"/>
          <w:w w:val="100"/>
          <w:position w:val="6"/>
          <w:sz w:val="21"/>
          <w:u w:val="none"/>
        </w:rPr>
        <w:t>——轴压时的畸变屈曲应力；</w:t>
      </w:r>
    </w:p>
    <w:p>
      <w:pPr>
        <w:spacing w:before="0" w:after="0" w:line="312" w:lineRule="exact"/>
        <w:ind w:left="84" w:firstLine="425"/>
        <w:jc w:val="left"/>
      </w:pPr>
      <w:r>
        <w:rPr>
          <w:rFonts w:ascii="宋体" w:hAnsi="宋体" w:cs="宋体"/>
          <w:color w:val="000000"/>
          <w:spacing w:val="0"/>
          <w:w w:val="100"/>
          <w:sz w:val="22"/>
          <w:u w:val="none"/>
        </w:rPr>
        <w:t>б</w:t>
      </w:r>
      <w:r>
        <w:rPr>
          <w:rFonts w:ascii="DejaVu Math TeX Gyre" w:hAnsi="DejaVu Math TeX Gyre" w:cs="DejaVu Math TeX Gyre"/>
          <w:color w:val="000000"/>
          <w:spacing w:val="-1"/>
          <w:w w:val="100"/>
          <w:position w:val="0"/>
          <w:sz w:val="15"/>
          <w:u w:val="none"/>
        </w:rPr>
        <w:t>md</w:t>
      </w:r>
      <w:r>
        <w:rPr>
          <w:rFonts w:ascii="宋体" w:hAnsi="宋体" w:cs="宋体"/>
          <w:color w:val="000000"/>
          <w:spacing w:val="-1"/>
          <w:w w:val="100"/>
          <w:position w:val="6"/>
          <w:sz w:val="21"/>
          <w:u w:val="none"/>
        </w:rPr>
        <w:t>——受弯时的畸变屈曲应力。</w:t>
      </w:r>
    </w:p>
    <w:p>
      <w:pPr>
        <w:spacing w:before="0" w:after="0" w:line="235" w:lineRule="exact"/>
        <w:ind w:left="84" w:firstLine="0"/>
        <w:jc w:val="left"/>
      </w:pPr>
      <w:r>
        <w:rPr>
          <w:rFonts w:ascii="黑体" w:hAnsi="黑体" w:cs="黑体"/>
          <w:color w:val="000000"/>
          <w:spacing w:val="-1"/>
          <w:w w:val="100"/>
          <w:position w:val="0"/>
          <w:sz w:val="21"/>
          <w:u w:val="none"/>
        </w:rPr>
        <w:t>2.2.2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计算指标</w:t>
      </w:r>
    </w:p>
    <w:p>
      <w:pPr>
        <w:spacing w:before="0" w:after="0" w:line="350" w:lineRule="exact"/>
        <w:ind w:left="84" w:firstLine="425"/>
        <w:jc w:val="left"/>
      </w:pPr>
      <w:r>
        <w:rPr>
          <w:rFonts w:ascii="DejaVu Math TeX Gyre" w:eastAsia="DejaVu Math TeX Gyre" w:hAnsi="DejaVu Math TeX Gyre" w:cs="DejaVu Math TeX Gyre"/>
          <w:color w:val="000000"/>
          <w:spacing w:val="0"/>
          <w:w w:val="243"/>
          <w:position w:val="0"/>
          <w:sz w:val="21"/>
          <w:u w:val="none"/>
        </w:rPr>
        <w:t>�</w:t>
      </w:r>
      <w:r>
        <w:rPr>
          <w:rFonts w:ascii="宋体" w:hAnsi="宋体" w:cs="宋体"/>
          <w:color w:val="000000"/>
          <w:spacing w:val="-1"/>
          <w:w w:val="100"/>
          <w:position w:val="4"/>
          <w:sz w:val="21"/>
          <w:u w:val="none"/>
        </w:rPr>
        <w:t>——钢材的弹性模量；</w:t>
      </w:r>
    </w:p>
    <w:p>
      <w:pPr>
        <w:spacing w:before="0" w:after="0" w:line="312" w:lineRule="exact"/>
        <w:ind w:left="84" w:firstLine="425"/>
        <w:jc w:val="left"/>
      </w:pPr>
      <w:r>
        <w:rPr>
          <w:rFonts w:ascii="DejaVu Math TeX Gyre" w:eastAsia="DejaVu Math TeX Gyre" w:hAnsi="DejaVu Math TeX Gyre" w:cs="DejaVu Math TeX Gyre"/>
          <w:color w:val="000000"/>
          <w:spacing w:val="0"/>
          <w:w w:val="202"/>
          <w:position w:val="0"/>
          <w:sz w:val="21"/>
          <w:u w:val="none"/>
        </w:rPr>
        <w:t>�</w:t>
      </w:r>
      <w:r>
        <w:rPr>
          <w:rFonts w:ascii="宋体" w:hAnsi="宋体" w:cs="宋体"/>
          <w:color w:val="000000"/>
          <w:spacing w:val="-1"/>
          <w:w w:val="100"/>
          <w:position w:val="4"/>
          <w:sz w:val="21"/>
          <w:u w:val="none"/>
        </w:rPr>
        <w:t>——钢材抗拉、抗压、抗弯强度设计值；</w:t>
      </w:r>
    </w:p>
    <w:p>
      <w:pPr>
        <w:spacing w:before="0" w:after="0" w:line="327" w:lineRule="exact"/>
        <w:ind w:left="84" w:firstLine="425"/>
        <w:jc w:val="left"/>
      </w:pPr>
      <w:r>
        <w:rPr>
          <w:rFonts w:ascii="DejaVu Math TeX Gyre" w:eastAsia="DejaVu Math TeX Gyre" w:hAnsi="DejaVu Math TeX Gyre" w:cs="DejaVu Math TeX Gyre"/>
          <w:color w:val="000000"/>
          <w:spacing w:val="0"/>
          <w:w w:val="202"/>
          <w:position w:val="2"/>
          <w:sz w:val="21"/>
          <w:u w:val="none"/>
        </w:rPr>
        <w:t>�</w:t>
      </w:r>
      <w:r>
        <w:rPr>
          <w:rFonts w:ascii="DejaVu Math TeX Gyre" w:hAnsi="DejaVu Math TeX Gyre" w:cs="DejaVu Math TeX Gyre"/>
          <w:color w:val="000000"/>
          <w:spacing w:val="-1"/>
          <w:w w:val="100"/>
          <w:position w:val="0"/>
          <w:sz w:val="15"/>
          <w:u w:val="none"/>
        </w:rPr>
        <w:t>y</w:t>
      </w:r>
      <w:r>
        <w:rPr>
          <w:rFonts w:ascii="宋体" w:hAnsi="宋体" w:cs="宋体"/>
          <w:color w:val="000000"/>
          <w:spacing w:val="-1"/>
          <w:w w:val="100"/>
          <w:position w:val="6"/>
          <w:sz w:val="21"/>
          <w:u w:val="none"/>
        </w:rPr>
        <w:t>——钢材屈服强度；</w:t>
      </w:r>
    </w:p>
    <w:p>
      <w:pPr>
        <w:spacing w:before="0" w:after="0" w:line="319" w:lineRule="exact"/>
        <w:ind w:left="84" w:firstLine="425"/>
        <w:jc w:val="left"/>
      </w:pPr>
      <w:r>
        <w:rPr>
          <w:rFonts w:ascii="DejaVu Math TeX Gyre" w:eastAsia="DejaVu Math TeX Gyre" w:hAnsi="DejaVu Math TeX Gyre" w:cs="DejaVu Math TeX Gyre"/>
          <w:color w:val="000000"/>
          <w:spacing w:val="0"/>
          <w:w w:val="202"/>
          <w:position w:val="2"/>
          <w:sz w:val="21"/>
          <w:u w:val="none"/>
        </w:rPr>
        <w:t>�</w:t>
      </w:r>
      <w:r>
        <w:rPr>
          <w:rFonts w:ascii="DejaVu Math TeX Gyre" w:hAnsi="DejaVu Math TeX Gyre" w:cs="DejaVu Math TeX Gyre"/>
          <w:color w:val="000000"/>
          <w:spacing w:val="-1"/>
          <w:w w:val="100"/>
          <w:position w:val="0"/>
          <w:sz w:val="15"/>
          <w:u w:val="none"/>
        </w:rPr>
        <w:t>v</w:t>
      </w:r>
      <w:r>
        <w:rPr>
          <w:rFonts w:ascii="宋体" w:hAnsi="宋体" w:cs="宋体"/>
          <w:color w:val="000000"/>
          <w:spacing w:val="-1"/>
          <w:w w:val="100"/>
          <w:position w:val="6"/>
          <w:sz w:val="21"/>
          <w:u w:val="none"/>
        </w:rPr>
        <w:t>——钢材抗剪强度设计值；</w:t>
      </w:r>
    </w:p>
    <w:p>
      <w:pPr>
        <w:spacing w:before="0" w:after="0" w:line="312" w:lineRule="exact"/>
        <w:ind w:left="84" w:firstLine="425"/>
        <w:jc w:val="left"/>
      </w:pPr>
      <w:r>
        <w:pict>
          <v:shape id="wondershare_302" o:spid="_x0000_s1033" type="#_x0000_t202" style="width:23.8pt;height:14.65pt;margin-top:380.55pt;margin-left:88.9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194" w:lineRule="exact"/>
                    <w:jc w:val="left"/>
                  </w:pPr>
                  <w:r>
                    <w:rPr>
                      <w:rFonts w:ascii="DejaVu Math TeX Gyre" w:hAnsi="DejaVu Math TeX Gyre" w:cs="DejaVu Math TeX Gyre"/>
                      <w:color w:val="000000"/>
                      <w:spacing w:val="-1"/>
                      <w:w w:val="100"/>
                      <w:position w:val="0"/>
                      <w:sz w:val="15"/>
                      <w:u w:val="none"/>
                    </w:rPr>
                    <w:t>s</w:t>
                  </w:r>
                </w:p>
              </w:txbxContent>
            </v:textbox>
          </v:shape>
        </w:pict>
      </w:r>
      <w:r>
        <w:rPr>
          <w:rFonts w:ascii="DejaVu Math TeX Gyre" w:eastAsia="DejaVu Math TeX Gyre" w:hAnsi="DejaVu Math TeX Gyre" w:cs="DejaVu Math TeX Gyre"/>
          <w:color w:val="000000"/>
          <w:spacing w:val="0"/>
          <w:w w:val="202"/>
          <w:position w:val="2"/>
          <w:sz w:val="21"/>
          <w:u w:val="none"/>
        </w:rPr>
        <w:t>�</w:t>
      </w:r>
      <w:r>
        <w:rPr>
          <w:rFonts w:ascii="Calibri" w:hAnsi="Calibri" w:cs="Calibri"/>
          <w:color w:val="000000"/>
          <w:spacing w:val="0"/>
          <w:w w:val="195"/>
          <w:sz w:val="15"/>
          <w:u w:val="none"/>
        </w:rPr>
        <w:t> </w:t>
      </w:r>
      <w:r>
        <w:rPr>
          <w:rFonts w:ascii="DejaVu Math TeX Gyre" w:hAnsi="DejaVu Math TeX Gyre" w:cs="DejaVu Math TeX Gyre"/>
          <w:color w:val="000000"/>
          <w:spacing w:val="-1"/>
          <w:w w:val="100"/>
          <w:position w:val="0"/>
          <w:sz w:val="15"/>
          <w:u w:val="none"/>
        </w:rPr>
        <w:t>v</w:t>
      </w:r>
      <w:r>
        <w:rPr>
          <w:rFonts w:ascii="Calibri" w:hAnsi="Calibri" w:cs="Calibri"/>
          <w:color w:val="000000"/>
          <w:spacing w:val="0"/>
          <w:w w:val="237"/>
          <w:sz w:val="21"/>
          <w:u w:val="none"/>
        </w:rPr>
        <w:t> </w:t>
      </w:r>
      <w:r>
        <w:rPr>
          <w:rFonts w:ascii="宋体" w:hAnsi="宋体" w:cs="宋体"/>
          <w:color w:val="000000"/>
          <w:spacing w:val="-1"/>
          <w:w w:val="100"/>
          <w:position w:val="6"/>
          <w:sz w:val="21"/>
          <w:u w:val="none"/>
        </w:rPr>
        <w:t>——螺钉材料抗剪强度设计值；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202"/>
          <w:position w:val="2"/>
          <w:sz w:val="21"/>
          <w:u w:val="none"/>
        </w:rPr>
        <w:t>�</w:t>
      </w:r>
      <w:r>
        <w:rPr>
          <w:rFonts w:ascii="DejaVu Math TeX Gyre" w:hAnsi="DejaVu Math TeX Gyre" w:cs="DejaVu Math TeX Gyre"/>
          <w:color w:val="000000"/>
          <w:spacing w:val="-1"/>
          <w:w w:val="100"/>
          <w:position w:val="0"/>
          <w:sz w:val="15"/>
          <w:u w:val="none"/>
        </w:rPr>
        <w:t>e</w:t>
      </w:r>
      <w:r>
        <w:rPr>
          <w:rFonts w:ascii="宋体" w:hAnsi="宋体" w:cs="宋体"/>
          <w:color w:val="000000"/>
          <w:spacing w:val="-1"/>
          <w:w w:val="100"/>
          <w:position w:val="6"/>
          <w:sz w:val="21"/>
          <w:u w:val="none"/>
        </w:rPr>
        <w:t>——钢材端面承压强度设计值；</w:t>
      </w:r>
    </w:p>
    <w:p>
      <w:pPr>
        <w:spacing w:before="0" w:after="0" w:line="296" w:lineRule="exact"/>
        <w:ind w:left="84" w:firstLine="425"/>
        <w:jc w:val="left"/>
      </w:pPr>
      <w:r>
        <w:rPr>
          <w:rFonts w:ascii="DejaVu Math TeX Gyre" w:hAnsi="DejaVu Math TeX Gyre" w:cs="DejaVu Math TeX Gyre"/>
          <w:color w:val="000000"/>
          <w:spacing w:val="0"/>
          <w:w w:val="100"/>
          <w:sz w:val="22"/>
          <w:u w:val="none"/>
        </w:rPr>
        <w:t>K</w:t>
      </w:r>
      <w:r>
        <w:rPr>
          <w:rFonts w:ascii="宋体" w:hAnsi="宋体" w:cs="宋体"/>
          <w:color w:val="000000"/>
          <w:spacing w:val="-1"/>
          <w:w w:val="100"/>
          <w:position w:val="4"/>
          <w:sz w:val="21"/>
          <w:u w:val="none"/>
        </w:rPr>
        <w:t>——抗剪刚度；</w:t>
      </w:r>
    </w:p>
    <w:p>
      <w:pPr>
        <w:spacing w:before="0" w:after="0" w:line="328" w:lineRule="exact"/>
        <w:ind w:left="84" w:firstLine="425"/>
        <w:jc w:val="left"/>
      </w:pPr>
      <w:r>
        <w:rPr>
          <w:rFonts w:ascii="DejaVu Math TeX Gyre" w:eastAsia="DejaVu Math TeX Gyre" w:hAnsi="DejaVu Math TeX Gyre" w:cs="DejaVu Math TeX Gyre"/>
          <w:color w:val="000000"/>
          <w:spacing w:val="0"/>
          <w:w w:val="333"/>
          <w:position w:val="2"/>
          <w:sz w:val="21"/>
          <w:u w:val="none"/>
        </w:rPr>
        <w:t>�</w:t>
      </w:r>
      <w:r>
        <w:rPr>
          <w:rFonts w:ascii="DejaVu Math TeX Gyre" w:hAnsi="DejaVu Math TeX Gyre" w:cs="DejaVu Math TeX Gyre"/>
          <w:color w:val="000000"/>
          <w:spacing w:val="-1"/>
          <w:w w:val="100"/>
          <w:position w:val="0"/>
          <w:sz w:val="15"/>
          <w:u w:val="none"/>
        </w:rPr>
        <w:t>d</w:t>
      </w:r>
      <w:r>
        <w:rPr>
          <w:rFonts w:ascii="宋体" w:hAnsi="宋体" w:cs="宋体"/>
          <w:color w:val="000000"/>
          <w:spacing w:val="-1"/>
          <w:w w:val="100"/>
          <w:position w:val="6"/>
          <w:sz w:val="21"/>
          <w:u w:val="none"/>
        </w:rPr>
        <w:t>——畸变屈曲受弯承载力设计值；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333"/>
          <w:position w:val="2"/>
          <w:sz w:val="21"/>
          <w:u w:val="none"/>
        </w:rPr>
        <w:t>�</w:t>
      </w:r>
      <w:r>
        <w:rPr>
          <w:rFonts w:ascii="DejaVu Math TeX Gyre" w:hAnsi="DejaVu Math TeX Gyre" w:cs="DejaVu Math TeX Gyre"/>
          <w:color w:val="000000"/>
          <w:spacing w:val="-1"/>
          <w:w w:val="100"/>
          <w:position w:val="0"/>
          <w:sz w:val="15"/>
          <w:u w:val="none"/>
        </w:rPr>
        <w:t>C</w:t>
      </w:r>
      <w:r>
        <w:rPr>
          <w:rFonts w:ascii="宋体" w:hAnsi="宋体" w:cs="宋体"/>
          <w:color w:val="000000"/>
          <w:spacing w:val="-1"/>
          <w:w w:val="100"/>
          <w:position w:val="6"/>
          <w:sz w:val="21"/>
          <w:u w:val="none"/>
        </w:rPr>
        <w:t>——考虑轴力影响的整体失稳受弯承载力设计值；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333"/>
          <w:position w:val="2"/>
          <w:sz w:val="21"/>
          <w:u w:val="none"/>
        </w:rPr>
        <w:t>�</w:t>
      </w:r>
      <w:r>
        <w:rPr>
          <w:rFonts w:ascii="DejaVu Math TeX Gyre" w:hAnsi="DejaVu Math TeX Gyre" w:cs="DejaVu Math TeX Gyre"/>
          <w:color w:val="000000"/>
          <w:spacing w:val="-1"/>
          <w:w w:val="100"/>
          <w:position w:val="0"/>
          <w:sz w:val="15"/>
          <w:u w:val="none"/>
        </w:rPr>
        <w:t>A</w:t>
      </w:r>
      <w:r>
        <w:rPr>
          <w:rFonts w:ascii="宋体" w:hAnsi="宋体" w:cs="宋体"/>
          <w:color w:val="000000"/>
          <w:spacing w:val="-1"/>
          <w:w w:val="100"/>
          <w:position w:val="6"/>
          <w:sz w:val="21"/>
          <w:u w:val="none"/>
        </w:rPr>
        <w:t>——考虑轴力影响的畸变屈曲受弯承载力设计值；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296"/>
          <w:position w:val="2"/>
          <w:sz w:val="21"/>
          <w:u w:val="none"/>
        </w:rPr>
        <w:t>�</w:t>
      </w:r>
      <w:r>
        <w:rPr>
          <w:rFonts w:ascii="DejaVu Math TeX Gyre" w:hAnsi="DejaVu Math TeX Gyre" w:cs="DejaVu Math TeX Gyre"/>
          <w:color w:val="000000"/>
          <w:spacing w:val="-1"/>
          <w:w w:val="100"/>
          <w:position w:val="0"/>
          <w:sz w:val="15"/>
          <w:u w:val="none"/>
        </w:rPr>
        <w:t>u</w:t>
      </w:r>
      <w:r>
        <w:rPr>
          <w:rFonts w:ascii="宋体" w:hAnsi="宋体" w:cs="宋体"/>
          <w:color w:val="000000"/>
          <w:spacing w:val="-1"/>
          <w:w w:val="100"/>
          <w:position w:val="6"/>
          <w:sz w:val="21"/>
          <w:u w:val="none"/>
        </w:rPr>
        <w:t>——稳定承载力设计值；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296"/>
          <w:position w:val="2"/>
          <w:sz w:val="21"/>
          <w:u w:val="none"/>
        </w:rPr>
        <w:t>�</w:t>
      </w:r>
      <w:r>
        <w:rPr>
          <w:rFonts w:ascii="DejaVu Math TeX Gyre" w:hAnsi="DejaVu Math TeX Gyre" w:cs="DejaVu Math TeX Gyre"/>
          <w:color w:val="000000"/>
          <w:spacing w:val="-1"/>
          <w:w w:val="100"/>
          <w:position w:val="0"/>
          <w:sz w:val="15"/>
          <w:u w:val="none"/>
        </w:rPr>
        <w:t>C</w:t>
      </w:r>
      <w:r>
        <w:rPr>
          <w:rFonts w:ascii="宋体" w:hAnsi="宋体" w:cs="宋体"/>
          <w:color w:val="000000"/>
          <w:spacing w:val="-1"/>
          <w:w w:val="100"/>
          <w:position w:val="6"/>
          <w:sz w:val="21"/>
          <w:u w:val="none"/>
        </w:rPr>
        <w:t>——整体失稳时轴压承载力设计值；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296"/>
          <w:position w:val="2"/>
          <w:sz w:val="21"/>
          <w:u w:val="none"/>
        </w:rPr>
        <w:t>�</w:t>
      </w:r>
      <w:r>
        <w:rPr>
          <w:rFonts w:ascii="DejaVu Math TeX Gyre" w:hAnsi="DejaVu Math TeX Gyre" w:cs="DejaVu Math TeX Gyre"/>
          <w:color w:val="000000"/>
          <w:spacing w:val="-1"/>
          <w:w w:val="100"/>
          <w:position w:val="0"/>
          <w:sz w:val="15"/>
          <w:u w:val="none"/>
        </w:rPr>
        <w:t>A</w:t>
      </w:r>
      <w:r>
        <w:rPr>
          <w:rFonts w:ascii="宋体" w:hAnsi="宋体" w:cs="宋体"/>
          <w:color w:val="000000"/>
          <w:spacing w:val="-1"/>
          <w:w w:val="100"/>
          <w:position w:val="6"/>
          <w:sz w:val="21"/>
          <w:u w:val="none"/>
        </w:rPr>
        <w:t>——畸变屈曲时轴压承载力设计值；</w:t>
      </w:r>
    </w:p>
    <w:p>
      <w:pPr>
        <w:spacing w:before="0" w:after="0" w:line="312" w:lineRule="exact"/>
        <w:ind w:left="84" w:firstLine="425"/>
        <w:jc w:val="left"/>
      </w:pPr>
      <w:r>
        <w:rPr>
          <w:rFonts w:ascii="DejaVu Math TeX Gyre" w:eastAsia="DejaVu Math TeX Gyre" w:hAnsi="DejaVu Math TeX Gyre" w:cs="DejaVu Math TeX Gyre"/>
          <w:color w:val="000000"/>
          <w:spacing w:val="0"/>
          <w:w w:val="232"/>
          <w:position w:val="2"/>
          <w:sz w:val="21"/>
          <w:u w:val="none"/>
        </w:rPr>
        <w:t>�</w:t>
      </w:r>
      <w:r>
        <w:rPr>
          <w:rFonts w:ascii="DejaVu Math TeX Gyre" w:hAnsi="DejaVu Math TeX Gyre" w:cs="DejaVu Math TeX Gyre"/>
          <w:color w:val="000000"/>
          <w:spacing w:val="-2"/>
          <w:w w:val="100"/>
          <w:position w:val="0"/>
          <w:sz w:val="15"/>
          <w:u w:val="none"/>
        </w:rPr>
        <w:t>nom</w:t>
      </w:r>
      <w:r>
        <w:rPr>
          <w:rFonts w:ascii="宋体" w:hAnsi="宋体" w:cs="宋体"/>
          <w:color w:val="000000"/>
          <w:spacing w:val="-1"/>
          <w:w w:val="100"/>
          <w:position w:val="6"/>
          <w:sz w:val="21"/>
          <w:u w:val="none"/>
        </w:rPr>
        <w:t>——名义抗剪强度；</w:t>
      </w:r>
    </w:p>
    <w:p>
      <w:pPr>
        <w:spacing w:before="0" w:after="0" w:line="305" w:lineRule="exact"/>
        <w:ind w:left="84" w:firstLine="425"/>
        <w:jc w:val="left"/>
      </w:pPr>
      <w:r>
        <w:rPr>
          <w:rFonts w:ascii="DejaVu Math TeX Gyre" w:eastAsia="DejaVu Math TeX Gyre" w:hAnsi="DejaVu Math TeX Gyre" w:cs="DejaVu Math TeX Gyre"/>
          <w:color w:val="000000"/>
          <w:spacing w:val="0"/>
          <w:w w:val="250"/>
          <w:position w:val="2"/>
          <w:sz w:val="21"/>
          <w:u w:val="none"/>
        </w:rPr>
        <w:t>�</w:t>
      </w:r>
      <w:r>
        <w:rPr>
          <w:rFonts w:ascii="DejaVu Math TeX Gyre" w:eastAsia="DejaVu Math TeX Gyre" w:hAnsi="DejaVu Math TeX Gyre" w:cs="DejaVu Math TeX Gyre"/>
          <w:color w:val="000000"/>
          <w:spacing w:val="0"/>
          <w:w w:val="152"/>
          <w:position w:val="0"/>
          <w:sz w:val="15"/>
          <w:u w:val="none"/>
        </w:rPr>
        <w:t>�</w:t>
      </w:r>
      <w:r>
        <w:rPr>
          <w:rFonts w:ascii="宋体" w:hAnsi="宋体" w:cs="宋体"/>
          <w:color w:val="000000"/>
          <w:spacing w:val="-1"/>
          <w:w w:val="100"/>
          <w:position w:val="6"/>
          <w:sz w:val="21"/>
          <w:u w:val="none"/>
        </w:rPr>
        <w:t>——第</w:t>
      </w:r>
      <w:r>
        <w:rPr>
          <w:rFonts w:ascii="Calibri" w:hAnsi="Calibri" w:cs="Calibri"/>
          <w:color w:val="000000"/>
          <w:spacing w:val="1"/>
          <w:w w:val="100"/>
          <w:sz w:val="22"/>
          <w:u w:val="none"/>
        </w:rPr>
        <w:t> </w:t>
      </w:r>
      <w:r>
        <w:rPr>
          <w:rFonts w:ascii="宋体" w:hAnsi="宋体" w:cs="宋体"/>
          <w:color w:val="000000"/>
          <w:spacing w:val="0"/>
          <w:w w:val="100"/>
          <w:sz w:val="22"/>
          <w:u w:val="none"/>
        </w:rPr>
        <w:t>j</w:t>
      </w:r>
      <w:r>
        <w:rPr>
          <w:rFonts w:ascii="Calibri" w:hAnsi="Calibri" w:cs="Calibri"/>
          <w:color w:val="000000"/>
          <w:spacing w:val="5"/>
          <w:w w:val="100"/>
          <w:sz w:val="21"/>
          <w:u w:val="none"/>
        </w:rPr>
        <w:t> </w:t>
      </w:r>
      <w:r>
        <w:rPr>
          <w:rFonts w:ascii="宋体" w:eastAsia="宋体" w:hAnsi="宋体" w:cs="宋体"/>
          <w:color w:val="000000"/>
          <w:spacing w:val="-1"/>
          <w:w w:val="100"/>
          <w:position w:val="6"/>
          <w:sz w:val="21"/>
          <w:u w:val="none"/>
        </w:rPr>
        <w:t>面抗剪墙体承担的水平剪力设计值；</w:t>
      </w:r>
    </w:p>
    <w:p>
      <w:pPr>
        <w:spacing w:before="0" w:after="0" w:line="319" w:lineRule="exact"/>
        <w:ind w:left="84" w:firstLine="425"/>
        <w:jc w:val="left"/>
      </w:pPr>
      <w:r>
        <w:rPr>
          <w:rFonts w:ascii="DejaVu Math TeX Gyre" w:eastAsia="DejaVu Math TeX Gyre" w:hAnsi="DejaVu Math TeX Gyre" w:cs="DejaVu Math TeX Gyre"/>
          <w:color w:val="000000"/>
          <w:spacing w:val="0"/>
          <w:w w:val="210"/>
          <w:position w:val="2"/>
          <w:sz w:val="21"/>
          <w:u w:val="none"/>
        </w:rPr>
        <w:t>�</w:t>
      </w:r>
      <w:r>
        <w:rPr>
          <w:rFonts w:ascii="DejaVu Math TeX Gyre" w:hAnsi="DejaVu Math TeX Gyre" w:cs="DejaVu Math TeX Gyre"/>
          <w:color w:val="000000"/>
          <w:spacing w:val="-1"/>
          <w:w w:val="100"/>
          <w:position w:val="0"/>
          <w:sz w:val="15"/>
          <w:u w:val="none"/>
        </w:rPr>
        <w:t>h</w:t>
      </w:r>
      <w:r>
        <w:rPr>
          <w:rFonts w:ascii="宋体" w:hAnsi="宋体" w:cs="宋体"/>
          <w:color w:val="000000"/>
          <w:spacing w:val="-1"/>
          <w:w w:val="100"/>
          <w:position w:val="6"/>
          <w:sz w:val="21"/>
          <w:u w:val="none"/>
        </w:rPr>
        <w:t>——抗剪墙单位计算长度的受剪承载力设计值；</w:t>
      </w:r>
    </w:p>
    <w:p>
      <w:pPr>
        <w:spacing w:before="0" w:after="0" w:line="290" w:lineRule="exact"/>
        <w:ind w:left="84" w:firstLine="425"/>
        <w:jc w:val="left"/>
      </w:pPr>
      <w:r>
        <w:rPr>
          <w:rFonts w:ascii="DejaVu Math TeX Gyre" w:eastAsia="DejaVu Math TeX Gyre" w:hAnsi="DejaVu Math TeX Gyre" w:cs="DejaVu Math TeX Gyre"/>
          <w:color w:val="000000"/>
          <w:spacing w:val="0"/>
          <w:w w:val="210"/>
          <w:position w:val="0"/>
          <w:sz w:val="21"/>
          <w:u w:val="none"/>
        </w:rPr>
        <w:t>�</w:t>
      </w:r>
      <w:r>
        <w:rPr>
          <w:rFonts w:ascii="DejaVu Math TeX Gyre" w:hAnsi="DejaVu Math TeX Gyre" w:cs="DejaVu Math TeX Gyre"/>
          <w:color w:val="000000"/>
          <w:spacing w:val="-1"/>
          <w:w w:val="100"/>
          <w:position w:val="9"/>
          <w:sz w:val="15"/>
          <w:u w:val="none"/>
        </w:rPr>
        <w:t>∗</w:t>
      </w:r>
      <w:r>
        <w:rPr>
          <w:rFonts w:ascii="宋体" w:hAnsi="宋体" w:cs="宋体"/>
          <w:color w:val="000000"/>
          <w:spacing w:val="-1"/>
          <w:w w:val="100"/>
          <w:position w:val="4"/>
          <w:sz w:val="21"/>
          <w:u w:val="none"/>
        </w:rPr>
        <w:t>——荷载效应设计值；</w:t>
      </w:r>
    </w:p>
    <w:p>
      <w:pPr>
        <w:spacing w:before="0" w:after="0" w:line="334" w:lineRule="exact"/>
        <w:ind w:left="84" w:firstLine="425"/>
        <w:jc w:val="left"/>
      </w:pPr>
      <w:r>
        <w:rPr>
          <w:rFonts w:ascii="DejaVu Math TeX Gyre" w:eastAsia="DejaVu Math TeX Gyre" w:hAnsi="DejaVu Math TeX Gyre" w:cs="DejaVu Math TeX Gyre"/>
          <w:color w:val="000000"/>
          <w:spacing w:val="0"/>
          <w:w w:val="243"/>
          <w:position w:val="2"/>
          <w:sz w:val="21"/>
          <w:u w:val="none"/>
        </w:rPr>
        <w:t>�</w:t>
      </w:r>
      <w:r>
        <w:rPr>
          <w:rFonts w:ascii="DejaVu Math TeX Gyre" w:hAnsi="DejaVu Math TeX Gyre" w:cs="DejaVu Math TeX Gyre"/>
          <w:color w:val="000000"/>
          <w:spacing w:val="-1"/>
          <w:w w:val="100"/>
          <w:position w:val="0"/>
          <w:sz w:val="15"/>
          <w:u w:val="none"/>
        </w:rPr>
        <w:t>d</w:t>
      </w:r>
      <w:r>
        <w:rPr>
          <w:rFonts w:ascii="宋体" w:hAnsi="宋体" w:cs="宋体"/>
          <w:color w:val="000000"/>
          <w:spacing w:val="-1"/>
          <w:w w:val="100"/>
          <w:position w:val="6"/>
          <w:sz w:val="21"/>
          <w:u w:val="none"/>
        </w:rPr>
        <w:t>——承载力设计值；</w:t>
      </w:r>
    </w:p>
    <w:p>
      <w:pPr>
        <w:spacing w:before="0" w:after="0" w:line="250" w:lineRule="exact"/>
        <w:ind w:left="84" w:firstLine="425"/>
        <w:jc w:val="left"/>
      </w:pPr>
      <w:r>
        <w:rPr>
          <w:rFonts w:ascii="宋体" w:hAnsi="宋体" w:cs="宋体"/>
          <w:color w:val="000000"/>
          <w:spacing w:val="0"/>
          <w:w w:val="100"/>
          <w:sz w:val="22"/>
          <w:u w:val="none"/>
        </w:rPr>
        <w:t>△——风荷载标准值或多遇地震作用标准值产生的楼层内最大的弹性层间位移；垂直度；剪切变形。</w:t>
      </w:r>
    </w:p>
    <w:p>
      <w:pPr>
        <w:spacing w:before="0" w:after="0" w:line="314" w:lineRule="exact"/>
        <w:ind w:left="84" w:firstLine="0"/>
        <w:jc w:val="left"/>
      </w:pPr>
      <w:r>
        <w:rPr>
          <w:rFonts w:ascii="黑体" w:hAnsi="黑体" w:cs="黑体"/>
          <w:color w:val="000000"/>
          <w:spacing w:val="-1"/>
          <w:w w:val="100"/>
          <w:position w:val="0"/>
          <w:sz w:val="21"/>
          <w:u w:val="none"/>
        </w:rPr>
        <w:t>2.2.3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几何参数</w:t>
      </w:r>
    </w:p>
    <w:p>
      <w:pPr>
        <w:spacing w:before="0" w:after="0" w:line="350" w:lineRule="exact"/>
        <w:ind w:left="84" w:firstLine="490"/>
        <w:jc w:val="left"/>
      </w:pPr>
      <w:r>
        <w:rPr>
          <w:rFonts w:ascii="DejaVu Math TeX Gyre" w:eastAsia="DejaVu Math TeX Gyre" w:hAnsi="DejaVu Math TeX Gyre" w:cs="DejaVu Math TeX Gyre"/>
          <w:color w:val="000000"/>
          <w:spacing w:val="0"/>
          <w:w w:val="248"/>
          <w:position w:val="0"/>
          <w:sz w:val="21"/>
          <w:u w:val="none"/>
        </w:rPr>
        <w:t>�</w:t>
      </w:r>
      <w:r>
        <w:rPr>
          <w:rFonts w:ascii="宋体" w:hAnsi="宋体" w:cs="宋体"/>
          <w:color w:val="000000"/>
          <w:spacing w:val="-1"/>
          <w:w w:val="100"/>
          <w:position w:val="4"/>
          <w:sz w:val="21"/>
          <w:u w:val="none"/>
        </w:rPr>
        <w:t>——毛截面面积；</w:t>
      </w:r>
    </w:p>
    <w:p>
      <w:pPr>
        <w:spacing w:before="0" w:after="0" w:line="334" w:lineRule="exact"/>
        <w:ind w:left="84" w:firstLine="422"/>
        <w:jc w:val="left"/>
      </w:pPr>
      <w:r>
        <w:rPr>
          <w:rFonts w:ascii="DejaVu Math TeX Gyre" w:eastAsia="DejaVu Math TeX Gyre" w:hAnsi="DejaVu Math TeX Gyre" w:cs="DejaVu Math TeX Gyre"/>
          <w:color w:val="000000"/>
          <w:spacing w:val="0"/>
          <w:w w:val="248"/>
          <w:position w:val="2"/>
          <w:sz w:val="21"/>
          <w:u w:val="none"/>
        </w:rPr>
        <w:t>�</w:t>
      </w:r>
      <w:r>
        <w:rPr>
          <w:rFonts w:ascii="DejaVu Math TeX Gyre" w:hAnsi="DejaVu Math TeX Gyre" w:cs="DejaVu Math TeX Gyre"/>
          <w:color w:val="000000"/>
          <w:spacing w:val="-1"/>
          <w:w w:val="100"/>
          <w:position w:val="0"/>
          <w:sz w:val="15"/>
          <w:u w:val="none"/>
        </w:rPr>
        <w:t>o</w:t>
      </w:r>
      <w:r>
        <w:rPr>
          <w:rFonts w:ascii="宋体" w:hAnsi="宋体" w:cs="宋体"/>
          <w:color w:val="000000"/>
          <w:spacing w:val="-1"/>
          <w:w w:val="100"/>
          <w:position w:val="6"/>
          <w:sz w:val="21"/>
          <w:u w:val="none"/>
        </w:rPr>
        <w:t>——洞口总面积；</w:t>
      </w:r>
    </w:p>
    <w:p>
      <w:pPr>
        <w:spacing w:before="0" w:after="0" w:line="312" w:lineRule="exact"/>
        <w:ind w:left="84" w:firstLine="422"/>
        <w:jc w:val="left"/>
      </w:pPr>
      <w:r>
        <w:rPr>
          <w:rFonts w:ascii="DejaVu Math TeX Gyre" w:eastAsia="DejaVu Math TeX Gyre" w:hAnsi="DejaVu Math TeX Gyre" w:cs="DejaVu Math TeX Gyre"/>
          <w:color w:val="000000"/>
          <w:spacing w:val="0"/>
          <w:w w:val="248"/>
          <w:position w:val="2"/>
          <w:sz w:val="21"/>
          <w:u w:val="none"/>
        </w:rPr>
        <w:t>�</w:t>
      </w:r>
      <w:r>
        <w:rPr>
          <w:rFonts w:ascii="DejaVu Math TeX Gyre" w:hAnsi="DejaVu Math TeX Gyre" w:cs="DejaVu Math TeX Gyre"/>
          <w:color w:val="000000"/>
          <w:spacing w:val="-1"/>
          <w:w w:val="100"/>
          <w:position w:val="0"/>
          <w:sz w:val="15"/>
          <w:u w:val="none"/>
        </w:rPr>
        <w:t>e</w:t>
      </w:r>
      <w:r>
        <w:rPr>
          <w:rFonts w:ascii="宋体" w:hAnsi="宋体" w:cs="宋体"/>
          <w:color w:val="000000"/>
          <w:spacing w:val="-1"/>
          <w:w w:val="100"/>
          <w:position w:val="6"/>
          <w:sz w:val="21"/>
          <w:u w:val="none"/>
        </w:rPr>
        <w:t>——有效截面面积；</w:t>
      </w:r>
    </w:p>
    <w:p>
      <w:pPr>
        <w:spacing w:before="0" w:after="0" w:line="312" w:lineRule="exact"/>
        <w:ind w:left="84" w:firstLine="422"/>
        <w:jc w:val="left"/>
      </w:pPr>
      <w:r>
        <w:rPr>
          <w:rFonts w:ascii="DejaVu Math TeX Gyre" w:eastAsia="DejaVu Math TeX Gyre" w:hAnsi="DejaVu Math TeX Gyre" w:cs="DejaVu Math TeX Gyre"/>
          <w:color w:val="000000"/>
          <w:spacing w:val="0"/>
          <w:w w:val="248"/>
          <w:position w:val="2"/>
          <w:sz w:val="21"/>
          <w:u w:val="none"/>
        </w:rPr>
        <w:t>�</w:t>
      </w:r>
      <w:r>
        <w:rPr>
          <w:rFonts w:ascii="DejaVu Math TeX Gyre" w:hAnsi="DejaVu Math TeX Gyre" w:cs="DejaVu Math TeX Gyre"/>
          <w:color w:val="000000"/>
          <w:spacing w:val="-2"/>
          <w:w w:val="100"/>
          <w:position w:val="0"/>
          <w:sz w:val="15"/>
          <w:u w:val="none"/>
        </w:rPr>
        <w:t>en</w:t>
      </w:r>
      <w:r>
        <w:rPr>
          <w:rFonts w:ascii="宋体" w:hAnsi="宋体" w:cs="宋体"/>
          <w:color w:val="000000"/>
          <w:spacing w:val="-1"/>
          <w:w w:val="100"/>
          <w:position w:val="6"/>
          <w:sz w:val="21"/>
          <w:u w:val="none"/>
        </w:rPr>
        <w:t>——有效净截面面积；</w:t>
      </w:r>
    </w:p>
    <w:p>
      <w:pPr>
        <w:spacing w:before="0" w:after="0" w:line="312" w:lineRule="exact"/>
        <w:ind w:left="84" w:firstLine="422"/>
        <w:jc w:val="left"/>
      </w:pPr>
      <w:r>
        <w:rPr>
          <w:rFonts w:ascii="DejaVu Math TeX Gyre" w:eastAsia="DejaVu Math TeX Gyre" w:hAnsi="DejaVu Math TeX Gyre" w:cs="DejaVu Math TeX Gyre"/>
          <w:color w:val="000000"/>
          <w:spacing w:val="0"/>
          <w:w w:val="248"/>
          <w:position w:val="2"/>
          <w:sz w:val="21"/>
          <w:u w:val="none"/>
        </w:rPr>
        <w:t>�</w:t>
      </w:r>
      <w:r>
        <w:rPr>
          <w:rFonts w:ascii="DejaVu Math TeX Gyre" w:hAnsi="DejaVu Math TeX Gyre" w:cs="DejaVu Math TeX Gyre"/>
          <w:color w:val="000000"/>
          <w:spacing w:val="-1"/>
          <w:w w:val="100"/>
          <w:position w:val="0"/>
          <w:sz w:val="15"/>
          <w:u w:val="none"/>
        </w:rPr>
        <w:t>cd</w:t>
      </w:r>
      <w:r>
        <w:rPr>
          <w:rFonts w:ascii="宋体" w:hAnsi="宋体" w:cs="宋体"/>
          <w:color w:val="000000"/>
          <w:spacing w:val="-1"/>
          <w:w w:val="100"/>
          <w:position w:val="6"/>
          <w:sz w:val="21"/>
          <w:u w:val="none"/>
        </w:rPr>
        <w:t>——畸变屈曲时有效截面面积；</w:t>
      </w:r>
    </w:p>
    <w:p>
      <w:pPr>
        <w:spacing w:before="0" w:after="0" w:line="290" w:lineRule="exact"/>
        <w:ind w:left="84" w:firstLine="490"/>
        <w:jc w:val="left"/>
      </w:pPr>
      <w:r>
        <w:rPr>
          <w:rFonts w:ascii="DejaVu Math TeX Gyre" w:eastAsia="DejaVu Math TeX Gyre" w:hAnsi="DejaVu Math TeX Gyre" w:cs="DejaVu Math TeX Gyre"/>
          <w:color w:val="000000"/>
          <w:spacing w:val="0"/>
          <w:w w:val="179"/>
          <w:position w:val="0"/>
          <w:sz w:val="21"/>
          <w:u w:val="none"/>
        </w:rPr>
        <w:t>�</w:t>
      </w:r>
      <w:r>
        <w:rPr>
          <w:rFonts w:ascii="宋体" w:hAnsi="宋体" w:cs="宋体"/>
          <w:color w:val="000000"/>
          <w:spacing w:val="-1"/>
          <w:w w:val="100"/>
          <w:position w:val="4"/>
          <w:sz w:val="21"/>
          <w:u w:val="none"/>
        </w:rPr>
        <w:t>——卷边高度；</w:t>
      </w:r>
    </w:p>
    <w:p>
      <w:pPr>
        <w:spacing w:before="0" w:after="0" w:line="312" w:lineRule="exact"/>
        <w:ind w:left="84" w:firstLine="490"/>
        <w:jc w:val="left"/>
      </w:pPr>
      <w:r>
        <w:rPr>
          <w:rFonts w:ascii="DejaVu Math TeX Gyre" w:eastAsia="DejaVu Math TeX Gyre" w:hAnsi="DejaVu Math TeX Gyre" w:cs="DejaVu Math TeX Gyre"/>
          <w:color w:val="000000"/>
          <w:spacing w:val="0"/>
          <w:w w:val="189"/>
          <w:position w:val="0"/>
          <w:sz w:val="21"/>
          <w:u w:val="none"/>
        </w:rPr>
        <w:t>�</w:t>
      </w:r>
      <w:r>
        <w:rPr>
          <w:rFonts w:ascii="宋体" w:hAnsi="宋体" w:cs="宋体"/>
          <w:color w:val="000000"/>
          <w:spacing w:val="-1"/>
          <w:w w:val="100"/>
          <w:position w:val="4"/>
          <w:sz w:val="21"/>
          <w:u w:val="none"/>
        </w:rPr>
        <w:t>——截面或板件的宽度；</w:t>
      </w:r>
    </w:p>
    <w:p>
      <w:pPr>
        <w:spacing w:before="0" w:after="0" w:line="312" w:lineRule="exact"/>
        <w:ind w:left="84" w:firstLine="490"/>
        <w:jc w:val="left"/>
      </w:pPr>
      <w:r>
        <w:rPr>
          <w:rFonts w:ascii="DejaVu Math TeX Gyre" w:eastAsia="DejaVu Math TeX Gyre" w:hAnsi="DejaVu Math TeX Gyre" w:cs="DejaVu Math TeX Gyre"/>
          <w:color w:val="000000"/>
          <w:spacing w:val="0"/>
          <w:w w:val="202"/>
          <w:position w:val="0"/>
          <w:sz w:val="21"/>
          <w:u w:val="none"/>
        </w:rPr>
        <w:t>�</w:t>
      </w:r>
      <w:r>
        <w:rPr>
          <w:rFonts w:ascii="宋体" w:hAnsi="宋体" w:cs="宋体"/>
          <w:color w:val="000000"/>
          <w:spacing w:val="-1"/>
          <w:w w:val="100"/>
          <w:position w:val="4"/>
          <w:sz w:val="21"/>
          <w:u w:val="none"/>
        </w:rPr>
        <w:t>——侧向弯曲矢高；</w:t>
      </w:r>
    </w:p>
    <w:p>
      <w:pPr>
        <w:spacing w:before="0" w:after="0" w:line="312" w:lineRule="exact"/>
        <w:ind w:left="84" w:firstLine="492"/>
        <w:jc w:val="left"/>
      </w:pPr>
      <w:r>
        <w:rPr>
          <w:rFonts w:ascii="DejaVu Math TeX Gyre" w:eastAsia="DejaVu Math TeX Gyre" w:hAnsi="DejaVu Math TeX Gyre" w:cs="DejaVu Math TeX Gyre"/>
          <w:color w:val="000000"/>
          <w:spacing w:val="0"/>
          <w:w w:val="290"/>
          <w:position w:val="0"/>
          <w:sz w:val="21"/>
          <w:u w:val="none"/>
        </w:rPr>
        <w:t>�</w:t>
      </w:r>
      <w:r>
        <w:rPr>
          <w:rFonts w:ascii="宋体" w:hAnsi="宋体" w:cs="宋体"/>
          <w:color w:val="000000"/>
          <w:spacing w:val="-1"/>
          <w:w w:val="100"/>
          <w:position w:val="4"/>
          <w:sz w:val="21"/>
          <w:u w:val="none"/>
        </w:rPr>
        <w:t>——基础顶面到建筑物最高点的高度；房屋楼层高度；抗剪墙高度；</w:t>
      </w:r>
    </w:p>
    <w:p>
      <w:pPr>
        <w:spacing w:before="0" w:after="0" w:line="312" w:lineRule="exact"/>
        <w:ind w:left="84" w:firstLine="422"/>
        <w:jc w:val="left"/>
      </w:pPr>
      <w:r>
        <w:rPr>
          <w:rFonts w:ascii="DejaVu Math TeX Gyre" w:hAnsi="DejaVu Math TeX Gyre" w:cs="DejaVu Math TeX Gyre"/>
          <w:color w:val="000000"/>
          <w:spacing w:val="-1"/>
          <w:w w:val="100"/>
          <w:position w:val="0"/>
          <w:sz w:val="21"/>
          <w:u w:val="none"/>
        </w:rPr>
        <w:t>ℎ</w:t>
      </w:r>
      <w:r>
        <w:rPr>
          <w:rFonts w:ascii="宋体" w:hAnsi="宋体" w:cs="宋体"/>
          <w:color w:val="000000"/>
          <w:spacing w:val="-1"/>
          <w:w w:val="100"/>
          <w:position w:val="4"/>
          <w:sz w:val="21"/>
          <w:u w:val="none"/>
        </w:rPr>
        <w:t>——截面或板件的高度；</w:t>
      </w:r>
    </w:p>
    <w:p>
      <w:pPr>
        <w:spacing w:before="0" w:after="0" w:line="340" w:lineRule="exact"/>
        <w:ind w:left="84" w:firstLine="9550"/>
        <w:jc w:val="left"/>
        <w:sectPr>
          <w:type w:val="continuous"/>
          <w:pgSz w:w="11907" w:h="16839"/>
          <w:pgMar w:top="736" w:right="689" w:bottom="496" w:left="1049" w:header="0" w:footer="0" w:gutter="0"/>
          <w:pgNumType w:start="34"/>
          <w:cols w:num="1" w:space="720"/>
        </w:sectPr>
      </w:pPr>
      <w:r>
        <w:rPr>
          <w:rFonts w:ascii="Microsoft YaHei UI" w:hAnsi="Microsoft YaHei UI" w:cs="Microsoft YaHei UI"/>
          <w:color w:val="000000"/>
          <w:spacing w:val="-16"/>
          <w:w w:val="100"/>
          <w:position w:val="0"/>
          <w:sz w:val="18"/>
          <w:u w:val="none"/>
        </w:rPr>
        <w:t>3</w:t>
      </w:r>
    </w:p>
    <w:p>
      <w:pPr>
        <w:spacing w:before="0" w:after="0" w:line="72" w:lineRule="exact"/>
      </w:pPr>
      <w:bookmarkStart w:id="11" w:name="11"/>
      <w:bookmarkEnd w:id="11"/>
    </w:p>
    <w:p>
      <w:pPr>
        <w:widowControl/>
        <w:jc w:val="left"/>
        <w:sectPr>
          <w:type w:val="continuous"/>
          <w:pgSz w:w="11907" w:h="16840"/>
          <w:pgMar w:top="736" w:right="713" w:bottom="496" w:left="1073" w:header="0" w:footer="0" w:gutter="0"/>
          <w:pgNumType w:start="35"/>
          <w:cols w:num="1" w:space="720"/>
          <w:docGrid w:type="lines" w:linePitch="312" w:charSpace="0"/>
        </w:sectPr>
      </w:pPr>
    </w:p>
    <w:p>
      <w:pPr>
        <w:spacing w:before="0" w:after="0" w:line="212" w:lineRule="exact"/>
        <w:ind w:left="60" w:firstLine="0"/>
        <w:jc w:val="left"/>
      </w:pPr>
      <w:r>
        <w:pict>
          <v:shape id="_x0000_s2059" o:spid="_x0000_s1034" type="#_x0000_t202" style="width:332pt;height:53pt;margin-top:397.7pt;margin-left:141.6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60" w:firstLine="0"/>
      </w:pPr>
    </w:p>
    <w:p>
      <w:pPr>
        <w:spacing w:before="0" w:after="0" w:line="425" w:lineRule="exact"/>
        <w:ind w:left="60" w:firstLine="422"/>
        <w:jc w:val="left"/>
      </w:pPr>
      <w:r>
        <w:rPr>
          <w:rFonts w:ascii="DejaVu Math TeX Gyre" w:eastAsia="DejaVu Math TeX Gyre" w:hAnsi="DejaVu Math TeX Gyre" w:cs="DejaVu Math TeX Gyre"/>
          <w:color w:val="000000"/>
          <w:spacing w:val="0"/>
          <w:w w:val="290"/>
          <w:position w:val="2"/>
          <w:sz w:val="21"/>
          <w:u w:val="none"/>
        </w:rPr>
        <w:t>�</w:t>
      </w:r>
      <w:r>
        <w:rPr>
          <w:rFonts w:ascii="DejaVu Math TeX Gyre" w:hAnsi="DejaVu Math TeX Gyre" w:cs="DejaVu Math TeX Gyre"/>
          <w:color w:val="000000"/>
          <w:spacing w:val="-1"/>
          <w:w w:val="100"/>
          <w:position w:val="0"/>
          <w:sz w:val="15"/>
          <w:u w:val="none"/>
        </w:rPr>
        <w:t>o</w:t>
      </w:r>
      <w:r>
        <w:rPr>
          <w:rFonts w:ascii="宋体" w:hAnsi="宋体" w:cs="宋体"/>
          <w:color w:val="000000"/>
          <w:spacing w:val="-1"/>
          <w:w w:val="100"/>
          <w:position w:val="6"/>
          <w:sz w:val="21"/>
          <w:u w:val="none"/>
        </w:rPr>
        <w:t>——腹板的计算高度；</w:t>
      </w:r>
    </w:p>
    <w:p>
      <w:pPr>
        <w:spacing w:before="0" w:after="0" w:line="290" w:lineRule="exact"/>
        <w:ind w:left="60" w:firstLine="422"/>
        <w:jc w:val="left"/>
      </w:pPr>
      <w:r>
        <w:rPr>
          <w:rFonts w:ascii="DejaVu Math TeX Gyre" w:eastAsia="DejaVu Math TeX Gyre" w:hAnsi="DejaVu Math TeX Gyre" w:cs="DejaVu Math TeX Gyre"/>
          <w:color w:val="000000"/>
          <w:spacing w:val="0"/>
          <w:w w:val="160"/>
          <w:position w:val="0"/>
          <w:sz w:val="21"/>
          <w:u w:val="none"/>
        </w:rPr>
        <w:t>�</w:t>
      </w:r>
      <w:r>
        <w:rPr>
          <w:rFonts w:ascii="宋体" w:hAnsi="宋体" w:cs="宋体"/>
          <w:color w:val="000000"/>
          <w:spacing w:val="-1"/>
          <w:w w:val="100"/>
          <w:position w:val="4"/>
          <w:sz w:val="21"/>
          <w:u w:val="none"/>
        </w:rPr>
        <w:t>——毛截面惯性矩；</w:t>
      </w:r>
    </w:p>
    <w:p>
      <w:pPr>
        <w:spacing w:before="0" w:after="0" w:line="334" w:lineRule="exact"/>
        <w:ind w:left="60" w:firstLine="490"/>
        <w:jc w:val="left"/>
      </w:pPr>
      <w:r>
        <w:rPr>
          <w:rFonts w:ascii="DejaVu Math TeX Gyre" w:eastAsia="DejaVu Math TeX Gyre" w:hAnsi="DejaVu Math TeX Gyre" w:cs="DejaVu Math TeX Gyre"/>
          <w:color w:val="000000"/>
          <w:spacing w:val="0"/>
          <w:w w:val="160"/>
          <w:position w:val="2"/>
          <w:sz w:val="21"/>
          <w:u w:val="none"/>
        </w:rPr>
        <w:t>�</w:t>
      </w:r>
      <w:r>
        <w:rPr>
          <w:rFonts w:ascii="DejaVu Math TeX Gyre" w:hAnsi="DejaVu Math TeX Gyre" w:cs="DejaVu Math TeX Gyre"/>
          <w:color w:val="000000"/>
          <w:spacing w:val="-1"/>
          <w:w w:val="100"/>
          <w:position w:val="0"/>
          <w:sz w:val="15"/>
          <w:u w:val="none"/>
        </w:rPr>
        <w:t>sf</w:t>
      </w:r>
      <w:r>
        <w:rPr>
          <w:rFonts w:ascii="宋体" w:hAnsi="宋体" w:cs="宋体"/>
          <w:color w:val="000000"/>
          <w:spacing w:val="-1"/>
          <w:w w:val="100"/>
          <w:position w:val="6"/>
          <w:sz w:val="21"/>
          <w:u w:val="none"/>
        </w:rPr>
        <w:t>——加劲板件对中轴线的惯性矩；</w:t>
      </w:r>
    </w:p>
    <w:p>
      <w:pPr>
        <w:spacing w:before="0" w:after="0" w:line="290" w:lineRule="exact"/>
        <w:ind w:left="60" w:firstLine="490"/>
        <w:jc w:val="left"/>
      </w:pPr>
      <w:r>
        <w:rPr>
          <w:rFonts w:ascii="DejaVu Math TeX Gyre" w:eastAsia="DejaVu Math TeX Gyre" w:hAnsi="DejaVu Math TeX Gyre" w:cs="DejaVu Math TeX Gyre"/>
          <w:color w:val="000000"/>
          <w:spacing w:val="0"/>
          <w:w w:val="213"/>
          <w:position w:val="0"/>
          <w:sz w:val="21"/>
          <w:u w:val="none"/>
        </w:rPr>
        <w:t>�</w:t>
      </w:r>
      <w:r>
        <w:rPr>
          <w:rFonts w:ascii="宋体" w:hAnsi="宋体" w:cs="宋体"/>
          <w:color w:val="000000"/>
          <w:spacing w:val="-1"/>
          <w:w w:val="100"/>
          <w:position w:val="4"/>
          <w:sz w:val="21"/>
          <w:u w:val="none"/>
        </w:rPr>
        <w:t>——长度或跨度；</w:t>
      </w:r>
    </w:p>
    <w:p>
      <w:pPr>
        <w:spacing w:before="0" w:after="0" w:line="312" w:lineRule="exact"/>
        <w:ind w:left="60" w:firstLine="490"/>
        <w:jc w:val="left"/>
      </w:pPr>
      <w:r>
        <w:rPr>
          <w:rFonts w:ascii="DejaVu Math TeX Gyre" w:eastAsia="DejaVu Math TeX Gyre" w:hAnsi="DejaVu Math TeX Gyre" w:cs="DejaVu Math TeX Gyre"/>
          <w:color w:val="000000"/>
          <w:spacing w:val="5"/>
          <w:w w:val="100"/>
          <w:position w:val="0"/>
          <w:sz w:val="21"/>
          <w:u w:val="none"/>
        </w:rPr>
        <w:t>�</w:t>
      </w:r>
      <w:r>
        <w:rPr>
          <w:rFonts w:ascii="宋体" w:hAnsi="宋体" w:cs="宋体"/>
          <w:color w:val="000000"/>
          <w:spacing w:val="-1"/>
          <w:w w:val="100"/>
          <w:position w:val="4"/>
          <w:sz w:val="21"/>
          <w:u w:val="none"/>
        </w:rPr>
        <w:t>——长度或跨度；侧向支承点间的距离；</w:t>
      </w:r>
    </w:p>
    <w:p>
      <w:pPr>
        <w:spacing w:before="0" w:after="0" w:line="312" w:lineRule="exact"/>
        <w:ind w:left="60" w:firstLine="490"/>
        <w:jc w:val="left"/>
      </w:pPr>
      <w:r>
        <w:rPr>
          <w:rFonts w:ascii="DejaVu Math TeX Gyre" w:eastAsia="DejaVu Math TeX Gyre" w:hAnsi="DejaVu Math TeX Gyre" w:cs="DejaVu Math TeX Gyre"/>
          <w:color w:val="000000"/>
          <w:spacing w:val="0"/>
          <w:w w:val="138"/>
          <w:position w:val="0"/>
          <w:sz w:val="21"/>
          <w:u w:val="none"/>
        </w:rPr>
        <w:t>�</w:t>
      </w:r>
      <w:r>
        <w:rPr>
          <w:rFonts w:ascii="宋体" w:hAnsi="宋体" w:cs="宋体"/>
          <w:color w:val="000000"/>
          <w:spacing w:val="-1"/>
          <w:w w:val="100"/>
          <w:position w:val="4"/>
          <w:sz w:val="21"/>
          <w:u w:val="none"/>
        </w:rPr>
        <w:t>——厚度；</w:t>
      </w:r>
    </w:p>
    <w:p>
      <w:pPr>
        <w:spacing w:before="0" w:after="0" w:line="334" w:lineRule="exact"/>
        <w:ind w:left="60" w:firstLine="490"/>
        <w:jc w:val="left"/>
      </w:pPr>
      <w:r>
        <w:rPr>
          <w:rFonts w:ascii="DejaVu Math TeX Gyre" w:eastAsia="DejaVu Math TeX Gyre" w:hAnsi="DejaVu Math TeX Gyre" w:cs="DejaVu Math TeX Gyre"/>
          <w:color w:val="000000"/>
          <w:spacing w:val="0"/>
          <w:w w:val="138"/>
          <w:position w:val="2"/>
          <w:sz w:val="21"/>
          <w:u w:val="none"/>
        </w:rPr>
        <w:t>�</w:t>
      </w:r>
      <w:r>
        <w:rPr>
          <w:rFonts w:ascii="DejaVu Math TeX Gyre" w:hAnsi="DejaVu Math TeX Gyre" w:cs="DejaVu Math TeX Gyre"/>
          <w:color w:val="000000"/>
          <w:spacing w:val="-1"/>
          <w:w w:val="100"/>
          <w:position w:val="0"/>
          <w:sz w:val="15"/>
          <w:u w:val="none"/>
        </w:rPr>
        <w:t>s</w:t>
      </w:r>
      <w:r>
        <w:rPr>
          <w:rFonts w:ascii="宋体" w:hAnsi="宋体" w:cs="宋体"/>
          <w:color w:val="000000"/>
          <w:spacing w:val="-1"/>
          <w:w w:val="100"/>
          <w:position w:val="6"/>
          <w:sz w:val="21"/>
          <w:u w:val="none"/>
        </w:rPr>
        <w:t>——等效板件厚度；</w:t>
      </w:r>
    </w:p>
    <w:p>
      <w:pPr>
        <w:spacing w:before="0" w:after="0" w:line="290" w:lineRule="exact"/>
        <w:ind w:left="60" w:firstLine="490"/>
        <w:jc w:val="left"/>
      </w:pPr>
      <w:r>
        <w:rPr>
          <w:rFonts w:ascii="DejaVu Math TeX Gyre" w:eastAsia="DejaVu Math TeX Gyre" w:hAnsi="DejaVu Math TeX Gyre" w:cs="DejaVu Math TeX Gyre"/>
          <w:color w:val="000000"/>
          <w:spacing w:val="0"/>
          <w:w w:val="325"/>
          <w:position w:val="0"/>
          <w:sz w:val="21"/>
          <w:u w:val="none"/>
        </w:rPr>
        <w:t>�</w:t>
      </w:r>
      <w:r>
        <w:rPr>
          <w:rFonts w:ascii="宋体" w:hAnsi="宋体" w:cs="宋体"/>
          <w:color w:val="000000"/>
          <w:spacing w:val="-1"/>
          <w:w w:val="100"/>
          <w:position w:val="4"/>
          <w:sz w:val="21"/>
          <w:u w:val="none"/>
        </w:rPr>
        <w:t>——截面模量；</w:t>
      </w:r>
    </w:p>
    <w:p>
      <w:pPr>
        <w:spacing w:before="0" w:after="0" w:line="334" w:lineRule="exact"/>
        <w:ind w:left="60" w:firstLine="422"/>
        <w:jc w:val="left"/>
      </w:pPr>
      <w:r>
        <w:rPr>
          <w:rFonts w:ascii="DejaVu Math TeX Gyre" w:eastAsia="DejaVu Math TeX Gyre" w:hAnsi="DejaVu Math TeX Gyre" w:cs="DejaVu Math TeX Gyre"/>
          <w:color w:val="000000"/>
          <w:spacing w:val="0"/>
          <w:w w:val="325"/>
          <w:position w:val="2"/>
          <w:sz w:val="21"/>
          <w:u w:val="none"/>
        </w:rPr>
        <w:t>�</w:t>
      </w:r>
      <w:r>
        <w:rPr>
          <w:rFonts w:ascii="DejaVu Math TeX Gyre" w:hAnsi="DejaVu Math TeX Gyre" w:cs="DejaVu Math TeX Gyre"/>
          <w:color w:val="000000"/>
          <w:spacing w:val="-1"/>
          <w:w w:val="100"/>
          <w:position w:val="0"/>
          <w:sz w:val="15"/>
          <w:u w:val="none"/>
        </w:rPr>
        <w:t>e</w:t>
      </w:r>
      <w:r>
        <w:rPr>
          <w:rFonts w:ascii="宋体" w:hAnsi="宋体" w:cs="宋体"/>
          <w:color w:val="000000"/>
          <w:spacing w:val="-1"/>
          <w:w w:val="100"/>
          <w:position w:val="6"/>
          <w:sz w:val="21"/>
          <w:u w:val="none"/>
        </w:rPr>
        <w:t>——有效截面模量；</w:t>
      </w:r>
    </w:p>
    <w:p>
      <w:pPr>
        <w:spacing w:before="0" w:after="0" w:line="290" w:lineRule="exact"/>
        <w:ind w:left="60" w:firstLine="422"/>
        <w:jc w:val="left"/>
      </w:pPr>
      <w:r>
        <w:rPr>
          <w:rFonts w:ascii="DejaVu Math TeX Gyre" w:eastAsia="DejaVu Math TeX Gyre" w:hAnsi="DejaVu Math TeX Gyre" w:cs="DejaVu Math TeX Gyre"/>
          <w:color w:val="000000"/>
          <w:spacing w:val="0"/>
          <w:w w:val="200"/>
          <w:position w:val="0"/>
          <w:sz w:val="21"/>
          <w:u w:val="none"/>
        </w:rPr>
        <w:t>�</w:t>
      </w:r>
      <w:r>
        <w:rPr>
          <w:rFonts w:ascii="宋体" w:hAnsi="宋体" w:cs="宋体"/>
          <w:color w:val="000000"/>
          <w:spacing w:val="-1"/>
          <w:w w:val="100"/>
          <w:position w:val="4"/>
          <w:sz w:val="21"/>
          <w:u w:val="none"/>
        </w:rPr>
        <w:t>——长细比；构件畸变屈曲半波长。</w:t>
      </w:r>
    </w:p>
    <w:p>
      <w:pPr>
        <w:spacing w:before="0" w:after="0" w:line="274" w:lineRule="exact"/>
        <w:ind w:left="60" w:firstLine="422"/>
        <w:jc w:val="left"/>
      </w:pPr>
      <w:r>
        <w:rPr>
          <w:rFonts w:ascii="黑体" w:hAnsi="黑体" w:cs="黑体"/>
          <w:color w:val="000000"/>
          <w:spacing w:val="-1"/>
          <w:w w:val="100"/>
          <w:position w:val="0"/>
          <w:sz w:val="21"/>
          <w:u w:val="none"/>
        </w:rPr>
        <w:t>2.2.4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计算系数及其他</w:t>
      </w:r>
    </w:p>
    <w:p>
      <w:pPr>
        <w:spacing w:before="0" w:after="0" w:line="365" w:lineRule="exact"/>
        <w:ind w:left="60" w:firstLine="422"/>
        <w:jc w:val="left"/>
      </w:pPr>
      <w:r>
        <w:rPr>
          <w:rFonts w:ascii="DejaVu Math TeX Gyre" w:eastAsia="DejaVu Math TeX Gyre" w:hAnsi="DejaVu Math TeX Gyre" w:cs="DejaVu Math TeX Gyre"/>
          <w:color w:val="000000"/>
          <w:spacing w:val="0"/>
          <w:w w:val="182"/>
          <w:position w:val="2"/>
          <w:sz w:val="21"/>
          <w:u w:val="none"/>
        </w:rPr>
        <w:t>�</w:t>
      </w:r>
      <w:r>
        <w:rPr>
          <w:rFonts w:ascii="DejaVu Math TeX Gyre" w:eastAsia="DejaVu Math TeX Gyre" w:hAnsi="DejaVu Math TeX Gyre" w:cs="DejaVu Math TeX Gyre"/>
          <w:color w:val="000000"/>
          <w:spacing w:val="0"/>
          <w:w w:val="212"/>
          <w:position w:val="0"/>
          <w:sz w:val="15"/>
          <w:u w:val="none"/>
        </w:rPr>
        <w:t>�</w:t>
      </w:r>
      <w:r>
        <w:rPr>
          <w:rFonts w:ascii="宋体" w:hAnsi="宋体" w:cs="宋体"/>
          <w:color w:val="000000"/>
          <w:spacing w:val="-1"/>
          <w:w w:val="100"/>
          <w:position w:val="6"/>
          <w:sz w:val="21"/>
          <w:u w:val="none"/>
        </w:rPr>
        <w:t>——计算受弯构件的承载力和稳定性时的系数；</w:t>
      </w:r>
    </w:p>
    <w:p>
      <w:pPr>
        <w:spacing w:before="0" w:after="0" w:line="319" w:lineRule="exact"/>
        <w:ind w:left="60" w:firstLine="422"/>
        <w:jc w:val="left"/>
      </w:pPr>
      <w:r>
        <w:rPr>
          <w:rFonts w:ascii="DejaVu Math TeX Gyre" w:eastAsia="DejaVu Math TeX Gyre" w:hAnsi="DejaVu Math TeX Gyre" w:cs="DejaVu Math TeX Gyre"/>
          <w:color w:val="000000"/>
          <w:spacing w:val="0"/>
          <w:w w:val="182"/>
          <w:position w:val="2"/>
          <w:sz w:val="21"/>
          <w:u w:val="none"/>
        </w:rPr>
        <w:t>�</w:t>
      </w:r>
      <w:r>
        <w:rPr>
          <w:rFonts w:ascii="DejaVu Math TeX Gyre" w:eastAsia="DejaVu Math TeX Gyre" w:hAnsi="DejaVu Math TeX Gyre" w:cs="DejaVu Math TeX Gyre"/>
          <w:color w:val="000000"/>
          <w:spacing w:val="0"/>
          <w:w w:val="138"/>
          <w:position w:val="0"/>
          <w:sz w:val="15"/>
          <w:u w:val="none"/>
        </w:rPr>
        <w:t>�</w:t>
      </w:r>
      <w:r>
        <w:rPr>
          <w:rFonts w:ascii="宋体" w:hAnsi="宋体" w:cs="宋体"/>
          <w:color w:val="000000"/>
          <w:spacing w:val="-1"/>
          <w:w w:val="100"/>
          <w:position w:val="6"/>
          <w:sz w:val="21"/>
          <w:u w:val="none"/>
        </w:rPr>
        <w:t>——考虑结构试件变异性的因子；</w:t>
      </w:r>
    </w:p>
    <w:p>
      <w:pPr>
        <w:spacing w:before="0" w:after="0" w:line="312" w:lineRule="exact"/>
        <w:ind w:left="60" w:firstLine="422"/>
        <w:jc w:val="left"/>
      </w:pPr>
      <w:r>
        <w:rPr>
          <w:rFonts w:ascii="DejaVu Math TeX Gyre" w:eastAsia="DejaVu Math TeX Gyre" w:hAnsi="DejaVu Math TeX Gyre" w:cs="DejaVu Math TeX Gyre"/>
          <w:color w:val="000000"/>
          <w:spacing w:val="0"/>
          <w:w w:val="182"/>
          <w:position w:val="2"/>
          <w:sz w:val="21"/>
          <w:u w:val="none"/>
        </w:rPr>
        <w:t>�</w:t>
      </w:r>
      <w:r>
        <w:rPr>
          <w:rFonts w:ascii="DejaVu Math TeX Gyre" w:eastAsia="DejaVu Math TeX Gyre" w:hAnsi="DejaVu Math TeX Gyre" w:cs="DejaVu Math TeX Gyre"/>
          <w:color w:val="000000"/>
          <w:spacing w:val="0"/>
          <w:w w:val="171"/>
          <w:position w:val="0"/>
          <w:sz w:val="15"/>
          <w:u w:val="none"/>
        </w:rPr>
        <w:t>푠</w:t>
      </w:r>
      <w:r>
        <w:rPr>
          <w:rFonts w:ascii="Calibri" w:hAnsi="Calibri" w:cs="Calibri"/>
          <w:color w:val="000000"/>
          <w:spacing w:val="0"/>
          <w:w w:val="222"/>
          <w:sz w:val="21"/>
          <w:u w:val="none"/>
        </w:rPr>
        <w:t> </w:t>
      </w:r>
      <w:r>
        <w:rPr>
          <w:rFonts w:ascii="宋体" w:hAnsi="宋体" w:cs="宋体"/>
          <w:color w:val="000000"/>
          <w:spacing w:val="-1"/>
          <w:w w:val="100"/>
          <w:position w:val="6"/>
          <w:sz w:val="21"/>
          <w:u w:val="none"/>
        </w:rPr>
        <w:t>——结构特性变异系数；</w:t>
      </w:r>
    </w:p>
    <w:p>
      <w:pPr>
        <w:spacing w:before="0" w:after="0" w:line="305" w:lineRule="exact"/>
        <w:ind w:left="60" w:firstLine="422"/>
        <w:jc w:val="left"/>
      </w:pPr>
      <w:r>
        <w:rPr>
          <w:rFonts w:ascii="DejaVu Math TeX Gyre" w:eastAsia="DejaVu Math TeX Gyre" w:hAnsi="DejaVu Math TeX Gyre" w:cs="DejaVu Math TeX Gyre"/>
          <w:color w:val="000000"/>
          <w:spacing w:val="0"/>
          <w:w w:val="182"/>
          <w:position w:val="2"/>
          <w:sz w:val="21"/>
          <w:u w:val="none"/>
        </w:rPr>
        <w:t>�</w:t>
      </w:r>
      <w:r>
        <w:rPr>
          <w:rFonts w:ascii="DejaVu Math TeX Gyre" w:eastAsia="DejaVu Math TeX Gyre" w:hAnsi="DejaVu Math TeX Gyre" w:cs="DejaVu Math TeX Gyre"/>
          <w:color w:val="000000"/>
          <w:spacing w:val="0"/>
          <w:w w:val="201"/>
          <w:position w:val="0"/>
          <w:sz w:val="15"/>
          <w:u w:val="none"/>
        </w:rPr>
        <w:t>�</w:t>
      </w:r>
      <w:r>
        <w:rPr>
          <w:rFonts w:ascii="宋体" w:hAnsi="宋体" w:cs="宋体"/>
          <w:color w:val="000000"/>
          <w:spacing w:val="-1"/>
          <w:w w:val="100"/>
          <w:position w:val="6"/>
          <w:sz w:val="21"/>
          <w:u w:val="none"/>
        </w:rPr>
        <w:t>——几何尺寸不定性变异系数；</w:t>
      </w:r>
    </w:p>
    <w:p>
      <w:pPr>
        <w:spacing w:before="0" w:after="0" w:line="319" w:lineRule="exact"/>
        <w:ind w:left="60" w:firstLine="422"/>
        <w:jc w:val="left"/>
      </w:pPr>
      <w:r>
        <w:rPr>
          <w:rFonts w:ascii="DejaVu Math TeX Gyre" w:eastAsia="DejaVu Math TeX Gyre" w:hAnsi="DejaVu Math TeX Gyre" w:cs="DejaVu Math TeX Gyre"/>
          <w:color w:val="000000"/>
          <w:spacing w:val="0"/>
          <w:w w:val="182"/>
          <w:position w:val="2"/>
          <w:sz w:val="21"/>
          <w:u w:val="none"/>
        </w:rPr>
        <w:t>�</w:t>
      </w:r>
      <w:r>
        <w:rPr>
          <w:rFonts w:ascii="DejaVu Math TeX Gyre" w:eastAsia="DejaVu Math TeX Gyre" w:hAnsi="DejaVu Math TeX Gyre" w:cs="DejaVu Math TeX Gyre"/>
          <w:color w:val="000000"/>
          <w:spacing w:val="0"/>
          <w:w w:val="264"/>
          <w:position w:val="0"/>
          <w:sz w:val="15"/>
          <w:u w:val="none"/>
        </w:rPr>
        <w:t>�</w:t>
      </w:r>
      <w:r>
        <w:rPr>
          <w:rFonts w:ascii="宋体" w:hAnsi="宋体" w:cs="宋体"/>
          <w:color w:val="000000"/>
          <w:spacing w:val="-1"/>
          <w:w w:val="100"/>
          <w:position w:val="6"/>
          <w:sz w:val="21"/>
          <w:u w:val="none"/>
        </w:rPr>
        <w:t>——材料强度不定性变异系数；</w:t>
      </w:r>
    </w:p>
    <w:p>
      <w:pPr>
        <w:spacing w:before="0" w:after="0" w:line="331" w:lineRule="exact"/>
        <w:ind w:left="60" w:firstLine="422"/>
        <w:jc w:val="left"/>
      </w:pPr>
      <w:r>
        <w:pict>
          <v:shape id="wondershare_239" o:spid="_x0000_s1035" type="#_x0000_t202" style="width:22pt;height:14.65pt;margin-top:318.15pt;margin-left:92.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194" w:lineRule="exact"/>
                    <w:jc w:val="left"/>
                  </w:pPr>
                  <w:r>
                    <w:rPr>
                      <w:rFonts w:ascii="DejaVu Math TeX Gyre" w:hAnsi="DejaVu Math TeX Gyre" w:cs="DejaVu Math TeX Gyre"/>
                      <w:color w:val="000000"/>
                      <w:spacing w:val="-1"/>
                      <w:w w:val="100"/>
                      <w:position w:val="0"/>
                      <w:sz w:val="15"/>
                      <w:u w:val="none"/>
                    </w:rPr>
                    <w:t>'</w:t>
                  </w:r>
                </w:p>
              </w:txbxContent>
            </v:textbox>
          </v:shape>
        </w:pict>
      </w:r>
      <w:r>
        <w:rPr>
          <w:rFonts w:ascii="DejaVu Math TeX Gyre" w:eastAsia="DejaVu Math TeX Gyre" w:hAnsi="DejaVu Math TeX Gyre" w:cs="DejaVu Math TeX Gyre"/>
          <w:color w:val="000000"/>
          <w:spacing w:val="0"/>
          <w:w w:val="296"/>
          <w:position w:val="3"/>
          <w:sz w:val="21"/>
          <w:u w:val="none"/>
        </w:rPr>
        <w:t>�</w:t>
      </w:r>
      <w:r>
        <w:rPr>
          <w:rFonts w:ascii="Calibri" w:hAnsi="Calibri" w:cs="Calibri"/>
          <w:color w:val="000000"/>
          <w:spacing w:val="0"/>
          <w:w w:val="202"/>
          <w:sz w:val="15"/>
          <w:u w:val="none"/>
        </w:rPr>
        <w:t> </w:t>
      </w:r>
      <w:r>
        <w:rPr>
          <w:rFonts w:ascii="DejaVu Math TeX Gyre" w:hAnsi="DejaVu Math TeX Gyre" w:cs="DejaVu Math TeX Gyre"/>
          <w:color w:val="000000"/>
          <w:spacing w:val="-1"/>
          <w:w w:val="100"/>
          <w:position w:val="0"/>
          <w:sz w:val="15"/>
          <w:u w:val="none"/>
        </w:rPr>
        <w:t>E</w:t>
      </w:r>
      <w:r>
        <w:rPr>
          <w:rFonts w:ascii="宋体" w:hAnsi="宋体" w:cs="宋体"/>
          <w:color w:val="000000"/>
          <w:spacing w:val="-1"/>
          <w:w w:val="100"/>
          <w:position w:val="7"/>
          <w:sz w:val="21"/>
          <w:u w:val="none"/>
        </w:rPr>
        <w:t>——计算压弯构件的承载力和稳定性时的系数；</w:t>
      </w:r>
    </w:p>
    <w:p>
      <w:pPr>
        <w:spacing w:before="0" w:after="0" w:line="271" w:lineRule="exact"/>
        <w:ind w:left="60" w:firstLine="490"/>
        <w:jc w:val="left"/>
      </w:pPr>
      <w:r>
        <w:rPr>
          <w:rFonts w:ascii="DejaVu Math TeX Gyre" w:eastAsia="DejaVu Math TeX Gyre" w:hAnsi="DejaVu Math TeX Gyre" w:cs="DejaVu Math TeX Gyre"/>
          <w:color w:val="000000"/>
          <w:spacing w:val="0"/>
          <w:w w:val="181"/>
          <w:position w:val="0"/>
          <w:sz w:val="21"/>
          <w:u w:val="none"/>
        </w:rPr>
        <w:t>�</w:t>
      </w:r>
      <w:r>
        <w:rPr>
          <w:rFonts w:ascii="宋体" w:hAnsi="宋体" w:cs="宋体"/>
          <w:color w:val="000000"/>
          <w:spacing w:val="-1"/>
          <w:w w:val="100"/>
          <w:position w:val="4"/>
          <w:sz w:val="21"/>
          <w:u w:val="none"/>
        </w:rPr>
        <w:t>——螺钉个数；抗剪墙数；</w:t>
      </w:r>
    </w:p>
    <w:p>
      <w:pPr>
        <w:spacing w:before="0" w:after="0" w:line="312" w:lineRule="exact"/>
        <w:ind w:left="60" w:firstLine="490"/>
        <w:jc w:val="left"/>
      </w:pPr>
      <w:r>
        <w:rPr>
          <w:rFonts w:ascii="DejaVu Math TeX Gyre" w:eastAsia="DejaVu Math TeX Gyre" w:hAnsi="DejaVu Math TeX Gyre" w:cs="DejaVu Math TeX Gyre"/>
          <w:color w:val="000000"/>
          <w:spacing w:val="0"/>
          <w:w w:val="229"/>
          <w:position w:val="0"/>
          <w:sz w:val="21"/>
          <w:u w:val="none"/>
        </w:rPr>
        <w:t>�</w:t>
      </w:r>
      <w:r>
        <w:rPr>
          <w:rFonts w:ascii="宋体" w:hAnsi="宋体" w:cs="宋体"/>
          <w:color w:val="000000"/>
          <w:spacing w:val="-1"/>
          <w:w w:val="100"/>
          <w:position w:val="4"/>
          <w:sz w:val="21"/>
          <w:u w:val="none"/>
        </w:rPr>
        <w:t>——结构基本自振周期；</w:t>
      </w:r>
    </w:p>
    <w:p>
      <w:pPr>
        <w:spacing w:before="0" w:after="0" w:line="312" w:lineRule="exact"/>
        <w:ind w:left="60" w:firstLine="422"/>
        <w:jc w:val="left"/>
      </w:pPr>
      <w:r>
        <w:rPr>
          <w:rFonts w:ascii="DejaVu Math TeX Gyre" w:eastAsia="DejaVu Math TeX Gyre" w:hAnsi="DejaVu Math TeX Gyre" w:cs="DejaVu Math TeX Gyre"/>
          <w:color w:val="000000"/>
          <w:spacing w:val="0"/>
          <w:w w:val="211"/>
          <w:position w:val="0"/>
          <w:sz w:val="21"/>
          <w:u w:val="none"/>
        </w:rPr>
        <w:t>�</w:t>
      </w:r>
      <w:r>
        <w:rPr>
          <w:rFonts w:ascii="宋体" w:hAnsi="宋体" w:cs="宋体"/>
          <w:color w:val="000000"/>
          <w:spacing w:val="-1"/>
          <w:w w:val="100"/>
          <w:position w:val="4"/>
          <w:sz w:val="21"/>
          <w:u w:val="none"/>
        </w:rPr>
        <w:t>——屋面坡度；折减系数；</w:t>
      </w:r>
    </w:p>
    <w:p>
      <w:pPr>
        <w:spacing w:before="0" w:after="0" w:line="334" w:lineRule="exact"/>
        <w:ind w:left="60" w:firstLine="422"/>
        <w:jc w:val="left"/>
      </w:pPr>
      <w:r>
        <w:rPr>
          <w:rFonts w:ascii="DejaVu Math TeX Gyre" w:eastAsia="DejaVu Math TeX Gyre" w:hAnsi="DejaVu Math TeX Gyre" w:cs="DejaVu Math TeX Gyre"/>
          <w:color w:val="000000"/>
          <w:spacing w:val="0"/>
          <w:w w:val="197"/>
          <w:position w:val="2"/>
          <w:sz w:val="21"/>
          <w:u w:val="none"/>
        </w:rPr>
        <w:t>�</w:t>
      </w:r>
      <w:r>
        <w:rPr>
          <w:rFonts w:ascii="DejaVu Math TeX Gyre" w:eastAsia="DejaVu Math TeX Gyre" w:hAnsi="DejaVu Math TeX Gyre" w:cs="DejaVu Math TeX Gyre"/>
          <w:color w:val="000000"/>
          <w:spacing w:val="0"/>
          <w:w w:val="264"/>
          <w:position w:val="0"/>
          <w:sz w:val="15"/>
          <w:u w:val="none"/>
        </w:rPr>
        <w:t>�</w:t>
      </w:r>
      <w:r>
        <w:rPr>
          <w:rFonts w:ascii="Calibri" w:hAnsi="Calibri" w:cs="Calibri"/>
          <w:color w:val="000000"/>
          <w:spacing w:val="25"/>
          <w:w w:val="100"/>
          <w:sz w:val="21"/>
          <w:u w:val="none"/>
        </w:rPr>
        <w:t> </w:t>
      </w:r>
      <w:r>
        <w:rPr>
          <w:rFonts w:ascii="宋体" w:hAnsi="宋体" w:cs="宋体"/>
          <w:color w:val="000000"/>
          <w:spacing w:val="-1"/>
          <w:w w:val="100"/>
          <w:position w:val="6"/>
          <w:sz w:val="21"/>
          <w:u w:val="none"/>
        </w:rPr>
        <w:t>——等效弯矩系数；</w:t>
      </w:r>
    </w:p>
    <w:p>
      <w:pPr>
        <w:spacing w:before="0" w:after="0" w:line="312" w:lineRule="exact"/>
        <w:ind w:left="60" w:firstLine="422"/>
        <w:jc w:val="left"/>
      </w:pPr>
      <w:r>
        <w:rPr>
          <w:rFonts w:ascii="DejaVu Math TeX Gyre" w:eastAsia="DejaVu Math TeX Gyre" w:hAnsi="DejaVu Math TeX Gyre" w:cs="DejaVu Math TeX Gyre"/>
          <w:color w:val="000000"/>
          <w:spacing w:val="0"/>
          <w:w w:val="180"/>
          <w:position w:val="2"/>
          <w:sz w:val="21"/>
          <w:u w:val="none"/>
        </w:rPr>
        <w:t>�</w:t>
      </w:r>
      <w:r>
        <w:rPr>
          <w:rFonts w:ascii="DejaVu Math TeX Gyre" w:hAnsi="DejaVu Math TeX Gyre" w:cs="DejaVu Math TeX Gyre"/>
          <w:color w:val="000000"/>
          <w:spacing w:val="-1"/>
          <w:w w:val="100"/>
          <w:position w:val="0"/>
          <w:sz w:val="15"/>
          <w:u w:val="none"/>
        </w:rPr>
        <w:t>R</w:t>
      </w:r>
      <w:r>
        <w:rPr>
          <w:rFonts w:ascii="宋体" w:hAnsi="宋体" w:cs="宋体"/>
          <w:color w:val="000000"/>
          <w:spacing w:val="-1"/>
          <w:w w:val="100"/>
          <w:position w:val="6"/>
          <w:sz w:val="21"/>
          <w:u w:val="none"/>
        </w:rPr>
        <w:t>——抗力分项系数；</w:t>
      </w:r>
    </w:p>
    <w:p>
      <w:pPr>
        <w:spacing w:before="0" w:after="0" w:line="312" w:lineRule="exact"/>
        <w:ind w:left="60" w:firstLine="422"/>
        <w:jc w:val="left"/>
      </w:pPr>
      <w:r>
        <w:rPr>
          <w:rFonts w:ascii="DejaVu Math TeX Gyre" w:eastAsia="DejaVu Math TeX Gyre" w:hAnsi="DejaVu Math TeX Gyre" w:cs="DejaVu Math TeX Gyre"/>
          <w:color w:val="000000"/>
          <w:spacing w:val="0"/>
          <w:w w:val="180"/>
          <w:position w:val="2"/>
          <w:sz w:val="21"/>
          <w:u w:val="none"/>
        </w:rPr>
        <w:t>�</w:t>
      </w:r>
      <w:r>
        <w:rPr>
          <w:rFonts w:ascii="DejaVu Math TeX Gyre" w:hAnsi="DejaVu Math TeX Gyre" w:cs="DejaVu Math TeX Gyre"/>
          <w:color w:val="000000"/>
          <w:spacing w:val="-2"/>
          <w:w w:val="100"/>
          <w:position w:val="0"/>
          <w:sz w:val="15"/>
          <w:u w:val="none"/>
        </w:rPr>
        <w:t>RE</w:t>
      </w:r>
      <w:r>
        <w:rPr>
          <w:rFonts w:ascii="宋体" w:hAnsi="宋体" w:cs="宋体"/>
          <w:color w:val="000000"/>
          <w:spacing w:val="-1"/>
          <w:w w:val="100"/>
          <w:position w:val="6"/>
          <w:sz w:val="21"/>
          <w:u w:val="none"/>
        </w:rPr>
        <w:t>——承载力抗震调整系数；</w:t>
      </w:r>
    </w:p>
    <w:p>
      <w:pPr>
        <w:spacing w:before="0" w:after="0" w:line="305" w:lineRule="exact"/>
        <w:ind w:left="60" w:firstLine="422"/>
        <w:jc w:val="left"/>
      </w:pP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x</w:t>
      </w:r>
      <w:r>
        <w:rPr>
          <w:rFonts w:ascii="宋体" w:hAnsi="宋体" w:cs="宋体"/>
          <w:color w:val="000000"/>
          <w:spacing w:val="-2"/>
          <w:w w:val="100"/>
          <w:position w:val="6"/>
          <w:sz w:val="21"/>
          <w:u w:val="none"/>
        </w:rPr>
        <w:t>、</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y</w:t>
      </w:r>
      <w:r>
        <w:rPr>
          <w:rFonts w:ascii="宋体" w:hAnsi="宋体" w:cs="宋体"/>
          <w:color w:val="000000"/>
          <w:spacing w:val="-2"/>
          <w:w w:val="100"/>
          <w:position w:val="6"/>
          <w:sz w:val="21"/>
          <w:u w:val="none"/>
        </w:rPr>
        <w:t>、</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w</w:t>
      </w:r>
      <w:r>
        <w:rPr>
          <w:rFonts w:ascii="宋体" w:hAnsi="宋体" w:cs="宋体"/>
          <w:color w:val="000000"/>
          <w:spacing w:val="-1"/>
          <w:w w:val="100"/>
          <w:position w:val="6"/>
          <w:sz w:val="21"/>
          <w:u w:val="none"/>
        </w:rPr>
        <w:t>——计算长度系数；</w:t>
      </w:r>
    </w:p>
    <w:p>
      <w:pPr>
        <w:spacing w:before="0" w:after="0" w:line="319" w:lineRule="exact"/>
        <w:ind w:left="60" w:firstLine="422"/>
        <w:jc w:val="left"/>
      </w:pP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hAnsi="宋体" w:cs="宋体"/>
          <w:color w:val="000000"/>
          <w:spacing w:val="-1"/>
          <w:w w:val="100"/>
          <w:position w:val="6"/>
          <w:sz w:val="21"/>
          <w:u w:val="none"/>
        </w:rPr>
        <w:t>——屋面积雪分布系数；</w:t>
      </w:r>
    </w:p>
    <w:p>
      <w:pPr>
        <w:spacing w:before="0" w:after="0" w:line="292" w:lineRule="exact"/>
        <w:ind w:left="60" w:firstLine="422"/>
        <w:jc w:val="left"/>
      </w:pPr>
      <w:r>
        <w:rPr>
          <w:rFonts w:ascii="DejaVu Math TeX Gyre" w:eastAsia="DejaVu Math TeX Gyre" w:hAnsi="DejaVu Math TeX Gyre" w:cs="DejaVu Math TeX Gyre"/>
          <w:color w:val="000000"/>
          <w:spacing w:val="0"/>
          <w:w w:val="217"/>
          <w:position w:val="0"/>
          <w:sz w:val="21"/>
          <w:u w:val="none"/>
        </w:rPr>
        <w:t>�</w:t>
      </w:r>
      <w:r>
        <w:rPr>
          <w:rFonts w:ascii="宋体" w:hAnsi="宋体" w:cs="宋体"/>
          <w:color w:val="000000"/>
          <w:spacing w:val="-1"/>
          <w:w w:val="100"/>
          <w:position w:val="4"/>
          <w:sz w:val="21"/>
          <w:u w:val="none"/>
        </w:rPr>
        <w:t>——轴心受压构件的整体稳定系数；</w:t>
      </w:r>
    </w:p>
    <w:p>
      <w:pPr>
        <w:spacing w:before="0" w:after="0" w:line="310" w:lineRule="exact"/>
        <w:ind w:left="60" w:firstLine="422"/>
        <w:jc w:val="left"/>
      </w:pPr>
      <w:r>
        <w:rPr>
          <w:rFonts w:ascii="DejaVu Math TeX Gyre" w:eastAsia="DejaVu Math TeX Gyre" w:hAnsi="DejaVu Math TeX Gyre" w:cs="DejaVu Math TeX Gyre"/>
          <w:color w:val="000000"/>
          <w:spacing w:val="0"/>
          <w:w w:val="176"/>
          <w:position w:val="0"/>
          <w:sz w:val="21"/>
          <w:u w:val="none"/>
        </w:rPr>
        <w:t>�</w:t>
      </w:r>
      <w:r>
        <w:rPr>
          <w:rFonts w:ascii="宋体" w:hAnsi="宋体" w:cs="宋体"/>
          <w:color w:val="000000"/>
          <w:spacing w:val="-1"/>
          <w:w w:val="100"/>
          <w:position w:val="4"/>
          <w:sz w:val="21"/>
          <w:u w:val="none"/>
        </w:rPr>
        <w:t>——计算受弯构件整体稳定系数时采用的系数；轴力修正系数；</w:t>
      </w:r>
    </w:p>
    <w:p>
      <w:pPr>
        <w:spacing w:before="0" w:after="0" w:line="314" w:lineRule="exact"/>
        <w:ind w:left="60" w:firstLine="422"/>
        <w:jc w:val="left"/>
      </w:pPr>
      <w:r>
        <w:rPr>
          <w:rFonts w:ascii="DejaVu Math TeX Gyre" w:eastAsia="DejaVu Math TeX Gyre" w:hAnsi="DejaVu Math TeX Gyre" w:cs="DejaVu Math TeX Gyre"/>
          <w:color w:val="000000"/>
          <w:spacing w:val="0"/>
          <w:w w:val="197"/>
          <w:position w:val="0"/>
          <w:sz w:val="21"/>
          <w:u w:val="none"/>
        </w:rPr>
        <w:t>�</w:t>
      </w:r>
      <w:r>
        <w:rPr>
          <w:rFonts w:ascii="Calibri" w:hAnsi="Calibri" w:cs="Calibri"/>
          <w:color w:val="000000"/>
          <w:spacing w:val="0"/>
          <w:w w:val="223"/>
          <w:sz w:val="21"/>
          <w:u w:val="none"/>
        </w:rPr>
        <w:t> </w:t>
      </w:r>
      <w:r>
        <w:rPr>
          <w:rFonts w:ascii="宋体" w:hAnsi="宋体" w:cs="宋体"/>
          <w:color w:val="000000"/>
          <w:spacing w:val="-1"/>
          <w:w w:val="100"/>
          <w:position w:val="4"/>
          <w:sz w:val="21"/>
          <w:u w:val="none"/>
        </w:rPr>
        <w:t>——多个螺钉连接的承载力折减系数。</w:t>
      </w:r>
    </w:p>
    <w:p>
      <w:pPr>
        <w:widowControl/>
        <w:jc w:val="left"/>
        <w:sectPr>
          <w:type w:val="continuous"/>
          <w:pgSz w:w="11907" w:h="16840"/>
          <w:pgMar w:top="736" w:right="713" w:bottom="496" w:left="1073" w:header="0" w:footer="0" w:gutter="0"/>
          <w:pgNumType w:start="36"/>
          <w:cols w:num="1" w:space="708" w:equalWidth="0">
            <w:col w:w="10121" w:space="0"/>
          </w:cols>
          <w:docGrid w:type="lines" w:linePitch="312" w:charSpace="0"/>
        </w:sectPr>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240" w:lineRule="exact"/>
        <w:ind w:left="60" w:firstLine="422"/>
      </w:pPr>
    </w:p>
    <w:p>
      <w:pPr>
        <w:spacing w:before="0" w:after="0" w:line="457" w:lineRule="exact"/>
        <w:ind w:left="60" w:firstLine="422"/>
      </w:pPr>
    </w:p>
    <w:p>
      <w:pPr>
        <w:widowControl/>
        <w:jc w:val="left"/>
        <w:sectPr>
          <w:type w:val="continuous"/>
          <w:pgSz w:w="11907" w:h="16840"/>
          <w:pgMar w:top="736" w:right="713" w:bottom="496" w:left="1073" w:header="0" w:footer="0" w:gutter="0"/>
          <w:pgNumType w:start="37"/>
          <w:cols w:num="1" w:space="720"/>
          <w:docGrid w:type="lines" w:linePitch="312" w:charSpace="0"/>
        </w:sectPr>
      </w:pPr>
    </w:p>
    <w:p>
      <w:pPr>
        <w:spacing w:before="0" w:after="0" w:line="217" w:lineRule="exact"/>
        <w:ind w:left="60" w:firstLine="0"/>
        <w:jc w:val="left"/>
      </w:pPr>
      <w:r>
        <w:rPr>
          <w:rFonts w:ascii="Microsoft YaHei UI" w:hAnsi="Microsoft YaHei UI" w:cs="Microsoft YaHei UI"/>
          <w:color w:val="000000"/>
          <w:spacing w:val="-16"/>
          <w:w w:val="100"/>
          <w:position w:val="0"/>
          <w:sz w:val="18"/>
          <w:u w:val="none"/>
        </w:rPr>
        <w:t>4</w:t>
      </w:r>
    </w:p>
    <w:p>
      <w:pPr>
        <w:widowControl/>
        <w:jc w:val="left"/>
        <w:sectPr>
          <w:type w:val="continuous"/>
          <w:pgSz w:w="11907" w:h="16840"/>
          <w:pgMar w:top="736" w:right="713" w:bottom="496" w:left="1073" w:header="0" w:footer="0" w:gutter="0"/>
          <w:pgNumType w:start="38"/>
          <w:cols w:num="1" w:space="708" w:equalWidth="0">
            <w:col w:w="10121" w:space="0"/>
          </w:cols>
          <w:docGrid w:type="lines" w:linePitch="312" w:charSpace="0"/>
        </w:sectPr>
      </w:pPr>
    </w:p>
    <w:p>
      <w:pPr>
        <w:spacing w:before="0" w:after="0" w:line="284" w:lineRule="exact"/>
        <w:ind w:left="163" w:firstLine="7855"/>
        <w:jc w:val="left"/>
      </w:pPr>
      <w:bookmarkStart w:id="12" w:name="12"/>
      <w:bookmarkEnd w:id="12"/>
      <w:r>
        <w:pict>
          <v:shape id="_x0000_s2061" o:spid="_x0000_s1036" type="#_x0000_t202" style="width:332pt;height:53pt;margin-top:397.7pt;margin-left:141.6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163" w:firstLine="7855"/>
      </w:pPr>
    </w:p>
    <w:p>
      <w:pPr>
        <w:spacing w:before="0" w:after="0" w:line="240" w:lineRule="exact"/>
        <w:ind w:left="163" w:firstLine="7855"/>
      </w:pPr>
    </w:p>
    <w:p>
      <w:pPr>
        <w:tabs>
          <w:tab w:val="left" w:pos="4159"/>
        </w:tabs>
        <w:spacing w:before="0" w:after="0" w:line="329" w:lineRule="exact"/>
        <w:ind w:left="163" w:firstLine="3545"/>
        <w:jc w:val="left"/>
      </w:pPr>
      <w:r>
        <w:rPr>
          <w:rFonts w:ascii="黑体" w:hAnsi="黑体" w:cs="黑体"/>
          <w:color w:val="000000"/>
          <w:spacing w:val="-1"/>
          <w:w w:val="100"/>
          <w:position w:val="0"/>
          <w:sz w:val="30"/>
          <w:u w:val="none"/>
        </w:rPr>
        <w:t>3</w:t>
      </w:r>
      <w:r>
        <w:rPr>
          <w:rFonts w:cs="Calibri"/>
          <w:color w:val="000000"/>
          <w:spacing w:val="-1"/>
          <w:w w:val="100"/>
          <w:u w:val="none"/>
        </w:rPr>
        <w:tab/>
      </w:r>
      <w:r>
        <w:rPr>
          <w:rFonts w:ascii="黑体" w:eastAsia="黑体" w:hAnsi="黑体" w:cs="黑体"/>
          <w:color w:val="000000"/>
          <w:spacing w:val="-1"/>
          <w:w w:val="100"/>
          <w:position w:val="0"/>
          <w:sz w:val="30"/>
          <w:u w:val="none"/>
        </w:rPr>
        <w:t>材料与设计指标</w:t>
      </w:r>
    </w:p>
    <w:p>
      <w:pPr>
        <w:spacing w:before="0" w:after="0" w:line="240" w:lineRule="exact"/>
        <w:ind w:left="163" w:firstLine="3545"/>
      </w:pPr>
    </w:p>
    <w:p>
      <w:pPr>
        <w:spacing w:before="0" w:after="0" w:line="336" w:lineRule="exact"/>
        <w:ind w:left="163" w:firstLine="4138"/>
        <w:jc w:val="left"/>
      </w:pPr>
      <w:r>
        <w:rPr>
          <w:rFonts w:ascii="黑体" w:hAnsi="黑体" w:cs="黑体"/>
          <w:color w:val="000000"/>
          <w:spacing w:val="-1"/>
          <w:w w:val="100"/>
          <w:position w:val="0"/>
          <w:sz w:val="21"/>
          <w:u w:val="none"/>
        </w:rPr>
        <w:t>3.1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材料选用</w:t>
      </w:r>
    </w:p>
    <w:p>
      <w:pPr>
        <w:spacing w:before="0" w:after="0" w:line="240" w:lineRule="exact"/>
        <w:ind w:left="163" w:firstLine="4138"/>
      </w:pPr>
    </w:p>
    <w:p>
      <w:pPr>
        <w:spacing w:before="0" w:after="0" w:line="228" w:lineRule="exact"/>
        <w:ind w:left="163" w:firstLine="0"/>
        <w:jc w:val="left"/>
      </w:pPr>
      <w:r>
        <w:rPr>
          <w:rFonts w:ascii="黑体" w:hAnsi="黑体" w:cs="黑体"/>
          <w:color w:val="000000"/>
          <w:spacing w:val="-1"/>
          <w:w w:val="100"/>
          <w:position w:val="0"/>
          <w:sz w:val="21"/>
          <w:u w:val="none"/>
        </w:rPr>
        <w:t>3.1.1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钢材选用应符合下列规定：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用于轻钢结构装配装饰一体化建筑承重结构的钢材，应采用符合现行国家标准《碳素结构钢》GB/T</w:t>
      </w:r>
    </w:p>
    <w:p>
      <w:pPr>
        <w:spacing w:before="0" w:after="0" w:line="309" w:lineRule="exact"/>
        <w:ind w:left="163" w:firstLine="0"/>
        <w:jc w:val="left"/>
      </w:pPr>
      <w:r>
        <w:rPr>
          <w:rFonts w:ascii="宋体" w:hAnsi="宋体" w:cs="宋体"/>
          <w:color w:val="000000"/>
          <w:spacing w:val="0"/>
          <w:w w:val="100"/>
          <w:position w:val="0"/>
          <w:sz w:val="21"/>
          <w:u w:val="none"/>
        </w:rPr>
        <w:t>700、《低合金高强度结构钢》GB/T</w:t>
      </w:r>
      <w:r>
        <w:rPr>
          <w:rFonts w:ascii="Calibri" w:hAnsi="Calibri" w:cs="Calibri"/>
          <w:color w:val="000000"/>
          <w:spacing w:val="0"/>
          <w:w w:val="179"/>
          <w:sz w:val="21"/>
          <w:u w:val="none"/>
        </w:rPr>
        <w:t> </w:t>
      </w:r>
      <w:r>
        <w:rPr>
          <w:rFonts w:ascii="宋体" w:hAnsi="宋体" w:cs="宋体"/>
          <w:color w:val="000000"/>
          <w:spacing w:val="-1"/>
          <w:w w:val="100"/>
          <w:position w:val="0"/>
          <w:sz w:val="21"/>
          <w:u w:val="none"/>
        </w:rPr>
        <w:t>1591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规定的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Q235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级、Q355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级钢材，或符合现行国家标准《连续热镀</w:t>
      </w:r>
    </w:p>
    <w:p>
      <w:pPr>
        <w:spacing w:before="0" w:after="0" w:line="312" w:lineRule="exact"/>
        <w:ind w:left="163" w:firstLine="0"/>
        <w:jc w:val="left"/>
      </w:pPr>
      <w:r>
        <w:rPr>
          <w:rFonts w:ascii="宋体" w:hAnsi="宋体" w:cs="宋体"/>
          <w:color w:val="000000"/>
          <w:spacing w:val="0"/>
          <w:w w:val="100"/>
          <w:position w:val="0"/>
          <w:sz w:val="21"/>
          <w:u w:val="none"/>
        </w:rPr>
        <w:t>锌和锌合金镀层钢板及钢带》GB/T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2518</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规定的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550</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级钢材。当有可靠依据时，可采用其他牌号的钢材，</w:t>
      </w:r>
    </w:p>
    <w:p>
      <w:pPr>
        <w:spacing w:before="0" w:after="0" w:line="312" w:lineRule="exact"/>
        <w:ind w:left="163" w:firstLine="0"/>
        <w:jc w:val="left"/>
      </w:pPr>
      <w:r>
        <w:rPr>
          <w:rFonts w:ascii="宋体" w:hAnsi="宋体" w:cs="宋体"/>
          <w:color w:val="000000"/>
          <w:spacing w:val="-1"/>
          <w:w w:val="100"/>
          <w:position w:val="0"/>
          <w:sz w:val="21"/>
          <w:u w:val="none"/>
        </w:rPr>
        <w:t>但应符合相应有关国家标准的规定。</w:t>
      </w:r>
    </w:p>
    <w:p>
      <w:pPr>
        <w:spacing w:before="0" w:after="0" w:line="315"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用于承重结构的冷弯薄壁型钢的钢材，应具有抗拉强度、伸长率、屈服强度、冷弯试验和硫、磷含</w:t>
      </w:r>
    </w:p>
    <w:p>
      <w:pPr>
        <w:spacing w:before="0" w:after="0" w:line="309" w:lineRule="exact"/>
        <w:ind w:left="163" w:firstLine="0"/>
        <w:jc w:val="left"/>
      </w:pPr>
      <w:r>
        <w:rPr>
          <w:rFonts w:ascii="宋体" w:hAnsi="宋体" w:cs="宋体"/>
          <w:color w:val="000000"/>
          <w:spacing w:val="-1"/>
          <w:w w:val="100"/>
          <w:position w:val="0"/>
          <w:sz w:val="21"/>
          <w:u w:val="none"/>
        </w:rPr>
        <w:t>量的合格保证；对焊接结构，尚应具有碳含量的合格保证。</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在技术经济合理的情况下，可在同一结构中采用不同牌号的钢材。</w:t>
      </w:r>
    </w:p>
    <w:p>
      <w:pPr>
        <w:spacing w:before="0" w:after="0" w:line="312"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用于承重结构的冷弯薄壁型钢的钢带或钢板的镀层标准应符合现行国家标准《连续热镀锌和锌合金</w:t>
      </w:r>
    </w:p>
    <w:p>
      <w:pPr>
        <w:spacing w:before="0" w:after="0" w:line="309" w:lineRule="exact"/>
        <w:ind w:left="163" w:firstLine="0"/>
        <w:jc w:val="left"/>
      </w:pPr>
      <w:r>
        <w:rPr>
          <w:rFonts w:ascii="宋体" w:hAnsi="宋体" w:cs="宋体"/>
          <w:color w:val="000000"/>
          <w:spacing w:val="0"/>
          <w:w w:val="100"/>
          <w:position w:val="0"/>
          <w:sz w:val="21"/>
          <w:u w:val="none"/>
        </w:rPr>
        <w:t>镀层钢板及钢带》GB/T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2518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5" w:lineRule="exact"/>
        <w:ind w:left="163" w:firstLine="0"/>
        <w:jc w:val="left"/>
      </w:pPr>
      <w:r>
        <w:rPr>
          <w:rFonts w:ascii="黑体" w:hAnsi="黑体" w:cs="黑体"/>
          <w:color w:val="000000"/>
          <w:spacing w:val="-1"/>
          <w:w w:val="100"/>
          <w:position w:val="0"/>
          <w:sz w:val="21"/>
          <w:u w:val="none"/>
        </w:rPr>
        <w:t>3.1.2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连接件(连接材料)应符合下列规定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普通螺栓应符合现行国家标准《六角头螺栓</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级》GB/T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5780</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的规定，其机械性能应符合现行国家</w:t>
      </w:r>
    </w:p>
    <w:p>
      <w:pPr>
        <w:spacing w:before="0" w:after="0" w:line="309" w:lineRule="exact"/>
        <w:ind w:left="163" w:firstLine="0"/>
        <w:jc w:val="left"/>
      </w:pPr>
      <w:r>
        <w:rPr>
          <w:rFonts w:ascii="宋体" w:hAnsi="宋体" w:cs="宋体"/>
          <w:color w:val="000000"/>
          <w:spacing w:val="-1"/>
          <w:w w:val="100"/>
          <w:position w:val="0"/>
          <w:sz w:val="21"/>
          <w:u w:val="none"/>
        </w:rPr>
        <w:t>标准《紧固件机械性能</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螺栓、螺钉和螺柱》GB/T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3098.1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5"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高强度螺栓应符合现行国家标准《钢结构用高强度大六角头螺栓》GB/T</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1228、《钢结构用高强度</w:t>
      </w:r>
    </w:p>
    <w:p>
      <w:pPr>
        <w:spacing w:before="0" w:after="0" w:line="309" w:lineRule="exact"/>
        <w:ind w:left="163" w:firstLine="0"/>
        <w:jc w:val="left"/>
      </w:pPr>
      <w:r>
        <w:rPr>
          <w:rFonts w:ascii="宋体" w:hAnsi="宋体" w:cs="宋体"/>
          <w:color w:val="000000"/>
          <w:spacing w:val="0"/>
          <w:w w:val="100"/>
          <w:position w:val="0"/>
          <w:sz w:val="21"/>
          <w:u w:val="none"/>
        </w:rPr>
        <w:t>大六角螺母》GB/T</w:t>
      </w:r>
      <w:r>
        <w:rPr>
          <w:rFonts w:ascii="Calibri" w:hAnsi="Calibri" w:cs="Calibri"/>
          <w:color w:val="000000"/>
          <w:spacing w:val="0"/>
          <w:w w:val="199"/>
          <w:sz w:val="21"/>
          <w:u w:val="none"/>
        </w:rPr>
        <w:t> </w:t>
      </w:r>
      <w:r>
        <w:rPr>
          <w:rFonts w:ascii="宋体" w:hAnsi="宋体" w:cs="宋体"/>
          <w:color w:val="000000"/>
          <w:spacing w:val="-1"/>
          <w:w w:val="100"/>
          <w:position w:val="0"/>
          <w:sz w:val="21"/>
          <w:u w:val="none"/>
        </w:rPr>
        <w:t>1229、《钢结构用高强度垫圈》GB/T</w:t>
      </w:r>
      <w:r>
        <w:rPr>
          <w:rFonts w:ascii="Calibri" w:hAnsi="Calibri" w:cs="Calibri"/>
          <w:color w:val="000000"/>
          <w:spacing w:val="0"/>
          <w:w w:val="199"/>
          <w:sz w:val="21"/>
          <w:u w:val="none"/>
        </w:rPr>
        <w:t> </w:t>
      </w:r>
      <w:r>
        <w:rPr>
          <w:rFonts w:ascii="宋体" w:hAnsi="宋体" w:cs="宋体"/>
          <w:color w:val="000000"/>
          <w:spacing w:val="-1"/>
          <w:w w:val="100"/>
          <w:position w:val="0"/>
          <w:sz w:val="21"/>
          <w:u w:val="none"/>
        </w:rPr>
        <w:t>1230、《钢结构用高强度大六角头螺栓、大六角</w:t>
      </w:r>
    </w:p>
    <w:p>
      <w:pPr>
        <w:spacing w:before="0" w:after="0" w:line="312" w:lineRule="exact"/>
        <w:ind w:left="163" w:firstLine="0"/>
        <w:jc w:val="left"/>
      </w:pPr>
      <w:r>
        <w:rPr>
          <w:rFonts w:ascii="宋体" w:hAnsi="宋体" w:cs="宋体"/>
          <w:color w:val="000000"/>
          <w:spacing w:val="0"/>
          <w:w w:val="100"/>
          <w:position w:val="0"/>
          <w:sz w:val="21"/>
          <w:u w:val="none"/>
        </w:rPr>
        <w:t>螺母、垫圈技术条件》GB/T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1231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或《钢结构用扭剪型高强度螺栓连接副》GB/T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3632</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的规定。</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连接薄钢板、其他金属板或其他板材采用的自攻、自钻螺钉应符合现行国家标准《十字槽盘头自钻</w:t>
      </w:r>
    </w:p>
    <w:p>
      <w:pPr>
        <w:spacing w:before="0" w:after="0" w:line="309" w:lineRule="exact"/>
        <w:ind w:left="163" w:firstLine="0"/>
        <w:jc w:val="left"/>
      </w:pPr>
      <w:r>
        <w:rPr>
          <w:rFonts w:ascii="宋体" w:hAnsi="宋体" w:cs="宋体"/>
          <w:color w:val="000000"/>
          <w:spacing w:val="0"/>
          <w:w w:val="100"/>
          <w:position w:val="0"/>
          <w:sz w:val="21"/>
          <w:u w:val="none"/>
        </w:rPr>
        <w:t>自攻螺钉》GB/T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15856.1、《十字槽沉头自钻自攻螺钉》GB/T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15856.2、《十字槽半沉头自钻自攻螺钉》</w:t>
      </w:r>
    </w:p>
    <w:p>
      <w:pPr>
        <w:spacing w:before="0" w:after="0" w:line="312" w:lineRule="exact"/>
        <w:ind w:left="163" w:firstLine="0"/>
        <w:jc w:val="left"/>
      </w:pPr>
      <w:r>
        <w:rPr>
          <w:rFonts w:ascii="宋体" w:hAnsi="宋体" w:cs="宋体"/>
          <w:color w:val="000000"/>
          <w:spacing w:val="-1"/>
          <w:w w:val="100"/>
          <w:position w:val="0"/>
          <w:sz w:val="21"/>
          <w:u w:val="none"/>
        </w:rPr>
        <w:t>GB/T</w:t>
      </w:r>
      <w:r>
        <w:rPr>
          <w:rFonts w:ascii="Calibri" w:hAnsi="Calibri" w:cs="Calibri"/>
          <w:color w:val="000000"/>
          <w:spacing w:val="0"/>
          <w:w w:val="174"/>
          <w:sz w:val="21"/>
          <w:u w:val="none"/>
        </w:rPr>
        <w:t> </w:t>
      </w:r>
      <w:r>
        <w:rPr>
          <w:rFonts w:ascii="宋体" w:hAnsi="宋体" w:cs="宋体"/>
          <w:color w:val="000000"/>
          <w:spacing w:val="-1"/>
          <w:w w:val="100"/>
          <w:position w:val="0"/>
          <w:sz w:val="21"/>
          <w:u w:val="none"/>
        </w:rPr>
        <w:t>15856.3、《六角法兰面自钻自攻螺钉》GB/T</w:t>
      </w:r>
      <w:r>
        <w:rPr>
          <w:rFonts w:ascii="Calibri" w:hAnsi="Calibri" w:cs="Calibri"/>
          <w:color w:val="000000"/>
          <w:spacing w:val="0"/>
          <w:w w:val="174"/>
          <w:sz w:val="21"/>
          <w:u w:val="none"/>
        </w:rPr>
        <w:t> </w:t>
      </w:r>
      <w:r>
        <w:rPr>
          <w:rFonts w:ascii="宋体" w:hAnsi="宋体" w:cs="宋体"/>
          <w:color w:val="000000"/>
          <w:spacing w:val="-1"/>
          <w:w w:val="100"/>
          <w:position w:val="0"/>
          <w:sz w:val="21"/>
          <w:u w:val="none"/>
        </w:rPr>
        <w:t>15856.4、《六角凸缘自钻自攻螺钉》GB/T</w:t>
      </w:r>
      <w:r>
        <w:rPr>
          <w:rFonts w:ascii="Calibri" w:hAnsi="Calibri" w:cs="Calibri"/>
          <w:color w:val="000000"/>
          <w:spacing w:val="0"/>
          <w:w w:val="174"/>
          <w:sz w:val="21"/>
          <w:u w:val="none"/>
        </w:rPr>
        <w:t> </w:t>
      </w:r>
      <w:r>
        <w:rPr>
          <w:rFonts w:ascii="宋体" w:hAnsi="宋体" w:cs="宋体"/>
          <w:color w:val="000000"/>
          <w:spacing w:val="-1"/>
          <w:w w:val="100"/>
          <w:position w:val="0"/>
          <w:sz w:val="21"/>
          <w:u w:val="none"/>
        </w:rPr>
        <w:t>15856.5</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或</w:t>
      </w:r>
    </w:p>
    <w:p>
      <w:pPr>
        <w:spacing w:before="0" w:after="0" w:line="312" w:lineRule="exact"/>
        <w:ind w:left="163" w:firstLine="0"/>
        <w:jc w:val="left"/>
      </w:pPr>
      <w:r>
        <w:rPr>
          <w:rFonts w:ascii="宋体" w:hAnsi="宋体" w:cs="宋体"/>
          <w:color w:val="000000"/>
          <w:spacing w:val="-1"/>
          <w:w w:val="100"/>
          <w:position w:val="0"/>
          <w:sz w:val="21"/>
          <w:u w:val="none"/>
        </w:rPr>
        <w:t>《开槽盘头自攻螺钉》GB/T</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5282、《开槽沉头自攻螺钉》GB/T</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5283、《开槽半沉头自攻螺钉》GB/T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5284、</w:t>
      </w:r>
    </w:p>
    <w:p>
      <w:pPr>
        <w:spacing w:before="0" w:after="0" w:line="312" w:lineRule="exact"/>
        <w:ind w:left="163" w:firstLine="0"/>
        <w:jc w:val="left"/>
      </w:pPr>
      <w:r>
        <w:rPr>
          <w:rFonts w:ascii="宋体" w:hAnsi="宋体" w:cs="宋体"/>
          <w:color w:val="000000"/>
          <w:spacing w:val="0"/>
          <w:w w:val="100"/>
          <w:position w:val="0"/>
          <w:sz w:val="21"/>
          <w:u w:val="none"/>
        </w:rPr>
        <w:t>《六角头自攻螺钉》GB/T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5285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5"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224"/>
          <w:sz w:val="21"/>
          <w:u w:val="none"/>
        </w:rPr>
        <w:t> </w:t>
      </w:r>
      <w:r>
        <w:rPr>
          <w:rFonts w:ascii="宋体" w:hAnsi="宋体" w:cs="宋体"/>
          <w:color w:val="000000"/>
          <w:spacing w:val="-5"/>
          <w:w w:val="100"/>
          <w:position w:val="0"/>
          <w:sz w:val="21"/>
          <w:u w:val="none"/>
        </w:rPr>
        <w:t>抽芯铆钉应符合现行国家标准《封闭型平圆头抽芯铆钉》GB/T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12615</w:t>
      </w:r>
      <w:r>
        <w:rPr>
          <w:rFonts w:ascii="Calibri" w:hAnsi="Calibri" w:cs="Calibri"/>
          <w:color w:val="000000"/>
          <w:spacing w:val="5"/>
          <w:w w:val="100"/>
          <w:sz w:val="21"/>
          <w:u w:val="none"/>
        </w:rPr>
        <w:t> </w:t>
      </w:r>
      <w:r>
        <w:rPr>
          <w:rFonts w:ascii="宋体" w:hAnsi="宋体" w:cs="宋体"/>
          <w:color w:val="000000"/>
          <w:spacing w:val="-8"/>
          <w:w w:val="100"/>
          <w:position w:val="0"/>
          <w:sz w:val="21"/>
          <w:u w:val="none"/>
        </w:rPr>
        <w:t>和《开口型沉头抽芯铆钉》GB/T</w:t>
      </w:r>
    </w:p>
    <w:p>
      <w:pPr>
        <w:spacing w:before="0" w:after="0" w:line="309" w:lineRule="exact"/>
        <w:ind w:left="163" w:firstLine="0"/>
        <w:jc w:val="left"/>
      </w:pPr>
      <w:r>
        <w:rPr>
          <w:rFonts w:ascii="宋体" w:eastAsia="宋体" w:hAnsi="宋体" w:cs="宋体"/>
          <w:color w:val="000000"/>
          <w:spacing w:val="-1"/>
          <w:w w:val="100"/>
          <w:position w:val="0"/>
          <w:sz w:val="21"/>
          <w:u w:val="none"/>
        </w:rPr>
        <w:t>12617.3～12617.5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规定。</w:t>
      </w:r>
    </w:p>
    <w:p>
      <w:pPr>
        <w:spacing w:before="0" w:after="0" w:line="315"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射钉应符合现行国家标准《射钉》GB/T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18981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2" w:lineRule="exact"/>
        <w:ind w:left="163" w:firstLine="0"/>
        <w:jc w:val="left"/>
      </w:pPr>
      <w:r>
        <w:rPr>
          <w:rFonts w:ascii="黑体" w:hAnsi="黑体" w:cs="黑体"/>
          <w:color w:val="000000"/>
          <w:spacing w:val="-1"/>
          <w:w w:val="100"/>
          <w:position w:val="0"/>
          <w:sz w:val="21"/>
          <w:u w:val="none"/>
        </w:rPr>
        <w:t>3.1.3</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锚栓可采用符合现行国家标准《碳素结构钢》GB/T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700</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规定的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Q235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级钢或符合现行国家标准《低</w:t>
      </w:r>
    </w:p>
    <w:p>
      <w:pPr>
        <w:spacing w:before="0" w:after="0" w:line="309" w:lineRule="exact"/>
        <w:ind w:left="163" w:firstLine="0"/>
        <w:jc w:val="left"/>
      </w:pPr>
      <w:r>
        <w:rPr>
          <w:rFonts w:ascii="宋体" w:hAnsi="宋体" w:cs="宋体"/>
          <w:color w:val="000000"/>
          <w:spacing w:val="0"/>
          <w:w w:val="100"/>
          <w:position w:val="0"/>
          <w:sz w:val="21"/>
          <w:u w:val="none"/>
        </w:rPr>
        <w:t>合金高强度结构钢》GB/T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1591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规定的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Q355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级钢制成。</w:t>
      </w:r>
    </w:p>
    <w:p>
      <w:pPr>
        <w:spacing w:before="0" w:after="0" w:line="315" w:lineRule="exact"/>
        <w:ind w:left="163" w:firstLine="0"/>
        <w:jc w:val="left"/>
      </w:pPr>
      <w:r>
        <w:rPr>
          <w:rFonts w:ascii="黑体" w:hAnsi="黑体" w:cs="黑体"/>
          <w:color w:val="000000"/>
          <w:spacing w:val="-1"/>
          <w:w w:val="100"/>
          <w:position w:val="0"/>
          <w:sz w:val="21"/>
          <w:u w:val="none"/>
        </w:rPr>
        <w:t>3.1.4</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在轻钢结构装配装饰一体化建筑的结构设计图纸和材料订货文件中，应注明所采用钢材的牌</w:t>
      </w:r>
      <w:r>
        <w:rPr>
          <w:rFonts w:ascii="宋体" w:hAnsi="宋体" w:cs="宋体"/>
          <w:color w:val="000000"/>
          <w:spacing w:val="0"/>
          <w:w w:val="100"/>
          <w:position w:val="0"/>
          <w:sz w:val="21"/>
          <w:u w:val="none"/>
        </w:rPr>
        <w:t>号、</w:t>
      </w:r>
    </w:p>
    <w:p>
      <w:pPr>
        <w:spacing w:before="0" w:after="0" w:line="309" w:lineRule="exact"/>
        <w:ind w:left="163" w:firstLine="0"/>
        <w:jc w:val="left"/>
      </w:pPr>
      <w:r>
        <w:rPr>
          <w:rFonts w:ascii="宋体" w:hAnsi="宋体" w:cs="宋体"/>
          <w:color w:val="000000"/>
          <w:spacing w:val="-1"/>
          <w:w w:val="100"/>
          <w:position w:val="0"/>
          <w:sz w:val="21"/>
          <w:u w:val="none"/>
        </w:rPr>
        <w:t>质量等级、供货条件等以及连接材料的型号(或钢材的牌号)。必要时尚应注明对钢材所要求的机械性能和</w:t>
      </w:r>
    </w:p>
    <w:p>
      <w:pPr>
        <w:spacing w:before="0" w:after="0" w:line="312" w:lineRule="exact"/>
        <w:ind w:left="163" w:firstLine="0"/>
        <w:jc w:val="left"/>
      </w:pPr>
      <w:r>
        <w:rPr>
          <w:rFonts w:ascii="宋体" w:hAnsi="宋体" w:cs="宋体"/>
          <w:color w:val="000000"/>
          <w:spacing w:val="0"/>
          <w:w w:val="100"/>
          <w:position w:val="0"/>
          <w:sz w:val="21"/>
          <w:u w:val="none"/>
        </w:rPr>
        <w:t>化学成分的附加保证项目。钢板厚度不得出现负公差。</w:t>
      </w:r>
    </w:p>
    <w:p>
      <w:pPr>
        <w:spacing w:before="0" w:after="0" w:line="315" w:lineRule="exact"/>
        <w:ind w:left="163" w:firstLine="0"/>
        <w:jc w:val="left"/>
      </w:pPr>
      <w:r>
        <w:rPr>
          <w:rFonts w:ascii="黑体" w:hAnsi="黑体" w:cs="黑体"/>
          <w:color w:val="000000"/>
          <w:spacing w:val="-1"/>
          <w:w w:val="100"/>
          <w:position w:val="0"/>
          <w:sz w:val="21"/>
          <w:u w:val="none"/>
        </w:rPr>
        <w:t>3.1.5</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结构板材可采用结构用定向刨花板</w:t>
      </w:r>
      <w:r>
        <w:rPr>
          <w:rFonts w:ascii="宋体" w:hAnsi="宋体" w:cs="宋体"/>
          <w:color w:val="000000"/>
          <w:spacing w:val="0"/>
          <w:w w:val="100"/>
          <w:position w:val="0"/>
          <w:sz w:val="21"/>
          <w:u w:val="none"/>
        </w:rPr>
        <w:t>、石膏板、结</w:t>
      </w:r>
      <w:r>
        <w:rPr>
          <w:rFonts w:ascii="宋体" w:eastAsia="宋体" w:hAnsi="宋体" w:cs="宋体"/>
          <w:color w:val="000000"/>
          <w:spacing w:val="0"/>
          <w:w w:val="100"/>
          <w:position w:val="0"/>
          <w:sz w:val="21"/>
          <w:u w:val="none"/>
        </w:rPr>
        <w:t>构用胶</w:t>
      </w:r>
      <w:r>
        <w:rPr>
          <w:rFonts w:ascii="宋体" w:hAnsi="宋体" w:cs="宋体"/>
          <w:color w:val="000000"/>
          <w:spacing w:val="0"/>
          <w:w w:val="100"/>
          <w:position w:val="0"/>
          <w:sz w:val="21"/>
          <w:u w:val="none"/>
        </w:rPr>
        <w:t>合板、水</w:t>
      </w:r>
      <w:r>
        <w:rPr>
          <w:rFonts w:ascii="宋体" w:eastAsia="宋体" w:hAnsi="宋体" w:cs="宋体"/>
          <w:color w:val="000000"/>
          <w:spacing w:val="0"/>
          <w:w w:val="100"/>
          <w:position w:val="0"/>
          <w:sz w:val="21"/>
          <w:u w:val="none"/>
        </w:rPr>
        <w:t>泥纤维板和钢板等材</w:t>
      </w:r>
      <w:r>
        <w:rPr>
          <w:rFonts w:ascii="宋体" w:hAnsi="宋体" w:cs="宋体"/>
          <w:color w:val="000000"/>
          <w:spacing w:val="0"/>
          <w:w w:val="100"/>
          <w:position w:val="0"/>
          <w:sz w:val="21"/>
          <w:u w:val="none"/>
        </w:rPr>
        <w:t>料。当</w:t>
      </w:r>
      <w:r>
        <w:rPr>
          <w:rFonts w:ascii="宋体" w:eastAsia="宋体" w:hAnsi="宋体" w:cs="宋体"/>
          <w:color w:val="000000"/>
          <w:spacing w:val="0"/>
          <w:w w:val="100"/>
          <w:position w:val="0"/>
          <w:sz w:val="21"/>
          <w:u w:val="none"/>
        </w:rPr>
        <w:t>有可</w:t>
      </w:r>
    </w:p>
    <w:p>
      <w:pPr>
        <w:spacing w:before="0" w:after="0" w:line="309" w:lineRule="exact"/>
        <w:ind w:left="163" w:firstLine="0"/>
        <w:jc w:val="left"/>
      </w:pPr>
      <w:r>
        <w:rPr>
          <w:rFonts w:ascii="宋体" w:hAnsi="宋体" w:cs="宋体"/>
          <w:color w:val="000000"/>
          <w:spacing w:val="-1"/>
          <w:w w:val="100"/>
          <w:position w:val="0"/>
          <w:sz w:val="21"/>
          <w:u w:val="none"/>
        </w:rPr>
        <w:t>靠依据时，也可采用其他材料。</w:t>
      </w:r>
    </w:p>
    <w:p>
      <w:pPr>
        <w:spacing w:before="0" w:after="0" w:line="315" w:lineRule="exact"/>
        <w:ind w:left="163" w:firstLine="0"/>
        <w:jc w:val="left"/>
      </w:pPr>
      <w:r>
        <w:rPr>
          <w:rFonts w:ascii="黑体" w:hAnsi="黑体" w:cs="黑体"/>
          <w:color w:val="000000"/>
          <w:spacing w:val="-1"/>
          <w:w w:val="100"/>
          <w:position w:val="0"/>
          <w:sz w:val="21"/>
          <w:u w:val="none"/>
        </w:rPr>
        <w:t>3.1.6</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围护材料宜采用节能环保的轻质材料，并应满足国家现行有关标准对耐</w:t>
      </w:r>
      <w:r>
        <w:rPr>
          <w:rFonts w:ascii="宋体" w:hAnsi="宋体" w:cs="宋体"/>
          <w:color w:val="000000"/>
          <w:spacing w:val="0"/>
          <w:w w:val="100"/>
          <w:position w:val="0"/>
          <w:sz w:val="21"/>
          <w:u w:val="none"/>
        </w:rPr>
        <w:t>久性、</w:t>
      </w:r>
      <w:r>
        <w:rPr>
          <w:rFonts w:ascii="宋体" w:eastAsia="宋体" w:hAnsi="宋体" w:cs="宋体"/>
          <w:color w:val="000000"/>
          <w:spacing w:val="0"/>
          <w:w w:val="100"/>
          <w:position w:val="0"/>
          <w:sz w:val="21"/>
          <w:u w:val="none"/>
        </w:rPr>
        <w:t>适用性</w:t>
      </w:r>
      <w:r>
        <w:rPr>
          <w:rFonts w:ascii="宋体" w:hAnsi="宋体" w:cs="宋体"/>
          <w:color w:val="000000"/>
          <w:spacing w:val="0"/>
          <w:w w:val="100"/>
          <w:position w:val="0"/>
          <w:sz w:val="21"/>
          <w:u w:val="none"/>
        </w:rPr>
        <w:t>、防火性、</w:t>
      </w:r>
    </w:p>
    <w:p>
      <w:pPr>
        <w:spacing w:before="0" w:after="0" w:line="309" w:lineRule="exact"/>
        <w:ind w:left="163" w:firstLine="0"/>
        <w:jc w:val="left"/>
      </w:pPr>
      <w:r>
        <w:rPr>
          <w:rFonts w:ascii="宋体" w:hAnsi="宋体" w:cs="宋体"/>
          <w:color w:val="000000"/>
          <w:spacing w:val="-1"/>
          <w:w w:val="100"/>
          <w:position w:val="0"/>
          <w:sz w:val="21"/>
          <w:u w:val="none"/>
        </w:rPr>
        <w:t>气密性、水密性、隔声和隔热等性能的要求。</w:t>
      </w:r>
    </w:p>
    <w:p>
      <w:pPr>
        <w:spacing w:before="0" w:after="0" w:line="240" w:lineRule="exact"/>
        <w:ind w:left="163" w:firstLine="0"/>
      </w:pPr>
    </w:p>
    <w:p>
      <w:pPr>
        <w:spacing w:before="0" w:after="0" w:line="231" w:lineRule="exact"/>
        <w:ind w:left="163" w:firstLine="4138"/>
        <w:jc w:val="left"/>
      </w:pPr>
      <w:r>
        <w:rPr>
          <w:rFonts w:ascii="黑体" w:hAnsi="黑体" w:cs="黑体"/>
          <w:color w:val="000000"/>
          <w:spacing w:val="-1"/>
          <w:w w:val="100"/>
          <w:position w:val="0"/>
          <w:sz w:val="21"/>
          <w:u w:val="none"/>
        </w:rPr>
        <w:t>3.2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设计指标</w:t>
      </w:r>
    </w:p>
    <w:p>
      <w:pPr>
        <w:spacing w:before="0" w:after="0" w:line="240" w:lineRule="exact"/>
        <w:ind w:left="163" w:firstLine="4138"/>
      </w:pPr>
    </w:p>
    <w:p>
      <w:pPr>
        <w:spacing w:before="0" w:after="0" w:line="228" w:lineRule="exact"/>
        <w:ind w:left="163" w:firstLine="0"/>
        <w:jc w:val="left"/>
      </w:pPr>
      <w:r>
        <w:rPr>
          <w:rFonts w:ascii="黑体" w:hAnsi="黑体" w:cs="黑体"/>
          <w:color w:val="000000"/>
          <w:spacing w:val="-1"/>
          <w:w w:val="100"/>
          <w:position w:val="0"/>
          <w:sz w:val="21"/>
          <w:u w:val="none"/>
        </w:rPr>
        <w:t>3.2.1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冷弯薄壁型钢钢材强度设计值应按现行国家标准《冷弯薄壁型钢结构技术规范》GB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50018</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的规定。</w:t>
      </w:r>
    </w:p>
    <w:p>
      <w:pPr>
        <w:spacing w:before="0" w:after="0" w:line="312" w:lineRule="exact"/>
        <w:ind w:left="163" w:firstLine="0"/>
        <w:jc w:val="left"/>
      </w:pPr>
      <w:r>
        <w:rPr>
          <w:rFonts w:ascii="黑体" w:hAnsi="黑体" w:cs="黑体"/>
          <w:color w:val="000000"/>
          <w:spacing w:val="-1"/>
          <w:w w:val="100"/>
          <w:position w:val="0"/>
          <w:sz w:val="21"/>
          <w:u w:val="none"/>
        </w:rPr>
        <w:t>3.2.2</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自钻</w:t>
      </w:r>
      <w:r>
        <w:rPr>
          <w:rFonts w:ascii="宋体" w:hAnsi="宋体" w:cs="宋体"/>
          <w:color w:val="000000"/>
          <w:spacing w:val="0"/>
          <w:w w:val="100"/>
          <w:position w:val="0"/>
          <w:sz w:val="21"/>
          <w:u w:val="none"/>
        </w:rPr>
        <w:t>螺钉、螺钉、</w:t>
      </w:r>
      <w:r>
        <w:rPr>
          <w:rFonts w:ascii="宋体" w:eastAsia="宋体" w:hAnsi="宋体" w:cs="宋体"/>
          <w:color w:val="000000"/>
          <w:spacing w:val="0"/>
          <w:w w:val="100"/>
          <w:position w:val="0"/>
          <w:sz w:val="21"/>
          <w:u w:val="none"/>
        </w:rPr>
        <w:t>拉铆钉和射钉的承载力设计值应按照现行国家</w:t>
      </w:r>
      <w:r>
        <w:rPr>
          <w:rFonts w:ascii="宋体" w:hAnsi="宋体" w:cs="宋体"/>
          <w:color w:val="000000"/>
          <w:spacing w:val="0"/>
          <w:w w:val="100"/>
          <w:position w:val="0"/>
          <w:sz w:val="21"/>
          <w:u w:val="none"/>
        </w:rPr>
        <w:t>标准《</w:t>
      </w:r>
      <w:r>
        <w:rPr>
          <w:rFonts w:ascii="宋体" w:eastAsia="宋体" w:hAnsi="宋体" w:cs="宋体"/>
          <w:color w:val="000000"/>
          <w:spacing w:val="0"/>
          <w:w w:val="100"/>
          <w:position w:val="0"/>
          <w:sz w:val="21"/>
          <w:u w:val="none"/>
        </w:rPr>
        <w:t>冷弯薄壁型钢结构技术规</w:t>
      </w:r>
    </w:p>
    <w:p>
      <w:pPr>
        <w:spacing w:before="0" w:after="0" w:line="309" w:lineRule="exact"/>
        <w:ind w:left="163" w:firstLine="0"/>
        <w:jc w:val="left"/>
      </w:pPr>
      <w:r>
        <w:rPr>
          <w:rFonts w:ascii="宋体" w:hAnsi="宋体" w:cs="宋体"/>
          <w:color w:val="000000"/>
          <w:spacing w:val="-2"/>
          <w:w w:val="100"/>
          <w:position w:val="0"/>
          <w:sz w:val="21"/>
          <w:u w:val="none"/>
        </w:rPr>
        <w:t>范》GB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50018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的规定执行。对于与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LQ550</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级钢板相连的自钻螺钉、螺钉、拉铆钉和射钉，其抗剪强度应按</w:t>
      </w:r>
    </w:p>
    <w:p>
      <w:pPr>
        <w:spacing w:before="0" w:after="0" w:line="312" w:lineRule="exact"/>
        <w:ind w:left="163" w:firstLine="0"/>
        <w:jc w:val="left"/>
      </w:pPr>
      <w:r>
        <w:rPr>
          <w:rFonts w:ascii="宋体" w:hAnsi="宋体" w:cs="宋体"/>
          <w:color w:val="000000"/>
          <w:spacing w:val="-1"/>
          <w:w w:val="100"/>
          <w:position w:val="0"/>
          <w:sz w:val="21"/>
          <w:u w:val="none"/>
        </w:rPr>
        <w:t>照《低层冷弯薄壁型钢房屋建筑技术规程》JGJ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进行试验确定。</w:t>
      </w: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357" w:lineRule="exact"/>
        <w:ind w:left="163" w:firstLine="9550"/>
        <w:jc w:val="left"/>
        <w:sectPr>
          <w:type w:val="continuous"/>
          <w:pgSz w:w="11907" w:h="16839"/>
          <w:pgMar w:top="736" w:right="610" w:bottom="496" w:left="970" w:header="0" w:footer="0" w:gutter="0"/>
          <w:pgNumType w:start="39"/>
          <w:cols w:num="1" w:space="720"/>
        </w:sectPr>
      </w:pPr>
      <w:r>
        <w:rPr>
          <w:rFonts w:ascii="Microsoft YaHei UI" w:hAnsi="Microsoft YaHei UI" w:cs="Microsoft YaHei UI"/>
          <w:color w:val="000000"/>
          <w:spacing w:val="-16"/>
          <w:w w:val="100"/>
          <w:position w:val="0"/>
          <w:sz w:val="18"/>
          <w:u w:val="none"/>
        </w:rPr>
        <w:t>5</w:t>
      </w:r>
    </w:p>
    <w:p>
      <w:pPr>
        <w:spacing w:before="0" w:after="0" w:line="72" w:lineRule="exact"/>
      </w:pPr>
      <w:bookmarkStart w:id="13" w:name="13"/>
      <w:bookmarkEnd w:id="13"/>
    </w:p>
    <w:p>
      <w:pPr>
        <w:widowControl/>
        <w:jc w:val="left"/>
        <w:sectPr>
          <w:type w:val="continuous"/>
          <w:pgSz w:w="11907" w:h="16840"/>
          <w:pgMar w:top="736" w:right="713" w:bottom="496" w:left="1073" w:header="0" w:footer="0" w:gutter="0"/>
          <w:pgNumType w:start="40"/>
          <w:cols w:num="1" w:space="720"/>
          <w:docGrid w:type="lines" w:linePitch="312" w:charSpace="0"/>
        </w:sectPr>
      </w:pPr>
    </w:p>
    <w:p>
      <w:pPr>
        <w:spacing w:before="0" w:after="0" w:line="212" w:lineRule="exact"/>
        <w:ind w:left="60" w:firstLine="0"/>
        <w:jc w:val="left"/>
      </w:pPr>
      <w:r>
        <w:pict>
          <v:shape id="wondershare_447" o:spid="_x0000_s1037" type="#_x0000_t202" style="width:398pt;height:15.6pt;margin-top:367pt;margin-left:56.6pt;mso-height-relative:page;mso-position-horizontal-relative:page;mso-position-vertical-relative:page;mso-width-relative:page;position:absolute;z-index:-251644928" coordsize="21600,21600" filled="f" stroked="f">
            <v:stroke joinstyle="miter"/>
            <v:textbox inset="0,0,0,0">
              <w:txbxContent>
                <w:p>
                  <w:pPr>
                    <w:tabs>
                      <w:tab w:val="left" w:pos="946"/>
                    </w:tabs>
                    <w:autoSpaceDE w:val="0"/>
                    <w:autoSpaceDN w:val="0"/>
                    <w:adjustRightInd w:val="0"/>
                    <w:spacing w:before="0" w:after="0" w:line="212" w:lineRule="exact"/>
                    <w:jc w:val="left"/>
                  </w:pPr>
                  <w:r>
                    <w:rPr>
                      <w:rFonts w:ascii="黑体" w:hAnsi="黑体" w:cs="黑体"/>
                      <w:color w:val="000000"/>
                      <w:spacing w:val="-1"/>
                      <w:w w:val="100"/>
                      <w:position w:val="0"/>
                      <w:sz w:val="21"/>
                      <w:u w:val="none"/>
                    </w:rPr>
                    <w:t>4.1.2.2</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屋面竖向均布活荷载的标准值（按水平投影面积计算）应取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kN/m</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w:t>
                  </w:r>
                </w:p>
              </w:txbxContent>
            </v:textbox>
          </v:shape>
        </w:pict>
      </w:r>
      <w:r>
        <w:pict>
          <v:shape id="_x0000_s2063" o:spid="_x0000_s1038" type="#_x0000_t202" style="width:332pt;height:53pt;margin-top:397.7pt;margin-left:141.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82" o:spid="_x0000_s1039" type="#_x0000_t75" style="width:263pt;height:185pt;margin-top:459pt;margin-left:166pt;mso-height-relative:page;mso-position-horizontal-relative:page;mso-position-vertical-relative:page;mso-width-relative:page;position:absolute;z-index:-251645952" coordsize="21600,21600" filled="f">
            <v:imagedata r:id="rId5"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60" w:firstLine="0"/>
      </w:pPr>
    </w:p>
    <w:p>
      <w:pPr>
        <w:spacing w:before="0" w:after="0" w:line="240" w:lineRule="exact"/>
        <w:ind w:left="60" w:firstLine="0"/>
      </w:pPr>
    </w:p>
    <w:p>
      <w:pPr>
        <w:tabs>
          <w:tab w:val="left" w:pos="4056"/>
        </w:tabs>
        <w:spacing w:before="0" w:after="0" w:line="329" w:lineRule="exact"/>
        <w:ind w:left="60" w:firstLine="3545"/>
        <w:jc w:val="left"/>
      </w:pPr>
      <w:r>
        <w:rPr>
          <w:rFonts w:ascii="黑体" w:hAnsi="黑体" w:cs="黑体"/>
          <w:color w:val="000000"/>
          <w:spacing w:val="-1"/>
          <w:w w:val="100"/>
          <w:position w:val="0"/>
          <w:sz w:val="30"/>
          <w:u w:val="none"/>
        </w:rPr>
        <w:t>4</w:t>
      </w:r>
      <w:r>
        <w:rPr>
          <w:rFonts w:cs="Calibri"/>
          <w:color w:val="000000"/>
          <w:spacing w:val="-1"/>
          <w:w w:val="100"/>
          <w:u w:val="none"/>
        </w:rPr>
        <w:tab/>
      </w:r>
      <w:r>
        <w:rPr>
          <w:rFonts w:ascii="黑体" w:eastAsia="黑体" w:hAnsi="黑体" w:cs="黑体"/>
          <w:color w:val="000000"/>
          <w:spacing w:val="-1"/>
          <w:w w:val="100"/>
          <w:position w:val="0"/>
          <w:sz w:val="30"/>
          <w:u w:val="none"/>
        </w:rPr>
        <w:t>建筑与集成设计</w:t>
      </w:r>
    </w:p>
    <w:p>
      <w:pPr>
        <w:spacing w:before="0" w:after="0" w:line="240" w:lineRule="exact"/>
        <w:ind w:left="60" w:firstLine="3545"/>
      </w:pPr>
    </w:p>
    <w:p>
      <w:pPr>
        <w:spacing w:before="0" w:after="0" w:line="336" w:lineRule="exact"/>
        <w:ind w:left="60" w:firstLine="4138"/>
        <w:jc w:val="left"/>
      </w:pPr>
      <w:r>
        <w:rPr>
          <w:rFonts w:ascii="黑体" w:hAnsi="黑体" w:cs="黑体"/>
          <w:color w:val="000000"/>
          <w:spacing w:val="-1"/>
          <w:w w:val="100"/>
          <w:position w:val="0"/>
          <w:sz w:val="21"/>
          <w:u w:val="none"/>
        </w:rPr>
        <w:t>4.1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建筑设计</w:t>
      </w:r>
    </w:p>
    <w:p>
      <w:pPr>
        <w:spacing w:before="0" w:after="0" w:line="240" w:lineRule="exact"/>
        <w:ind w:left="60" w:firstLine="4138"/>
      </w:pPr>
    </w:p>
    <w:p>
      <w:pPr>
        <w:spacing w:before="0" w:after="0" w:line="384" w:lineRule="exact"/>
        <w:ind w:left="60" w:firstLine="4032"/>
        <w:jc w:val="left"/>
      </w:pPr>
      <w:r>
        <w:rPr>
          <w:rFonts w:ascii="黑体" w:hAnsi="黑体" w:cs="黑体"/>
          <w:color w:val="000000"/>
          <w:spacing w:val="-1"/>
          <w:w w:val="100"/>
          <w:position w:val="0"/>
          <w:sz w:val="21"/>
          <w:u w:val="none"/>
        </w:rPr>
        <w:t>4.1.1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基本规定</w:t>
      </w:r>
    </w:p>
    <w:p>
      <w:pPr>
        <w:spacing w:before="0" w:after="0" w:line="240" w:lineRule="exact"/>
        <w:ind w:left="60" w:firstLine="4032"/>
      </w:pPr>
    </w:p>
    <w:p>
      <w:pPr>
        <w:spacing w:before="0" w:after="0" w:line="228" w:lineRule="exact"/>
        <w:ind w:left="60" w:firstLine="0"/>
        <w:jc w:val="left"/>
      </w:pPr>
      <w:r>
        <w:rPr>
          <w:rFonts w:ascii="黑体" w:hAnsi="黑体" w:cs="黑体"/>
          <w:color w:val="000000"/>
          <w:spacing w:val="-1"/>
          <w:w w:val="100"/>
          <w:position w:val="0"/>
          <w:sz w:val="21"/>
          <w:u w:val="none"/>
        </w:rPr>
        <w:t>4.1.1.1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轻钢结构装配装饰一体化建筑应模数协调，采用模块化、标准化设计，将结构系统、外围护系</w:t>
      </w:r>
    </w:p>
    <w:p>
      <w:pPr>
        <w:spacing w:before="0" w:after="0" w:line="309" w:lineRule="exact"/>
        <w:ind w:left="60" w:firstLine="0"/>
        <w:jc w:val="left"/>
      </w:pPr>
      <w:r>
        <w:rPr>
          <w:rFonts w:ascii="宋体" w:hAnsi="宋体" w:cs="宋体"/>
          <w:color w:val="000000"/>
          <w:spacing w:val="-1"/>
          <w:w w:val="100"/>
          <w:position w:val="0"/>
          <w:sz w:val="21"/>
          <w:u w:val="none"/>
        </w:rPr>
        <w:t>统、设备与管线系统和内装系统进行集成。</w:t>
      </w:r>
    </w:p>
    <w:p>
      <w:pPr>
        <w:spacing w:before="0" w:after="0" w:line="315" w:lineRule="exact"/>
        <w:ind w:left="60" w:firstLine="0"/>
        <w:jc w:val="left"/>
      </w:pPr>
      <w:r>
        <w:rPr>
          <w:rFonts w:ascii="黑体" w:hAnsi="黑体" w:cs="黑体"/>
          <w:color w:val="000000"/>
          <w:spacing w:val="-1"/>
          <w:w w:val="100"/>
          <w:position w:val="0"/>
          <w:sz w:val="21"/>
          <w:u w:val="none"/>
        </w:rPr>
        <w:t>4.1.1.2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轻钢结构装配装饰一体化建筑应按照集成设计原则，将建筑、结构、给水排水、暖通空调、电</w:t>
      </w:r>
    </w:p>
    <w:p>
      <w:pPr>
        <w:spacing w:before="0" w:after="0" w:line="309" w:lineRule="exact"/>
        <w:ind w:left="60" w:firstLine="0"/>
        <w:jc w:val="left"/>
      </w:pPr>
      <w:r>
        <w:rPr>
          <w:rFonts w:ascii="宋体" w:hAnsi="宋体" w:cs="宋体"/>
          <w:color w:val="000000"/>
          <w:spacing w:val="-1"/>
          <w:w w:val="100"/>
          <w:position w:val="0"/>
          <w:sz w:val="21"/>
          <w:u w:val="none"/>
        </w:rPr>
        <w:t>气、智能化和燃气等专业之间进行协同设计。</w:t>
      </w:r>
    </w:p>
    <w:p>
      <w:pPr>
        <w:spacing w:before="0" w:after="0" w:line="315" w:lineRule="exact"/>
        <w:ind w:left="60" w:firstLine="0"/>
        <w:jc w:val="left"/>
      </w:pPr>
      <w:r>
        <w:rPr>
          <w:rFonts w:ascii="黑体" w:hAnsi="黑体" w:cs="黑体"/>
          <w:color w:val="000000"/>
          <w:spacing w:val="-1"/>
          <w:w w:val="100"/>
          <w:position w:val="0"/>
          <w:sz w:val="21"/>
          <w:u w:val="none"/>
        </w:rPr>
        <w:t>4.1.1.3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轻钢结构装配装饰一体化建筑设计宜建立信息化协同平台，共享数据信息，实现建设全过程的</w:t>
      </w:r>
    </w:p>
    <w:p>
      <w:pPr>
        <w:spacing w:before="0" w:after="0" w:line="309" w:lineRule="exact"/>
        <w:ind w:left="60" w:firstLine="0"/>
        <w:jc w:val="left"/>
      </w:pPr>
      <w:r>
        <w:rPr>
          <w:rFonts w:ascii="宋体" w:hAnsi="宋体" w:cs="宋体"/>
          <w:color w:val="000000"/>
          <w:spacing w:val="-1"/>
          <w:w w:val="100"/>
          <w:position w:val="0"/>
          <w:sz w:val="21"/>
          <w:u w:val="none"/>
        </w:rPr>
        <w:t>管理和控制。</w:t>
      </w:r>
    </w:p>
    <w:p>
      <w:pPr>
        <w:spacing w:before="0" w:after="0" w:line="315" w:lineRule="exact"/>
        <w:ind w:left="60" w:firstLine="0"/>
        <w:jc w:val="left"/>
      </w:pPr>
      <w:r>
        <w:rPr>
          <w:rFonts w:ascii="黑体" w:hAnsi="黑体" w:cs="黑体"/>
          <w:color w:val="000000"/>
          <w:spacing w:val="-1"/>
          <w:w w:val="100"/>
          <w:position w:val="0"/>
          <w:sz w:val="21"/>
          <w:u w:val="none"/>
        </w:rPr>
        <w:t>4.1.1.4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轻钢结构装配装饰一体化建筑应满足建筑全寿命期的使用维护要求。</w:t>
      </w:r>
    </w:p>
    <w:p>
      <w:pPr>
        <w:spacing w:before="0" w:after="0" w:line="312" w:lineRule="exact"/>
        <w:ind w:left="60" w:firstLine="0"/>
        <w:jc w:val="left"/>
      </w:pPr>
      <w:r>
        <w:rPr>
          <w:rFonts w:ascii="黑体" w:hAnsi="黑体" w:cs="黑体"/>
          <w:color w:val="000000"/>
          <w:spacing w:val="0"/>
          <w:w w:val="100"/>
          <w:position w:val="0"/>
          <w:sz w:val="21"/>
          <w:u w:val="none"/>
        </w:rPr>
        <w:t>4.1.1.5</w:t>
      </w:r>
      <w:r>
        <w:rPr>
          <w:rFonts w:ascii="Calibri" w:hAnsi="Calibri" w:cs="Calibri"/>
          <w:color w:val="000000"/>
          <w:spacing w:val="0"/>
          <w:w w:val="386"/>
          <w:sz w:val="24"/>
          <w:u w:val="none"/>
        </w:rPr>
        <w:t> </w:t>
      </w:r>
      <w:r>
        <w:rPr>
          <w:rFonts w:ascii="宋体" w:hAnsi="宋体" w:cs="宋体"/>
          <w:color w:val="000000"/>
          <w:spacing w:val="-4"/>
          <w:w w:val="100"/>
          <w:position w:val="0"/>
          <w:sz w:val="21"/>
          <w:u w:val="none"/>
        </w:rPr>
        <w:t>轻钢结构装配装饰一体化建筑的防火设计除应符合本规程的规定外，尚应符合现行国家标准《建</w:t>
      </w:r>
    </w:p>
    <w:p>
      <w:pPr>
        <w:spacing w:before="0" w:after="0" w:line="309" w:lineRule="exact"/>
        <w:ind w:left="60" w:firstLine="0"/>
        <w:jc w:val="left"/>
      </w:pPr>
      <w:r>
        <w:rPr>
          <w:rFonts w:ascii="宋体" w:hAnsi="宋体" w:cs="宋体"/>
          <w:color w:val="000000"/>
          <w:spacing w:val="-1"/>
          <w:w w:val="100"/>
          <w:position w:val="0"/>
          <w:sz w:val="21"/>
          <w:u w:val="none"/>
        </w:rPr>
        <w:t>筑设计防火规范》GB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50016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的有关规定。</w:t>
      </w:r>
    </w:p>
    <w:p>
      <w:pPr>
        <w:spacing w:before="0" w:after="0" w:line="240" w:lineRule="exact"/>
        <w:ind w:left="60" w:firstLine="0"/>
      </w:pPr>
    </w:p>
    <w:p>
      <w:pPr>
        <w:spacing w:before="0" w:after="0" w:line="231" w:lineRule="exact"/>
        <w:ind w:left="60" w:firstLine="3929"/>
        <w:jc w:val="left"/>
      </w:pPr>
      <w:r>
        <w:rPr>
          <w:rFonts w:ascii="黑体" w:hAnsi="黑体" w:cs="黑体"/>
          <w:color w:val="000000"/>
          <w:spacing w:val="-1"/>
          <w:w w:val="100"/>
          <w:position w:val="0"/>
          <w:sz w:val="21"/>
          <w:u w:val="none"/>
        </w:rPr>
        <w:t>4.1.2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荷载与作用</w:t>
      </w:r>
    </w:p>
    <w:p>
      <w:pPr>
        <w:spacing w:before="0" w:after="0" w:line="240" w:lineRule="exact"/>
        <w:ind w:left="60" w:firstLine="3929"/>
      </w:pPr>
    </w:p>
    <w:p>
      <w:pPr>
        <w:spacing w:before="0" w:after="0" w:line="228" w:lineRule="exact"/>
        <w:ind w:left="60" w:firstLine="0"/>
        <w:jc w:val="left"/>
      </w:pPr>
      <w:r>
        <w:rPr>
          <w:rFonts w:ascii="黑体" w:hAnsi="黑体" w:cs="黑体"/>
          <w:color w:val="000000"/>
          <w:spacing w:val="-1"/>
          <w:w w:val="100"/>
          <w:position w:val="0"/>
          <w:sz w:val="21"/>
          <w:u w:val="none"/>
        </w:rPr>
        <w:t>4.1.2.1</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屋面雪荷载、风荷载，除本规程另有规定外，应按现行国家标准《建筑结构荷载规范》GB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50009</w:t>
      </w:r>
    </w:p>
    <w:p>
      <w:pPr>
        <w:spacing w:before="0" w:after="0" w:line="309" w:lineRule="exact"/>
        <w:ind w:left="60" w:firstLine="0"/>
        <w:jc w:val="left"/>
      </w:pPr>
      <w:r>
        <w:rPr>
          <w:rFonts w:ascii="宋体" w:hAnsi="宋体" w:cs="宋体"/>
          <w:color w:val="000000"/>
          <w:spacing w:val="0"/>
          <w:w w:val="100"/>
          <w:position w:val="0"/>
          <w:sz w:val="21"/>
          <w:u w:val="none"/>
        </w:rPr>
        <w:t>的规定采用。</w:t>
      </w:r>
    </w:p>
    <w:p>
      <w:pPr>
        <w:spacing w:before="0" w:after="0" w:line="192" w:lineRule="exact"/>
        <w:ind w:left="60" w:firstLine="7298"/>
        <w:jc w:val="left"/>
      </w:pPr>
      <w:r>
        <w:rPr>
          <w:rFonts w:ascii="宋体" w:hAnsi="宋体" w:cs="宋体"/>
          <w:color w:val="000000"/>
          <w:spacing w:val="-2"/>
          <w:w w:val="100"/>
          <w:position w:val="0"/>
          <w:sz w:val="11"/>
          <w:u w:val="none"/>
        </w:rPr>
        <w:t>2</w:t>
      </w:r>
    </w:p>
    <w:p>
      <w:pPr>
        <w:spacing w:before="0" w:after="0" w:line="435" w:lineRule="exact"/>
        <w:ind w:left="60" w:firstLine="0"/>
        <w:jc w:val="left"/>
      </w:pPr>
      <w:r>
        <w:rPr>
          <w:rFonts w:ascii="黑体" w:hAnsi="黑体" w:cs="黑体"/>
          <w:color w:val="000000"/>
          <w:spacing w:val="-1"/>
          <w:w w:val="100"/>
          <w:position w:val="0"/>
          <w:sz w:val="21"/>
          <w:u w:val="none"/>
        </w:rPr>
        <w:t>4.1.2.3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地震作用应按现行国家标准《建筑抗震设计规范》GB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50011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的规定计算。</w:t>
      </w:r>
    </w:p>
    <w:p>
      <w:pPr>
        <w:spacing w:before="0" w:after="0" w:line="312" w:lineRule="exact"/>
        <w:ind w:left="60" w:firstLine="0"/>
        <w:jc w:val="left"/>
      </w:pPr>
      <w:r>
        <w:rPr>
          <w:rFonts w:ascii="黑体" w:hAnsi="黑体" w:cs="黑体"/>
          <w:color w:val="000000"/>
          <w:spacing w:val="-1"/>
          <w:w w:val="100"/>
          <w:position w:val="0"/>
          <w:sz w:val="21"/>
          <w:u w:val="none"/>
        </w:rPr>
        <w:t>4.1.2.4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施工集中荷载宜取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kN，并应在最不利位置处验算。</w:t>
      </w:r>
    </w:p>
    <w:p>
      <w:pPr>
        <w:spacing w:before="0" w:after="0" w:line="312" w:lineRule="exact"/>
        <w:ind w:left="60" w:firstLine="0"/>
        <w:jc w:val="left"/>
      </w:pPr>
      <w:r>
        <w:rPr>
          <w:rFonts w:ascii="黑体" w:hAnsi="黑体" w:cs="黑体"/>
          <w:color w:val="000000"/>
          <w:spacing w:val="-1"/>
          <w:w w:val="100"/>
          <w:position w:val="0"/>
          <w:sz w:val="21"/>
          <w:u w:val="none"/>
        </w:rPr>
        <w:t>4.1.2.5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复杂体型房屋屋面的风载体型系数可按房屋屋面和墙面分区确定（图</w:t>
      </w:r>
      <w:r>
        <w:rPr>
          <w:rFonts w:ascii="Calibri" w:hAnsi="Calibri" w:cs="Calibri"/>
          <w:color w:val="000000"/>
          <w:spacing w:val="6"/>
          <w:w w:val="100"/>
          <w:sz w:val="21"/>
          <w:u w:val="none"/>
        </w:rPr>
        <w:t> </w:t>
      </w:r>
      <w:r>
        <w:rPr>
          <w:rFonts w:ascii="宋体" w:eastAsia="宋体" w:hAnsi="宋体" w:cs="宋体"/>
          <w:color w:val="000000"/>
          <w:spacing w:val="-4"/>
          <w:w w:val="100"/>
          <w:position w:val="0"/>
          <w:sz w:val="21"/>
          <w:u w:val="none"/>
        </w:rPr>
        <w:t>4.1.2.5），纵风向时屋顶</w:t>
      </w:r>
    </w:p>
    <w:p>
      <w:pPr>
        <w:spacing w:before="0" w:after="0" w:line="309" w:lineRule="exact"/>
        <w:ind w:left="60" w:firstLine="0"/>
        <w:jc w:val="left"/>
      </w:pPr>
      <w:r>
        <w:rPr>
          <w:rFonts w:ascii="宋体" w:hAnsi="宋体" w:cs="宋体"/>
          <w:color w:val="000000"/>
          <w:spacing w:val="-1"/>
          <w:w w:val="100"/>
          <w:position w:val="0"/>
          <w:sz w:val="21"/>
          <w:u w:val="none"/>
        </w:rPr>
        <w:t>(R)部分的风载体型系数应取-0.8，其余部分的风载体型系数应按现行国家标准《建筑结构荷载规范》GB</w:t>
      </w:r>
    </w:p>
    <w:p>
      <w:pPr>
        <w:spacing w:before="0" w:after="0" w:line="312" w:lineRule="exact"/>
        <w:ind w:left="60" w:firstLine="0"/>
        <w:jc w:val="left"/>
      </w:pPr>
      <w:r>
        <w:rPr>
          <w:rFonts w:ascii="宋体" w:hAnsi="宋体" w:cs="宋体"/>
          <w:color w:val="000000"/>
          <w:spacing w:val="-1"/>
          <w:w w:val="100"/>
          <w:position w:val="0"/>
          <w:sz w:val="21"/>
          <w:u w:val="none"/>
        </w:rPr>
        <w:t>50009</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采用。</w:t>
      </w:r>
    </w:p>
    <w:p>
      <w:pPr>
        <w:widowControl/>
        <w:jc w:val="left"/>
        <w:sectPr>
          <w:type w:val="continuous"/>
          <w:pgSz w:w="11907" w:h="16840"/>
          <w:pgMar w:top="736" w:right="713" w:bottom="496" w:left="1073" w:header="0" w:footer="0" w:gutter="0"/>
          <w:pgNumType w:start="41"/>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39" w:lineRule="exact"/>
        <w:ind w:left="60" w:firstLine="0"/>
      </w:pPr>
    </w:p>
    <w:p>
      <w:pPr>
        <w:widowControl/>
        <w:jc w:val="left"/>
        <w:sectPr>
          <w:type w:val="continuous"/>
          <w:pgSz w:w="11907" w:h="16840"/>
          <w:pgMar w:top="736" w:right="713" w:bottom="496" w:left="1073" w:header="0" w:footer="0" w:gutter="0"/>
          <w:pgNumType w:start="42"/>
          <w:cols w:num="1" w:space="720"/>
          <w:docGrid w:type="lines" w:linePitch="312" w:charSpace="0"/>
        </w:sectPr>
      </w:pPr>
    </w:p>
    <w:p>
      <w:pPr>
        <w:spacing w:before="0" w:after="0" w:line="180" w:lineRule="exact"/>
        <w:ind w:left="60" w:firstLine="3492"/>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4.1.2.5</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房屋屋面和墙面分区</w:t>
      </w:r>
    </w:p>
    <w:p>
      <w:pPr>
        <w:spacing w:before="0" w:after="0" w:line="391" w:lineRule="exact"/>
        <w:ind w:left="60" w:firstLine="1670"/>
        <w:jc w:val="left"/>
      </w:pPr>
      <w:r>
        <w:rPr>
          <w:rFonts w:ascii="宋体" w:eastAsia="宋体" w:hAnsi="宋体" w:cs="宋体"/>
          <w:color w:val="000000"/>
          <w:spacing w:val="-1"/>
          <w:w w:val="100"/>
          <w:position w:val="0"/>
          <w:sz w:val="18"/>
          <w:u w:val="none"/>
        </w:rPr>
        <w:t>W-迎风墙；U-迎风坡屋顶；S-边墙；R-纵风向坡屋顶；L-背风墙；D-背风坡屋顶</w:t>
      </w:r>
    </w:p>
    <w:p>
      <w:pPr>
        <w:spacing w:before="0" w:after="0" w:line="240" w:lineRule="exact"/>
        <w:ind w:left="60" w:firstLine="1670"/>
      </w:pPr>
    </w:p>
    <w:p>
      <w:pPr>
        <w:spacing w:before="0" w:after="0" w:line="245" w:lineRule="exact"/>
        <w:ind w:left="60" w:firstLine="0"/>
        <w:jc w:val="left"/>
      </w:pPr>
      <w:r>
        <w:rPr>
          <w:rFonts w:ascii="黑体" w:hAnsi="黑体" w:cs="黑体"/>
          <w:color w:val="000000"/>
          <w:spacing w:val="-1"/>
          <w:w w:val="100"/>
          <w:position w:val="0"/>
          <w:sz w:val="21"/>
          <w:u w:val="none"/>
        </w:rPr>
        <w:t>4.1.2.6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复杂屋面的屋面积雪分布系数的确定应符合下列规定：</w:t>
      </w:r>
    </w:p>
    <w:p>
      <w:pPr>
        <w:spacing w:before="0" w:after="0" w:line="372" w:lineRule="exact"/>
        <w:ind w:left="60" w:firstLine="425"/>
        <w:jc w:val="left"/>
      </w:pPr>
      <w:r>
        <w:rPr>
          <w:rFonts w:ascii="黑体" w:hAnsi="黑体" w:cs="黑体"/>
          <w:color w:val="000000"/>
          <w:spacing w:val="-1"/>
          <w:w w:val="100"/>
          <w:position w:val="6"/>
          <w:sz w:val="21"/>
          <w:u w:val="none"/>
        </w:rPr>
        <w:t>1</w:t>
      </w:r>
      <w:r>
        <w:rPr>
          <w:rFonts w:ascii="Calibri" w:hAnsi="Calibri" w:cs="Calibri"/>
          <w:color w:val="000000"/>
          <w:spacing w:val="0"/>
          <w:w w:val="386"/>
          <w:sz w:val="24"/>
          <w:u w:val="none"/>
        </w:rPr>
        <w:t> </w:t>
      </w:r>
      <w:r>
        <w:rPr>
          <w:rFonts w:ascii="宋体" w:eastAsia="宋体" w:hAnsi="宋体" w:cs="宋体"/>
          <w:color w:val="000000"/>
          <w:spacing w:val="0"/>
          <w:w w:val="100"/>
          <w:position w:val="6"/>
          <w:sz w:val="21"/>
          <w:u w:val="none"/>
        </w:rPr>
        <w:t>当屋面坡度(</w:t>
      </w:r>
      <w:r>
        <w:rPr>
          <w:rFonts w:ascii="DejaVu Math TeX Gyre" w:eastAsia="DejaVu Math TeX Gyre" w:hAnsi="DejaVu Math TeX Gyre" w:cs="DejaVu Math TeX Gyre"/>
          <w:color w:val="000000"/>
          <w:spacing w:val="0"/>
          <w:w w:val="211"/>
          <w:position w:val="2"/>
          <w:sz w:val="21"/>
          <w:u w:val="none"/>
        </w:rPr>
        <w:t>�</w:t>
      </w:r>
      <w:r>
        <w:rPr>
          <w:rFonts w:ascii="宋体" w:eastAsia="宋体" w:hAnsi="宋体" w:cs="宋体"/>
          <w:color w:val="000000"/>
          <w:spacing w:val="-1"/>
          <w:w w:val="100"/>
          <w:position w:val="6"/>
          <w:sz w:val="21"/>
          <w:u w:val="none"/>
        </w:rPr>
        <w:t>)小于或等于</w:t>
      </w:r>
      <w:r>
        <w:rPr>
          <w:rFonts w:ascii="Calibri" w:hAnsi="Calibri" w:cs="Calibri"/>
          <w:color w:val="000000"/>
          <w:spacing w:val="4"/>
          <w:w w:val="100"/>
          <w:sz w:val="21"/>
          <w:u w:val="none"/>
        </w:rPr>
        <w:t> </w:t>
      </w:r>
      <w:r>
        <w:rPr>
          <w:rFonts w:ascii="宋体" w:eastAsia="宋体" w:hAnsi="宋体" w:cs="宋体"/>
          <w:color w:val="000000"/>
          <w:spacing w:val="-5"/>
          <w:w w:val="100"/>
          <w:position w:val="6"/>
          <w:sz w:val="21"/>
          <w:u w:val="none"/>
        </w:rPr>
        <w:t>25°时，屋面积雪分布系数</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2"/>
          <w:w w:val="100"/>
          <w:position w:val="6"/>
          <w:sz w:val="21"/>
          <w:u w:val="none"/>
        </w:rPr>
        <w:t>为</w:t>
      </w:r>
      <w:r>
        <w:rPr>
          <w:rFonts w:ascii="Calibri" w:hAnsi="Calibri" w:cs="Calibri"/>
          <w:color w:val="000000"/>
          <w:spacing w:val="6"/>
          <w:w w:val="100"/>
          <w:sz w:val="21"/>
          <w:u w:val="none"/>
        </w:rPr>
        <w:t> </w:t>
      </w:r>
      <w:r>
        <w:rPr>
          <w:rFonts w:ascii="宋体" w:eastAsia="宋体" w:hAnsi="宋体" w:cs="宋体"/>
          <w:color w:val="000000"/>
          <w:spacing w:val="-6"/>
          <w:w w:val="100"/>
          <w:position w:val="6"/>
          <w:sz w:val="21"/>
          <w:u w:val="none"/>
        </w:rPr>
        <w:t>1.0；当屋面坡度(</w:t>
      </w:r>
      <w:r>
        <w:rPr>
          <w:rFonts w:ascii="DejaVu Math TeX Gyre" w:eastAsia="DejaVu Math TeX Gyre" w:hAnsi="DejaVu Math TeX Gyre" w:cs="DejaVu Math TeX Gyre"/>
          <w:color w:val="000000"/>
          <w:spacing w:val="0"/>
          <w:w w:val="211"/>
          <w:position w:val="2"/>
          <w:sz w:val="21"/>
          <w:u w:val="none"/>
        </w:rPr>
        <w:t>�</w:t>
      </w:r>
      <w:r>
        <w:rPr>
          <w:rFonts w:ascii="宋体" w:eastAsia="宋体" w:hAnsi="宋体" w:cs="宋体"/>
          <w:color w:val="000000"/>
          <w:spacing w:val="-1"/>
          <w:w w:val="100"/>
          <w:position w:val="6"/>
          <w:sz w:val="21"/>
          <w:u w:val="none"/>
        </w:rPr>
        <w:t>)大于或等于</w:t>
      </w:r>
      <w:r>
        <w:rPr>
          <w:rFonts w:ascii="Calibri" w:hAnsi="Calibri" w:cs="Calibri"/>
          <w:color w:val="000000"/>
          <w:spacing w:val="6"/>
          <w:w w:val="100"/>
          <w:sz w:val="21"/>
          <w:u w:val="none"/>
        </w:rPr>
        <w:t> </w:t>
      </w:r>
      <w:r>
        <w:rPr>
          <w:rFonts w:ascii="宋体" w:hAnsi="宋体" w:cs="宋体"/>
          <w:color w:val="000000"/>
          <w:spacing w:val="-1"/>
          <w:w w:val="100"/>
          <w:position w:val="6"/>
          <w:sz w:val="21"/>
          <w:u w:val="none"/>
        </w:rPr>
        <w:t>50°</w:t>
      </w:r>
    </w:p>
    <w:p>
      <w:pPr>
        <w:spacing w:before="0" w:after="0" w:line="312" w:lineRule="exact"/>
        <w:ind w:left="60" w:firstLine="0"/>
        <w:jc w:val="left"/>
      </w:pPr>
      <w:r>
        <w:rPr>
          <w:rFonts w:ascii="宋体" w:eastAsia="宋体" w:hAnsi="宋体" w:cs="宋体"/>
          <w:color w:val="000000"/>
          <w:spacing w:val="-2"/>
          <w:w w:val="100"/>
          <w:position w:val="6"/>
          <w:sz w:val="21"/>
          <w:u w:val="none"/>
        </w:rPr>
        <w:t>时，</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2"/>
          <w:w w:val="100"/>
          <w:position w:val="6"/>
          <w:sz w:val="21"/>
          <w:u w:val="none"/>
        </w:rPr>
        <w:t>为</w:t>
      </w:r>
      <w:r>
        <w:rPr>
          <w:rFonts w:ascii="Calibri" w:hAnsi="Calibri" w:cs="Calibri"/>
          <w:color w:val="000000"/>
          <w:spacing w:val="6"/>
          <w:w w:val="100"/>
          <w:sz w:val="21"/>
          <w:u w:val="none"/>
        </w:rPr>
        <w:t> </w:t>
      </w:r>
      <w:r>
        <w:rPr>
          <w:rFonts w:ascii="宋体" w:eastAsia="宋体" w:hAnsi="宋体" w:cs="宋体"/>
          <w:color w:val="000000"/>
          <w:spacing w:val="-1"/>
          <w:w w:val="100"/>
          <w:position w:val="6"/>
          <w:sz w:val="21"/>
          <w:u w:val="none"/>
        </w:rPr>
        <w:t>0；当屋面坡度(</w:t>
      </w:r>
      <w:r>
        <w:rPr>
          <w:rFonts w:ascii="DejaVu Math TeX Gyre" w:eastAsia="DejaVu Math TeX Gyre" w:hAnsi="DejaVu Math TeX Gyre" w:cs="DejaVu Math TeX Gyre"/>
          <w:color w:val="000000"/>
          <w:spacing w:val="0"/>
          <w:w w:val="211"/>
          <w:position w:val="2"/>
          <w:sz w:val="21"/>
          <w:u w:val="none"/>
        </w:rPr>
        <w:t>�</w:t>
      </w:r>
      <w:r>
        <w:rPr>
          <w:rFonts w:ascii="宋体" w:eastAsia="宋体" w:hAnsi="宋体" w:cs="宋体"/>
          <w:color w:val="000000"/>
          <w:spacing w:val="-2"/>
          <w:w w:val="100"/>
          <w:position w:val="6"/>
          <w:sz w:val="21"/>
          <w:u w:val="none"/>
        </w:rPr>
        <w:t>)大于</w:t>
      </w:r>
      <w:r>
        <w:rPr>
          <w:rFonts w:ascii="Calibri" w:hAnsi="Calibri" w:cs="Calibri"/>
          <w:color w:val="000000"/>
          <w:spacing w:val="6"/>
          <w:w w:val="100"/>
          <w:sz w:val="21"/>
          <w:u w:val="none"/>
        </w:rPr>
        <w:t> </w:t>
      </w:r>
      <w:r>
        <w:rPr>
          <w:rFonts w:ascii="宋体" w:eastAsia="宋体" w:hAnsi="宋体" w:cs="宋体"/>
          <w:color w:val="000000"/>
          <w:spacing w:val="-1"/>
          <w:w w:val="100"/>
          <w:position w:val="6"/>
          <w:sz w:val="21"/>
          <w:u w:val="none"/>
        </w:rPr>
        <w:t>25°且小于</w:t>
      </w:r>
      <w:r>
        <w:rPr>
          <w:rFonts w:ascii="Calibri" w:hAnsi="Calibri" w:cs="Calibri"/>
          <w:color w:val="000000"/>
          <w:spacing w:val="6"/>
          <w:w w:val="100"/>
          <w:sz w:val="21"/>
          <w:u w:val="none"/>
        </w:rPr>
        <w:t> </w:t>
      </w:r>
      <w:r>
        <w:rPr>
          <w:rFonts w:ascii="宋体" w:eastAsia="宋体" w:hAnsi="宋体" w:cs="宋体"/>
          <w:color w:val="000000"/>
          <w:spacing w:val="-1"/>
          <w:w w:val="100"/>
          <w:position w:val="6"/>
          <w:sz w:val="21"/>
          <w:u w:val="none"/>
        </w:rPr>
        <w:t>50°时，</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1"/>
          <w:w w:val="100"/>
          <w:position w:val="6"/>
          <w:sz w:val="21"/>
          <w:u w:val="none"/>
        </w:rPr>
        <w:t>按线性插值取用；</w:t>
      </w:r>
    </w:p>
    <w:p>
      <w:pPr>
        <w:spacing w:before="0" w:after="0" w:line="25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设计屋面承重构件时，应考虑雪荷载不均匀分布的荷载情况。各屋面的雪荷载分布系数应按下列</w:t>
      </w:r>
    </w:p>
    <w:p>
      <w:pPr>
        <w:spacing w:before="0" w:after="0" w:line="309" w:lineRule="exact"/>
        <w:ind w:left="60" w:firstLine="0"/>
        <w:jc w:val="left"/>
      </w:pPr>
      <w:r>
        <w:rPr>
          <w:rFonts w:ascii="宋体" w:eastAsia="宋体" w:hAnsi="宋体" w:cs="宋体"/>
          <w:color w:val="000000"/>
          <w:spacing w:val="-1"/>
          <w:w w:val="100"/>
          <w:position w:val="0"/>
          <w:sz w:val="21"/>
          <w:u w:val="none"/>
        </w:rPr>
        <w:t>规定进行调整(图</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4.1.2.6)：</w:t>
      </w:r>
    </w:p>
    <w:p>
      <w:pPr>
        <w:spacing w:before="0" w:after="0" w:line="376" w:lineRule="exact"/>
        <w:ind w:left="60" w:firstLine="852"/>
        <w:jc w:val="left"/>
      </w:pPr>
      <w:r>
        <w:rPr>
          <w:rFonts w:ascii="黑体" w:hAnsi="黑体" w:cs="黑体"/>
          <w:color w:val="000000"/>
          <w:spacing w:val="-2"/>
          <w:w w:val="100"/>
          <w:position w:val="6"/>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6"/>
          <w:sz w:val="21"/>
          <w:u w:val="none"/>
        </w:rPr>
        <w:t>对迎风面屋面积雪分布系数，取</w:t>
      </w:r>
      <w:r>
        <w:rPr>
          <w:rFonts w:ascii="Calibri" w:hAnsi="Calibri" w:cs="Calibri"/>
          <w:color w:val="000000"/>
          <w:spacing w:val="6"/>
          <w:w w:val="100"/>
          <w:sz w:val="21"/>
          <w:u w:val="none"/>
        </w:rPr>
        <w:t> </w:t>
      </w:r>
      <w:r>
        <w:rPr>
          <w:rFonts w:ascii="宋体" w:hAnsi="宋体" w:cs="宋体"/>
          <w:color w:val="000000"/>
          <w:spacing w:val="-1"/>
          <w:w w:val="100"/>
          <w:position w:val="6"/>
          <w:sz w:val="21"/>
          <w:u w:val="none"/>
        </w:rPr>
        <w:t>0.75</w:t>
      </w:r>
      <w:r>
        <w:rPr>
          <w:rFonts w:ascii="Calibri" w:hAnsi="Calibri" w:cs="Calibri"/>
          <w:color w:val="000000"/>
          <w:spacing w:val="0"/>
          <w:w w:val="229"/>
          <w:sz w:val="21"/>
          <w:u w:val="none"/>
        </w:rPr>
        <w:t> </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2"/>
          <w:w w:val="100"/>
          <w:position w:val="6"/>
          <w:sz w:val="21"/>
          <w:u w:val="none"/>
        </w:rPr>
        <w:t>；</w:t>
      </w:r>
    </w:p>
    <w:p>
      <w:pPr>
        <w:spacing w:before="0" w:after="0" w:line="318" w:lineRule="exact"/>
        <w:ind w:left="60" w:firstLine="0"/>
        <w:jc w:val="left"/>
      </w:pPr>
      <w:r>
        <w:rPr>
          <w:rFonts w:ascii="Microsoft YaHei UI" w:hAnsi="Microsoft YaHei UI" w:cs="Microsoft YaHei UI"/>
          <w:color w:val="000000"/>
          <w:spacing w:val="-16"/>
          <w:w w:val="100"/>
          <w:position w:val="0"/>
          <w:sz w:val="18"/>
          <w:u w:val="none"/>
        </w:rPr>
        <w:t>6</w:t>
      </w:r>
    </w:p>
    <w:p>
      <w:pPr>
        <w:widowControl/>
        <w:jc w:val="left"/>
        <w:sectPr>
          <w:type w:val="continuous"/>
          <w:pgSz w:w="11907" w:h="16840"/>
          <w:pgMar w:top="736" w:right="713" w:bottom="496" w:left="1073" w:header="0" w:footer="0" w:gutter="0"/>
          <w:pgNumType w:start="43"/>
          <w:cols w:num="1" w:space="708" w:equalWidth="0">
            <w:col w:w="10121" w:space="0"/>
          </w:cols>
          <w:docGrid w:type="lines" w:linePitch="312" w:charSpace="0"/>
        </w:sectPr>
      </w:pPr>
    </w:p>
    <w:p>
      <w:pPr>
        <w:spacing w:before="0" w:after="0" w:line="72" w:lineRule="exact"/>
      </w:pPr>
      <w:bookmarkStart w:id="14" w:name="14"/>
      <w:bookmarkEnd w:id="14"/>
    </w:p>
    <w:p>
      <w:pPr>
        <w:widowControl/>
        <w:jc w:val="left"/>
        <w:sectPr>
          <w:type w:val="continuous"/>
          <w:pgSz w:w="11907" w:h="16839"/>
          <w:pgMar w:top="736" w:right="713" w:bottom="496" w:left="1073" w:header="0" w:footer="0" w:gutter="0"/>
          <w:pgNumType w:start="44"/>
          <w:cols w:num="1" w:space="720"/>
          <w:docGrid w:type="lines" w:linePitch="312" w:charSpace="0"/>
        </w:sectPr>
      </w:pPr>
    </w:p>
    <w:p>
      <w:pPr>
        <w:spacing w:before="0" w:after="0" w:line="212" w:lineRule="exact"/>
        <w:ind w:left="912" w:firstLine="7003"/>
        <w:jc w:val="left"/>
      </w:pPr>
      <w:r>
        <w:pict>
          <v:shape id="imagerId183" o:spid="_x0000_s1040" type="#_x0000_t75" style="width:306pt;height:164pt;margin-top:134pt;margin-left:145pt;mso-height-relative:page;mso-position-horizontal-relative:page;mso-position-vertical-relative:page;mso-width-relative:page;position:absolute;z-index:-251642880" coordsize="21600,21600" filled="f">
            <v:imagedata r:id="rId6" o:title=""/>
            <o:lock v:ext="edit" aspectratio="t"/>
          </v:shape>
        </w:pict>
      </w:r>
      <w:r>
        <w:pict>
          <v:shape id="imagerId184" o:spid="_x0000_s1041" type="#_x0000_t75" style="width:273pt;height:96pt;margin-top:394pt;margin-left:161pt;mso-height-relative:page;mso-position-horizontal-relative:page;mso-position-vertical-relative:page;mso-width-relative:page;position:absolute;z-index:-251641856" coordsize="21600,21600" filled="f">
            <v:imagedata r:id="rId7"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912" w:firstLine="7003"/>
      </w:pPr>
    </w:p>
    <w:p>
      <w:pPr>
        <w:spacing w:before="0" w:after="0" w:line="425" w:lineRule="exact"/>
        <w:ind w:left="912" w:firstLine="0"/>
        <w:jc w:val="left"/>
      </w:pPr>
      <w:r>
        <w:rPr>
          <w:rFonts w:ascii="黑体" w:hAnsi="黑体" w:cs="黑体"/>
          <w:color w:val="000000"/>
          <w:spacing w:val="-2"/>
          <w:w w:val="100"/>
          <w:position w:val="6"/>
          <w:sz w:val="21"/>
          <w:u w:val="none"/>
        </w:rPr>
        <w:t>2)</w:t>
      </w:r>
      <w:r>
        <w:rPr>
          <w:rFonts w:ascii="Calibri" w:hAnsi="Calibri" w:cs="Calibri"/>
          <w:color w:val="000000"/>
          <w:spacing w:val="0"/>
          <w:w w:val="224"/>
          <w:sz w:val="21"/>
          <w:u w:val="none"/>
        </w:rPr>
        <w:t> </w:t>
      </w:r>
      <w:r>
        <w:rPr>
          <w:rFonts w:ascii="宋体" w:eastAsia="宋体" w:hAnsi="宋体" w:cs="宋体"/>
          <w:color w:val="000000"/>
          <w:spacing w:val="-1"/>
          <w:w w:val="100"/>
          <w:position w:val="6"/>
          <w:sz w:val="21"/>
          <w:u w:val="none"/>
        </w:rPr>
        <w:t>对背风面屋面积雪分布系数，取</w:t>
      </w:r>
      <w:r>
        <w:rPr>
          <w:rFonts w:ascii="Calibri" w:hAnsi="Calibri" w:cs="Calibri"/>
          <w:color w:val="000000"/>
          <w:spacing w:val="6"/>
          <w:w w:val="100"/>
          <w:sz w:val="21"/>
          <w:u w:val="none"/>
        </w:rPr>
        <w:t> </w:t>
      </w:r>
      <w:r>
        <w:rPr>
          <w:rFonts w:ascii="宋体" w:hAnsi="宋体" w:cs="宋体"/>
          <w:color w:val="000000"/>
          <w:spacing w:val="-1"/>
          <w:w w:val="100"/>
          <w:position w:val="6"/>
          <w:sz w:val="21"/>
          <w:u w:val="none"/>
        </w:rPr>
        <w:t>1.25</w:t>
      </w:r>
      <w:r>
        <w:rPr>
          <w:rFonts w:ascii="Calibri" w:hAnsi="Calibri" w:cs="Calibri"/>
          <w:color w:val="000000"/>
          <w:spacing w:val="0"/>
          <w:w w:val="229"/>
          <w:sz w:val="21"/>
          <w:u w:val="none"/>
        </w:rPr>
        <w:t> </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2"/>
          <w:w w:val="100"/>
          <w:position w:val="6"/>
          <w:sz w:val="21"/>
          <w:u w:val="none"/>
        </w:rPr>
        <w:t>；</w:t>
      </w:r>
    </w:p>
    <w:p>
      <w:pPr>
        <w:spacing w:before="0" w:after="0" w:line="312" w:lineRule="exact"/>
        <w:ind w:left="912" w:firstLine="0"/>
        <w:jc w:val="left"/>
      </w:pPr>
      <w:r>
        <w:rPr>
          <w:rFonts w:ascii="黑体" w:hAnsi="黑体" w:cs="黑体"/>
          <w:color w:val="000000"/>
          <w:spacing w:val="-2"/>
          <w:w w:val="100"/>
          <w:position w:val="6"/>
          <w:sz w:val="21"/>
          <w:u w:val="none"/>
        </w:rPr>
        <w:t>3)</w:t>
      </w:r>
      <w:r>
        <w:rPr>
          <w:rFonts w:ascii="Calibri" w:hAnsi="Calibri" w:cs="Calibri"/>
          <w:color w:val="000000"/>
          <w:spacing w:val="0"/>
          <w:w w:val="224"/>
          <w:sz w:val="21"/>
          <w:u w:val="none"/>
        </w:rPr>
        <w:t> </w:t>
      </w:r>
      <w:r>
        <w:rPr>
          <w:rFonts w:ascii="宋体" w:eastAsia="宋体" w:hAnsi="宋体" w:cs="宋体"/>
          <w:color w:val="000000"/>
          <w:spacing w:val="-1"/>
          <w:w w:val="100"/>
          <w:position w:val="6"/>
          <w:sz w:val="21"/>
          <w:u w:val="none"/>
        </w:rPr>
        <w:t>对侧风面屋面：在屋面无遮挡情况时，侧风面屋面积雪分布系数取</w:t>
      </w:r>
      <w:r>
        <w:rPr>
          <w:rFonts w:ascii="Calibri" w:hAnsi="Calibri" w:cs="Calibri"/>
          <w:color w:val="000000"/>
          <w:spacing w:val="4"/>
          <w:w w:val="100"/>
          <w:sz w:val="21"/>
          <w:u w:val="none"/>
        </w:rPr>
        <w:t> </w:t>
      </w:r>
      <w:r>
        <w:rPr>
          <w:rFonts w:ascii="宋体" w:hAnsi="宋体" w:cs="宋体"/>
          <w:color w:val="000000"/>
          <w:spacing w:val="-1"/>
          <w:w w:val="100"/>
          <w:position w:val="6"/>
          <w:sz w:val="21"/>
          <w:u w:val="none"/>
        </w:rPr>
        <w:t>0.5</w:t>
      </w:r>
      <w:r>
        <w:rPr>
          <w:rFonts w:ascii="Calibri" w:hAnsi="Calibri" w:cs="Calibri"/>
          <w:color w:val="000000"/>
          <w:spacing w:val="0"/>
          <w:w w:val="224"/>
          <w:sz w:val="21"/>
          <w:u w:val="none"/>
        </w:rPr>
        <w:t> </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1"/>
          <w:w w:val="100"/>
          <w:position w:val="6"/>
          <w:sz w:val="21"/>
          <w:u w:val="none"/>
        </w:rPr>
        <w:t>；在屋面有遮挡情</w:t>
      </w:r>
    </w:p>
    <w:p>
      <w:pPr>
        <w:spacing w:before="0" w:after="0" w:line="312" w:lineRule="exact"/>
        <w:ind w:left="912" w:firstLine="314"/>
        <w:jc w:val="left"/>
      </w:pPr>
      <w:r>
        <w:rPr>
          <w:rFonts w:ascii="宋体" w:eastAsia="宋体" w:hAnsi="宋体" w:cs="宋体"/>
          <w:color w:val="000000"/>
          <w:spacing w:val="-1"/>
          <w:w w:val="100"/>
          <w:position w:val="6"/>
          <w:sz w:val="21"/>
          <w:u w:val="none"/>
        </w:rPr>
        <w:t>况时，遮挡前侧风面屋面积雪分布系数取</w:t>
      </w:r>
      <w:r>
        <w:rPr>
          <w:rFonts w:ascii="Calibri" w:hAnsi="Calibri" w:cs="Calibri"/>
          <w:color w:val="000000"/>
          <w:spacing w:val="6"/>
          <w:w w:val="100"/>
          <w:sz w:val="21"/>
          <w:u w:val="none"/>
        </w:rPr>
        <w:t> </w:t>
      </w:r>
      <w:r>
        <w:rPr>
          <w:rFonts w:ascii="宋体" w:hAnsi="宋体" w:cs="宋体"/>
          <w:color w:val="000000"/>
          <w:spacing w:val="-1"/>
          <w:w w:val="100"/>
          <w:position w:val="6"/>
          <w:sz w:val="21"/>
          <w:u w:val="none"/>
        </w:rPr>
        <w:t>0.75</w:t>
      </w:r>
      <w:r>
        <w:rPr>
          <w:rFonts w:ascii="Calibri" w:hAnsi="Calibri" w:cs="Calibri"/>
          <w:color w:val="000000"/>
          <w:spacing w:val="0"/>
          <w:w w:val="224"/>
          <w:sz w:val="21"/>
          <w:u w:val="none"/>
        </w:rPr>
        <w:t> </w:t>
      </w: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eastAsia="宋体" w:hAnsi="宋体" w:cs="宋体"/>
          <w:color w:val="000000"/>
          <w:spacing w:val="-1"/>
          <w:w w:val="100"/>
          <w:position w:val="6"/>
          <w:sz w:val="21"/>
          <w:u w:val="none"/>
        </w:rPr>
        <w:t>,遮挡后侧风面屋面积雪分布系数取</w:t>
      </w:r>
      <w:r>
        <w:rPr>
          <w:rFonts w:ascii="Calibri" w:hAnsi="Calibri" w:cs="Calibri"/>
          <w:color w:val="000000"/>
          <w:spacing w:val="6"/>
          <w:w w:val="100"/>
          <w:sz w:val="21"/>
          <w:u w:val="none"/>
        </w:rPr>
        <w:t> </w:t>
      </w:r>
      <w:r>
        <w:rPr>
          <w:rFonts w:ascii="宋体" w:hAnsi="宋体" w:cs="宋体"/>
          <w:color w:val="000000"/>
          <w:spacing w:val="-1"/>
          <w:w w:val="100"/>
          <w:position w:val="6"/>
          <w:sz w:val="21"/>
          <w:u w:val="none"/>
        </w:rPr>
        <w:t>1.25</w:t>
      </w:r>
    </w:p>
    <w:p>
      <w:pPr>
        <w:spacing w:before="0" w:after="0" w:line="312" w:lineRule="exact"/>
        <w:ind w:left="912" w:firstLine="314"/>
        <w:jc w:val="left"/>
      </w:pPr>
      <w:r>
        <w:rPr>
          <w:rFonts w:ascii="DejaVu Math TeX Gyre" w:eastAsia="DejaVu Math TeX Gyre" w:hAnsi="DejaVu Math TeX Gyre" w:cs="DejaVu Math TeX Gyre"/>
          <w:color w:val="000000"/>
          <w:spacing w:val="0"/>
          <w:w w:val="195"/>
          <w:position w:val="2"/>
          <w:sz w:val="21"/>
          <w:u w:val="none"/>
        </w:rPr>
        <w:t>�</w:t>
      </w:r>
      <w:r>
        <w:rPr>
          <w:rFonts w:ascii="DejaVu Math TeX Gyre" w:hAnsi="DejaVu Math TeX Gyre" w:cs="DejaVu Math TeX Gyre"/>
          <w:color w:val="000000"/>
          <w:spacing w:val="-1"/>
          <w:w w:val="100"/>
          <w:position w:val="0"/>
          <w:sz w:val="15"/>
          <w:u w:val="none"/>
        </w:rPr>
        <w:t>r</w:t>
      </w:r>
      <w:r>
        <w:rPr>
          <w:rFonts w:ascii="宋体" w:hAnsi="宋体" w:cs="宋体"/>
          <w:color w:val="000000"/>
          <w:spacing w:val="-2"/>
          <w:w w:val="100"/>
          <w:position w:val="6"/>
          <w:sz w:val="21"/>
          <w:u w:val="none"/>
        </w:rPr>
        <w:t>。</w:t>
      </w:r>
    </w:p>
    <w:p>
      <w:pPr>
        <w:widowControl/>
        <w:jc w:val="left"/>
        <w:sectPr>
          <w:type w:val="continuous"/>
          <w:pgSz w:w="11907" w:h="16839"/>
          <w:pgMar w:top="736" w:right="713" w:bottom="496" w:left="1073" w:header="0" w:footer="0" w:gutter="0"/>
          <w:pgNumType w:start="45"/>
          <w:cols w:num="1" w:space="708" w:equalWidth="0">
            <w:col w:w="10121" w:space="0"/>
          </w:cols>
          <w:docGrid w:type="lines" w:linePitch="312" w:charSpace="0"/>
        </w:sectPr>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240" w:lineRule="exact"/>
        <w:ind w:left="912" w:firstLine="314"/>
      </w:pPr>
    </w:p>
    <w:p>
      <w:pPr>
        <w:spacing w:before="0" w:after="0" w:line="444" w:lineRule="exact"/>
        <w:ind w:left="912" w:firstLine="314"/>
      </w:pPr>
    </w:p>
    <w:p>
      <w:pPr>
        <w:widowControl/>
        <w:jc w:val="left"/>
        <w:sectPr>
          <w:type w:val="continuous"/>
          <w:pgSz w:w="11907" w:h="16839"/>
          <w:pgMar w:top="736" w:right="713" w:bottom="496" w:left="1073" w:header="0" w:footer="0" w:gutter="0"/>
          <w:pgNumType w:start="46"/>
          <w:cols w:num="1" w:space="720"/>
          <w:docGrid w:type="lines" w:linePitch="312" w:charSpace="0"/>
        </w:sectPr>
      </w:pPr>
    </w:p>
    <w:p>
      <w:pPr>
        <w:tabs>
          <w:tab w:val="left" w:pos="4678"/>
        </w:tabs>
        <w:spacing w:before="0" w:after="0" w:line="180" w:lineRule="exact"/>
        <w:ind w:left="60" w:firstLine="3583"/>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4.1.2.6</w:t>
      </w:r>
      <w:r>
        <w:rPr>
          <w:rFonts w:cs="Calibri"/>
          <w:spacing w:val="0"/>
          <w:w w:val="100"/>
        </w:rPr>
        <w:tab/>
      </w:r>
      <w:r>
        <w:rPr>
          <w:rFonts w:ascii="宋体" w:eastAsia="宋体" w:hAnsi="宋体" w:cs="宋体"/>
          <w:color w:val="000000"/>
          <w:spacing w:val="-1"/>
          <w:w w:val="100"/>
          <w:position w:val="0"/>
          <w:sz w:val="18"/>
          <w:u w:val="none"/>
        </w:rPr>
        <w:t>屋面积雪分布系数</w:t>
      </w:r>
    </w:p>
    <w:p>
      <w:pPr>
        <w:spacing w:before="0" w:after="0" w:line="240" w:lineRule="exact"/>
        <w:ind w:left="60" w:firstLine="3583"/>
      </w:pPr>
    </w:p>
    <w:p>
      <w:pPr>
        <w:spacing w:before="0" w:after="0" w:line="324" w:lineRule="exact"/>
        <w:ind w:left="60" w:firstLine="3509"/>
        <w:jc w:val="left"/>
      </w:pPr>
      <w:r>
        <w:rPr>
          <w:rFonts w:ascii="黑体" w:hAnsi="黑体" w:cs="黑体"/>
          <w:color w:val="000000"/>
          <w:spacing w:val="-1"/>
          <w:w w:val="100"/>
          <w:position w:val="0"/>
          <w:sz w:val="21"/>
          <w:u w:val="none"/>
        </w:rPr>
        <w:t>4.1.3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建筑设计及结构布置</w:t>
      </w:r>
    </w:p>
    <w:p>
      <w:pPr>
        <w:spacing w:before="0" w:after="0" w:line="240" w:lineRule="exact"/>
        <w:ind w:left="60" w:firstLine="3509"/>
      </w:pPr>
    </w:p>
    <w:p>
      <w:pPr>
        <w:spacing w:before="0" w:after="0" w:line="228" w:lineRule="exact"/>
        <w:ind w:left="60" w:firstLine="0"/>
        <w:jc w:val="left"/>
      </w:pPr>
      <w:r>
        <w:rPr>
          <w:rFonts w:ascii="黑体" w:hAnsi="黑体" w:cs="黑体"/>
          <w:color w:val="000000"/>
          <w:spacing w:val="-1"/>
          <w:w w:val="100"/>
          <w:position w:val="0"/>
          <w:sz w:val="21"/>
          <w:u w:val="none"/>
        </w:rPr>
        <w:t>4.1.3.1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轻钢结构装配装饰一体化建筑设计宜避免偏心过大或在角部开设洞口(图</w:t>
      </w:r>
      <w:r>
        <w:rPr>
          <w:rFonts w:ascii="Calibri" w:hAnsi="Calibri" w:cs="Calibri"/>
          <w:color w:val="000000"/>
          <w:spacing w:val="4"/>
          <w:w w:val="100"/>
          <w:sz w:val="21"/>
          <w:u w:val="none"/>
        </w:rPr>
        <w:t> </w:t>
      </w:r>
      <w:r>
        <w:rPr>
          <w:rFonts w:ascii="宋体" w:hAnsi="宋体" w:cs="宋体"/>
          <w:color w:val="000000"/>
          <w:spacing w:val="-6"/>
          <w:w w:val="100"/>
          <w:position w:val="0"/>
          <w:sz w:val="21"/>
          <w:u w:val="none"/>
        </w:rPr>
        <w:t>4.1.3.1)。当偏心较大</w:t>
      </w:r>
    </w:p>
    <w:p>
      <w:pPr>
        <w:spacing w:before="0" w:after="0" w:line="309" w:lineRule="exact"/>
        <w:ind w:left="60" w:firstLine="0"/>
        <w:jc w:val="left"/>
      </w:pPr>
      <w:r>
        <w:rPr>
          <w:rFonts w:ascii="宋体" w:hAnsi="宋体" w:cs="宋体"/>
          <w:color w:val="000000"/>
          <w:spacing w:val="-1"/>
          <w:w w:val="100"/>
          <w:position w:val="0"/>
          <w:sz w:val="21"/>
          <w:u w:val="none"/>
        </w:rPr>
        <w:t>时，应计算由偏心而导致的扭转对结构的影响。</w:t>
      </w:r>
    </w:p>
    <w:p>
      <w:pPr>
        <w:spacing w:before="0" w:after="0" w:line="240" w:lineRule="exact"/>
        <w:ind w:left="60" w:firstLine="0"/>
      </w:pPr>
    </w:p>
    <w:p>
      <w:pPr>
        <w:spacing w:before="0" w:after="0" w:line="969" w:lineRule="exact"/>
        <w:ind w:left="60" w:firstLine="1701"/>
        <w:jc w:val="left"/>
        <w:rPr>
          <w:rFonts w:hint="eastAsia"/>
        </w:rPr>
      </w:pPr>
    </w:p>
    <w:p>
      <w:pPr>
        <w:spacing w:before="0" w:after="0" w:line="240" w:lineRule="exact"/>
        <w:ind w:left="60" w:firstLine="1701"/>
      </w:pPr>
    </w:p>
    <w:p>
      <w:pPr>
        <w:spacing w:before="0" w:after="0" w:line="240" w:lineRule="exact"/>
        <w:ind w:left="60" w:firstLine="1701"/>
      </w:pPr>
    </w:p>
    <w:p>
      <w:pPr>
        <w:spacing w:before="0" w:after="0" w:line="240" w:lineRule="exact"/>
        <w:ind w:left="60" w:firstLine="1701"/>
      </w:pPr>
    </w:p>
    <w:p>
      <w:pPr>
        <w:spacing w:before="0" w:after="0" w:line="240" w:lineRule="exact"/>
        <w:ind w:left="60" w:firstLine="1701"/>
      </w:pPr>
    </w:p>
    <w:p>
      <w:pPr>
        <w:spacing w:before="0" w:after="0" w:line="390" w:lineRule="exact"/>
        <w:ind w:left="60" w:firstLine="3312"/>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4.1.3.1</w:t>
      </w:r>
      <w:r>
        <w:rPr>
          <w:rFonts w:ascii="Calibri" w:hAnsi="Calibri" w:cs="Calibri"/>
          <w:color w:val="000000"/>
          <w:spacing w:val="0"/>
          <w:w w:val="169"/>
          <w:sz w:val="24"/>
          <w:u w:val="none"/>
        </w:rPr>
        <w:t>  </w:t>
      </w:r>
      <w:r>
        <w:rPr>
          <w:rFonts w:ascii="宋体" w:eastAsia="宋体" w:hAnsi="宋体" w:cs="宋体"/>
          <w:color w:val="000000"/>
          <w:spacing w:val="-1"/>
          <w:w w:val="100"/>
          <w:position w:val="0"/>
          <w:sz w:val="18"/>
          <w:u w:val="none"/>
        </w:rPr>
        <w:t>不宜采用的建筑平面示意</w:t>
      </w:r>
    </w:p>
    <w:p>
      <w:pPr>
        <w:spacing w:before="0" w:after="0" w:line="408" w:lineRule="exact"/>
        <w:ind w:left="60" w:firstLine="0"/>
        <w:jc w:val="left"/>
      </w:pPr>
      <w:r>
        <w:rPr>
          <w:rFonts w:ascii="黑体" w:hAnsi="黑体" w:cs="黑体"/>
          <w:color w:val="000000"/>
          <w:spacing w:val="-1"/>
          <w:w w:val="100"/>
          <w:position w:val="0"/>
          <w:sz w:val="21"/>
          <w:u w:val="none"/>
        </w:rPr>
        <w:t>4.1.3.2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抗剪墙体在建筑平面和竖向宜均衡布置，在墙体转角两侧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900</w:t>
      </w:r>
      <w:r>
        <w:rPr>
          <w:rFonts w:ascii="Calibri" w:hAnsi="Calibri" w:cs="Calibri"/>
          <w:color w:val="000000"/>
          <w:spacing w:val="0"/>
          <w:w w:val="184"/>
          <w:sz w:val="21"/>
          <w:u w:val="none"/>
        </w:rPr>
        <w:t> </w:t>
      </w:r>
      <w:r>
        <w:rPr>
          <w:rFonts w:ascii="宋体" w:hAnsi="宋体" w:cs="宋体"/>
          <w:color w:val="000000"/>
          <w:spacing w:val="-2"/>
          <w:w w:val="100"/>
          <w:position w:val="0"/>
          <w:sz w:val="21"/>
          <w:u w:val="none"/>
        </w:rPr>
        <w:t>mm</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范围内不宜开洞口；上、下层</w:t>
      </w:r>
    </w:p>
    <w:p>
      <w:pPr>
        <w:spacing w:before="0" w:after="0" w:line="309" w:lineRule="exact"/>
        <w:ind w:left="60" w:firstLine="0"/>
        <w:jc w:val="left"/>
      </w:pPr>
      <w:r>
        <w:rPr>
          <w:rFonts w:ascii="宋体" w:eastAsia="宋体" w:hAnsi="宋体" w:cs="宋体"/>
          <w:color w:val="000000"/>
          <w:spacing w:val="-1"/>
          <w:w w:val="100"/>
          <w:position w:val="0"/>
          <w:sz w:val="21"/>
          <w:u w:val="none"/>
        </w:rPr>
        <w:t>抗剪墙体宜在同一竖向平面内；当抗剪内墙上下错位时，错位间距不宜大于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m。</w:t>
      </w:r>
    </w:p>
    <w:p>
      <w:pPr>
        <w:spacing w:before="0" w:after="0" w:line="315" w:lineRule="exact"/>
        <w:ind w:left="60" w:firstLine="0"/>
        <w:jc w:val="left"/>
      </w:pPr>
      <w:r>
        <w:rPr>
          <w:rFonts w:ascii="黑体" w:hAnsi="黑体" w:cs="黑体"/>
          <w:color w:val="000000"/>
          <w:spacing w:val="0"/>
          <w:w w:val="100"/>
          <w:position w:val="0"/>
          <w:sz w:val="21"/>
          <w:u w:val="none"/>
        </w:rPr>
        <w:t>4.1.3.3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外围护墙设计应符合下列规定：</w:t>
      </w:r>
    </w:p>
    <w:p>
      <w:pPr>
        <w:spacing w:before="0" w:after="0" w:line="312" w:lineRule="exact"/>
        <w:ind w:left="60"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应满足国家现行有关标准对节能的要求；</w:t>
      </w:r>
    </w:p>
    <w:p>
      <w:pPr>
        <w:spacing w:before="0" w:after="0" w:line="31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与主体钢结构应有可靠的连接；</w:t>
      </w:r>
    </w:p>
    <w:p>
      <w:pPr>
        <w:spacing w:before="0" w:after="0" w:line="312" w:lineRule="exact"/>
        <w:ind w:left="60"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应满足防水、防火、防腐要求；</w:t>
      </w:r>
    </w:p>
    <w:p>
      <w:pPr>
        <w:spacing w:before="0" w:after="0" w:line="312" w:lineRule="exact"/>
        <w:ind w:left="60"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节点构造和板缝设计，应满足保温、隔热、隔声、防渗要求，且坚固耐久。</w:t>
      </w:r>
    </w:p>
    <w:p>
      <w:pPr>
        <w:spacing w:before="0" w:after="0" w:line="312" w:lineRule="exact"/>
        <w:ind w:left="60" w:firstLine="0"/>
        <w:jc w:val="left"/>
      </w:pPr>
      <w:r>
        <w:rPr>
          <w:rFonts w:ascii="黑体" w:hAnsi="黑体" w:cs="黑体"/>
          <w:color w:val="000000"/>
          <w:spacing w:val="0"/>
          <w:w w:val="100"/>
          <w:position w:val="0"/>
          <w:sz w:val="21"/>
          <w:u w:val="none"/>
        </w:rPr>
        <w:t>4.1.3.4</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隔墙设计应符合下列规定：</w:t>
      </w:r>
    </w:p>
    <w:p>
      <w:pPr>
        <w:spacing w:before="0" w:after="0" w:line="312" w:lineRule="exact"/>
        <w:ind w:left="60"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应有良好的隔声、防火性能和足够的承载力；</w:t>
      </w:r>
    </w:p>
    <w:p>
      <w:pPr>
        <w:spacing w:before="0" w:after="0" w:line="31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应便于埋设各种管线；</w:t>
      </w:r>
    </w:p>
    <w:p>
      <w:pPr>
        <w:spacing w:before="0" w:after="0" w:line="312" w:lineRule="exact"/>
        <w:ind w:left="60"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门框、窗框与墙体连接应可靠，安装应方便；</w:t>
      </w:r>
    </w:p>
    <w:p>
      <w:pPr>
        <w:spacing w:before="0" w:after="0" w:line="312" w:lineRule="exact"/>
        <w:ind w:left="60"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分室墙宜采用轻质墙板或冷弯薄壁型钢石膏板墙，也可采用易拆型隔墙板。</w:t>
      </w:r>
    </w:p>
    <w:p>
      <w:pPr>
        <w:spacing w:before="0" w:after="0" w:line="312" w:lineRule="exact"/>
        <w:ind w:left="60" w:firstLine="0"/>
        <w:jc w:val="left"/>
      </w:pPr>
      <w:r>
        <w:rPr>
          <w:rFonts w:ascii="黑体" w:hAnsi="黑体" w:cs="黑体"/>
          <w:color w:val="000000"/>
          <w:spacing w:val="0"/>
          <w:w w:val="100"/>
          <w:position w:val="0"/>
          <w:sz w:val="21"/>
          <w:u w:val="none"/>
        </w:rPr>
        <w:t>4.1.3.5</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吊顶应根据工程的隔声、隔振和防火性能等要求进行设计。</w:t>
      </w:r>
    </w:p>
    <w:p>
      <w:pPr>
        <w:spacing w:before="0" w:after="0" w:line="312" w:lineRule="exact"/>
        <w:ind w:left="60" w:firstLine="0"/>
        <w:jc w:val="left"/>
      </w:pPr>
      <w:r>
        <w:rPr>
          <w:rFonts w:ascii="黑体" w:hAnsi="黑体" w:cs="黑体"/>
          <w:color w:val="000000"/>
          <w:spacing w:val="0"/>
          <w:w w:val="100"/>
          <w:position w:val="0"/>
          <w:sz w:val="21"/>
          <w:u w:val="none"/>
        </w:rPr>
        <w:t>4.1.3.6</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抗剪墙体应布置在建筑结构的两个主轴方向，并应形成抗风和抗震体系。</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54" w:lineRule="exact"/>
        <w:ind w:left="60" w:firstLine="9550"/>
        <w:jc w:val="left"/>
      </w:pPr>
      <w:r>
        <w:rPr>
          <w:rFonts w:ascii="Microsoft YaHei UI" w:hAnsi="Microsoft YaHei UI" w:cs="Microsoft YaHei UI"/>
          <w:color w:val="000000"/>
          <w:spacing w:val="-16"/>
          <w:w w:val="100"/>
          <w:position w:val="0"/>
          <w:sz w:val="18"/>
          <w:u w:val="none"/>
        </w:rPr>
        <w:t>7</w:t>
      </w:r>
    </w:p>
    <w:p>
      <w:pPr>
        <w:widowControl/>
        <w:jc w:val="left"/>
        <w:sectPr>
          <w:type w:val="continuous"/>
          <w:pgSz w:w="11907" w:h="16839"/>
          <w:pgMar w:top="736" w:right="713" w:bottom="496" w:left="1073" w:header="0" w:footer="0" w:gutter="0"/>
          <w:pgNumType w:start="47"/>
          <w:cols w:num="1" w:space="708" w:equalWidth="0">
            <w:col w:w="10121" w:space="0"/>
          </w:cols>
          <w:docGrid w:type="lines" w:linePitch="312" w:charSpace="0"/>
        </w:sectPr>
      </w:pPr>
    </w:p>
    <w:p>
      <w:pPr>
        <w:spacing w:before="0" w:after="0" w:line="284" w:lineRule="exact"/>
        <w:ind w:left="60" w:firstLine="0"/>
        <w:jc w:val="left"/>
      </w:pPr>
      <w:bookmarkStart w:id="15" w:name="15"/>
      <w:bookmarkEnd w:id="15"/>
      <w:r>
        <w:pict>
          <v:shape id="wondershare_1" o:spid="_x0000_s1042"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60" w:firstLine="0"/>
      </w:pPr>
    </w:p>
    <w:p>
      <w:pPr>
        <w:spacing w:before="0" w:after="0" w:line="240" w:lineRule="exact"/>
        <w:ind w:left="60" w:firstLine="0"/>
      </w:pPr>
    </w:p>
    <w:p>
      <w:pPr>
        <w:spacing w:before="0" w:after="0" w:line="281" w:lineRule="exact"/>
        <w:ind w:left="60" w:firstLine="4138"/>
        <w:jc w:val="left"/>
      </w:pPr>
      <w:r>
        <w:rPr>
          <w:rFonts w:ascii="黑体" w:hAnsi="黑体" w:cs="黑体"/>
          <w:color w:val="000000"/>
          <w:spacing w:val="-1"/>
          <w:w w:val="100"/>
          <w:position w:val="0"/>
          <w:sz w:val="21"/>
          <w:u w:val="none"/>
        </w:rPr>
        <w:t>4.2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集成设计</w:t>
      </w:r>
    </w:p>
    <w:p>
      <w:pPr>
        <w:spacing w:before="0" w:after="0" w:line="240" w:lineRule="exact"/>
        <w:ind w:left="60" w:firstLine="4138"/>
      </w:pPr>
    </w:p>
    <w:p>
      <w:pPr>
        <w:spacing w:before="0" w:after="0" w:line="384" w:lineRule="exact"/>
        <w:ind w:left="60" w:firstLine="4032"/>
        <w:jc w:val="left"/>
      </w:pPr>
      <w:r>
        <w:rPr>
          <w:rFonts w:ascii="黑体" w:hAnsi="黑体" w:cs="黑体"/>
          <w:color w:val="000000"/>
          <w:spacing w:val="-1"/>
          <w:w w:val="100"/>
          <w:position w:val="0"/>
          <w:sz w:val="21"/>
          <w:u w:val="none"/>
        </w:rPr>
        <w:t>4.2.1</w:t>
      </w:r>
      <w:r>
        <w:rPr>
          <w:rFonts w:ascii="Calibri" w:hAnsi="Calibri" w:cs="Calibri"/>
          <w:color w:val="000000"/>
          <w:spacing w:val="0"/>
          <w:w w:val="19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60" w:firstLine="4032"/>
      </w:pPr>
    </w:p>
    <w:p>
      <w:pPr>
        <w:spacing w:before="0" w:after="0" w:line="228" w:lineRule="exact"/>
        <w:ind w:left="60" w:firstLine="0"/>
        <w:jc w:val="left"/>
      </w:pPr>
      <w:r>
        <w:rPr>
          <w:rFonts w:ascii="黑体" w:hAnsi="黑体" w:cs="黑体"/>
          <w:color w:val="000000"/>
          <w:spacing w:val="0"/>
          <w:w w:val="100"/>
          <w:position w:val="0"/>
          <w:sz w:val="21"/>
          <w:u w:val="none"/>
        </w:rPr>
        <w:t>4.2.1.1</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轻钢结构装配装饰一体化建筑的结构</w:t>
      </w:r>
      <w:r>
        <w:rPr>
          <w:rFonts w:ascii="宋体" w:hAnsi="宋体" w:cs="宋体"/>
          <w:color w:val="000000"/>
          <w:spacing w:val="0"/>
          <w:w w:val="100"/>
          <w:position w:val="0"/>
          <w:sz w:val="21"/>
          <w:u w:val="none"/>
        </w:rPr>
        <w:t>系统、</w:t>
      </w:r>
      <w:r>
        <w:rPr>
          <w:rFonts w:ascii="宋体" w:eastAsia="宋体" w:hAnsi="宋体" w:cs="宋体"/>
          <w:color w:val="000000"/>
          <w:spacing w:val="0"/>
          <w:w w:val="100"/>
          <w:position w:val="0"/>
          <w:sz w:val="21"/>
          <w:u w:val="none"/>
        </w:rPr>
        <w:t>外围护</w:t>
      </w:r>
      <w:r>
        <w:rPr>
          <w:rFonts w:ascii="宋体" w:hAnsi="宋体" w:cs="宋体"/>
          <w:color w:val="000000"/>
          <w:spacing w:val="0"/>
          <w:w w:val="100"/>
          <w:position w:val="0"/>
          <w:sz w:val="21"/>
          <w:u w:val="none"/>
        </w:rPr>
        <w:t>系统、</w:t>
      </w:r>
      <w:r>
        <w:rPr>
          <w:rFonts w:ascii="宋体" w:eastAsia="宋体" w:hAnsi="宋体" w:cs="宋体"/>
          <w:color w:val="000000"/>
          <w:spacing w:val="0"/>
          <w:w w:val="100"/>
          <w:position w:val="0"/>
          <w:sz w:val="21"/>
          <w:u w:val="none"/>
        </w:rPr>
        <w:t>设备与管线系统和内部装修系统均</w:t>
      </w:r>
      <w:r>
        <w:rPr>
          <w:rFonts w:ascii="宋体" w:eastAsia="宋体" w:hAnsi="宋体" w:cs="宋体"/>
          <w:color w:val="000000"/>
          <w:spacing w:val="-2"/>
          <w:w w:val="100"/>
          <w:position w:val="0"/>
          <w:sz w:val="21"/>
          <w:u w:val="none"/>
        </w:rPr>
        <w:t>应</w:t>
      </w:r>
    </w:p>
    <w:p>
      <w:pPr>
        <w:spacing w:before="0" w:after="0" w:line="309" w:lineRule="exact"/>
        <w:ind w:left="60" w:firstLine="0"/>
        <w:jc w:val="left"/>
      </w:pPr>
      <w:r>
        <w:rPr>
          <w:rFonts w:ascii="宋体" w:hAnsi="宋体" w:cs="宋体"/>
          <w:color w:val="000000"/>
          <w:spacing w:val="-1"/>
          <w:w w:val="100"/>
          <w:position w:val="0"/>
          <w:sz w:val="21"/>
          <w:u w:val="none"/>
        </w:rPr>
        <w:t>进行集成设计，提高集成度、施工精度和效率。</w:t>
      </w:r>
    </w:p>
    <w:p>
      <w:pPr>
        <w:spacing w:before="0" w:after="0" w:line="315" w:lineRule="exact"/>
        <w:ind w:left="60" w:firstLine="0"/>
        <w:jc w:val="left"/>
      </w:pPr>
      <w:r>
        <w:rPr>
          <w:rFonts w:ascii="黑体" w:hAnsi="黑体" w:cs="黑体"/>
          <w:color w:val="000000"/>
          <w:spacing w:val="0"/>
          <w:w w:val="100"/>
          <w:position w:val="0"/>
          <w:sz w:val="21"/>
          <w:u w:val="none"/>
        </w:rPr>
        <w:t>4.2.1.2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各系统设计应统筹考虑材料性能、加工工艺、运输限制、吊装能力的要求。</w:t>
      </w:r>
    </w:p>
    <w:p>
      <w:pPr>
        <w:spacing w:before="0" w:after="0" w:line="312" w:lineRule="exact"/>
        <w:ind w:left="60" w:firstLine="0"/>
        <w:jc w:val="left"/>
      </w:pPr>
      <w:r>
        <w:rPr>
          <w:rFonts w:ascii="黑体" w:hAnsi="黑体" w:cs="黑体"/>
          <w:color w:val="000000"/>
          <w:spacing w:val="0"/>
          <w:w w:val="100"/>
          <w:position w:val="0"/>
          <w:sz w:val="21"/>
          <w:u w:val="none"/>
        </w:rPr>
        <w:t>4.2.1.3</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轻钢结构装配装饰一体化建筑的结构系统应按传力可靠</w:t>
      </w:r>
      <w:r>
        <w:rPr>
          <w:rFonts w:ascii="宋体" w:hAnsi="宋体" w:cs="宋体"/>
          <w:color w:val="000000"/>
          <w:spacing w:val="0"/>
          <w:w w:val="100"/>
          <w:position w:val="0"/>
          <w:sz w:val="21"/>
          <w:u w:val="none"/>
        </w:rPr>
        <w:t>、构造简单、</w:t>
      </w:r>
      <w:r>
        <w:rPr>
          <w:rFonts w:ascii="宋体" w:eastAsia="宋体" w:hAnsi="宋体" w:cs="宋体"/>
          <w:color w:val="000000"/>
          <w:spacing w:val="0"/>
          <w:w w:val="100"/>
          <w:position w:val="0"/>
          <w:sz w:val="21"/>
          <w:u w:val="none"/>
        </w:rPr>
        <w:t>施工方便和确保耐久性的</w:t>
      </w:r>
    </w:p>
    <w:p>
      <w:pPr>
        <w:spacing w:before="0" w:after="0" w:line="309" w:lineRule="exact"/>
        <w:ind w:left="60" w:firstLine="0"/>
        <w:jc w:val="left"/>
      </w:pPr>
      <w:r>
        <w:rPr>
          <w:rFonts w:ascii="宋体" w:hAnsi="宋体" w:cs="宋体"/>
          <w:color w:val="000000"/>
          <w:spacing w:val="-1"/>
          <w:w w:val="100"/>
          <w:position w:val="0"/>
          <w:sz w:val="21"/>
          <w:u w:val="none"/>
        </w:rPr>
        <w:t>原则进行设计。</w:t>
      </w:r>
    </w:p>
    <w:p>
      <w:pPr>
        <w:spacing w:before="0" w:after="0" w:line="315" w:lineRule="exact"/>
        <w:ind w:left="60" w:firstLine="0"/>
        <w:jc w:val="left"/>
      </w:pPr>
      <w:r>
        <w:rPr>
          <w:rFonts w:ascii="黑体" w:hAnsi="黑体" w:cs="黑体"/>
          <w:color w:val="000000"/>
          <w:spacing w:val="0"/>
          <w:w w:val="100"/>
          <w:position w:val="0"/>
          <w:sz w:val="21"/>
          <w:u w:val="none"/>
        </w:rPr>
        <w:t>4.2.1.4</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轻钢结构装配装饰一体化建筑的外围护系统宜采用轻质材料，并宜采用干式工法。</w:t>
      </w:r>
    </w:p>
    <w:p>
      <w:pPr>
        <w:spacing w:before="0" w:after="0" w:line="312" w:lineRule="exact"/>
        <w:ind w:left="60" w:firstLine="0"/>
        <w:jc w:val="left"/>
      </w:pPr>
      <w:r>
        <w:rPr>
          <w:rFonts w:ascii="黑体" w:hAnsi="黑体" w:cs="黑体"/>
          <w:color w:val="000000"/>
          <w:spacing w:val="-1"/>
          <w:w w:val="100"/>
          <w:position w:val="0"/>
          <w:sz w:val="21"/>
          <w:u w:val="none"/>
        </w:rPr>
        <w:t>4.2.1.5</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轻钢结构装配装饰一体化建筑的设备与管线系统应方便</w:t>
      </w:r>
      <w:r>
        <w:rPr>
          <w:rFonts w:ascii="宋体" w:hAnsi="宋体" w:cs="宋体"/>
          <w:color w:val="000000"/>
          <w:spacing w:val="0"/>
          <w:w w:val="100"/>
          <w:position w:val="0"/>
          <w:sz w:val="21"/>
          <w:u w:val="none"/>
        </w:rPr>
        <w:t>检查、维修、</w:t>
      </w:r>
      <w:r>
        <w:rPr>
          <w:rFonts w:ascii="宋体" w:eastAsia="宋体" w:hAnsi="宋体" w:cs="宋体"/>
          <w:color w:val="000000"/>
          <w:spacing w:val="0"/>
          <w:w w:val="100"/>
          <w:position w:val="0"/>
          <w:sz w:val="21"/>
          <w:u w:val="none"/>
        </w:rPr>
        <w:t>更换，维修更换时不应影</w:t>
      </w:r>
    </w:p>
    <w:p>
      <w:pPr>
        <w:spacing w:before="0" w:after="0" w:line="309" w:lineRule="exact"/>
        <w:ind w:left="60" w:firstLine="0"/>
        <w:jc w:val="left"/>
      </w:pPr>
      <w:r>
        <w:rPr>
          <w:rFonts w:ascii="宋体" w:hAnsi="宋体" w:cs="宋体"/>
          <w:color w:val="000000"/>
          <w:spacing w:val="0"/>
          <w:w w:val="100"/>
          <w:position w:val="0"/>
          <w:sz w:val="21"/>
          <w:u w:val="none"/>
        </w:rPr>
        <w:t>响结构安全。</w:t>
      </w:r>
    </w:p>
    <w:p>
      <w:pPr>
        <w:spacing w:before="0" w:after="0" w:line="315" w:lineRule="exact"/>
        <w:ind w:left="60" w:firstLine="0"/>
        <w:jc w:val="left"/>
      </w:pPr>
      <w:r>
        <w:rPr>
          <w:rFonts w:ascii="黑体" w:hAnsi="黑体" w:cs="黑体"/>
          <w:color w:val="000000"/>
          <w:spacing w:val="0"/>
          <w:w w:val="100"/>
          <w:position w:val="0"/>
          <w:sz w:val="21"/>
          <w:u w:val="none"/>
        </w:rPr>
        <w:t>4.2.1.6</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轻钢结构装配装饰一体化建筑的内部装修系统应采用装配式装修，并宜选用具有通用性和互换</w:t>
      </w:r>
    </w:p>
    <w:p>
      <w:pPr>
        <w:spacing w:before="0" w:after="0" w:line="309" w:lineRule="exact"/>
        <w:ind w:left="60" w:firstLine="0"/>
        <w:jc w:val="left"/>
      </w:pPr>
      <w:r>
        <w:rPr>
          <w:rFonts w:ascii="宋体" w:hAnsi="宋体" w:cs="宋体"/>
          <w:color w:val="000000"/>
          <w:spacing w:val="-1"/>
          <w:w w:val="100"/>
          <w:position w:val="0"/>
          <w:sz w:val="21"/>
          <w:u w:val="none"/>
        </w:rPr>
        <w:t>性的内装部品。</w:t>
      </w:r>
    </w:p>
    <w:p>
      <w:pPr>
        <w:spacing w:before="0" w:after="0" w:line="240" w:lineRule="exact"/>
        <w:ind w:left="60" w:firstLine="0"/>
      </w:pPr>
    </w:p>
    <w:p>
      <w:pPr>
        <w:spacing w:before="0" w:after="0" w:line="231" w:lineRule="exact"/>
        <w:ind w:left="60" w:firstLine="3929"/>
        <w:jc w:val="left"/>
      </w:pPr>
      <w:r>
        <w:rPr>
          <w:rFonts w:ascii="黑体" w:hAnsi="黑体" w:cs="黑体"/>
          <w:color w:val="000000"/>
          <w:spacing w:val="-1"/>
          <w:w w:val="100"/>
          <w:position w:val="0"/>
          <w:sz w:val="21"/>
          <w:u w:val="none"/>
        </w:rPr>
        <w:t>4.2.2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外围护系统</w:t>
      </w:r>
    </w:p>
    <w:p>
      <w:pPr>
        <w:spacing w:before="0" w:after="0" w:line="240" w:lineRule="exact"/>
        <w:ind w:left="60" w:firstLine="3929"/>
      </w:pPr>
    </w:p>
    <w:p>
      <w:pPr>
        <w:spacing w:before="0" w:after="0" w:line="228" w:lineRule="exact"/>
        <w:ind w:left="60" w:firstLine="0"/>
        <w:jc w:val="left"/>
      </w:pPr>
      <w:r>
        <w:rPr>
          <w:rFonts w:ascii="黑体" w:hAnsi="黑体" w:cs="黑体"/>
          <w:color w:val="000000"/>
          <w:spacing w:val="0"/>
          <w:w w:val="100"/>
          <w:position w:val="0"/>
          <w:sz w:val="21"/>
          <w:u w:val="none"/>
        </w:rPr>
        <w:t>4.2.2.1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轻钢结构装配装饰一体化建筑应合理确定外围护系统的设计工作年限，住宅建筑的外围护系统</w:t>
      </w:r>
    </w:p>
    <w:p>
      <w:pPr>
        <w:spacing w:before="0" w:after="0" w:line="309" w:lineRule="exact"/>
        <w:ind w:left="60" w:firstLine="0"/>
        <w:jc w:val="left"/>
      </w:pPr>
      <w:r>
        <w:rPr>
          <w:rFonts w:ascii="宋体" w:hAnsi="宋体" w:cs="宋体"/>
          <w:color w:val="000000"/>
          <w:spacing w:val="-1"/>
          <w:w w:val="100"/>
          <w:position w:val="0"/>
          <w:sz w:val="21"/>
          <w:u w:val="none"/>
        </w:rPr>
        <w:t>的设计使用工作年限应与主体结构相协调。</w:t>
      </w:r>
    </w:p>
    <w:p>
      <w:pPr>
        <w:spacing w:before="0" w:after="0" w:line="315" w:lineRule="exact"/>
        <w:ind w:left="60" w:firstLine="0"/>
        <w:jc w:val="left"/>
      </w:pPr>
      <w:r>
        <w:rPr>
          <w:rFonts w:ascii="黑体" w:hAnsi="黑体" w:cs="黑体"/>
          <w:color w:val="000000"/>
          <w:spacing w:val="0"/>
          <w:w w:val="100"/>
          <w:position w:val="0"/>
          <w:sz w:val="21"/>
          <w:u w:val="none"/>
        </w:rPr>
        <w:t>4.2.2.2</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外围护系统的立面设计应综合轻钢结构装配装饰一体化建筑的构成条件、装饰颜色与材料质感等</w:t>
      </w:r>
    </w:p>
    <w:p>
      <w:pPr>
        <w:spacing w:before="0" w:after="0" w:line="309" w:lineRule="exact"/>
        <w:ind w:left="60" w:firstLine="0"/>
        <w:jc w:val="left"/>
      </w:pPr>
      <w:r>
        <w:rPr>
          <w:rFonts w:ascii="宋体" w:hAnsi="宋体" w:cs="宋体"/>
          <w:color w:val="000000"/>
          <w:spacing w:val="-1"/>
          <w:w w:val="100"/>
          <w:position w:val="0"/>
          <w:sz w:val="21"/>
          <w:u w:val="none"/>
        </w:rPr>
        <w:t>设计要求。</w:t>
      </w:r>
    </w:p>
    <w:p>
      <w:pPr>
        <w:spacing w:before="0" w:after="0" w:line="315" w:lineRule="exact"/>
        <w:ind w:left="60" w:firstLine="0"/>
        <w:jc w:val="left"/>
      </w:pPr>
      <w:r>
        <w:rPr>
          <w:rFonts w:ascii="黑体" w:hAnsi="黑体" w:cs="黑体"/>
          <w:color w:val="000000"/>
          <w:spacing w:val="0"/>
          <w:w w:val="100"/>
          <w:position w:val="0"/>
          <w:sz w:val="21"/>
          <w:u w:val="none"/>
        </w:rPr>
        <w:t>4.2.2.3</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外围护系统的设计应符合模数协调和标准化要求，并应满足建筑立面效果</w:t>
      </w:r>
      <w:r>
        <w:rPr>
          <w:rFonts w:ascii="宋体" w:hAnsi="宋体" w:cs="宋体"/>
          <w:color w:val="000000"/>
          <w:spacing w:val="0"/>
          <w:w w:val="100"/>
          <w:position w:val="0"/>
          <w:sz w:val="21"/>
          <w:u w:val="none"/>
        </w:rPr>
        <w:t>、制作工艺、</w:t>
      </w:r>
      <w:r>
        <w:rPr>
          <w:rFonts w:ascii="宋体" w:eastAsia="宋体" w:hAnsi="宋体" w:cs="宋体"/>
          <w:color w:val="000000"/>
          <w:spacing w:val="0"/>
          <w:w w:val="100"/>
          <w:position w:val="0"/>
          <w:sz w:val="21"/>
          <w:u w:val="none"/>
        </w:rPr>
        <w:t>运输及</w:t>
      </w:r>
    </w:p>
    <w:p>
      <w:pPr>
        <w:spacing w:before="0" w:after="0" w:line="309" w:lineRule="exact"/>
        <w:ind w:left="60" w:firstLine="0"/>
        <w:jc w:val="left"/>
      </w:pPr>
      <w:r>
        <w:rPr>
          <w:rFonts w:ascii="宋体" w:hAnsi="宋体" w:cs="宋体"/>
          <w:color w:val="000000"/>
          <w:spacing w:val="-1"/>
          <w:w w:val="100"/>
          <w:position w:val="0"/>
          <w:sz w:val="21"/>
          <w:u w:val="none"/>
        </w:rPr>
        <w:t>施工安装的条件。</w:t>
      </w:r>
    </w:p>
    <w:p>
      <w:pPr>
        <w:spacing w:before="0" w:after="0" w:line="315" w:lineRule="exact"/>
        <w:ind w:left="60" w:firstLine="0"/>
        <w:jc w:val="left"/>
      </w:pPr>
      <w:r>
        <w:rPr>
          <w:rFonts w:ascii="黑体" w:hAnsi="黑体" w:cs="黑体"/>
          <w:color w:val="000000"/>
          <w:spacing w:val="0"/>
          <w:w w:val="100"/>
          <w:position w:val="0"/>
          <w:sz w:val="21"/>
          <w:u w:val="none"/>
        </w:rPr>
        <w:t>4.2.2.4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外围护系统设计应包括下列内容：</w:t>
      </w:r>
    </w:p>
    <w:p>
      <w:pPr>
        <w:spacing w:before="0" w:after="0" w:line="312" w:lineRule="exact"/>
        <w:ind w:left="60"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外围护系统的性能要求；</w:t>
      </w:r>
    </w:p>
    <w:p>
      <w:pPr>
        <w:spacing w:before="0" w:after="0" w:line="31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外墙板及屋面板的模数协调要求；</w:t>
      </w:r>
    </w:p>
    <w:p>
      <w:pPr>
        <w:spacing w:before="0" w:after="0" w:line="312" w:lineRule="exact"/>
        <w:ind w:left="60"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屋面结构支承构造节点；</w:t>
      </w:r>
    </w:p>
    <w:p>
      <w:pPr>
        <w:spacing w:before="0" w:after="0" w:line="312" w:lineRule="exact"/>
        <w:ind w:left="60"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外墙板连接、接缝及外门窗洞口等构造节点；</w:t>
      </w:r>
    </w:p>
    <w:p>
      <w:pPr>
        <w:spacing w:before="0" w:after="0" w:line="312" w:lineRule="exact"/>
        <w:ind w:left="60"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阳台、空调板、装饰件等连接构造节点。</w:t>
      </w:r>
    </w:p>
    <w:p>
      <w:pPr>
        <w:spacing w:before="0" w:after="0" w:line="312" w:lineRule="exact"/>
        <w:ind w:left="60" w:firstLine="0"/>
        <w:jc w:val="left"/>
      </w:pPr>
      <w:r>
        <w:rPr>
          <w:rFonts w:ascii="黑体" w:hAnsi="黑体" w:cs="黑体"/>
          <w:color w:val="000000"/>
          <w:spacing w:val="0"/>
          <w:w w:val="100"/>
          <w:position w:val="0"/>
          <w:sz w:val="21"/>
          <w:u w:val="none"/>
        </w:rPr>
        <w:t>4.2.2.5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外围护系统应根据建筑所在地区的气候条件、使用功能等综合确定抗风性能、抗震性能、耐撞</w:t>
      </w:r>
    </w:p>
    <w:p>
      <w:pPr>
        <w:spacing w:before="0" w:after="0" w:line="309" w:lineRule="exact"/>
        <w:ind w:left="60" w:firstLine="0"/>
        <w:jc w:val="left"/>
      </w:pPr>
      <w:r>
        <w:rPr>
          <w:rFonts w:ascii="宋体" w:hAnsi="宋体" w:cs="宋体"/>
          <w:color w:val="000000"/>
          <w:spacing w:val="-1"/>
          <w:w w:val="100"/>
          <w:position w:val="0"/>
          <w:sz w:val="21"/>
          <w:u w:val="none"/>
        </w:rPr>
        <w:t>击性能、防火性能、水密性能、气密性能、隔声性能、热工性能和耐久性能等要求，屋面系统还应满足结</w:t>
      </w:r>
    </w:p>
    <w:p>
      <w:pPr>
        <w:spacing w:before="0" w:after="0" w:line="312" w:lineRule="exact"/>
        <w:ind w:left="60" w:firstLine="0"/>
        <w:jc w:val="left"/>
      </w:pPr>
      <w:r>
        <w:rPr>
          <w:rFonts w:ascii="宋体" w:hAnsi="宋体" w:cs="宋体"/>
          <w:color w:val="000000"/>
          <w:spacing w:val="-1"/>
          <w:w w:val="100"/>
          <w:position w:val="0"/>
          <w:sz w:val="21"/>
          <w:u w:val="none"/>
        </w:rPr>
        <w:t>构性能要求。</w:t>
      </w:r>
    </w:p>
    <w:p>
      <w:pPr>
        <w:spacing w:before="0" w:after="0" w:line="315" w:lineRule="exact"/>
        <w:ind w:left="60" w:firstLine="0"/>
        <w:jc w:val="left"/>
      </w:pPr>
      <w:r>
        <w:rPr>
          <w:rFonts w:ascii="黑体" w:hAnsi="黑体" w:cs="黑体"/>
          <w:color w:val="000000"/>
          <w:spacing w:val="0"/>
          <w:w w:val="100"/>
          <w:position w:val="0"/>
          <w:sz w:val="21"/>
          <w:u w:val="none"/>
        </w:rPr>
        <w:t>4.2.2.6</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外围护系统选型应根据不同的建筑类型及结构形式而定；外墙系统与结构系统的连接形式可采</w:t>
      </w:r>
    </w:p>
    <w:p>
      <w:pPr>
        <w:spacing w:before="0" w:after="0" w:line="309" w:lineRule="exact"/>
        <w:ind w:left="60" w:firstLine="0"/>
        <w:jc w:val="left"/>
      </w:pPr>
      <w:r>
        <w:rPr>
          <w:rFonts w:ascii="宋体" w:hAnsi="宋体" w:cs="宋体"/>
          <w:color w:val="000000"/>
          <w:spacing w:val="-1"/>
          <w:w w:val="100"/>
          <w:position w:val="0"/>
          <w:sz w:val="21"/>
          <w:u w:val="none"/>
        </w:rPr>
        <w:t>用内嵌式、外挂式、嵌挂结合式等，并宜分层悬挂或承托，并可选用预制外墙、现场组装骨架外墙、建筑</w:t>
      </w:r>
    </w:p>
    <w:p>
      <w:pPr>
        <w:spacing w:before="0" w:after="0" w:line="312" w:lineRule="exact"/>
        <w:ind w:left="60" w:firstLine="0"/>
        <w:jc w:val="left"/>
      </w:pPr>
      <w:r>
        <w:rPr>
          <w:rFonts w:ascii="宋体" w:hAnsi="宋体" w:cs="宋体"/>
          <w:color w:val="000000"/>
          <w:spacing w:val="-1"/>
          <w:w w:val="100"/>
          <w:position w:val="0"/>
          <w:sz w:val="21"/>
          <w:u w:val="none"/>
        </w:rPr>
        <w:t>幕墙等类型。</w:t>
      </w:r>
    </w:p>
    <w:p>
      <w:pPr>
        <w:spacing w:before="0" w:after="0" w:line="315" w:lineRule="exact"/>
        <w:ind w:left="60" w:firstLine="0"/>
        <w:jc w:val="left"/>
      </w:pPr>
      <w:r>
        <w:rPr>
          <w:rFonts w:ascii="黑体" w:hAnsi="黑体" w:cs="黑体"/>
          <w:color w:val="000000"/>
          <w:spacing w:val="0"/>
          <w:w w:val="100"/>
          <w:position w:val="0"/>
          <w:sz w:val="21"/>
          <w:u w:val="none"/>
        </w:rPr>
        <w:t>4.2.2.7</w:t>
      </w:r>
      <w:r>
        <w:rPr>
          <w:rFonts w:ascii="Calibri" w:hAnsi="Calibri" w:cs="Calibri"/>
          <w:color w:val="000000"/>
          <w:spacing w:val="0"/>
          <w:w w:val="386"/>
          <w:sz w:val="24"/>
          <w:u w:val="none"/>
        </w:rPr>
        <w:t> </w:t>
      </w:r>
      <w:r>
        <w:rPr>
          <w:rFonts w:ascii="宋体" w:eastAsia="宋体" w:hAnsi="宋体" w:cs="宋体"/>
          <w:color w:val="000000"/>
          <w:spacing w:val="-2"/>
          <w:w w:val="100"/>
          <w:position w:val="0"/>
          <w:sz w:val="21"/>
          <w:u w:val="none"/>
        </w:rPr>
        <w:t>在</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50</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年重现期的风荷载或多遇地震作用下，外墙板不得因主体结构的弹性层间位移而发生塑性</w:t>
      </w:r>
    </w:p>
    <w:p>
      <w:pPr>
        <w:spacing w:before="0" w:after="0" w:line="309" w:lineRule="exact"/>
        <w:ind w:left="60" w:firstLine="0"/>
        <w:jc w:val="left"/>
      </w:pPr>
      <w:r>
        <w:rPr>
          <w:rFonts w:ascii="宋体" w:hAnsi="宋体" w:cs="宋体"/>
          <w:color w:val="000000"/>
          <w:spacing w:val="-1"/>
          <w:w w:val="100"/>
          <w:position w:val="0"/>
          <w:sz w:val="21"/>
          <w:u w:val="none"/>
        </w:rPr>
        <w:t>变形、板面开裂、零件脱落等损坏；当主体结构的层间位移角达到</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1/100</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时，外墙板不得掉落。</w:t>
      </w:r>
    </w:p>
    <w:p>
      <w:pPr>
        <w:spacing w:before="0" w:after="0" w:line="315" w:lineRule="exact"/>
        <w:ind w:left="60" w:firstLine="0"/>
        <w:jc w:val="left"/>
      </w:pPr>
      <w:r>
        <w:rPr>
          <w:rFonts w:ascii="黑体" w:hAnsi="黑体" w:cs="黑体"/>
          <w:color w:val="000000"/>
          <w:spacing w:val="0"/>
          <w:w w:val="100"/>
          <w:position w:val="0"/>
          <w:sz w:val="21"/>
          <w:u w:val="none"/>
        </w:rPr>
        <w:t>4.2.2.8</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外墙板与主体结构的连接应符合下列规定：</w:t>
      </w:r>
    </w:p>
    <w:p>
      <w:pPr>
        <w:spacing w:before="0" w:after="0" w:line="312" w:lineRule="exact"/>
        <w:ind w:left="60"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连接节点在保证主体结构整体受力的前提下，应牢固可靠、受力明确、传力简捷、构造合理；</w:t>
      </w:r>
    </w:p>
    <w:p>
      <w:pPr>
        <w:spacing w:before="0" w:after="0" w:line="31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连接节点应具有足够的承载力</w:t>
      </w:r>
      <w:r>
        <w:rPr>
          <w:rFonts w:ascii="宋体" w:hAnsi="宋体" w:cs="宋体"/>
          <w:color w:val="000000"/>
          <w:spacing w:val="0"/>
          <w:w w:val="100"/>
          <w:position w:val="0"/>
          <w:sz w:val="21"/>
          <w:u w:val="none"/>
        </w:rPr>
        <w:t>。承载能</w:t>
      </w:r>
      <w:r>
        <w:rPr>
          <w:rFonts w:ascii="宋体" w:eastAsia="宋体" w:hAnsi="宋体" w:cs="宋体"/>
          <w:color w:val="000000"/>
          <w:spacing w:val="0"/>
          <w:w w:val="100"/>
          <w:position w:val="0"/>
          <w:sz w:val="21"/>
          <w:u w:val="none"/>
        </w:rPr>
        <w:t>力极限状态下，连接节点不应发生破坏；当单个连接节点</w:t>
      </w:r>
    </w:p>
    <w:p>
      <w:pPr>
        <w:spacing w:before="0" w:after="0" w:line="309" w:lineRule="exact"/>
        <w:ind w:left="60" w:firstLine="0"/>
        <w:jc w:val="left"/>
      </w:pPr>
      <w:r>
        <w:rPr>
          <w:rFonts w:ascii="宋体" w:eastAsia="宋体" w:hAnsi="宋体" w:cs="宋体"/>
          <w:color w:val="000000"/>
          <w:spacing w:val="0"/>
          <w:w w:val="100"/>
          <w:position w:val="0"/>
          <w:sz w:val="21"/>
          <w:u w:val="none"/>
        </w:rPr>
        <w:t>失效时，外墙板不应掉落；</w:t>
      </w:r>
    </w:p>
    <w:p>
      <w:pPr>
        <w:spacing w:before="0" w:after="0" w:line="315" w:lineRule="exact"/>
        <w:ind w:left="60"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连接部位应采用柔性连接方式，连接节点应具有适应主体结构变形的能力；</w:t>
      </w:r>
    </w:p>
    <w:p>
      <w:pPr>
        <w:spacing w:before="0" w:after="0" w:line="312" w:lineRule="exact"/>
        <w:ind w:left="60"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节点设计应便于工厂加工、现场安装就位和调整；</w:t>
      </w:r>
    </w:p>
    <w:p>
      <w:pPr>
        <w:spacing w:before="0" w:after="0" w:line="312" w:lineRule="exact"/>
        <w:ind w:left="60"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连接件的耐久性应满足设计使用工作年限的要求。</w:t>
      </w:r>
    </w:p>
    <w:p>
      <w:pPr>
        <w:spacing w:before="0" w:after="0" w:line="312" w:lineRule="exact"/>
        <w:ind w:left="60" w:firstLine="0"/>
        <w:jc w:val="left"/>
      </w:pPr>
      <w:r>
        <w:rPr>
          <w:rFonts w:ascii="黑体" w:hAnsi="黑体" w:cs="黑体"/>
          <w:color w:val="000000"/>
          <w:spacing w:val="0"/>
          <w:w w:val="100"/>
          <w:position w:val="0"/>
          <w:sz w:val="21"/>
          <w:u w:val="none"/>
        </w:rPr>
        <w:t>4.2.2.9</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外墙板接缝应符合下列规定：</w:t>
      </w:r>
    </w:p>
    <w:p>
      <w:pPr>
        <w:spacing w:before="0" w:after="0" w:line="312" w:lineRule="exact"/>
        <w:ind w:left="60"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接缝处应根据当地气候条件合理选用构造防水、材料防水相结合的防排水措施；</w:t>
      </w:r>
    </w:p>
    <w:p>
      <w:pPr>
        <w:spacing w:before="0" w:after="0" w:line="31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接缝宽度及接缝材料应根据外墙板材料</w:t>
      </w:r>
      <w:r>
        <w:rPr>
          <w:rFonts w:ascii="宋体" w:hAnsi="宋体" w:cs="宋体"/>
          <w:color w:val="000000"/>
          <w:spacing w:val="0"/>
          <w:w w:val="100"/>
          <w:position w:val="0"/>
          <w:sz w:val="21"/>
          <w:u w:val="none"/>
        </w:rPr>
        <w:t>、立面分格、结</w:t>
      </w:r>
      <w:r>
        <w:rPr>
          <w:rFonts w:ascii="宋体" w:eastAsia="宋体" w:hAnsi="宋体" w:cs="宋体"/>
          <w:color w:val="000000"/>
          <w:spacing w:val="0"/>
          <w:w w:val="100"/>
          <w:position w:val="0"/>
          <w:sz w:val="21"/>
          <w:u w:val="none"/>
        </w:rPr>
        <w:t>构层间位</w:t>
      </w:r>
      <w:r>
        <w:rPr>
          <w:rFonts w:ascii="宋体" w:hAnsi="宋体" w:cs="宋体"/>
          <w:color w:val="000000"/>
          <w:spacing w:val="0"/>
          <w:w w:val="100"/>
          <w:position w:val="0"/>
          <w:sz w:val="21"/>
          <w:u w:val="none"/>
        </w:rPr>
        <w:t>移、温</w:t>
      </w:r>
      <w:r>
        <w:rPr>
          <w:rFonts w:ascii="宋体" w:eastAsia="宋体" w:hAnsi="宋体" w:cs="宋体"/>
          <w:color w:val="000000"/>
          <w:spacing w:val="0"/>
          <w:w w:val="100"/>
          <w:position w:val="0"/>
          <w:sz w:val="21"/>
          <w:u w:val="none"/>
        </w:rPr>
        <w:t>度变形等综合因素确定；</w:t>
      </w:r>
    </w:p>
    <w:p>
      <w:pPr>
        <w:spacing w:before="0" w:after="0" w:line="378" w:lineRule="exact"/>
        <w:ind w:left="60" w:firstLine="0"/>
        <w:jc w:val="left"/>
        <w:sectPr>
          <w:type w:val="continuous"/>
          <w:pgSz w:w="11907" w:h="16840"/>
          <w:pgMar w:top="736" w:right="713" w:bottom="496" w:left="1073" w:header="0" w:footer="0" w:gutter="0"/>
          <w:pgNumType w:start="48"/>
          <w:cols w:num="1" w:space="720"/>
        </w:sectPr>
      </w:pPr>
      <w:r>
        <w:rPr>
          <w:rFonts w:ascii="Microsoft YaHei UI" w:hAnsi="Microsoft YaHei UI" w:cs="Microsoft YaHei UI"/>
          <w:color w:val="000000"/>
          <w:spacing w:val="-16"/>
          <w:w w:val="100"/>
          <w:position w:val="0"/>
          <w:sz w:val="18"/>
          <w:u w:val="none"/>
        </w:rPr>
        <w:t>8</w:t>
      </w:r>
    </w:p>
    <w:p>
      <w:pPr>
        <w:spacing w:before="0" w:after="0" w:line="284" w:lineRule="exact"/>
        <w:ind w:left="163" w:firstLine="7855"/>
        <w:jc w:val="left"/>
      </w:pPr>
      <w:bookmarkStart w:id="16" w:name="16"/>
      <w:bookmarkEnd w:id="16"/>
      <w:r>
        <w:pict>
          <v:shape id="_x0000_s2068"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163" w:firstLine="7855"/>
      </w:pPr>
    </w:p>
    <w:p>
      <w:pPr>
        <w:spacing w:before="0" w:after="0" w:line="361" w:lineRule="exact"/>
        <w:ind w:left="163" w:firstLine="0"/>
        <w:jc w:val="left"/>
      </w:pPr>
      <w:r>
        <w:rPr>
          <w:rFonts w:ascii="宋体" w:hAnsi="宋体" w:cs="宋体"/>
          <w:color w:val="000000"/>
          <w:spacing w:val="-1"/>
          <w:w w:val="100"/>
          <w:position w:val="0"/>
          <w:sz w:val="21"/>
          <w:u w:val="none"/>
        </w:rPr>
        <w:t>所选用的接缝材料及构造应满足防水、防渗、抗裂、耐久等要求；接缝材料应与外墙板具有相容性；外墙</w:t>
      </w:r>
    </w:p>
    <w:p>
      <w:pPr>
        <w:spacing w:before="0" w:after="0" w:line="312" w:lineRule="exact"/>
        <w:ind w:left="163" w:firstLine="0"/>
        <w:jc w:val="left"/>
      </w:pPr>
      <w:r>
        <w:rPr>
          <w:rFonts w:ascii="宋体" w:eastAsia="宋体" w:hAnsi="宋体" w:cs="宋体"/>
          <w:color w:val="000000"/>
          <w:spacing w:val="-1"/>
          <w:w w:val="100"/>
          <w:position w:val="0"/>
          <w:sz w:val="21"/>
          <w:u w:val="none"/>
        </w:rPr>
        <w:t>板在正常使用状况下，接缝处的弹性密封材料不应破坏；</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与主体结构的连接处应设置防止形成热桥的构造措施。</w:t>
      </w:r>
    </w:p>
    <w:p>
      <w:pPr>
        <w:spacing w:before="0" w:after="0" w:line="312" w:lineRule="exact"/>
        <w:ind w:left="163" w:firstLine="0"/>
        <w:jc w:val="left"/>
      </w:pPr>
      <w:r>
        <w:rPr>
          <w:rFonts w:ascii="黑体" w:hAnsi="黑体" w:cs="黑体"/>
          <w:color w:val="000000"/>
          <w:spacing w:val="-1"/>
          <w:w w:val="100"/>
          <w:position w:val="0"/>
          <w:sz w:val="21"/>
          <w:u w:val="none"/>
        </w:rPr>
        <w:t>4.2.2.10</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外围护系统中的外门窗应符合下列规定：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应采用在工厂生产的标准化系列部品，并应采用带有批水板的外门窗配套系列部品；</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外门窗应与墙体可靠连接，门窗洞口与外门窗框接缝处的气密性</w:t>
      </w:r>
      <w:r>
        <w:rPr>
          <w:rFonts w:ascii="宋体" w:hAnsi="宋体" w:cs="宋体"/>
          <w:color w:val="000000"/>
          <w:spacing w:val="0"/>
          <w:w w:val="100"/>
          <w:position w:val="0"/>
          <w:sz w:val="21"/>
          <w:u w:val="none"/>
        </w:rPr>
        <w:t>能、水</w:t>
      </w:r>
      <w:r>
        <w:rPr>
          <w:rFonts w:ascii="宋体" w:eastAsia="宋体" w:hAnsi="宋体" w:cs="宋体"/>
          <w:color w:val="000000"/>
          <w:spacing w:val="0"/>
          <w:w w:val="100"/>
          <w:position w:val="0"/>
          <w:sz w:val="21"/>
          <w:u w:val="none"/>
        </w:rPr>
        <w:t>密性能和保温性能不应低</w:t>
      </w:r>
    </w:p>
    <w:p>
      <w:pPr>
        <w:spacing w:before="0" w:after="0" w:line="309" w:lineRule="exact"/>
        <w:ind w:left="163" w:firstLine="0"/>
        <w:jc w:val="left"/>
      </w:pPr>
      <w:r>
        <w:rPr>
          <w:rFonts w:ascii="宋体" w:eastAsia="宋体" w:hAnsi="宋体" w:cs="宋体"/>
          <w:color w:val="000000"/>
          <w:spacing w:val="0"/>
          <w:w w:val="100"/>
          <w:position w:val="0"/>
          <w:sz w:val="21"/>
          <w:u w:val="none"/>
        </w:rPr>
        <w:t>于外门窗的相关性能；</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预制外墙中的外门窗宜采用企口或预设安装件等方法固定，外门窗可采用预装法或后装法施工；</w:t>
      </w:r>
    </w:p>
    <w:p>
      <w:pPr>
        <w:spacing w:before="0" w:after="0" w:line="309" w:lineRule="exact"/>
        <w:ind w:left="163" w:firstLine="0"/>
        <w:jc w:val="left"/>
      </w:pPr>
      <w:r>
        <w:rPr>
          <w:rFonts w:ascii="宋体" w:eastAsia="宋体" w:hAnsi="宋体" w:cs="宋体"/>
          <w:color w:val="000000"/>
          <w:spacing w:val="-1"/>
          <w:w w:val="100"/>
          <w:position w:val="0"/>
          <w:sz w:val="21"/>
          <w:u w:val="none"/>
        </w:rPr>
        <w:t>采用预装法时，外门窗框应在工厂与预制外墙整体成型；采用后装法时，预制外墙的门窗洞口应预设安装</w:t>
      </w:r>
    </w:p>
    <w:p>
      <w:pPr>
        <w:spacing w:before="0" w:after="0" w:line="312" w:lineRule="exact"/>
        <w:ind w:left="163" w:firstLine="0"/>
        <w:jc w:val="left"/>
      </w:pPr>
      <w:r>
        <w:rPr>
          <w:rFonts w:ascii="宋体" w:eastAsia="宋体" w:hAnsi="宋体" w:cs="宋体"/>
          <w:color w:val="000000"/>
          <w:spacing w:val="-2"/>
          <w:w w:val="100"/>
          <w:position w:val="0"/>
          <w:sz w:val="21"/>
          <w:u w:val="none"/>
        </w:rPr>
        <w:t>件；</w:t>
      </w:r>
    </w:p>
    <w:p>
      <w:pPr>
        <w:spacing w:before="0" w:after="0" w:line="315"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铝合金门窗的设计应符合现行行业标准《铝合金门窗工程技术规范》JGJ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214</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的规定；</w:t>
      </w:r>
    </w:p>
    <w:p>
      <w:pPr>
        <w:spacing w:before="0" w:after="0" w:line="312"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塑料门窗的设计应符合现行行业标准《塑料门窗工程技术规程》JGJ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103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2" w:lineRule="exact"/>
        <w:ind w:left="163" w:firstLine="0"/>
        <w:jc w:val="left"/>
      </w:pPr>
      <w:r>
        <w:rPr>
          <w:rFonts w:ascii="黑体" w:hAnsi="黑体" w:cs="黑体"/>
          <w:color w:val="000000"/>
          <w:spacing w:val="-1"/>
          <w:w w:val="100"/>
          <w:position w:val="0"/>
          <w:sz w:val="21"/>
          <w:u w:val="none"/>
        </w:rPr>
        <w:t>4.2.2.11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现场组装骨架外墙应符合下列规定：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骨架应具有足够的承载力、刚度和稳定性，并应与主体结构可靠连接；骨架应进行整体及连接节</w:t>
      </w:r>
    </w:p>
    <w:p>
      <w:pPr>
        <w:spacing w:before="0" w:after="0" w:line="309" w:lineRule="exact"/>
        <w:ind w:left="163" w:firstLine="0"/>
        <w:jc w:val="left"/>
      </w:pPr>
      <w:r>
        <w:rPr>
          <w:rFonts w:ascii="宋体" w:eastAsia="宋体" w:hAnsi="宋体" w:cs="宋体"/>
          <w:color w:val="000000"/>
          <w:spacing w:val="0"/>
          <w:w w:val="100"/>
          <w:position w:val="0"/>
          <w:sz w:val="21"/>
          <w:u w:val="none"/>
        </w:rPr>
        <w:t>点验算；</w:t>
      </w:r>
    </w:p>
    <w:p>
      <w:pPr>
        <w:spacing w:before="0" w:after="0" w:line="315"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墙内敷设电气线路时，应对其进行穿管保护；</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宜根据基层墙板特点及形式进行墙面整体防水；</w:t>
      </w:r>
    </w:p>
    <w:p>
      <w:pPr>
        <w:spacing w:before="0" w:after="0" w:line="312"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金属骨架组合外墙应符合下列规定：</w:t>
      </w:r>
    </w:p>
    <w:p>
      <w:pPr>
        <w:spacing w:before="0" w:after="0" w:line="312" w:lineRule="exact"/>
        <w:ind w:left="163" w:firstLine="852"/>
        <w:jc w:val="left"/>
      </w:pPr>
      <w:r>
        <w:rPr>
          <w:rFonts w:ascii="黑体" w:hAnsi="黑体" w:cs="黑体"/>
          <w:color w:val="000000"/>
          <w:spacing w:val="-2"/>
          <w:w w:val="100"/>
          <w:position w:val="0"/>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金属骨架应设置有效的防腐蚀措施；</w:t>
      </w:r>
    </w:p>
    <w:p>
      <w:pPr>
        <w:spacing w:before="0" w:after="0" w:line="312" w:lineRule="exact"/>
        <w:ind w:left="163" w:firstLine="854"/>
        <w:jc w:val="left"/>
      </w:pPr>
      <w:r>
        <w:rPr>
          <w:rFonts w:ascii="黑体" w:hAnsi="黑体" w:cs="黑体"/>
          <w:color w:val="000000"/>
          <w:spacing w:val="-2"/>
          <w:w w:val="100"/>
          <w:position w:val="0"/>
          <w:sz w:val="21"/>
          <w:u w:val="none"/>
        </w:rPr>
        <w:t>2)</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骨架外部、中部和内部可分别设置防护层、隔离层、保温隔汽层和内饰层，并根据使用条件</w:t>
      </w:r>
    </w:p>
    <w:p>
      <w:pPr>
        <w:spacing w:before="0" w:after="0" w:line="309" w:lineRule="exact"/>
        <w:ind w:left="163" w:firstLine="1135"/>
        <w:jc w:val="left"/>
      </w:pPr>
      <w:r>
        <w:rPr>
          <w:rFonts w:ascii="宋体" w:hAnsi="宋体" w:cs="宋体"/>
          <w:color w:val="000000"/>
          <w:spacing w:val="-1"/>
          <w:w w:val="100"/>
          <w:position w:val="0"/>
          <w:sz w:val="21"/>
          <w:u w:val="none"/>
        </w:rPr>
        <w:t>设置防水透汽材料、空气间层、反射材料、结构蒙皮材料和隔汽材料等；</w:t>
      </w:r>
    </w:p>
    <w:p>
      <w:pPr>
        <w:spacing w:before="0" w:after="0" w:line="315"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木骨架组合墙体应符合下列规定：</w:t>
      </w:r>
    </w:p>
    <w:p>
      <w:pPr>
        <w:spacing w:before="0" w:after="0" w:line="312" w:lineRule="exact"/>
        <w:ind w:left="163" w:firstLine="852"/>
        <w:jc w:val="left"/>
      </w:pPr>
      <w:r>
        <w:rPr>
          <w:rFonts w:ascii="黑体" w:hAnsi="黑体" w:cs="黑体"/>
          <w:color w:val="000000"/>
          <w:spacing w:val="-2"/>
          <w:w w:val="100"/>
          <w:position w:val="0"/>
          <w:sz w:val="21"/>
          <w:u w:val="none"/>
        </w:rPr>
        <w:t>1)</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材料种类、连接构造、板缝构造、内外面层做法等应符合现行国家标准《木骨架组合墙体技</w:t>
      </w:r>
    </w:p>
    <w:p>
      <w:pPr>
        <w:spacing w:before="0" w:after="0" w:line="309" w:lineRule="exact"/>
        <w:ind w:left="163" w:firstLine="1166"/>
        <w:jc w:val="left"/>
      </w:pPr>
      <w:r>
        <w:rPr>
          <w:rFonts w:ascii="宋体" w:hAnsi="宋体" w:cs="宋体"/>
          <w:color w:val="000000"/>
          <w:spacing w:val="-1"/>
          <w:w w:val="100"/>
          <w:position w:val="0"/>
          <w:sz w:val="21"/>
          <w:u w:val="none"/>
        </w:rPr>
        <w:t>术标准》GB/T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50361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5" w:lineRule="exact"/>
        <w:ind w:left="163" w:firstLine="852"/>
        <w:jc w:val="left"/>
      </w:pPr>
      <w:r>
        <w:rPr>
          <w:rFonts w:ascii="黑体" w:hAnsi="黑体" w:cs="黑体"/>
          <w:color w:val="000000"/>
          <w:spacing w:val="-2"/>
          <w:w w:val="100"/>
          <w:position w:val="0"/>
          <w:sz w:val="21"/>
          <w:u w:val="none"/>
        </w:rPr>
        <w:t>2)</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木骨架组合外墙与主体结构之间应采用金属连接件进行连接；</w:t>
      </w:r>
    </w:p>
    <w:p>
      <w:pPr>
        <w:spacing w:before="0" w:after="0" w:line="312" w:lineRule="exact"/>
        <w:ind w:left="163" w:firstLine="852"/>
        <w:jc w:val="left"/>
      </w:pPr>
      <w:r>
        <w:rPr>
          <w:rFonts w:ascii="黑体" w:hAnsi="黑体" w:cs="黑体"/>
          <w:color w:val="000000"/>
          <w:spacing w:val="-2"/>
          <w:w w:val="100"/>
          <w:position w:val="0"/>
          <w:sz w:val="21"/>
          <w:u w:val="none"/>
        </w:rPr>
        <w:t>3)</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内侧墙面材料宜采用普通型、耐火型或防潮型纸面石膏板，外侧墙面材料宜采用防潮型纸面</w:t>
      </w:r>
    </w:p>
    <w:p>
      <w:pPr>
        <w:spacing w:before="0" w:after="0" w:line="309" w:lineRule="exact"/>
        <w:ind w:left="163" w:firstLine="1166"/>
        <w:jc w:val="left"/>
      </w:pPr>
      <w:r>
        <w:rPr>
          <w:rFonts w:ascii="宋体" w:eastAsia="宋体" w:hAnsi="宋体" w:cs="宋体"/>
          <w:color w:val="000000"/>
          <w:spacing w:val="-1"/>
          <w:w w:val="100"/>
          <w:position w:val="0"/>
          <w:sz w:val="21"/>
          <w:u w:val="none"/>
        </w:rPr>
        <w:t>石膏板或水泥纤维板材等材料；</w:t>
      </w:r>
    </w:p>
    <w:p>
      <w:pPr>
        <w:spacing w:before="0" w:after="0" w:line="315" w:lineRule="exact"/>
        <w:ind w:left="163" w:firstLine="852"/>
        <w:jc w:val="left"/>
      </w:pPr>
      <w:r>
        <w:rPr>
          <w:rFonts w:ascii="黑体" w:hAnsi="黑体" w:cs="黑体"/>
          <w:color w:val="000000"/>
          <w:spacing w:val="-2"/>
          <w:w w:val="100"/>
          <w:position w:val="0"/>
          <w:sz w:val="21"/>
          <w:u w:val="none"/>
        </w:rPr>
        <w:t>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保温隔热材料宜采用岩棉或玻璃棉等；</w:t>
      </w:r>
    </w:p>
    <w:p>
      <w:pPr>
        <w:spacing w:before="0" w:after="0" w:line="312" w:lineRule="exact"/>
        <w:ind w:left="163" w:firstLine="852"/>
        <w:jc w:val="left"/>
      </w:pPr>
      <w:r>
        <w:rPr>
          <w:rFonts w:ascii="黑体" w:hAnsi="黑体" w:cs="黑体"/>
          <w:color w:val="000000"/>
          <w:spacing w:val="-2"/>
          <w:w w:val="100"/>
          <w:position w:val="0"/>
          <w:sz w:val="21"/>
          <w:u w:val="none"/>
        </w:rPr>
        <w:t>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隔声吸声材料宜采用岩棉、玻璃棉或石膏板材等；</w:t>
      </w:r>
    </w:p>
    <w:p>
      <w:pPr>
        <w:spacing w:before="0" w:after="0" w:line="312" w:lineRule="exact"/>
        <w:ind w:left="163" w:firstLine="852"/>
        <w:jc w:val="left"/>
      </w:pPr>
      <w:r>
        <w:rPr>
          <w:rFonts w:ascii="黑体" w:hAnsi="黑体" w:cs="黑体"/>
          <w:color w:val="000000"/>
          <w:spacing w:val="-2"/>
          <w:w w:val="100"/>
          <w:position w:val="0"/>
          <w:sz w:val="21"/>
          <w:u w:val="none"/>
        </w:rPr>
        <w:t>6)</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填充材料的燃烧性能等级应为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级。</w:t>
      </w:r>
    </w:p>
    <w:p>
      <w:pPr>
        <w:spacing w:before="0" w:after="0" w:line="312" w:lineRule="exact"/>
        <w:ind w:left="163" w:firstLine="0"/>
        <w:jc w:val="left"/>
      </w:pPr>
      <w:r>
        <w:rPr>
          <w:rFonts w:ascii="黑体" w:hAnsi="黑体" w:cs="黑体"/>
          <w:color w:val="000000"/>
          <w:spacing w:val="-1"/>
          <w:w w:val="100"/>
          <w:position w:val="0"/>
          <w:sz w:val="21"/>
          <w:u w:val="none"/>
        </w:rPr>
        <w:t>4.2.2.12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建筑幕墙应符合下列规定：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应根据建筑物的使用要求、建筑造型，合理选择幕墙形式，宜采用单元式幕墙系统；</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应根据不同的面板材料，选择相应的幕墙结构、配套材料和构造方式等；</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应具有适应主体结构层间变形的能力；主体结构中连接幕墙的预埋件、锚固件应能承受幕墙传递</w:t>
      </w:r>
    </w:p>
    <w:p>
      <w:pPr>
        <w:spacing w:before="0" w:after="0" w:line="309" w:lineRule="exact"/>
        <w:ind w:left="163" w:firstLine="0"/>
        <w:jc w:val="left"/>
      </w:pPr>
      <w:r>
        <w:rPr>
          <w:rFonts w:ascii="宋体" w:eastAsia="宋体" w:hAnsi="宋体" w:cs="宋体"/>
          <w:color w:val="000000"/>
          <w:spacing w:val="-1"/>
          <w:w w:val="100"/>
          <w:position w:val="0"/>
          <w:sz w:val="21"/>
          <w:u w:val="none"/>
        </w:rPr>
        <w:t>的荷载和作用，连接件与主体结构的锚固极限承载力应大于连接件本身的全塑性承载力；</w:t>
      </w:r>
    </w:p>
    <w:p>
      <w:pPr>
        <w:spacing w:before="0" w:after="0" w:line="315"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玻璃幕墙的设计应符合现行行业标准《玻璃幕墙工程技术规范》JGJ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102</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的规定；</w:t>
      </w:r>
    </w:p>
    <w:p>
      <w:pPr>
        <w:spacing w:before="0" w:after="0" w:line="312"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5"/>
          <w:w w:val="100"/>
          <w:position w:val="0"/>
          <w:sz w:val="21"/>
          <w:u w:val="none"/>
        </w:rPr>
        <w:t>金属与石材幕墙的设计应符合现行行业标准《金属与石材幕墙工程技术规范》JGJ</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133</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的规定；</w:t>
      </w:r>
    </w:p>
    <w:p>
      <w:pPr>
        <w:spacing w:before="0" w:after="0" w:line="312" w:lineRule="exact"/>
        <w:ind w:left="163" w:firstLine="425"/>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人造板材幕墙的设计应符合现行行业标准《人造板材幕墙工程技术规范》JGJ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336</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的规定。</w:t>
      </w:r>
    </w:p>
    <w:p>
      <w:pPr>
        <w:spacing w:before="0" w:after="0" w:line="312" w:lineRule="exact"/>
        <w:ind w:left="163" w:firstLine="0"/>
        <w:jc w:val="left"/>
      </w:pPr>
      <w:r>
        <w:rPr>
          <w:rFonts w:ascii="黑体" w:hAnsi="黑体" w:cs="黑体"/>
          <w:color w:val="000000"/>
          <w:spacing w:val="-1"/>
          <w:w w:val="100"/>
          <w:position w:val="0"/>
          <w:sz w:val="21"/>
          <w:u w:val="none"/>
        </w:rPr>
        <w:t>4.2.2.13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建筑屋面应符合下列规定：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应根据现行国家标准《屋面工程技术规范》GB</w:t>
      </w:r>
      <w:r>
        <w:rPr>
          <w:rFonts w:ascii="Calibri" w:hAnsi="Calibri" w:cs="Calibri"/>
          <w:color w:val="000000"/>
          <w:spacing w:val="0"/>
          <w:w w:val="199"/>
          <w:sz w:val="21"/>
          <w:u w:val="none"/>
        </w:rPr>
        <w:t> </w:t>
      </w:r>
      <w:r>
        <w:rPr>
          <w:rFonts w:ascii="宋体" w:hAnsi="宋体" w:cs="宋体"/>
          <w:color w:val="000000"/>
          <w:spacing w:val="-1"/>
          <w:w w:val="100"/>
          <w:position w:val="0"/>
          <w:sz w:val="21"/>
          <w:u w:val="none"/>
        </w:rPr>
        <w:t>50345</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和《坡屋面工程技术规范》GB</w:t>
      </w:r>
      <w:r>
        <w:rPr>
          <w:rFonts w:ascii="Calibri" w:hAnsi="Calibri" w:cs="Calibri"/>
          <w:color w:val="000000"/>
          <w:spacing w:val="0"/>
          <w:w w:val="194"/>
          <w:sz w:val="21"/>
          <w:u w:val="none"/>
        </w:rPr>
        <w:t> </w:t>
      </w:r>
      <w:r>
        <w:rPr>
          <w:rFonts w:ascii="宋体" w:hAnsi="宋体" w:cs="宋体"/>
          <w:color w:val="000000"/>
          <w:spacing w:val="-1"/>
          <w:w w:val="100"/>
          <w:position w:val="0"/>
          <w:sz w:val="21"/>
          <w:u w:val="none"/>
        </w:rPr>
        <w:t>50693</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中规定</w:t>
      </w:r>
    </w:p>
    <w:p>
      <w:pPr>
        <w:spacing w:before="0" w:after="0" w:line="309" w:lineRule="exact"/>
        <w:ind w:left="163" w:firstLine="0"/>
        <w:jc w:val="left"/>
      </w:pPr>
      <w:r>
        <w:rPr>
          <w:rFonts w:ascii="宋体" w:eastAsia="宋体" w:hAnsi="宋体" w:cs="宋体"/>
          <w:color w:val="000000"/>
          <w:spacing w:val="-1"/>
          <w:w w:val="100"/>
          <w:position w:val="0"/>
          <w:sz w:val="21"/>
          <w:u w:val="none"/>
        </w:rPr>
        <w:t>的屋面防水等级进行防水设防，并应具有良好的排水功能，宜设置有组织排水系统；</w:t>
      </w:r>
    </w:p>
    <w:p>
      <w:pPr>
        <w:spacing w:before="0" w:after="0" w:line="315"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太阳能系统应与屋面进行一体化设计，电气性能应满足国家现行标准《民用建筑太阳能热水系统</w:t>
      </w:r>
    </w:p>
    <w:p>
      <w:pPr>
        <w:spacing w:before="0" w:after="0" w:line="309" w:lineRule="exact"/>
        <w:ind w:left="163" w:firstLine="0"/>
        <w:jc w:val="left"/>
      </w:pPr>
      <w:r>
        <w:rPr>
          <w:rFonts w:ascii="宋体" w:hAnsi="宋体" w:cs="宋体"/>
          <w:color w:val="000000"/>
          <w:spacing w:val="-1"/>
          <w:w w:val="100"/>
          <w:position w:val="0"/>
          <w:sz w:val="21"/>
          <w:u w:val="none"/>
        </w:rPr>
        <w:t>应用技术标准》GB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50364</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和《建筑光伏系统应用技术标准》GB/T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51368</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采光顶与金属屋面的设计应符合现行行业标准《建筑光伏系统应用技术标准》GB/T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51368</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的规定。</w:t>
      </w:r>
    </w:p>
    <w:p>
      <w:pPr>
        <w:spacing w:before="0" w:after="0" w:line="240" w:lineRule="exact"/>
        <w:ind w:left="163" w:firstLine="425"/>
      </w:pPr>
    </w:p>
    <w:p>
      <w:pPr>
        <w:spacing w:before="0" w:after="0" w:line="240" w:lineRule="exact"/>
        <w:ind w:left="163" w:firstLine="425"/>
      </w:pPr>
    </w:p>
    <w:p>
      <w:pPr>
        <w:spacing w:before="0" w:after="0" w:line="240" w:lineRule="exact"/>
        <w:ind w:left="163" w:firstLine="425"/>
      </w:pPr>
    </w:p>
    <w:p>
      <w:pPr>
        <w:spacing w:before="0" w:after="0" w:line="282" w:lineRule="exact"/>
        <w:ind w:left="163" w:firstLine="9550"/>
        <w:jc w:val="left"/>
        <w:sectPr>
          <w:type w:val="continuous"/>
          <w:pgSz w:w="11907" w:h="16839"/>
          <w:pgMar w:top="736" w:right="610" w:bottom="496" w:left="970" w:header="0" w:footer="0" w:gutter="0"/>
          <w:pgNumType w:start="49"/>
          <w:cols w:num="1" w:space="720"/>
        </w:sectPr>
      </w:pPr>
      <w:r>
        <w:rPr>
          <w:rFonts w:ascii="Microsoft YaHei UI" w:hAnsi="Microsoft YaHei UI" w:cs="Microsoft YaHei UI"/>
          <w:color w:val="000000"/>
          <w:spacing w:val="-16"/>
          <w:w w:val="100"/>
          <w:position w:val="0"/>
          <w:sz w:val="18"/>
          <w:u w:val="none"/>
        </w:rPr>
        <w:t>9</w:t>
      </w:r>
    </w:p>
    <w:p>
      <w:pPr>
        <w:spacing w:before="0" w:after="0" w:line="284" w:lineRule="exact"/>
        <w:ind w:left="163" w:firstLine="0"/>
        <w:jc w:val="left"/>
      </w:pPr>
      <w:bookmarkStart w:id="17" w:name="17"/>
      <w:bookmarkEnd w:id="17"/>
      <w:r>
        <w:pict>
          <v:shape id="_x0000_s2069" o:spid="_x0000_s1044" type="#_x0000_t202" style="width:332pt;height:53pt;margin-top:397.7pt;margin-left:141.6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163" w:firstLine="0"/>
      </w:pPr>
    </w:p>
    <w:p>
      <w:pPr>
        <w:spacing w:before="0" w:after="0" w:line="240" w:lineRule="exact"/>
        <w:ind w:left="163" w:firstLine="0"/>
      </w:pPr>
    </w:p>
    <w:p>
      <w:pPr>
        <w:spacing w:before="0" w:after="0" w:line="281" w:lineRule="exact"/>
        <w:ind w:left="163" w:firstLine="3718"/>
        <w:jc w:val="left"/>
      </w:pPr>
      <w:r>
        <w:rPr>
          <w:rFonts w:ascii="黑体" w:hAnsi="黑体" w:cs="黑体"/>
          <w:color w:val="000000"/>
          <w:spacing w:val="-1"/>
          <w:w w:val="100"/>
          <w:position w:val="0"/>
          <w:sz w:val="21"/>
          <w:u w:val="none"/>
        </w:rPr>
        <w:t>4.2.3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设备与管线系统</w:t>
      </w:r>
    </w:p>
    <w:p>
      <w:pPr>
        <w:spacing w:before="0" w:after="0" w:line="240" w:lineRule="exact"/>
        <w:ind w:left="163" w:firstLine="3718"/>
      </w:pPr>
    </w:p>
    <w:p>
      <w:pPr>
        <w:spacing w:before="0" w:after="0" w:line="228" w:lineRule="exact"/>
        <w:ind w:left="163" w:firstLine="0"/>
        <w:jc w:val="left"/>
      </w:pPr>
      <w:r>
        <w:rPr>
          <w:rFonts w:ascii="黑体" w:hAnsi="黑体" w:cs="黑体"/>
          <w:color w:val="000000"/>
          <w:spacing w:val="-1"/>
          <w:w w:val="100"/>
          <w:position w:val="0"/>
          <w:sz w:val="21"/>
          <w:u w:val="none"/>
        </w:rPr>
        <w:t>4.2.3.1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轻钢结构装配装饰一体化建筑的设备与管线设计应符合下列规定：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轻钢结构装配装饰一体化建筑的设备与管线宜采用集成化技术，标准化设计，当采用集成化新技</w:t>
      </w:r>
    </w:p>
    <w:p>
      <w:pPr>
        <w:spacing w:before="0" w:after="0" w:line="309" w:lineRule="exact"/>
        <w:ind w:left="163" w:firstLine="0"/>
        <w:jc w:val="left"/>
      </w:pPr>
      <w:r>
        <w:rPr>
          <w:rFonts w:ascii="宋体" w:hAnsi="宋体" w:cs="宋体"/>
          <w:color w:val="000000"/>
          <w:spacing w:val="-1"/>
          <w:w w:val="100"/>
          <w:position w:val="0"/>
          <w:sz w:val="21"/>
          <w:u w:val="none"/>
        </w:rPr>
        <w:t>术、新产品时应有可靠依据；</w:t>
      </w:r>
    </w:p>
    <w:p>
      <w:pPr>
        <w:spacing w:before="0" w:after="0" w:line="315"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各类设备与管线应综合设计、减少平面交叉，合理利用空间；</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设备与管线应合理选型、准确定位；</w:t>
      </w:r>
    </w:p>
    <w:p>
      <w:pPr>
        <w:spacing w:before="0" w:after="0" w:line="312"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设备与管线宜在架空层或吊顶内设置；</w:t>
      </w:r>
    </w:p>
    <w:p>
      <w:pPr>
        <w:spacing w:before="0" w:after="0" w:line="312"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3"/>
          <w:w w:val="100"/>
          <w:position w:val="0"/>
          <w:sz w:val="21"/>
          <w:u w:val="none"/>
        </w:rPr>
        <w:t>设备与管线安装应满足结构专业相关要求，不应在预制构件安装后凿剔沟槽、开孔、开洞等；</w:t>
      </w:r>
    </w:p>
    <w:p>
      <w:pPr>
        <w:spacing w:before="0" w:after="0" w:line="312" w:lineRule="exact"/>
        <w:ind w:left="163" w:firstLine="425"/>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公共管线、阀门、检修配件、计量仪表、电表箱、配电箱、智能化配线箱等应设置在公共区域；</w:t>
      </w:r>
    </w:p>
    <w:p>
      <w:pPr>
        <w:spacing w:before="0" w:after="0" w:line="240" w:lineRule="exact"/>
        <w:ind w:left="163" w:firstLine="425"/>
      </w:pPr>
    </w:p>
    <w:p>
      <w:pPr>
        <w:spacing w:before="0" w:after="0" w:line="384" w:lineRule="exact"/>
        <w:ind w:left="163" w:firstLine="425"/>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设备与管线穿越楼板和墙体时，应采取防水、防火、隔声、密封等措施，防火封堵应符合现行国</w:t>
      </w:r>
    </w:p>
    <w:p>
      <w:pPr>
        <w:spacing w:before="0" w:after="0" w:line="309" w:lineRule="exact"/>
        <w:ind w:left="163" w:firstLine="0"/>
        <w:jc w:val="left"/>
      </w:pPr>
      <w:r>
        <w:rPr>
          <w:rFonts w:ascii="宋体" w:hAnsi="宋体" w:cs="宋体"/>
          <w:color w:val="000000"/>
          <w:spacing w:val="-1"/>
          <w:w w:val="100"/>
          <w:position w:val="0"/>
          <w:sz w:val="21"/>
          <w:u w:val="none"/>
        </w:rPr>
        <w:t>家标准《建筑设计防火规范》GB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50016</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w:t>
      </w:r>
    </w:p>
    <w:p>
      <w:pPr>
        <w:spacing w:before="0" w:after="0" w:line="315" w:lineRule="exact"/>
        <w:ind w:left="163" w:firstLine="425"/>
        <w:jc w:val="left"/>
      </w:pPr>
      <w:r>
        <w:rPr>
          <w:rFonts w:ascii="黑体" w:hAnsi="黑体" w:cs="黑体"/>
          <w:color w:val="000000"/>
          <w:spacing w:val="-1"/>
          <w:w w:val="100"/>
          <w:position w:val="0"/>
          <w:sz w:val="21"/>
          <w:u w:val="none"/>
        </w:rPr>
        <w:t>8</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设备与管线的抗震设计应符合现行国家标准《建筑机电工程抗震设计规范》GB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50981</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的有关规定。</w:t>
      </w:r>
    </w:p>
    <w:p>
      <w:pPr>
        <w:spacing w:before="0" w:after="0" w:line="312" w:lineRule="exact"/>
        <w:ind w:left="163" w:firstLine="0"/>
        <w:jc w:val="left"/>
      </w:pPr>
      <w:r>
        <w:rPr>
          <w:rFonts w:ascii="黑体" w:hAnsi="黑体" w:cs="黑体"/>
          <w:color w:val="000000"/>
          <w:spacing w:val="-1"/>
          <w:w w:val="100"/>
          <w:position w:val="0"/>
          <w:sz w:val="21"/>
          <w:u w:val="none"/>
        </w:rPr>
        <w:t>4.2.3.2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给水排水设计应符合下列规定：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冲厕宜采用非传统水源，水质应符合现行国家标准《城市污水再生利用</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城市杂用水水质》GB/T</w:t>
      </w:r>
    </w:p>
    <w:p>
      <w:pPr>
        <w:spacing w:before="0" w:after="0" w:line="309" w:lineRule="exact"/>
        <w:ind w:left="163" w:firstLine="0"/>
        <w:jc w:val="left"/>
      </w:pPr>
      <w:r>
        <w:rPr>
          <w:rFonts w:ascii="宋体" w:hAnsi="宋体" w:cs="宋体"/>
          <w:color w:val="000000"/>
          <w:spacing w:val="-1"/>
          <w:w w:val="100"/>
          <w:position w:val="0"/>
          <w:sz w:val="21"/>
          <w:u w:val="none"/>
        </w:rPr>
        <w:t>18920</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w:t>
      </w:r>
    </w:p>
    <w:p>
      <w:pPr>
        <w:spacing w:before="0" w:after="0" w:line="315"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集成式厨房、卫生间应预留相应的给水、热水、排水管道接口，给水系统配水管道接口的形式和</w:t>
      </w:r>
    </w:p>
    <w:p>
      <w:pPr>
        <w:spacing w:before="0" w:after="0" w:line="309" w:lineRule="exact"/>
        <w:ind w:left="163" w:firstLine="0"/>
        <w:jc w:val="left"/>
      </w:pPr>
      <w:r>
        <w:rPr>
          <w:rFonts w:ascii="宋体" w:eastAsia="宋体" w:hAnsi="宋体" w:cs="宋体"/>
          <w:color w:val="000000"/>
          <w:spacing w:val="0"/>
          <w:w w:val="100"/>
          <w:position w:val="0"/>
          <w:sz w:val="21"/>
          <w:u w:val="none"/>
        </w:rPr>
        <w:t>位置应便于检修；</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给水分水器与用水器具的管道应一对一连接，管道中间不得有连接配件；宜采用装配式的管线及</w:t>
      </w:r>
    </w:p>
    <w:p>
      <w:pPr>
        <w:spacing w:before="0" w:after="0" w:line="309" w:lineRule="exact"/>
        <w:ind w:left="163" w:firstLine="0"/>
        <w:jc w:val="left"/>
      </w:pPr>
      <w:r>
        <w:rPr>
          <w:rFonts w:ascii="宋体" w:eastAsia="宋体" w:hAnsi="宋体" w:cs="宋体"/>
          <w:color w:val="000000"/>
          <w:spacing w:val="-1"/>
          <w:w w:val="100"/>
          <w:position w:val="0"/>
          <w:sz w:val="21"/>
          <w:u w:val="none"/>
        </w:rPr>
        <w:t>其配件连接；给水分水器位置应便于检修；</w:t>
      </w:r>
    </w:p>
    <w:p>
      <w:pPr>
        <w:spacing w:before="0" w:after="0" w:line="315"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2"/>
          <w:w w:val="100"/>
          <w:position w:val="0"/>
          <w:sz w:val="21"/>
          <w:u w:val="none"/>
        </w:rPr>
        <w:t>敷设在吊顶或楼地面架空层内的给水排水设备管线应采取防腐蚀、隔声减噪和防结露等措施；</w:t>
      </w:r>
    </w:p>
    <w:p>
      <w:pPr>
        <w:spacing w:before="0" w:after="0" w:line="312"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当建筑配置太阳能热水系统时，集热器、储水罐等的布置应与主体结构、外围护系统、内部装修</w:t>
      </w:r>
    </w:p>
    <w:p>
      <w:pPr>
        <w:spacing w:before="0" w:after="0" w:line="309" w:lineRule="exact"/>
        <w:ind w:left="163" w:firstLine="0"/>
        <w:jc w:val="left"/>
      </w:pPr>
      <w:r>
        <w:rPr>
          <w:rFonts w:ascii="宋体" w:eastAsia="宋体" w:hAnsi="宋体" w:cs="宋体"/>
          <w:color w:val="000000"/>
          <w:spacing w:val="-1"/>
          <w:w w:val="100"/>
          <w:position w:val="0"/>
          <w:sz w:val="21"/>
          <w:u w:val="none"/>
        </w:rPr>
        <w:t>系统相协调，做好预留预埋；</w:t>
      </w:r>
    </w:p>
    <w:p>
      <w:pPr>
        <w:spacing w:before="0" w:after="0" w:line="315" w:lineRule="exact"/>
        <w:ind w:left="163" w:firstLine="425"/>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排水管道宜采用同层排水技术；</w:t>
      </w:r>
    </w:p>
    <w:p>
      <w:pPr>
        <w:spacing w:before="0" w:after="0" w:line="312" w:lineRule="exact"/>
        <w:ind w:left="163" w:firstLine="425"/>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应选用耐腐蚀、使用寿命长、降噪性能好、便于安装及更换、连接可靠、密封性能好的管材、管</w:t>
      </w:r>
    </w:p>
    <w:p>
      <w:pPr>
        <w:spacing w:before="0" w:after="0" w:line="309" w:lineRule="exact"/>
        <w:ind w:left="163" w:firstLine="0"/>
        <w:jc w:val="left"/>
      </w:pPr>
      <w:r>
        <w:rPr>
          <w:rFonts w:ascii="宋体" w:hAnsi="宋体" w:cs="宋体"/>
          <w:color w:val="000000"/>
          <w:spacing w:val="-1"/>
          <w:w w:val="100"/>
          <w:position w:val="0"/>
          <w:sz w:val="21"/>
          <w:u w:val="none"/>
        </w:rPr>
        <w:t>件以及阀门设备。</w:t>
      </w:r>
    </w:p>
    <w:p>
      <w:pPr>
        <w:spacing w:before="0" w:after="0" w:line="315" w:lineRule="exact"/>
        <w:ind w:left="163" w:firstLine="0"/>
        <w:jc w:val="left"/>
      </w:pPr>
      <w:r>
        <w:rPr>
          <w:rFonts w:ascii="黑体" w:hAnsi="黑体" w:cs="黑体"/>
          <w:color w:val="000000"/>
          <w:spacing w:val="-1"/>
          <w:w w:val="100"/>
          <w:position w:val="0"/>
          <w:sz w:val="21"/>
          <w:u w:val="none"/>
        </w:rPr>
        <w:t>4.2.3.3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建筑供暖、通风、空调及燃气设计应符合下列规定：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室内供暖系统采用低温地板辐射供暖时，宜采用干法施工；</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室内供暖系统采用散热器供暖时，安装散热器的墙板构件应采取加强措施；</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采用集成式卫生间或采用同层排水架空地板时，不宜采用地板辐射供暖系统；</w:t>
      </w:r>
    </w:p>
    <w:p>
      <w:pPr>
        <w:spacing w:before="0" w:after="0" w:line="312"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冷热水管道固定于梁柱等钢构件上时，应采用绝热支架；</w:t>
      </w:r>
    </w:p>
    <w:p>
      <w:pPr>
        <w:spacing w:before="0" w:after="0" w:line="312"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供暖、通风、空气调节及防排烟系统的设备及管道系统宜结合建筑方案整体设计，并预留接口位</w:t>
      </w:r>
    </w:p>
    <w:p>
      <w:pPr>
        <w:spacing w:before="0" w:after="0" w:line="309" w:lineRule="exact"/>
        <w:ind w:left="163" w:firstLine="0"/>
        <w:jc w:val="left"/>
      </w:pPr>
      <w:r>
        <w:rPr>
          <w:rFonts w:ascii="宋体" w:eastAsia="宋体" w:hAnsi="宋体" w:cs="宋体"/>
          <w:color w:val="000000"/>
          <w:spacing w:val="-1"/>
          <w:w w:val="100"/>
          <w:position w:val="0"/>
          <w:sz w:val="21"/>
          <w:u w:val="none"/>
        </w:rPr>
        <w:t>置；设备基础和构件应连接牢固，并按设备技术文件的要求预留地脚螺栓孔洞；</w:t>
      </w:r>
    </w:p>
    <w:p>
      <w:pPr>
        <w:spacing w:before="0" w:after="0" w:line="315" w:lineRule="exact"/>
        <w:ind w:left="163" w:firstLine="425"/>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供暖、通风和空气调节设备均应选用节能型产品；</w:t>
      </w:r>
    </w:p>
    <w:p>
      <w:pPr>
        <w:spacing w:before="0" w:after="0" w:line="312" w:lineRule="exact"/>
        <w:ind w:left="163" w:firstLine="425"/>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燃气系统管线设计应符合现行国家标准</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《城镇燃气设计规范》GB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50028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2" w:lineRule="exact"/>
        <w:ind w:left="163" w:firstLine="0"/>
        <w:jc w:val="left"/>
      </w:pPr>
      <w:r>
        <w:rPr>
          <w:rFonts w:ascii="黑体" w:hAnsi="黑体" w:cs="黑体"/>
          <w:color w:val="000000"/>
          <w:spacing w:val="0"/>
          <w:w w:val="100"/>
          <w:position w:val="0"/>
          <w:sz w:val="21"/>
          <w:u w:val="none"/>
        </w:rPr>
        <w:t>4.2.3.4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电气和智能化设计应符合下列规定：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电气和智能化的设备与管线宜采用管线分离的方式；</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电气和智能化系统的竖向主干线应在公共区域的电气竖井内设置；</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当大型灯具、桥架、母线、配电设备等安装在预制构件上时，应采用预留预埋件固定；</w:t>
      </w:r>
    </w:p>
    <w:p>
      <w:pPr>
        <w:spacing w:before="0" w:after="0" w:line="312"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设置在预制部(构)件上的出线口、接线盒等的孔洞均应准确定位。隔墙两侧的电气和智能化设备</w:t>
      </w:r>
    </w:p>
    <w:p>
      <w:pPr>
        <w:spacing w:before="0" w:after="0" w:line="309" w:lineRule="exact"/>
        <w:ind w:left="163" w:firstLine="0"/>
        <w:jc w:val="left"/>
      </w:pPr>
      <w:r>
        <w:rPr>
          <w:rFonts w:ascii="宋体" w:eastAsia="宋体" w:hAnsi="宋体" w:cs="宋体"/>
          <w:color w:val="000000"/>
          <w:spacing w:val="-1"/>
          <w:w w:val="100"/>
          <w:position w:val="0"/>
          <w:sz w:val="21"/>
          <w:u w:val="none"/>
        </w:rPr>
        <w:t>不应直接连通设置；</w:t>
      </w:r>
    </w:p>
    <w:p>
      <w:pPr>
        <w:spacing w:before="0" w:after="0" w:line="315" w:lineRule="exact"/>
        <w:ind w:left="163"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防雷引下线和共用接地装置应充分利用钢结构自身作为防雷接地装置。构件连接部位应有永久性</w:t>
      </w:r>
    </w:p>
    <w:p>
      <w:pPr>
        <w:spacing w:before="0" w:after="0" w:line="309" w:lineRule="exact"/>
        <w:ind w:left="163" w:firstLine="0"/>
        <w:jc w:val="left"/>
      </w:pPr>
      <w:r>
        <w:rPr>
          <w:rFonts w:ascii="宋体" w:eastAsia="宋体" w:hAnsi="宋体" w:cs="宋体"/>
          <w:color w:val="000000"/>
          <w:spacing w:val="-1"/>
          <w:w w:val="100"/>
          <w:position w:val="0"/>
          <w:sz w:val="21"/>
          <w:u w:val="none"/>
        </w:rPr>
        <w:t>明显标记，其预留防雷装置的端头应可靠连接；</w:t>
      </w:r>
    </w:p>
    <w:p>
      <w:pPr>
        <w:spacing w:before="0" w:after="0" w:line="315" w:lineRule="exact"/>
        <w:ind w:left="163" w:firstLine="425"/>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钢结构基础应作为自然接地体，当接地电阻不满足要求时，应设人工接地体；</w:t>
      </w:r>
    </w:p>
    <w:p>
      <w:pPr>
        <w:spacing w:before="0" w:after="0" w:line="312" w:lineRule="exact"/>
        <w:ind w:left="163" w:firstLine="425"/>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接地端子应与建筑物本身的钢结构金属物连接。</w:t>
      </w:r>
    </w:p>
    <w:p>
      <w:pPr>
        <w:spacing w:before="0" w:after="0" w:line="378" w:lineRule="exact"/>
        <w:ind w:left="163" w:firstLine="0"/>
        <w:jc w:val="left"/>
        <w:sectPr>
          <w:type w:val="continuous"/>
          <w:pgSz w:w="11907" w:h="16840"/>
          <w:pgMar w:top="736" w:right="610" w:bottom="496" w:left="970" w:header="0" w:footer="0" w:gutter="0"/>
          <w:pgNumType w:start="50"/>
          <w:cols w:num="1" w:space="720"/>
        </w:sectPr>
      </w:pPr>
      <w:r>
        <w:rPr>
          <w:rFonts w:ascii="Microsoft YaHei UI" w:hAnsi="Microsoft YaHei UI" w:cs="Microsoft YaHei UI"/>
          <w:color w:val="000000"/>
          <w:spacing w:val="-17"/>
          <w:w w:val="100"/>
          <w:position w:val="0"/>
          <w:sz w:val="18"/>
          <w:u w:val="none"/>
        </w:rPr>
        <w:t>10</w:t>
      </w:r>
    </w:p>
    <w:p>
      <w:pPr>
        <w:spacing w:before="0" w:after="0" w:line="284" w:lineRule="exact"/>
        <w:ind w:left="163" w:firstLine="7855"/>
        <w:jc w:val="left"/>
      </w:pPr>
      <w:bookmarkStart w:id="18" w:name="18"/>
      <w:bookmarkEnd w:id="18"/>
      <w:r>
        <w:pict>
          <v:shape id="_x0000_s2070" o:spid="_x0000_s1045" type="#_x0000_t202" style="width:332pt;height:53pt;margin-top:397.7pt;margin-left:141.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163" w:firstLine="7855"/>
      </w:pPr>
    </w:p>
    <w:p>
      <w:pPr>
        <w:spacing w:before="0" w:after="0" w:line="240" w:lineRule="exact"/>
        <w:ind w:left="163" w:firstLine="7855"/>
      </w:pPr>
    </w:p>
    <w:p>
      <w:pPr>
        <w:spacing w:before="0" w:after="0" w:line="281" w:lineRule="exact"/>
        <w:ind w:left="163" w:firstLine="3823"/>
        <w:jc w:val="left"/>
      </w:pPr>
      <w:r>
        <w:rPr>
          <w:rFonts w:ascii="黑体" w:hAnsi="黑体" w:cs="黑体"/>
          <w:color w:val="000000"/>
          <w:spacing w:val="-1"/>
          <w:w w:val="100"/>
          <w:position w:val="0"/>
          <w:sz w:val="21"/>
          <w:u w:val="none"/>
        </w:rPr>
        <w:t>4.2.4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内部装修系统</w:t>
      </w:r>
    </w:p>
    <w:p>
      <w:pPr>
        <w:spacing w:before="0" w:after="0" w:line="240" w:lineRule="exact"/>
        <w:ind w:left="163" w:firstLine="3823"/>
      </w:pPr>
    </w:p>
    <w:p>
      <w:pPr>
        <w:spacing w:before="0" w:after="0" w:line="228" w:lineRule="exact"/>
        <w:ind w:left="163" w:firstLine="0"/>
        <w:jc w:val="left"/>
      </w:pPr>
      <w:r>
        <w:rPr>
          <w:rFonts w:ascii="黑体" w:hAnsi="黑体" w:cs="黑体"/>
          <w:color w:val="000000"/>
          <w:spacing w:val="-1"/>
          <w:w w:val="100"/>
          <w:position w:val="0"/>
          <w:sz w:val="21"/>
          <w:u w:val="none"/>
        </w:rPr>
        <w:t>4.2.4.1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内装部品设计与选型应符合国家现行有关抗震、防火、防水、防潮和隔声等标准的规定，并满</w:t>
      </w:r>
    </w:p>
    <w:p>
      <w:pPr>
        <w:spacing w:before="0" w:after="0" w:line="309" w:lineRule="exact"/>
        <w:ind w:left="163" w:firstLine="0"/>
        <w:jc w:val="left"/>
      </w:pPr>
      <w:r>
        <w:rPr>
          <w:rFonts w:ascii="宋体" w:hAnsi="宋体" w:cs="宋体"/>
          <w:color w:val="000000"/>
          <w:spacing w:val="-1"/>
          <w:w w:val="100"/>
          <w:position w:val="0"/>
          <w:sz w:val="21"/>
          <w:u w:val="none"/>
        </w:rPr>
        <w:t>足生产、运输和安装等要求。</w:t>
      </w:r>
    </w:p>
    <w:p>
      <w:pPr>
        <w:spacing w:before="0" w:after="0" w:line="315" w:lineRule="exact"/>
        <w:ind w:left="163" w:firstLine="0"/>
        <w:jc w:val="left"/>
      </w:pPr>
      <w:r>
        <w:rPr>
          <w:rFonts w:ascii="黑体" w:hAnsi="黑体" w:cs="黑体"/>
          <w:color w:val="000000"/>
          <w:spacing w:val="-1"/>
          <w:w w:val="100"/>
          <w:position w:val="0"/>
          <w:sz w:val="21"/>
          <w:u w:val="none"/>
        </w:rPr>
        <w:t>4.2.4.2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内装部品的设计与选型应满足绿色环保的要求，室内污染物限制应符合现行国家标准《民用建</w:t>
      </w:r>
    </w:p>
    <w:p>
      <w:pPr>
        <w:spacing w:before="0" w:after="0" w:line="309" w:lineRule="exact"/>
        <w:ind w:left="163" w:firstLine="0"/>
        <w:jc w:val="left"/>
      </w:pPr>
      <w:r>
        <w:rPr>
          <w:rFonts w:ascii="宋体" w:hAnsi="宋体" w:cs="宋体"/>
          <w:color w:val="000000"/>
          <w:spacing w:val="-1"/>
          <w:w w:val="100"/>
          <w:position w:val="0"/>
          <w:sz w:val="21"/>
          <w:u w:val="none"/>
        </w:rPr>
        <w:t>筑工程室内环境污染控制标准》GB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50325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的有关规定。</w:t>
      </w:r>
    </w:p>
    <w:p>
      <w:pPr>
        <w:spacing w:before="0" w:after="0" w:line="315" w:lineRule="exact"/>
        <w:ind w:left="163" w:firstLine="0"/>
        <w:jc w:val="left"/>
      </w:pPr>
      <w:r>
        <w:rPr>
          <w:rFonts w:ascii="黑体" w:hAnsi="黑体" w:cs="黑体"/>
          <w:color w:val="000000"/>
          <w:spacing w:val="-1"/>
          <w:w w:val="100"/>
          <w:position w:val="0"/>
          <w:sz w:val="21"/>
          <w:u w:val="none"/>
        </w:rPr>
        <w:t>4.2.4.3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内部装修系统设计应满足内装部品的连接、检修更换、物权归属和设备及管线工作年限的要求，</w:t>
      </w:r>
    </w:p>
    <w:p>
      <w:pPr>
        <w:spacing w:before="0" w:after="0" w:line="309" w:lineRule="exact"/>
        <w:ind w:left="163" w:firstLine="0"/>
        <w:jc w:val="left"/>
      </w:pPr>
      <w:r>
        <w:rPr>
          <w:rFonts w:ascii="宋体" w:hAnsi="宋体" w:cs="宋体"/>
          <w:color w:val="000000"/>
          <w:spacing w:val="-1"/>
          <w:w w:val="100"/>
          <w:position w:val="0"/>
          <w:sz w:val="21"/>
          <w:u w:val="none"/>
        </w:rPr>
        <w:t>内部装修系统设计宜采用管线分离的方式。</w:t>
      </w:r>
    </w:p>
    <w:p>
      <w:pPr>
        <w:spacing w:before="0" w:after="0" w:line="315" w:lineRule="exact"/>
        <w:ind w:left="163" w:firstLine="0"/>
        <w:jc w:val="left"/>
      </w:pPr>
      <w:r>
        <w:rPr>
          <w:rFonts w:ascii="黑体" w:hAnsi="黑体" w:cs="黑体"/>
          <w:color w:val="000000"/>
          <w:spacing w:val="-1"/>
          <w:w w:val="100"/>
          <w:position w:val="0"/>
          <w:sz w:val="21"/>
          <w:u w:val="none"/>
        </w:rPr>
        <w:t>4.2.4.4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梁柱包覆应与防火防腐构造结合，实现防火防腐包覆与内部装修系统的一体化，并应符合下列</w:t>
      </w:r>
    </w:p>
    <w:p>
      <w:pPr>
        <w:spacing w:before="0" w:after="0" w:line="309" w:lineRule="exact"/>
        <w:ind w:left="163" w:firstLine="0"/>
        <w:jc w:val="left"/>
      </w:pPr>
      <w:r>
        <w:rPr>
          <w:rFonts w:ascii="宋体" w:eastAsia="宋体" w:hAnsi="宋体" w:cs="宋体"/>
          <w:color w:val="000000"/>
          <w:spacing w:val="-1"/>
          <w:w w:val="100"/>
          <w:position w:val="0"/>
          <w:sz w:val="21"/>
          <w:u w:val="none"/>
        </w:rPr>
        <w:t>规定：</w:t>
      </w:r>
    </w:p>
    <w:p>
      <w:pPr>
        <w:spacing w:before="0" w:after="0" w:line="315"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内装部品安装不应破坏防火构造；</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宜采用防腐防火复合涂料；</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使用膨胀型防火涂料应预留膨胀空间；</w:t>
      </w:r>
    </w:p>
    <w:p>
      <w:pPr>
        <w:spacing w:before="0" w:after="0" w:line="312" w:lineRule="exact"/>
        <w:ind w:left="163"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设备与管线穿越防火保护层时，应按钢构件原耐火极限进行有效封堵。</w:t>
      </w:r>
    </w:p>
    <w:p>
      <w:pPr>
        <w:spacing w:before="0" w:after="0" w:line="312" w:lineRule="exact"/>
        <w:ind w:left="163" w:firstLine="0"/>
        <w:jc w:val="left"/>
      </w:pPr>
      <w:r>
        <w:rPr>
          <w:rFonts w:ascii="黑体" w:hAnsi="黑体" w:cs="黑体"/>
          <w:color w:val="000000"/>
          <w:spacing w:val="-1"/>
          <w:w w:val="100"/>
          <w:position w:val="0"/>
          <w:sz w:val="21"/>
          <w:u w:val="none"/>
        </w:rPr>
        <w:t>4.2.4.5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隔墙设计应采用装配式部品，并应符合下列规定：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可选龙骨类、轻质水泥基板类或轻质复合板类隔墙；</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龙骨类隔墙宜在空腔内敷设管线及接线盒等；</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当隔墙上需要固定电器、橱柜、洁具等较重设备或其他物品时，应采取加强措施，其承载力应满</w:t>
      </w:r>
    </w:p>
    <w:p>
      <w:pPr>
        <w:spacing w:before="0" w:after="0" w:line="309" w:lineRule="exact"/>
        <w:ind w:left="163" w:firstLine="0"/>
        <w:jc w:val="left"/>
      </w:pPr>
      <w:r>
        <w:rPr>
          <w:rFonts w:ascii="宋体" w:hAnsi="宋体" w:cs="宋体"/>
          <w:color w:val="000000"/>
          <w:spacing w:val="-1"/>
          <w:w w:val="100"/>
          <w:position w:val="0"/>
          <w:sz w:val="21"/>
          <w:u w:val="none"/>
        </w:rPr>
        <w:t>足相关要求。</w:t>
      </w:r>
    </w:p>
    <w:p>
      <w:pPr>
        <w:spacing w:before="0" w:after="0" w:line="315" w:lineRule="exact"/>
        <w:ind w:left="163" w:firstLine="0"/>
        <w:jc w:val="left"/>
      </w:pPr>
      <w:r>
        <w:rPr>
          <w:rFonts w:ascii="黑体" w:hAnsi="黑体" w:cs="黑体"/>
          <w:color w:val="000000"/>
          <w:spacing w:val="-1"/>
          <w:w w:val="100"/>
          <w:position w:val="0"/>
          <w:sz w:val="21"/>
          <w:u w:val="none"/>
        </w:rPr>
        <w:t>4.2.4.6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外墙内表面及分户墙表面宜采用满足干式工法施工要求的部品，墙面宜设置空腔层，并应与室</w:t>
      </w:r>
    </w:p>
    <w:p>
      <w:pPr>
        <w:spacing w:before="0" w:after="0" w:line="309" w:lineRule="exact"/>
        <w:ind w:left="163" w:firstLine="0"/>
        <w:jc w:val="left"/>
      </w:pPr>
      <w:r>
        <w:rPr>
          <w:rFonts w:ascii="宋体" w:hAnsi="宋体" w:cs="宋体"/>
          <w:color w:val="000000"/>
          <w:spacing w:val="-1"/>
          <w:w w:val="100"/>
          <w:position w:val="0"/>
          <w:sz w:val="21"/>
          <w:u w:val="none"/>
        </w:rPr>
        <w:t>内设备管线进行集成设计，并不得降低墙体的保温性能。</w:t>
      </w:r>
    </w:p>
    <w:p>
      <w:pPr>
        <w:spacing w:before="0" w:after="0" w:line="315" w:lineRule="exact"/>
        <w:ind w:left="163" w:firstLine="0"/>
        <w:jc w:val="left"/>
      </w:pPr>
      <w:r>
        <w:rPr>
          <w:rFonts w:ascii="黑体" w:hAnsi="黑体" w:cs="黑体"/>
          <w:color w:val="000000"/>
          <w:spacing w:val="-1"/>
          <w:w w:val="100"/>
          <w:position w:val="0"/>
          <w:sz w:val="21"/>
          <w:u w:val="none"/>
        </w:rPr>
        <w:t>4.2.4.7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吊顶设计宜采用装配式部品，并应符合下列规定：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当采用压型钢板组合楼板或钢筋桁架楼承板组合楼板时，应设置吊顶；</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当采用开口型压型钢板组合楼板或带肋混凝土楼盖时，宜利用楼板底部肋侧空间进行管线布置，</w:t>
      </w:r>
    </w:p>
    <w:p>
      <w:pPr>
        <w:spacing w:before="0" w:after="0" w:line="309" w:lineRule="exact"/>
        <w:ind w:left="163" w:firstLine="0"/>
        <w:jc w:val="left"/>
      </w:pPr>
      <w:r>
        <w:rPr>
          <w:rFonts w:ascii="宋体" w:eastAsia="宋体" w:hAnsi="宋体" w:cs="宋体"/>
          <w:color w:val="000000"/>
          <w:spacing w:val="0"/>
          <w:w w:val="100"/>
          <w:position w:val="0"/>
          <w:sz w:val="21"/>
          <w:u w:val="none"/>
        </w:rPr>
        <w:t>并设置吊顶；</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厨房、卫生间的吊顶在管线集中部位应设有检修口。</w:t>
      </w:r>
    </w:p>
    <w:p>
      <w:pPr>
        <w:spacing w:before="0" w:after="0" w:line="312" w:lineRule="exact"/>
        <w:ind w:left="163" w:firstLine="0"/>
        <w:jc w:val="left"/>
      </w:pPr>
      <w:r>
        <w:rPr>
          <w:rFonts w:ascii="黑体" w:hAnsi="黑体" w:cs="黑体"/>
          <w:color w:val="000000"/>
          <w:spacing w:val="-1"/>
          <w:w w:val="100"/>
          <w:position w:val="0"/>
          <w:sz w:val="21"/>
          <w:u w:val="none"/>
        </w:rPr>
        <w:t>4.2.4.8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装配式楼地面设计宜采用装配式部品，并应符合下列规定：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架空地板系统的架空层内宜敷设给水排水和供暖等管道；</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0"/>
          <w:w w:val="100"/>
          <w:position w:val="0"/>
          <w:sz w:val="21"/>
          <w:u w:val="none"/>
        </w:rPr>
        <w:t>架空地板高度应根据管线的管径、长度、坡度以及管线交叉情况进行计算，并宜采取减振措施；</w:t>
      </w:r>
    </w:p>
    <w:p>
      <w:pPr>
        <w:spacing w:before="0" w:after="0" w:line="240" w:lineRule="exact"/>
        <w:ind w:left="163" w:firstLine="425"/>
      </w:pPr>
    </w:p>
    <w:p>
      <w:pPr>
        <w:spacing w:before="0" w:after="0" w:line="384"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当楼地面系统架空层内敷设管线时，应设置检修口。</w:t>
      </w:r>
    </w:p>
    <w:p>
      <w:pPr>
        <w:spacing w:before="0" w:after="0" w:line="312" w:lineRule="exact"/>
        <w:ind w:left="163" w:firstLine="0"/>
        <w:jc w:val="left"/>
      </w:pPr>
      <w:r>
        <w:rPr>
          <w:rFonts w:ascii="黑体" w:hAnsi="黑体" w:cs="黑体"/>
          <w:color w:val="000000"/>
          <w:spacing w:val="-1"/>
          <w:w w:val="100"/>
          <w:position w:val="0"/>
          <w:sz w:val="21"/>
          <w:u w:val="none"/>
        </w:rPr>
        <w:t>4.2.4.9</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集成式厨房应符合下列规定：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应满足厨房设备设施点位预留的要求；</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给水排水、燃气管道等应集中设置、合理定位，并应设置管道检修口；</w:t>
      </w:r>
    </w:p>
    <w:p>
      <w:pPr>
        <w:spacing w:before="0" w:after="0" w:line="312"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宜采用排油烟管道同层直排的方式。</w:t>
      </w:r>
    </w:p>
    <w:p>
      <w:pPr>
        <w:spacing w:before="0" w:after="0" w:line="312" w:lineRule="exact"/>
        <w:ind w:left="163" w:firstLine="0"/>
        <w:jc w:val="left"/>
      </w:pPr>
      <w:r>
        <w:rPr>
          <w:rFonts w:ascii="黑体" w:hAnsi="黑体" w:cs="黑体"/>
          <w:color w:val="000000"/>
          <w:spacing w:val="-1"/>
          <w:w w:val="100"/>
          <w:position w:val="0"/>
          <w:sz w:val="21"/>
          <w:u w:val="none"/>
        </w:rPr>
        <w:t>4.2.4.10</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集成式卫生间应符合下列规定：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宜采用干湿区分离的布置方式，并应满足设备设施点位预留的要求；</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应满足同层排水的要求，给水排水、通风和电气等管线的连接均应在设计预留的空间内安装完成，</w:t>
      </w:r>
    </w:p>
    <w:p>
      <w:pPr>
        <w:spacing w:before="0" w:after="0" w:line="309" w:lineRule="exact"/>
        <w:ind w:left="163" w:firstLine="0"/>
        <w:jc w:val="left"/>
      </w:pPr>
      <w:r>
        <w:rPr>
          <w:rFonts w:ascii="宋体" w:eastAsia="宋体" w:hAnsi="宋体" w:cs="宋体"/>
          <w:color w:val="000000"/>
          <w:spacing w:val="0"/>
          <w:w w:val="100"/>
          <w:position w:val="0"/>
          <w:sz w:val="21"/>
          <w:u w:val="none"/>
        </w:rPr>
        <w:t>并应设置检修口；</w:t>
      </w:r>
    </w:p>
    <w:p>
      <w:pPr>
        <w:spacing w:before="0" w:after="0" w:line="315" w:lineRule="exact"/>
        <w:ind w:left="163"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当采用防水底盘时，防水底盘与墙板之间应有可靠连接设计。</w:t>
      </w:r>
    </w:p>
    <w:p>
      <w:pPr>
        <w:spacing w:before="0" w:after="0" w:line="312" w:lineRule="exact"/>
        <w:ind w:left="163" w:firstLine="0"/>
        <w:jc w:val="left"/>
      </w:pPr>
      <w:r>
        <w:rPr>
          <w:rFonts w:ascii="黑体" w:hAnsi="黑体" w:cs="黑体"/>
          <w:color w:val="000000"/>
          <w:spacing w:val="-1"/>
          <w:w w:val="100"/>
          <w:position w:val="0"/>
          <w:sz w:val="21"/>
          <w:u w:val="none"/>
        </w:rPr>
        <w:t>4.2.4.11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住宅建筑宜选用标准化系列化的整体收纳。</w:t>
      </w:r>
    </w:p>
    <w:p>
      <w:pPr>
        <w:spacing w:before="0" w:after="0" w:line="312" w:lineRule="exact"/>
        <w:ind w:left="163" w:firstLine="0"/>
        <w:jc w:val="left"/>
      </w:pPr>
      <w:r>
        <w:rPr>
          <w:rFonts w:ascii="黑体" w:hAnsi="黑体" w:cs="黑体"/>
          <w:color w:val="000000"/>
          <w:spacing w:val="-1"/>
          <w:w w:val="100"/>
          <w:position w:val="0"/>
          <w:sz w:val="21"/>
          <w:u w:val="none"/>
        </w:rPr>
        <w:t>4.2.4.12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轻钢结构装配装饰一体化建筑内部装修系统设计宜采用建筑信息模型(BIM)技术，与结构系统、</w:t>
      </w:r>
    </w:p>
    <w:p>
      <w:pPr>
        <w:spacing w:before="0" w:after="0" w:line="309" w:lineRule="exact"/>
        <w:ind w:left="163" w:firstLine="0"/>
        <w:jc w:val="left"/>
      </w:pPr>
      <w:r>
        <w:rPr>
          <w:rFonts w:ascii="宋体" w:hAnsi="宋体" w:cs="宋体"/>
          <w:color w:val="000000"/>
          <w:spacing w:val="0"/>
          <w:w w:val="100"/>
          <w:position w:val="0"/>
          <w:sz w:val="21"/>
          <w:u w:val="none"/>
        </w:rPr>
        <w:t>外围护系统、设备与管线系统进行一体化设计，预留洞口、预埋件、连接件、接口设计应准确到位。</w:t>
      </w:r>
    </w:p>
    <w:p>
      <w:pPr>
        <w:spacing w:before="0" w:after="0" w:line="315" w:lineRule="exact"/>
        <w:ind w:left="163" w:firstLine="0"/>
        <w:jc w:val="left"/>
      </w:pPr>
      <w:r>
        <w:rPr>
          <w:rFonts w:ascii="黑体" w:hAnsi="黑体" w:cs="黑体"/>
          <w:color w:val="000000"/>
          <w:spacing w:val="-1"/>
          <w:w w:val="100"/>
          <w:position w:val="0"/>
          <w:sz w:val="21"/>
          <w:u w:val="none"/>
        </w:rPr>
        <w:t>4.2.4.13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部品接口设计应符合部品与管线之间、部品之间连接的通用性要求，并应符合下列规定：</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接口应做到位置固定、连接合理、拆装方便及使用可靠；</w:t>
      </w:r>
    </w:p>
    <w:p>
      <w:pPr>
        <w:spacing w:before="0" w:after="0" w:line="312" w:lineRule="exact"/>
        <w:ind w:left="163"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各类接口尺寸应符合公差协调要求。</w:t>
      </w:r>
    </w:p>
    <w:p>
      <w:pPr>
        <w:spacing w:before="0" w:after="0" w:line="378" w:lineRule="exact"/>
        <w:ind w:left="163" w:firstLine="9461"/>
        <w:jc w:val="left"/>
        <w:sectPr>
          <w:type w:val="continuous"/>
          <w:pgSz w:w="11907" w:h="16839"/>
          <w:pgMar w:top="736" w:right="610" w:bottom="496" w:left="970" w:header="0" w:footer="0" w:gutter="0"/>
          <w:pgNumType w:start="51"/>
          <w:cols w:num="1" w:space="720"/>
        </w:sectPr>
      </w:pPr>
      <w:r>
        <w:rPr>
          <w:rFonts w:ascii="Microsoft YaHei UI" w:hAnsi="Microsoft YaHei UI" w:cs="Microsoft YaHei UI"/>
          <w:color w:val="000000"/>
          <w:spacing w:val="-17"/>
          <w:w w:val="100"/>
          <w:position w:val="0"/>
          <w:sz w:val="18"/>
          <w:u w:val="none"/>
        </w:rPr>
        <w:t>11</w:t>
      </w:r>
    </w:p>
    <w:p>
      <w:pPr>
        <w:spacing w:before="0" w:after="0" w:line="72" w:lineRule="exact"/>
      </w:pPr>
      <w:bookmarkStart w:id="19" w:name="19"/>
      <w:bookmarkEnd w:id="19"/>
    </w:p>
    <w:p>
      <w:pPr>
        <w:widowControl/>
        <w:jc w:val="left"/>
        <w:sectPr>
          <w:type w:val="continuous"/>
          <w:pgSz w:w="11907" w:h="16840"/>
          <w:pgMar w:top="736" w:right="610" w:bottom="496" w:left="970" w:header="0" w:footer="0" w:gutter="0"/>
          <w:pgNumType w:start="52"/>
          <w:cols w:num="1" w:space="720"/>
          <w:docGrid w:type="lines" w:linePitch="312" w:charSpace="0"/>
        </w:sectPr>
      </w:pPr>
    </w:p>
    <w:p>
      <w:pPr>
        <w:spacing w:before="0" w:after="0" w:line="212" w:lineRule="exact"/>
        <w:ind w:left="163" w:firstLine="0"/>
        <w:jc w:val="left"/>
      </w:pPr>
      <w:r>
        <w:pict>
          <v:shape id="imagerId185" o:spid="_x0000_s1046" type="#_x0000_t75" style="width:209pt;height:184pt;margin-top:163pt;margin-left:193pt;mso-height-relative:page;mso-position-horizontal-relative:page;mso-position-vertical-relative:page;mso-width-relative:page;position:absolute;z-index:-251636736" coordsize="21600,21600" filled="f">
            <v:imagedata r:id="rId8"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163" w:firstLine="0"/>
      </w:pPr>
    </w:p>
    <w:p>
      <w:pPr>
        <w:spacing w:before="0" w:after="0" w:line="365" w:lineRule="exact"/>
        <w:ind w:left="163" w:firstLine="0"/>
        <w:jc w:val="left"/>
      </w:pPr>
      <w:r>
        <w:rPr>
          <w:rFonts w:ascii="黑体" w:hAnsi="黑体" w:cs="黑体"/>
          <w:color w:val="000000"/>
          <w:spacing w:val="-1"/>
          <w:w w:val="100"/>
          <w:position w:val="0"/>
          <w:sz w:val="21"/>
          <w:u w:val="none"/>
        </w:rPr>
        <w:t>4.2.4.14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轻钢结构装配装饰一体化建筑的部品与钢构件的连接和接缝宜采用柔性设计，其缝隙变形能力</w:t>
      </w:r>
    </w:p>
    <w:p>
      <w:pPr>
        <w:spacing w:before="0" w:after="0" w:line="309" w:lineRule="exact"/>
        <w:ind w:left="163" w:firstLine="0"/>
        <w:jc w:val="left"/>
      </w:pPr>
      <w:r>
        <w:rPr>
          <w:rFonts w:ascii="宋体" w:hAnsi="宋体" w:cs="宋体"/>
          <w:color w:val="000000"/>
          <w:spacing w:val="-1"/>
          <w:w w:val="100"/>
          <w:position w:val="0"/>
          <w:sz w:val="21"/>
          <w:u w:val="none"/>
        </w:rPr>
        <w:t>应与结构弹性阶段的层间位移角相适应。</w:t>
      </w:r>
    </w:p>
    <w:p>
      <w:pPr>
        <w:spacing w:before="0" w:after="0" w:line="240" w:lineRule="exact"/>
        <w:ind w:left="163" w:firstLine="0"/>
      </w:pPr>
    </w:p>
    <w:p>
      <w:pPr>
        <w:spacing w:before="0" w:after="0" w:line="231" w:lineRule="exact"/>
        <w:ind w:left="163" w:firstLine="3929"/>
        <w:jc w:val="left"/>
      </w:pPr>
      <w:r>
        <w:rPr>
          <w:rFonts w:ascii="黑体" w:hAnsi="黑体" w:cs="黑体"/>
          <w:color w:val="000000"/>
          <w:spacing w:val="-1"/>
          <w:w w:val="100"/>
          <w:position w:val="0"/>
          <w:sz w:val="21"/>
          <w:u w:val="none"/>
        </w:rPr>
        <w:t>4.2.5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集成墙体板</w:t>
      </w:r>
    </w:p>
    <w:p>
      <w:pPr>
        <w:spacing w:before="0" w:after="0" w:line="240" w:lineRule="exact"/>
        <w:ind w:left="163" w:firstLine="3929"/>
      </w:pPr>
    </w:p>
    <w:p>
      <w:pPr>
        <w:spacing w:before="0" w:after="0" w:line="228" w:lineRule="exact"/>
        <w:ind w:left="163" w:firstLine="0"/>
        <w:jc w:val="left"/>
      </w:pPr>
      <w:r>
        <w:rPr>
          <w:rFonts w:ascii="黑体" w:hAnsi="黑体" w:cs="黑体"/>
          <w:color w:val="000000"/>
          <w:spacing w:val="-1"/>
          <w:w w:val="100"/>
          <w:position w:val="0"/>
          <w:sz w:val="21"/>
          <w:u w:val="none"/>
        </w:rPr>
        <w:t>4.2.5.1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装配装饰一体化建筑宜采用集成墙体板形式。集成墙体板是在墙体结构基础上集成外围系统、</w:t>
      </w:r>
    </w:p>
    <w:p>
      <w:pPr>
        <w:spacing w:before="0" w:after="0" w:line="309" w:lineRule="exact"/>
        <w:ind w:left="163" w:firstLine="0"/>
        <w:jc w:val="left"/>
      </w:pPr>
      <w:r>
        <w:rPr>
          <w:rFonts w:ascii="宋体" w:hAnsi="宋体" w:cs="宋体"/>
          <w:color w:val="000000"/>
          <w:spacing w:val="-1"/>
          <w:w w:val="100"/>
          <w:position w:val="0"/>
          <w:sz w:val="21"/>
          <w:u w:val="none"/>
        </w:rPr>
        <w:t>设备与管线系统、内部装修系统为一体的墙板结构(图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4.2.5.1)。</w:t>
      </w:r>
    </w:p>
    <w:p>
      <w:pPr>
        <w:widowControl/>
        <w:jc w:val="left"/>
        <w:sectPr>
          <w:type w:val="continuous"/>
          <w:pgSz w:w="11907" w:h="16840"/>
          <w:pgMar w:top="736" w:right="610" w:bottom="496" w:left="970" w:header="0" w:footer="0" w:gutter="0"/>
          <w:pgNumType w:start="53"/>
          <w:cols w:num="1" w:space="708" w:equalWidth="0">
            <w:col w:w="10327" w:space="0"/>
          </w:cols>
          <w:docGrid w:type="lines" w:linePitch="312" w:charSpace="0"/>
        </w:sectPr>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63" w:lineRule="exact"/>
        <w:ind w:left="163" w:firstLine="0"/>
      </w:pPr>
    </w:p>
    <w:p>
      <w:pPr>
        <w:widowControl/>
        <w:jc w:val="left"/>
        <w:sectPr>
          <w:type w:val="continuous"/>
          <w:pgSz w:w="11907" w:h="16840"/>
          <w:pgMar w:top="736" w:right="610" w:bottom="496" w:left="970" w:header="0" w:footer="0" w:gutter="0"/>
          <w:pgNumType w:start="54"/>
          <w:cols w:num="1" w:space="720"/>
          <w:docGrid w:type="lines" w:linePitch="312" w:charSpace="0"/>
        </w:sectPr>
      </w:pPr>
    </w:p>
    <w:p>
      <w:pPr>
        <w:spacing w:before="0" w:after="0" w:line="180" w:lineRule="exact"/>
        <w:ind w:left="163" w:firstLine="3852"/>
        <w:jc w:val="left"/>
      </w:pPr>
      <w:r>
        <w:pict>
          <v:shape id="_x0000_s2072" o:spid="_x0000_s1047" type="#_x0000_t202" style="width:332pt;height:53pt;margin-top:397.7pt;margin-left:141.6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4.2.5.1</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集成墙体板</w:t>
      </w:r>
    </w:p>
    <w:p>
      <w:pPr>
        <w:spacing w:before="0" w:after="0" w:line="312" w:lineRule="exact"/>
        <w:ind w:left="163" w:firstLine="1716"/>
        <w:jc w:val="left"/>
      </w:pPr>
      <w:r>
        <w:rPr>
          <w:rFonts w:ascii="宋体" w:eastAsia="宋体" w:hAnsi="宋体" w:cs="宋体"/>
          <w:color w:val="000000"/>
          <w:spacing w:val="-1"/>
          <w:w w:val="100"/>
          <w:position w:val="0"/>
          <w:sz w:val="18"/>
          <w:u w:val="none"/>
        </w:rPr>
        <w:t>1-墙体结构；2-内装饰层；3-保温填充；4-设备与管线；5-外围护层/内装饰层</w:t>
      </w:r>
    </w:p>
    <w:p>
      <w:pPr>
        <w:spacing w:before="0" w:after="0" w:line="240" w:lineRule="exact"/>
        <w:ind w:left="163" w:firstLine="1716"/>
      </w:pPr>
    </w:p>
    <w:p>
      <w:pPr>
        <w:spacing w:before="0" w:after="0" w:line="245" w:lineRule="exact"/>
        <w:ind w:left="163" w:firstLine="0"/>
        <w:jc w:val="left"/>
      </w:pPr>
      <w:r>
        <w:rPr>
          <w:rFonts w:ascii="黑体" w:hAnsi="黑体" w:cs="黑体"/>
          <w:color w:val="000000"/>
          <w:spacing w:val="0"/>
          <w:w w:val="100"/>
          <w:position w:val="0"/>
          <w:sz w:val="21"/>
          <w:u w:val="none"/>
        </w:rPr>
        <w:t>4.2.5.2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集成墙体板的墙体结构应符合本规程第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5.4.2</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条的有关规定。</w:t>
      </w:r>
    </w:p>
    <w:p>
      <w:pPr>
        <w:spacing w:before="0" w:after="0" w:line="312" w:lineRule="exact"/>
        <w:ind w:left="163" w:firstLine="0"/>
        <w:jc w:val="left"/>
      </w:pPr>
      <w:r>
        <w:rPr>
          <w:rFonts w:ascii="黑体" w:hAnsi="黑体" w:cs="黑体"/>
          <w:color w:val="000000"/>
          <w:spacing w:val="0"/>
          <w:w w:val="100"/>
          <w:position w:val="0"/>
          <w:sz w:val="21"/>
          <w:u w:val="none"/>
        </w:rPr>
        <w:t>4.2.5.3</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集成墙体板的外围系统应符合本规程第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4.2.2</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条的有关规定，外围护系统选材与安装固定方式</w:t>
      </w:r>
    </w:p>
    <w:p>
      <w:pPr>
        <w:spacing w:before="0" w:after="0" w:line="309" w:lineRule="exact"/>
        <w:ind w:left="163" w:firstLine="0"/>
        <w:jc w:val="left"/>
      </w:pPr>
      <w:r>
        <w:rPr>
          <w:rFonts w:ascii="宋体" w:hAnsi="宋体" w:cs="宋体"/>
          <w:color w:val="000000"/>
          <w:spacing w:val="-1"/>
          <w:w w:val="100"/>
          <w:position w:val="0"/>
          <w:sz w:val="21"/>
          <w:u w:val="none"/>
        </w:rPr>
        <w:t>应满足集成墙体板的运输吊装要求。</w:t>
      </w:r>
    </w:p>
    <w:p>
      <w:pPr>
        <w:spacing w:before="0" w:after="0" w:line="315" w:lineRule="exact"/>
        <w:ind w:left="163" w:firstLine="0"/>
        <w:jc w:val="left"/>
      </w:pPr>
      <w:r>
        <w:rPr>
          <w:rFonts w:ascii="黑体" w:hAnsi="黑体" w:cs="黑体"/>
          <w:color w:val="000000"/>
          <w:spacing w:val="0"/>
          <w:w w:val="100"/>
          <w:position w:val="0"/>
          <w:sz w:val="21"/>
          <w:u w:val="none"/>
        </w:rPr>
        <w:t>4.2.5.4</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集成墙体板的设备与管线系统应符合本规程第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4.2.3</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条的有关规定，设备与管线系统选材与安</w:t>
      </w:r>
    </w:p>
    <w:p>
      <w:pPr>
        <w:spacing w:before="0" w:after="0" w:line="309" w:lineRule="exact"/>
        <w:ind w:left="163" w:firstLine="0"/>
        <w:jc w:val="left"/>
      </w:pPr>
      <w:r>
        <w:rPr>
          <w:rFonts w:ascii="宋体" w:hAnsi="宋体" w:cs="宋体"/>
          <w:color w:val="000000"/>
          <w:spacing w:val="-1"/>
          <w:w w:val="100"/>
          <w:position w:val="0"/>
          <w:sz w:val="21"/>
          <w:u w:val="none"/>
        </w:rPr>
        <w:t>装固定方式应满足集成墙体板的运输吊装要求。</w:t>
      </w:r>
    </w:p>
    <w:p>
      <w:pPr>
        <w:spacing w:before="0" w:after="0" w:line="315" w:lineRule="exact"/>
        <w:ind w:left="163" w:firstLine="0"/>
        <w:jc w:val="left"/>
      </w:pPr>
      <w:r>
        <w:rPr>
          <w:rFonts w:ascii="黑体" w:hAnsi="黑体" w:cs="黑体"/>
          <w:color w:val="000000"/>
          <w:spacing w:val="0"/>
          <w:w w:val="100"/>
          <w:position w:val="0"/>
          <w:sz w:val="21"/>
          <w:u w:val="none"/>
        </w:rPr>
        <w:t>4.2.5.5</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集成墙体板的内部装修系统应符合本规程第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4.2.4</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条的有关规定，内部装修系统选材与安装固</w:t>
      </w:r>
    </w:p>
    <w:p>
      <w:pPr>
        <w:spacing w:before="0" w:after="0" w:line="309" w:lineRule="exact"/>
        <w:ind w:left="163" w:firstLine="0"/>
        <w:jc w:val="left"/>
      </w:pPr>
      <w:r>
        <w:rPr>
          <w:rFonts w:ascii="宋体" w:hAnsi="宋体" w:cs="宋体"/>
          <w:color w:val="000000"/>
          <w:spacing w:val="-1"/>
          <w:w w:val="100"/>
          <w:position w:val="0"/>
          <w:sz w:val="21"/>
          <w:u w:val="none"/>
        </w:rPr>
        <w:t>定方式应满足集成墙体板的运输吊装要求。</w:t>
      </w:r>
    </w:p>
    <w:p>
      <w:pPr>
        <w:spacing w:before="0" w:after="0" w:line="315" w:lineRule="exact"/>
        <w:ind w:left="163" w:firstLine="0"/>
        <w:jc w:val="left"/>
      </w:pPr>
      <w:r>
        <w:rPr>
          <w:rFonts w:ascii="黑体" w:hAnsi="黑体" w:cs="黑体"/>
          <w:color w:val="000000"/>
          <w:spacing w:val="-1"/>
          <w:w w:val="100"/>
          <w:position w:val="0"/>
          <w:sz w:val="21"/>
          <w:u w:val="none"/>
        </w:rPr>
        <w:t>4.2.5.6</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集成墙体板的外墙保温隔热可在墙体空腔中填充纤维类保温材料和(或)在墙体外铺设硬质板状</w:t>
      </w:r>
    </w:p>
    <w:p>
      <w:pPr>
        <w:spacing w:before="0" w:after="0" w:line="309" w:lineRule="exact"/>
        <w:ind w:left="163" w:firstLine="0"/>
        <w:jc w:val="left"/>
      </w:pPr>
      <w:r>
        <w:rPr>
          <w:rFonts w:ascii="宋体" w:hAnsi="宋体" w:cs="宋体"/>
          <w:color w:val="000000"/>
          <w:spacing w:val="-1"/>
          <w:w w:val="100"/>
          <w:position w:val="0"/>
          <w:sz w:val="21"/>
          <w:u w:val="none"/>
        </w:rPr>
        <w:t>保温材料。采用墙体空腔中填充纤维类保温材料时，热阻计算应考虑立柱等热桥构件的影响，保温材料宽</w:t>
      </w:r>
    </w:p>
    <w:p>
      <w:pPr>
        <w:spacing w:before="0" w:after="0" w:line="312" w:lineRule="exact"/>
        <w:ind w:left="163" w:firstLine="0"/>
        <w:jc w:val="left"/>
      </w:pPr>
      <w:r>
        <w:rPr>
          <w:rFonts w:ascii="宋体" w:eastAsia="宋体" w:hAnsi="宋体" w:cs="宋体"/>
          <w:color w:val="000000"/>
          <w:spacing w:val="-1"/>
          <w:w w:val="100"/>
          <w:position w:val="0"/>
          <w:sz w:val="21"/>
          <w:u w:val="none"/>
        </w:rPr>
        <w:t>度应等于或略大于立柱间距，厚度不宜小于立柱截面高度</w:t>
      </w:r>
    </w:p>
    <w:p>
      <w:pPr>
        <w:spacing w:before="0" w:after="0" w:line="315" w:lineRule="exact"/>
        <w:ind w:left="163" w:firstLine="0"/>
        <w:jc w:val="left"/>
      </w:pPr>
      <w:r>
        <w:rPr>
          <w:rFonts w:ascii="黑体" w:hAnsi="黑体" w:cs="黑体"/>
          <w:color w:val="000000"/>
          <w:spacing w:val="-1"/>
          <w:w w:val="100"/>
          <w:position w:val="0"/>
          <w:sz w:val="21"/>
          <w:u w:val="none"/>
        </w:rPr>
        <w:t>4.2.5.7</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外墙的外覆材料应符合现行国家或行业标准规定的耐</w:t>
      </w:r>
      <w:r>
        <w:rPr>
          <w:rFonts w:ascii="宋体" w:hAnsi="宋体" w:cs="宋体"/>
          <w:color w:val="000000"/>
          <w:spacing w:val="0"/>
          <w:w w:val="100"/>
          <w:position w:val="0"/>
          <w:sz w:val="21"/>
          <w:u w:val="none"/>
        </w:rPr>
        <w:t>久性、</w:t>
      </w:r>
      <w:r>
        <w:rPr>
          <w:rFonts w:ascii="宋体" w:eastAsia="宋体" w:hAnsi="宋体" w:cs="宋体"/>
          <w:color w:val="000000"/>
          <w:spacing w:val="0"/>
          <w:w w:val="100"/>
          <w:position w:val="0"/>
          <w:sz w:val="21"/>
          <w:u w:val="none"/>
        </w:rPr>
        <w:t>适用性以及防火性能的要求</w:t>
      </w:r>
      <w:r>
        <w:rPr>
          <w:rFonts w:ascii="宋体" w:hAnsi="宋体" w:cs="宋体"/>
          <w:color w:val="000000"/>
          <w:spacing w:val="0"/>
          <w:w w:val="100"/>
          <w:position w:val="0"/>
          <w:sz w:val="21"/>
          <w:u w:val="none"/>
        </w:rPr>
        <w:t>。在外</w:t>
      </w:r>
    </w:p>
    <w:p>
      <w:pPr>
        <w:spacing w:before="0" w:after="0" w:line="309" w:lineRule="exact"/>
        <w:ind w:left="163" w:firstLine="0"/>
        <w:jc w:val="left"/>
      </w:pPr>
      <w:r>
        <w:rPr>
          <w:rFonts w:ascii="宋体" w:hAnsi="宋体" w:cs="宋体"/>
          <w:color w:val="000000"/>
          <w:spacing w:val="-1"/>
          <w:w w:val="100"/>
          <w:position w:val="0"/>
          <w:sz w:val="21"/>
          <w:u w:val="none"/>
        </w:rPr>
        <w:t>覆材料内侧，结构覆面板材外侧，应设置防潮层，其物理性能、防水性能和水蒸气渗透性能应符合设计要</w:t>
      </w:r>
    </w:p>
    <w:p>
      <w:pPr>
        <w:spacing w:before="0" w:after="0" w:line="312" w:lineRule="exact"/>
        <w:ind w:left="163" w:firstLine="0"/>
        <w:jc w:val="left"/>
      </w:pPr>
      <w:r>
        <w:rPr>
          <w:rFonts w:ascii="宋体" w:hAnsi="宋体" w:cs="宋体"/>
          <w:color w:val="000000"/>
          <w:spacing w:val="-1"/>
          <w:w w:val="100"/>
          <w:position w:val="0"/>
          <w:sz w:val="21"/>
          <w:u w:val="none"/>
        </w:rPr>
        <w:t>求。门窗洞口周边、穿出墙的构件周边应以专用泛水材料密封处理，泛水材料可采用自粘性防水卷材或金</w:t>
      </w:r>
    </w:p>
    <w:p>
      <w:pPr>
        <w:spacing w:before="0" w:after="0" w:line="312" w:lineRule="exact"/>
        <w:ind w:left="163" w:firstLine="0"/>
        <w:jc w:val="left"/>
      </w:pPr>
      <w:r>
        <w:rPr>
          <w:rFonts w:ascii="宋体" w:hAnsi="宋体" w:cs="宋体"/>
          <w:color w:val="000000"/>
          <w:spacing w:val="-3"/>
          <w:w w:val="100"/>
          <w:position w:val="0"/>
          <w:sz w:val="21"/>
          <w:u w:val="none"/>
        </w:rPr>
        <w:t>属板材等。建筑围护结构设计应防止不良水汽凝结的发生。严寒和寒冷地区建筑的外墙，宜在保温材料(冬</w:t>
      </w:r>
    </w:p>
    <w:p>
      <w:pPr>
        <w:spacing w:before="0" w:after="0" w:line="312" w:lineRule="exact"/>
        <w:ind w:left="163" w:firstLine="0"/>
        <w:jc w:val="left"/>
      </w:pPr>
      <w:r>
        <w:rPr>
          <w:rFonts w:ascii="宋体" w:hAnsi="宋体" w:cs="宋体"/>
          <w:color w:val="000000"/>
          <w:spacing w:val="-1"/>
          <w:w w:val="100"/>
          <w:position w:val="0"/>
          <w:sz w:val="21"/>
          <w:u w:val="none"/>
        </w:rPr>
        <w:t>季)温度较高一侧设置一层隔汽层。施工时应确保保温材料、防潮层和隔汽层的连续性、密闭性、整体性。</w:t>
      </w:r>
    </w:p>
    <w:p>
      <w:pPr>
        <w:spacing w:before="0" w:after="0" w:line="240" w:lineRule="exact"/>
        <w:ind w:left="163" w:firstLine="0"/>
      </w:pPr>
    </w:p>
    <w:p>
      <w:pPr>
        <w:spacing w:before="0" w:after="0" w:line="231" w:lineRule="exact"/>
        <w:ind w:left="163" w:firstLine="3929"/>
        <w:jc w:val="left"/>
      </w:pPr>
      <w:r>
        <w:rPr>
          <w:rFonts w:ascii="黑体" w:hAnsi="黑体" w:cs="黑体"/>
          <w:color w:val="000000"/>
          <w:spacing w:val="-1"/>
          <w:w w:val="100"/>
          <w:position w:val="0"/>
          <w:sz w:val="21"/>
          <w:u w:val="none"/>
        </w:rPr>
        <w:t>4.2.6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集成楼盖板</w:t>
      </w:r>
    </w:p>
    <w:p>
      <w:pPr>
        <w:spacing w:before="0" w:after="0" w:line="240" w:lineRule="exact"/>
        <w:ind w:left="163" w:firstLine="3929"/>
      </w:pPr>
    </w:p>
    <w:p>
      <w:pPr>
        <w:spacing w:before="0" w:after="0" w:line="228" w:lineRule="exact"/>
        <w:ind w:left="163" w:firstLine="0"/>
        <w:jc w:val="left"/>
      </w:pPr>
      <w:r>
        <w:rPr>
          <w:rFonts w:ascii="黑体" w:hAnsi="黑体" w:cs="黑体"/>
          <w:color w:val="000000"/>
          <w:spacing w:val="-1"/>
          <w:w w:val="100"/>
          <w:position w:val="0"/>
          <w:sz w:val="21"/>
          <w:u w:val="none"/>
        </w:rPr>
        <w:t>4.2.6.1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装配装饰一体化建筑宜采用集成楼盖板形式。集成楼盖板是在楼盖结构基础上集成外围系统、</w:t>
      </w:r>
    </w:p>
    <w:p>
      <w:pPr>
        <w:spacing w:before="0" w:after="0" w:line="309" w:lineRule="exact"/>
        <w:ind w:left="163" w:firstLine="0"/>
        <w:jc w:val="left"/>
      </w:pPr>
      <w:r>
        <w:rPr>
          <w:rFonts w:ascii="宋体" w:hAnsi="宋体" w:cs="宋体"/>
          <w:color w:val="000000"/>
          <w:spacing w:val="-1"/>
          <w:w w:val="100"/>
          <w:position w:val="0"/>
          <w:sz w:val="21"/>
          <w:u w:val="none"/>
        </w:rPr>
        <w:t>设备与管线系统、内部装修系统为一体的墙板结构(图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4.2.6.1)。</w:t>
      </w:r>
    </w:p>
    <w:p>
      <w:pPr>
        <w:widowControl/>
        <w:jc w:val="left"/>
        <w:sectPr>
          <w:type w:val="continuous"/>
          <w:pgSz w:w="11907" w:h="16840"/>
          <w:pgMar w:top="736" w:right="610" w:bottom="496" w:left="970" w:header="0" w:footer="0" w:gutter="0"/>
          <w:pgNumType w:start="55"/>
          <w:cols w:num="1" w:space="708" w:equalWidth="0">
            <w:col w:w="10327" w:space="0"/>
          </w:cols>
          <w:docGrid w:type="lines" w:linePitch="312" w:charSpace="0"/>
        </w:sectPr>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40" w:lineRule="exact"/>
        <w:ind w:left="163" w:firstLine="0"/>
      </w:pPr>
    </w:p>
    <w:p>
      <w:pPr>
        <w:spacing w:before="0" w:after="0" w:line="272" w:lineRule="exact"/>
        <w:ind w:left="163" w:firstLine="0"/>
      </w:pPr>
    </w:p>
    <w:p>
      <w:pPr>
        <w:widowControl/>
        <w:jc w:val="left"/>
        <w:sectPr>
          <w:type w:val="continuous"/>
          <w:pgSz w:w="11907" w:h="16840"/>
          <w:pgMar w:top="736" w:right="610" w:bottom="496" w:left="970" w:header="0" w:footer="0" w:gutter="0"/>
          <w:pgNumType w:start="56"/>
          <w:cols w:num="1" w:space="720"/>
          <w:docGrid w:type="lines" w:linePitch="312" w:charSpace="0"/>
        </w:sectPr>
      </w:pPr>
    </w:p>
    <w:p>
      <w:pPr>
        <w:spacing w:before="0" w:after="0" w:line="217" w:lineRule="exact"/>
        <w:ind w:left="163" w:firstLine="0"/>
        <w:jc w:val="left"/>
      </w:pPr>
      <w:r>
        <w:rPr>
          <w:rFonts w:ascii="Microsoft YaHei UI" w:hAnsi="Microsoft YaHei UI" w:cs="Microsoft YaHei UI"/>
          <w:color w:val="000000"/>
          <w:spacing w:val="-17"/>
          <w:w w:val="100"/>
          <w:position w:val="0"/>
          <w:sz w:val="18"/>
          <w:u w:val="none"/>
        </w:rPr>
        <w:t>12</w:t>
      </w:r>
    </w:p>
    <w:p>
      <w:pPr>
        <w:widowControl/>
        <w:jc w:val="left"/>
        <w:sectPr>
          <w:type w:val="continuous"/>
          <w:pgSz w:w="11907" w:h="16840"/>
          <w:pgMar w:top="736" w:right="610" w:bottom="496" w:left="970" w:header="0" w:footer="0" w:gutter="0"/>
          <w:pgNumType w:start="57"/>
          <w:cols w:num="1" w:space="708" w:equalWidth="0">
            <w:col w:w="10327" w:space="0"/>
          </w:cols>
          <w:docGrid w:type="lines" w:linePitch="312" w:charSpace="0"/>
        </w:sectPr>
      </w:pPr>
    </w:p>
    <w:p>
      <w:pPr>
        <w:spacing w:before="0" w:after="0" w:line="72" w:lineRule="exact"/>
      </w:pPr>
      <w:bookmarkStart w:id="20" w:name="20"/>
      <w:bookmarkEnd w:id="20"/>
    </w:p>
    <w:p>
      <w:pPr>
        <w:widowControl/>
        <w:jc w:val="left"/>
        <w:sectPr>
          <w:type w:val="continuous"/>
          <w:pgSz w:w="11907" w:h="16839"/>
          <w:pgMar w:top="736" w:right="713" w:bottom="496" w:left="1073" w:header="0" w:footer="0" w:gutter="0"/>
          <w:pgNumType w:start="58"/>
          <w:cols w:num="1" w:space="720"/>
          <w:docGrid w:type="lines" w:linePitch="312" w:charSpace="0"/>
        </w:sectPr>
      </w:pPr>
    </w:p>
    <w:p>
      <w:pPr>
        <w:spacing w:before="0" w:after="0" w:line="212" w:lineRule="exact"/>
        <w:ind w:left="7915" w:firstLine="0"/>
        <w:jc w:val="left"/>
      </w:pPr>
      <w:r>
        <w:pict>
          <v:shape id="imagerId186" o:spid="_x0000_s1048" type="#_x0000_t75" style="width:205pt;height:125pt;margin-top:68pt;margin-left:195pt;mso-height-relative:page;mso-position-horizontal-relative:page;mso-position-vertical-relative:page;mso-width-relative:page;position:absolute;z-index:-251634688" coordsize="21600,21600" filled="f">
            <v:imagedata r:id="rId9" o:title=""/>
            <o:lock v:ext="edit" aspectratio="t"/>
          </v:shape>
        </w:pict>
      </w:r>
      <w:r>
        <w:pict>
          <v:shape id="imagerId187" o:spid="_x0000_s1049" type="#_x0000_t75" style="width:193pt;height:122pt;margin-top:623pt;margin-left:201pt;mso-height-relative:page;mso-position-horizontal-relative:page;mso-position-vertical-relative:page;mso-width-relative:page;position:absolute;z-index:-251633664" coordsize="21600,21600" filled="f">
            <v:imagedata r:id="rId10"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widowControl/>
        <w:jc w:val="left"/>
        <w:sectPr>
          <w:type w:val="continuous"/>
          <w:pgSz w:w="11907" w:h="16839"/>
          <w:pgMar w:top="736" w:right="713" w:bottom="496" w:left="1073" w:header="0" w:footer="0" w:gutter="0"/>
          <w:pgNumType w:start="59"/>
          <w:cols w:num="1" w:space="708" w:equalWidth="0">
            <w:col w:w="10121" w:space="0"/>
          </w:cols>
          <w:docGrid w:type="lines" w:linePitch="312" w:charSpace="0"/>
        </w:sectPr>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40" w:lineRule="exact"/>
        <w:ind w:left="7915" w:firstLine="0"/>
      </w:pPr>
    </w:p>
    <w:p>
      <w:pPr>
        <w:spacing w:before="0" w:after="0" w:line="264" w:lineRule="exact"/>
        <w:ind w:left="7915" w:firstLine="0"/>
      </w:pPr>
    </w:p>
    <w:p>
      <w:pPr>
        <w:widowControl/>
        <w:jc w:val="left"/>
        <w:sectPr>
          <w:type w:val="continuous"/>
          <w:pgSz w:w="11907" w:h="16839"/>
          <w:pgMar w:top="736" w:right="713" w:bottom="496" w:left="1073" w:header="0" w:footer="0" w:gutter="0"/>
          <w:pgNumType w:start="60"/>
          <w:cols w:num="1" w:space="720"/>
          <w:docGrid w:type="lines" w:linePitch="312" w:charSpace="0"/>
        </w:sectPr>
      </w:pPr>
    </w:p>
    <w:p>
      <w:pPr>
        <w:spacing w:before="0" w:after="0" w:line="180" w:lineRule="exact"/>
        <w:ind w:left="60" w:firstLine="3852"/>
        <w:jc w:val="left"/>
      </w:pPr>
      <w:r>
        <w:pict>
          <v:shape id="_x0000_s2075" o:spid="_x0000_s1050" type="#_x0000_t202" style="width:332pt;height:53pt;margin-top:397.7pt;margin-left:141.6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4.2.6.1</w:t>
      </w:r>
      <w:r>
        <w:rPr>
          <w:rFonts w:ascii="Calibri" w:hAnsi="Calibri" w:cs="Calibri"/>
          <w:color w:val="000000"/>
          <w:spacing w:val="0"/>
          <w:w w:val="169"/>
          <w:sz w:val="24"/>
          <w:u w:val="none"/>
        </w:rPr>
        <w:t>  </w:t>
      </w:r>
      <w:r>
        <w:rPr>
          <w:rFonts w:ascii="宋体" w:eastAsia="宋体" w:hAnsi="宋体" w:cs="宋体"/>
          <w:color w:val="000000"/>
          <w:spacing w:val="-1"/>
          <w:w w:val="100"/>
          <w:position w:val="0"/>
          <w:sz w:val="18"/>
          <w:u w:val="none"/>
        </w:rPr>
        <w:t>集成楼盖板</w:t>
      </w:r>
    </w:p>
    <w:p>
      <w:pPr>
        <w:spacing w:before="0" w:after="0" w:line="312" w:lineRule="exact"/>
        <w:ind w:left="60" w:firstLine="2256"/>
        <w:jc w:val="left"/>
      </w:pPr>
      <w:r>
        <w:rPr>
          <w:rFonts w:ascii="宋体" w:eastAsia="宋体" w:hAnsi="宋体" w:cs="宋体"/>
          <w:color w:val="000000"/>
          <w:spacing w:val="-1"/>
          <w:w w:val="100"/>
          <w:position w:val="0"/>
          <w:sz w:val="18"/>
          <w:u w:val="none"/>
        </w:rPr>
        <w:t>1-楼盖梁结构；2-内装饰层/外围系统；3-预设管线；4-保温填充</w:t>
      </w:r>
    </w:p>
    <w:p>
      <w:pPr>
        <w:spacing w:before="0" w:after="0" w:line="240" w:lineRule="exact"/>
        <w:ind w:left="60" w:firstLine="2256"/>
      </w:pPr>
    </w:p>
    <w:p>
      <w:pPr>
        <w:spacing w:before="0" w:after="0" w:line="245" w:lineRule="exact"/>
        <w:ind w:left="60" w:firstLine="0"/>
        <w:jc w:val="left"/>
      </w:pPr>
      <w:r>
        <w:rPr>
          <w:rFonts w:ascii="黑体" w:hAnsi="黑体" w:cs="黑体"/>
          <w:color w:val="000000"/>
          <w:spacing w:val="0"/>
          <w:w w:val="100"/>
          <w:position w:val="0"/>
          <w:sz w:val="21"/>
          <w:u w:val="none"/>
        </w:rPr>
        <w:t>4.2.6.2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集成楼盖板的楼盖结构应符合本规程第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5.3.2</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条的有关规定。</w:t>
      </w:r>
    </w:p>
    <w:p>
      <w:pPr>
        <w:spacing w:before="0" w:after="0" w:line="312" w:lineRule="exact"/>
        <w:ind w:left="60" w:firstLine="0"/>
        <w:jc w:val="left"/>
      </w:pPr>
      <w:r>
        <w:rPr>
          <w:rFonts w:ascii="黑体" w:hAnsi="黑体" w:cs="黑体"/>
          <w:color w:val="000000"/>
          <w:spacing w:val="0"/>
          <w:w w:val="100"/>
          <w:position w:val="0"/>
          <w:sz w:val="21"/>
          <w:u w:val="none"/>
        </w:rPr>
        <w:t>4.2.6.3</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集成楼盖板的外围系统应符合本规程第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4.2.2</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条的有关规定，外围护系统选材与安装固定方式</w:t>
      </w:r>
    </w:p>
    <w:p>
      <w:pPr>
        <w:spacing w:before="0" w:after="0" w:line="309" w:lineRule="exact"/>
        <w:ind w:left="60" w:firstLine="0"/>
        <w:jc w:val="left"/>
      </w:pPr>
      <w:r>
        <w:rPr>
          <w:rFonts w:ascii="宋体" w:hAnsi="宋体" w:cs="宋体"/>
          <w:color w:val="000000"/>
          <w:spacing w:val="-1"/>
          <w:w w:val="100"/>
          <w:position w:val="0"/>
          <w:sz w:val="21"/>
          <w:u w:val="none"/>
        </w:rPr>
        <w:t>应满足集成楼盖板的运输吊装要求。</w:t>
      </w:r>
    </w:p>
    <w:p>
      <w:pPr>
        <w:spacing w:before="0" w:after="0" w:line="315" w:lineRule="exact"/>
        <w:ind w:left="60" w:firstLine="0"/>
        <w:jc w:val="left"/>
      </w:pPr>
      <w:r>
        <w:rPr>
          <w:rFonts w:ascii="黑体" w:hAnsi="黑体" w:cs="黑体"/>
          <w:color w:val="000000"/>
          <w:spacing w:val="0"/>
          <w:w w:val="100"/>
          <w:position w:val="0"/>
          <w:sz w:val="21"/>
          <w:u w:val="none"/>
        </w:rPr>
        <w:t>4.2.6.4</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集成楼盖板的设备与管线系统应符合本规程第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4.2.3</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条的有关规定，设备与管线系统选材与安装</w:t>
      </w:r>
    </w:p>
    <w:p>
      <w:pPr>
        <w:spacing w:before="0" w:after="0" w:line="309" w:lineRule="exact"/>
        <w:ind w:left="60" w:firstLine="0"/>
        <w:jc w:val="left"/>
      </w:pPr>
      <w:r>
        <w:rPr>
          <w:rFonts w:ascii="宋体" w:hAnsi="宋体" w:cs="宋体"/>
          <w:color w:val="000000"/>
          <w:spacing w:val="-1"/>
          <w:w w:val="100"/>
          <w:position w:val="0"/>
          <w:sz w:val="21"/>
          <w:u w:val="none"/>
        </w:rPr>
        <w:t>固定方式应满足集成楼盖板的运输吊装要求。</w:t>
      </w:r>
    </w:p>
    <w:p>
      <w:pPr>
        <w:spacing w:before="0" w:after="0" w:line="315" w:lineRule="exact"/>
        <w:ind w:left="60" w:firstLine="0"/>
        <w:jc w:val="left"/>
      </w:pPr>
      <w:r>
        <w:rPr>
          <w:rFonts w:ascii="黑体" w:hAnsi="黑体" w:cs="黑体"/>
          <w:color w:val="000000"/>
          <w:spacing w:val="0"/>
          <w:w w:val="100"/>
          <w:position w:val="0"/>
          <w:sz w:val="21"/>
          <w:u w:val="none"/>
        </w:rPr>
        <w:t>4.2.6.5</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集成楼盖板的内部装修系统应符合本规程第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4.2.4</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条的有关规定，内部装修系统选材与安装固</w:t>
      </w:r>
    </w:p>
    <w:p>
      <w:pPr>
        <w:spacing w:before="0" w:after="0" w:line="309" w:lineRule="exact"/>
        <w:ind w:left="60" w:firstLine="0"/>
        <w:jc w:val="left"/>
      </w:pPr>
      <w:r>
        <w:rPr>
          <w:rFonts w:ascii="宋体" w:hAnsi="宋体" w:cs="宋体"/>
          <w:color w:val="000000"/>
          <w:spacing w:val="-1"/>
          <w:w w:val="100"/>
          <w:position w:val="0"/>
          <w:sz w:val="21"/>
          <w:u w:val="none"/>
        </w:rPr>
        <w:t>定方式应满足集成楼盖板的运输吊装要求。</w:t>
      </w:r>
    </w:p>
    <w:p>
      <w:pPr>
        <w:spacing w:before="0" w:after="0" w:line="315" w:lineRule="exact"/>
        <w:ind w:left="60" w:firstLine="0"/>
        <w:jc w:val="left"/>
      </w:pPr>
      <w:r>
        <w:rPr>
          <w:rFonts w:ascii="黑体" w:hAnsi="黑体" w:cs="黑体"/>
          <w:color w:val="000000"/>
          <w:spacing w:val="0"/>
          <w:w w:val="100"/>
          <w:position w:val="0"/>
          <w:sz w:val="21"/>
          <w:u w:val="none"/>
        </w:rPr>
        <w:t>4.2.6.6</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集成楼盖板的屋面保温隔热可采用保温材料在顶层屋顶上方平铺的方法</w:t>
      </w:r>
      <w:r>
        <w:rPr>
          <w:rFonts w:ascii="宋体" w:hAnsi="宋体" w:cs="宋体"/>
          <w:color w:val="000000"/>
          <w:spacing w:val="0"/>
          <w:w w:val="100"/>
          <w:position w:val="0"/>
          <w:sz w:val="21"/>
          <w:u w:val="none"/>
        </w:rPr>
        <w:t>。采用</w:t>
      </w:r>
      <w:r>
        <w:rPr>
          <w:rFonts w:ascii="宋体" w:eastAsia="宋体" w:hAnsi="宋体" w:cs="宋体"/>
          <w:color w:val="000000"/>
          <w:spacing w:val="0"/>
          <w:w w:val="100"/>
          <w:position w:val="0"/>
          <w:sz w:val="21"/>
          <w:u w:val="none"/>
        </w:rPr>
        <w:t>保温材料在顶</w:t>
      </w:r>
      <w:r>
        <w:rPr>
          <w:rFonts w:ascii="宋体" w:eastAsia="宋体" w:hAnsi="宋体" w:cs="宋体"/>
          <w:color w:val="000000"/>
          <w:spacing w:val="-2"/>
          <w:w w:val="100"/>
          <w:position w:val="0"/>
          <w:sz w:val="21"/>
          <w:u w:val="none"/>
        </w:rPr>
        <w:t>层</w:t>
      </w:r>
    </w:p>
    <w:p>
      <w:pPr>
        <w:spacing w:before="0" w:after="0" w:line="309" w:lineRule="exact"/>
        <w:ind w:left="60" w:firstLine="0"/>
        <w:jc w:val="left"/>
      </w:pPr>
      <w:r>
        <w:rPr>
          <w:rFonts w:ascii="宋体" w:hAnsi="宋体" w:cs="宋体"/>
          <w:color w:val="000000"/>
          <w:spacing w:val="-1"/>
          <w:w w:val="100"/>
          <w:position w:val="0"/>
          <w:sz w:val="21"/>
          <w:u w:val="none"/>
        </w:rPr>
        <w:t>屋顶上方平铺的方式时，在顶层墙体顶端和墙体与屋盖系统连接处，应确保保温材料、隔汽层和防潮层的</w:t>
      </w:r>
    </w:p>
    <w:p>
      <w:pPr>
        <w:spacing w:before="0" w:after="0" w:line="312" w:lineRule="exact"/>
        <w:ind w:left="60" w:firstLine="0"/>
        <w:jc w:val="left"/>
      </w:pPr>
      <w:r>
        <w:rPr>
          <w:rFonts w:ascii="宋体" w:hAnsi="宋体" w:cs="宋体"/>
          <w:color w:val="000000"/>
          <w:spacing w:val="-1"/>
          <w:w w:val="100"/>
          <w:position w:val="0"/>
          <w:sz w:val="21"/>
          <w:u w:val="none"/>
        </w:rPr>
        <w:t>连续性和密闭性。</w:t>
      </w:r>
    </w:p>
    <w:p>
      <w:pPr>
        <w:spacing w:before="0" w:after="0" w:line="315" w:lineRule="exact"/>
        <w:ind w:left="60" w:firstLine="0"/>
        <w:jc w:val="left"/>
      </w:pPr>
      <w:r>
        <w:rPr>
          <w:rFonts w:ascii="黑体" w:hAnsi="黑体" w:cs="黑体"/>
          <w:color w:val="000000"/>
          <w:spacing w:val="0"/>
          <w:w w:val="100"/>
          <w:position w:val="0"/>
          <w:sz w:val="21"/>
          <w:u w:val="none"/>
        </w:rPr>
        <w:t>4.2.6.7</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屋顶的外覆材料应符合现行国家或行业标准规定的耐</w:t>
      </w:r>
      <w:r>
        <w:rPr>
          <w:rFonts w:ascii="宋体" w:hAnsi="宋体" w:cs="宋体"/>
          <w:color w:val="000000"/>
          <w:spacing w:val="0"/>
          <w:w w:val="100"/>
          <w:position w:val="0"/>
          <w:sz w:val="21"/>
          <w:u w:val="none"/>
        </w:rPr>
        <w:t>久性、</w:t>
      </w:r>
      <w:r>
        <w:rPr>
          <w:rFonts w:ascii="宋体" w:eastAsia="宋体" w:hAnsi="宋体" w:cs="宋体"/>
          <w:color w:val="000000"/>
          <w:spacing w:val="0"/>
          <w:w w:val="100"/>
          <w:position w:val="0"/>
          <w:sz w:val="21"/>
          <w:u w:val="none"/>
        </w:rPr>
        <w:t>适用性以及防火性能的要求</w:t>
      </w:r>
      <w:r>
        <w:rPr>
          <w:rFonts w:ascii="宋体" w:hAnsi="宋体" w:cs="宋体"/>
          <w:color w:val="000000"/>
          <w:spacing w:val="0"/>
          <w:w w:val="100"/>
          <w:position w:val="0"/>
          <w:sz w:val="21"/>
          <w:u w:val="none"/>
        </w:rPr>
        <w:t>。门窗</w:t>
      </w:r>
    </w:p>
    <w:p>
      <w:pPr>
        <w:spacing w:before="0" w:after="0" w:line="309" w:lineRule="exact"/>
        <w:ind w:left="60" w:firstLine="0"/>
        <w:jc w:val="left"/>
      </w:pPr>
      <w:r>
        <w:rPr>
          <w:rFonts w:ascii="宋体" w:hAnsi="宋体" w:cs="宋体"/>
          <w:color w:val="000000"/>
          <w:spacing w:val="-1"/>
          <w:w w:val="100"/>
          <w:position w:val="0"/>
          <w:sz w:val="21"/>
          <w:u w:val="none"/>
        </w:rPr>
        <w:t>洞口周边、穿出屋面的构件周边应以专用泛水材料密封处理，泛水材料可采用自粘性防水卷材或金属板材</w:t>
      </w:r>
    </w:p>
    <w:p>
      <w:pPr>
        <w:spacing w:before="0" w:after="0" w:line="312" w:lineRule="exact"/>
        <w:ind w:left="60" w:firstLine="0"/>
        <w:jc w:val="left"/>
      </w:pPr>
      <w:r>
        <w:rPr>
          <w:rFonts w:ascii="宋体" w:hAnsi="宋体" w:cs="宋体"/>
          <w:color w:val="000000"/>
          <w:spacing w:val="-1"/>
          <w:w w:val="100"/>
          <w:position w:val="0"/>
          <w:sz w:val="21"/>
          <w:u w:val="none"/>
        </w:rPr>
        <w:t>等。建筑围护结构设计应防止不良水汽凝结的发生。严寒和寒冷地区建筑的屋顶如果不采取通风措施，宜</w:t>
      </w:r>
    </w:p>
    <w:p>
      <w:pPr>
        <w:spacing w:before="0" w:after="0" w:line="312" w:lineRule="exact"/>
        <w:ind w:left="60" w:firstLine="0"/>
        <w:jc w:val="left"/>
      </w:pPr>
      <w:r>
        <w:rPr>
          <w:rFonts w:ascii="宋体" w:hAnsi="宋体" w:cs="宋体"/>
          <w:color w:val="000000"/>
          <w:spacing w:val="-1"/>
          <w:w w:val="100"/>
          <w:position w:val="0"/>
          <w:sz w:val="21"/>
          <w:u w:val="none"/>
        </w:rPr>
        <w:t>在保温材料(冬季)温度较高一侧设置一层隔汽层。屋顶保温材料与屋面结构板材间的屋顶空气间层宜采用</w:t>
      </w:r>
    </w:p>
    <w:p>
      <w:pPr>
        <w:spacing w:before="0" w:after="0" w:line="312" w:lineRule="exact"/>
        <w:ind w:left="60" w:firstLine="0"/>
        <w:jc w:val="left"/>
      </w:pPr>
      <w:r>
        <w:rPr>
          <w:rFonts w:ascii="宋体" w:hAnsi="宋体" w:cs="宋体"/>
          <w:color w:val="000000"/>
          <w:spacing w:val="-1"/>
          <w:w w:val="100"/>
          <w:position w:val="0"/>
          <w:sz w:val="21"/>
          <w:u w:val="none"/>
        </w:rPr>
        <w:t>通风设计，并应确保屋顶空气间层中空气流动通道的通畅。在屋顶通风口处应设置防止白蚁等有害昆虫进</w:t>
      </w:r>
    </w:p>
    <w:p>
      <w:pPr>
        <w:spacing w:before="0" w:after="0" w:line="312" w:lineRule="exact"/>
        <w:ind w:left="60" w:firstLine="0"/>
        <w:jc w:val="left"/>
      </w:pPr>
      <w:r>
        <w:rPr>
          <w:rFonts w:ascii="宋体" w:hAnsi="宋体" w:cs="宋体"/>
          <w:color w:val="000000"/>
          <w:spacing w:val="-1"/>
          <w:w w:val="100"/>
          <w:position w:val="0"/>
          <w:sz w:val="21"/>
          <w:u w:val="none"/>
        </w:rPr>
        <w:t>入屋顶通风间层的保护网。室内的排气管道宜通至室外，不宜将室内气体排入屋顶通风间层内。</w:t>
      </w:r>
    </w:p>
    <w:p>
      <w:pPr>
        <w:spacing w:before="0" w:after="0" w:line="240" w:lineRule="exact"/>
        <w:ind w:left="60" w:firstLine="0"/>
      </w:pPr>
    </w:p>
    <w:p>
      <w:pPr>
        <w:spacing w:before="0" w:after="0" w:line="231" w:lineRule="exact"/>
        <w:ind w:left="60" w:firstLine="3298"/>
        <w:jc w:val="left"/>
      </w:pPr>
      <w:r>
        <w:rPr>
          <w:rFonts w:ascii="黑体" w:hAnsi="黑体" w:cs="黑体"/>
          <w:color w:val="000000"/>
          <w:spacing w:val="-1"/>
          <w:w w:val="100"/>
          <w:position w:val="0"/>
          <w:sz w:val="21"/>
          <w:u w:val="none"/>
        </w:rPr>
        <w:t>4.2.7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建筑的底盘（基础）系统</w:t>
      </w:r>
    </w:p>
    <w:p>
      <w:pPr>
        <w:spacing w:before="0" w:after="0" w:line="240" w:lineRule="exact"/>
        <w:ind w:left="60" w:firstLine="3298"/>
      </w:pPr>
    </w:p>
    <w:p>
      <w:pPr>
        <w:spacing w:before="0" w:after="0" w:line="247" w:lineRule="exact"/>
        <w:ind w:left="60" w:firstLine="0"/>
        <w:jc w:val="left"/>
      </w:pPr>
      <w:r>
        <w:rPr>
          <w:rFonts w:ascii="黑体" w:hAnsi="黑体" w:cs="黑体"/>
          <w:color w:val="000000"/>
          <w:spacing w:val="-1"/>
          <w:w w:val="100"/>
          <w:position w:val="0"/>
          <w:sz w:val="21"/>
          <w:u w:val="none"/>
        </w:rPr>
        <w:t>4.2.7.1</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装配装饰一体化建筑底盘系统包括装配装饰一体化建筑的基</w:t>
      </w:r>
      <w:r>
        <w:rPr>
          <w:rFonts w:ascii="宋体" w:hAnsi="宋体" w:cs="宋体"/>
          <w:color w:val="000000"/>
          <w:spacing w:val="0"/>
          <w:w w:val="100"/>
          <w:position w:val="0"/>
          <w:sz w:val="21"/>
          <w:u w:val="none"/>
        </w:rPr>
        <w:t>础、装</w:t>
      </w:r>
      <w:r>
        <w:rPr>
          <w:rFonts w:ascii="宋体" w:eastAsia="宋体" w:hAnsi="宋体" w:cs="宋体"/>
          <w:color w:val="000000"/>
          <w:spacing w:val="0"/>
          <w:w w:val="100"/>
          <w:position w:val="0"/>
          <w:sz w:val="21"/>
          <w:u w:val="none"/>
        </w:rPr>
        <w:t>配装饰一体化建筑的散水系</w:t>
      </w:r>
    </w:p>
    <w:p>
      <w:pPr>
        <w:spacing w:before="0" w:after="0" w:line="309" w:lineRule="exact"/>
        <w:ind w:left="60" w:firstLine="0"/>
        <w:jc w:val="left"/>
      </w:pPr>
      <w:r>
        <w:rPr>
          <w:rFonts w:ascii="宋体" w:eastAsia="宋体" w:hAnsi="宋体" w:cs="宋体"/>
          <w:color w:val="000000"/>
          <w:spacing w:val="0"/>
          <w:w w:val="100"/>
          <w:position w:val="0"/>
          <w:sz w:val="21"/>
          <w:u w:val="none"/>
        </w:rPr>
        <w:t>统和装配装饰一体化建筑的室外台阶（图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4.2.7.1）。</w:t>
      </w:r>
    </w:p>
    <w:p>
      <w:pPr>
        <w:spacing w:before="0" w:after="0" w:line="315" w:lineRule="exact"/>
        <w:ind w:left="60" w:firstLine="0"/>
        <w:jc w:val="left"/>
      </w:pPr>
      <w:r>
        <w:rPr>
          <w:rFonts w:ascii="黑体" w:hAnsi="黑体" w:cs="黑体"/>
          <w:color w:val="000000"/>
          <w:spacing w:val="0"/>
          <w:w w:val="100"/>
          <w:position w:val="0"/>
          <w:sz w:val="21"/>
          <w:u w:val="none"/>
        </w:rPr>
        <w:t>4.2.7.2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装配装饰一体化建筑的基础，包括设置在基坑内壁的基坑护</w:t>
      </w:r>
      <w:r>
        <w:rPr>
          <w:rFonts w:ascii="宋体" w:hAnsi="宋体" w:cs="宋体"/>
          <w:color w:val="000000"/>
          <w:spacing w:val="0"/>
          <w:w w:val="100"/>
          <w:position w:val="0"/>
          <w:sz w:val="21"/>
          <w:u w:val="none"/>
        </w:rPr>
        <w:t>壁、型</w:t>
      </w:r>
      <w:r>
        <w:rPr>
          <w:rFonts w:ascii="宋体" w:eastAsia="宋体" w:hAnsi="宋体" w:cs="宋体"/>
          <w:color w:val="000000"/>
          <w:spacing w:val="0"/>
          <w:w w:val="100"/>
          <w:position w:val="0"/>
          <w:sz w:val="21"/>
          <w:u w:val="none"/>
        </w:rPr>
        <w:t>钢柱脚</w:t>
      </w:r>
      <w:r>
        <w:rPr>
          <w:rFonts w:ascii="宋体" w:hAnsi="宋体" w:cs="宋体"/>
          <w:color w:val="000000"/>
          <w:spacing w:val="0"/>
          <w:w w:val="100"/>
          <w:position w:val="0"/>
          <w:sz w:val="21"/>
          <w:u w:val="none"/>
        </w:rPr>
        <w:t>、浇筑</w:t>
      </w:r>
      <w:r>
        <w:rPr>
          <w:rFonts w:ascii="宋体" w:eastAsia="宋体" w:hAnsi="宋体" w:cs="宋体"/>
          <w:color w:val="000000"/>
          <w:spacing w:val="0"/>
          <w:w w:val="100"/>
          <w:position w:val="0"/>
          <w:sz w:val="21"/>
          <w:u w:val="none"/>
        </w:rPr>
        <w:t>于基坑内的混</w:t>
      </w:r>
    </w:p>
    <w:p>
      <w:pPr>
        <w:spacing w:before="0" w:after="0" w:line="309" w:lineRule="exact"/>
        <w:ind w:left="60" w:firstLine="0"/>
        <w:jc w:val="left"/>
      </w:pPr>
      <w:r>
        <w:rPr>
          <w:rFonts w:ascii="宋体" w:hAnsi="宋体" w:cs="宋体"/>
          <w:color w:val="000000"/>
          <w:spacing w:val="-1"/>
          <w:w w:val="100"/>
          <w:position w:val="0"/>
          <w:sz w:val="21"/>
          <w:u w:val="none"/>
        </w:rPr>
        <w:t>凝土。型钢柱脚的下部埋入基坑内的混凝土中，型钢柱脚的上部通过高强螺栓组件与基坑上部的型钢地梁</w:t>
      </w:r>
    </w:p>
    <w:p>
      <w:pPr>
        <w:spacing w:before="0" w:after="0" w:line="312" w:lineRule="exact"/>
        <w:ind w:left="60" w:firstLine="0"/>
        <w:jc w:val="left"/>
      </w:pPr>
      <w:r>
        <w:rPr>
          <w:rFonts w:ascii="宋体" w:hAnsi="宋体" w:cs="宋体"/>
          <w:color w:val="000000"/>
          <w:spacing w:val="-1"/>
          <w:w w:val="100"/>
          <w:position w:val="0"/>
          <w:sz w:val="21"/>
          <w:u w:val="none"/>
        </w:rPr>
        <w:t>连接。基础的立柱及地梁主体结构宜采用钢结构形式预制加工，基坑宜采用机械旋挖钻旋挖而成。基坑内</w:t>
      </w:r>
    </w:p>
    <w:p>
      <w:pPr>
        <w:spacing w:before="0" w:after="0" w:line="312" w:lineRule="exact"/>
        <w:ind w:left="60" w:firstLine="0"/>
        <w:jc w:val="left"/>
      </w:pPr>
      <w:r>
        <w:rPr>
          <w:rFonts w:ascii="宋体" w:eastAsia="宋体" w:hAnsi="宋体" w:cs="宋体"/>
          <w:color w:val="000000"/>
          <w:spacing w:val="-1"/>
          <w:w w:val="100"/>
          <w:position w:val="0"/>
          <w:sz w:val="21"/>
          <w:u w:val="none"/>
        </w:rPr>
        <w:t>混凝土需要在基础立柱及地梁安装并精确定位后浇筑而成，浇筑时注意护壁有效保护坑壁并接触紧密不应</w:t>
      </w:r>
    </w:p>
    <w:p>
      <w:pPr>
        <w:spacing w:before="0" w:after="0" w:line="312" w:lineRule="exact"/>
        <w:ind w:left="60" w:firstLine="0"/>
        <w:jc w:val="left"/>
      </w:pPr>
      <w:r>
        <w:rPr>
          <w:rFonts w:ascii="宋体" w:eastAsia="宋体" w:hAnsi="宋体" w:cs="宋体"/>
          <w:color w:val="000000"/>
          <w:spacing w:val="0"/>
          <w:w w:val="100"/>
          <w:position w:val="0"/>
          <w:sz w:val="21"/>
          <w:u w:val="none"/>
        </w:rPr>
        <w:t>出现孔洞空鼓情况（图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4.2.7.2）。</w:t>
      </w:r>
    </w:p>
    <w:p>
      <w:pPr>
        <w:widowControl/>
        <w:jc w:val="left"/>
        <w:sectPr>
          <w:type w:val="continuous"/>
          <w:pgSz w:w="11907" w:h="16839"/>
          <w:pgMar w:top="736" w:right="713" w:bottom="496" w:left="1073" w:header="0" w:footer="0" w:gutter="0"/>
          <w:pgNumType w:start="61"/>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35" w:lineRule="exact"/>
        <w:ind w:left="60" w:firstLine="0"/>
      </w:pPr>
    </w:p>
    <w:p>
      <w:pPr>
        <w:widowControl/>
        <w:jc w:val="left"/>
        <w:sectPr>
          <w:type w:val="continuous"/>
          <w:pgSz w:w="11907" w:h="16839"/>
          <w:pgMar w:top="736" w:right="713" w:bottom="496" w:left="1073" w:header="0" w:footer="0" w:gutter="0"/>
          <w:pgNumType w:start="62"/>
          <w:cols w:num="1" w:space="720"/>
          <w:docGrid w:type="lines" w:linePitch="312" w:charSpace="0"/>
        </w:sectPr>
      </w:pPr>
    </w:p>
    <w:p>
      <w:pPr>
        <w:spacing w:before="0" w:after="0" w:line="180" w:lineRule="exact"/>
        <w:ind w:left="2539" w:firstLine="653"/>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4.2.7.1</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装配装饰一体化建筑底盘系统</w:t>
      </w:r>
    </w:p>
    <w:p>
      <w:pPr>
        <w:spacing w:before="0" w:after="0" w:line="312" w:lineRule="exact"/>
        <w:ind w:left="2539" w:firstLine="0"/>
        <w:jc w:val="left"/>
      </w:pPr>
      <w:r>
        <w:rPr>
          <w:rFonts w:ascii="宋体" w:eastAsia="宋体" w:hAnsi="宋体" w:cs="宋体"/>
          <w:color w:val="000000"/>
          <w:spacing w:val="-1"/>
          <w:w w:val="100"/>
          <w:position w:val="0"/>
          <w:sz w:val="18"/>
          <w:u w:val="none"/>
        </w:rPr>
        <w:t>1-建筑的基础立柱；2-室外台阶钢架；3-建筑散水钢架；4-地梁</w:t>
      </w:r>
    </w:p>
    <w:p>
      <w:pPr>
        <w:widowControl/>
        <w:jc w:val="left"/>
        <w:sectPr>
          <w:type w:val="continuous"/>
          <w:pgSz w:w="11907" w:h="16839"/>
          <w:pgMar w:top="736" w:right="713" w:bottom="496" w:left="1073" w:header="0" w:footer="0" w:gutter="0"/>
          <w:pgNumType w:start="63"/>
          <w:cols w:num="1" w:space="708" w:equalWidth="0">
            <w:col w:w="10121" w:space="0"/>
          </w:cols>
          <w:docGrid w:type="lines" w:linePitch="312" w:charSpace="0"/>
        </w:sectPr>
      </w:pPr>
    </w:p>
    <w:p>
      <w:pPr>
        <w:spacing w:before="0" w:after="0" w:line="334" w:lineRule="exact"/>
        <w:ind w:left="2539" w:firstLine="0"/>
      </w:pPr>
    </w:p>
    <w:p>
      <w:pPr>
        <w:widowControl/>
        <w:jc w:val="left"/>
        <w:sectPr>
          <w:type w:val="continuous"/>
          <w:pgSz w:w="11907" w:h="16839"/>
          <w:pgMar w:top="736" w:right="713" w:bottom="496" w:left="1073" w:header="0" w:footer="0" w:gutter="0"/>
          <w:pgNumType w:start="64"/>
          <w:cols w:num="1" w:space="720"/>
          <w:docGrid w:type="lines" w:linePitch="312" w:charSpace="0"/>
        </w:sectPr>
      </w:pPr>
    </w:p>
    <w:p>
      <w:pPr>
        <w:spacing w:before="0" w:after="0" w:line="217" w:lineRule="exact"/>
        <w:ind w:left="9521" w:firstLine="0"/>
        <w:jc w:val="left"/>
      </w:pPr>
      <w:r>
        <w:rPr>
          <w:rFonts w:ascii="Microsoft YaHei UI" w:hAnsi="Microsoft YaHei UI" w:cs="Microsoft YaHei UI"/>
          <w:color w:val="000000"/>
          <w:spacing w:val="-17"/>
          <w:w w:val="100"/>
          <w:position w:val="0"/>
          <w:sz w:val="18"/>
          <w:u w:val="none"/>
        </w:rPr>
        <w:t>13</w:t>
      </w:r>
    </w:p>
    <w:p>
      <w:pPr>
        <w:widowControl/>
        <w:jc w:val="left"/>
        <w:sectPr>
          <w:type w:val="continuous"/>
          <w:pgSz w:w="11907" w:h="16839"/>
          <w:pgMar w:top="736" w:right="713" w:bottom="496" w:left="1073" w:header="0" w:footer="0" w:gutter="0"/>
          <w:pgNumType w:start="65"/>
          <w:cols w:num="1" w:space="708" w:equalWidth="0">
            <w:col w:w="10121" w:space="0"/>
          </w:cols>
          <w:docGrid w:type="lines" w:linePitch="312" w:charSpace="0"/>
        </w:sectPr>
      </w:pPr>
    </w:p>
    <w:p>
      <w:pPr>
        <w:spacing w:before="0" w:after="0" w:line="72" w:lineRule="exact"/>
      </w:pPr>
      <w:bookmarkStart w:id="21" w:name="21"/>
      <w:bookmarkEnd w:id="21"/>
    </w:p>
    <w:p>
      <w:pPr>
        <w:widowControl/>
        <w:jc w:val="left"/>
        <w:sectPr>
          <w:type w:val="continuous"/>
          <w:pgSz w:w="11907" w:h="16840"/>
          <w:pgMar w:top="736" w:right="589" w:bottom="496" w:left="949" w:header="0" w:footer="0" w:gutter="0"/>
          <w:pgNumType w:start="66"/>
          <w:cols w:num="1" w:space="720"/>
          <w:docGrid w:type="lines" w:linePitch="312" w:charSpace="0"/>
        </w:sectPr>
      </w:pPr>
    </w:p>
    <w:p>
      <w:pPr>
        <w:spacing w:before="0" w:after="0" w:line="212" w:lineRule="exact"/>
        <w:ind w:left="184" w:firstLine="0"/>
        <w:jc w:val="left"/>
      </w:pPr>
      <w:r>
        <w:pict>
          <v:shape id="imagerId188" o:spid="_x0000_s1051" type="#_x0000_t75" style="width:210pt;height:163pt;margin-top:1in;margin-left:192pt;mso-height-relative:page;mso-position-horizontal-relative:page;mso-position-vertical-relative:page;mso-width-relative:page;position:absolute;z-index:-251631616" coordsize="21600,21600" filled="f">
            <v:imagedata r:id="rId11"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widowControl/>
        <w:jc w:val="left"/>
        <w:sectPr>
          <w:type w:val="continuous"/>
          <w:pgSz w:w="11907" w:h="16840"/>
          <w:pgMar w:top="736" w:right="589" w:bottom="496" w:left="949" w:header="0" w:footer="0" w:gutter="0"/>
          <w:pgNumType w:start="67"/>
          <w:cols w:num="1" w:space="708" w:equalWidth="0">
            <w:col w:w="10370" w:space="0"/>
          </w:cols>
          <w:docGrid w:type="lines" w:linePitch="312" w:charSpace="0"/>
        </w:sectPr>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40" w:lineRule="exact"/>
        <w:ind w:left="184" w:firstLine="0"/>
      </w:pPr>
    </w:p>
    <w:p>
      <w:pPr>
        <w:spacing w:before="0" w:after="0" w:line="278" w:lineRule="exact"/>
        <w:ind w:left="184" w:firstLine="0"/>
      </w:pPr>
    </w:p>
    <w:p>
      <w:pPr>
        <w:widowControl/>
        <w:jc w:val="left"/>
        <w:sectPr>
          <w:type w:val="continuous"/>
          <w:pgSz w:w="11907" w:h="16840"/>
          <w:pgMar w:top="736" w:right="589" w:bottom="496" w:left="949" w:header="0" w:footer="0" w:gutter="0"/>
          <w:pgNumType w:start="68"/>
          <w:cols w:num="1" w:space="720"/>
          <w:docGrid w:type="lines" w:linePitch="312" w:charSpace="0"/>
        </w:sectPr>
      </w:pPr>
    </w:p>
    <w:p>
      <w:pPr>
        <w:tabs>
          <w:tab w:val="left" w:pos="4442"/>
        </w:tabs>
        <w:spacing w:before="0" w:after="0" w:line="180" w:lineRule="exact"/>
        <w:ind w:left="184" w:firstLine="3223"/>
        <w:jc w:val="left"/>
      </w:pPr>
      <w:r>
        <w:pict>
          <v:shape id="_x0000_s2077" o:spid="_x0000_s1052" type="#_x0000_t202" style="width:332pt;height:53pt;margin-top:397.7pt;margin-left:141.6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4.2.7.2</w:t>
      </w:r>
      <w:r>
        <w:rPr>
          <w:rFonts w:cs="Calibri"/>
          <w:spacing w:val="0"/>
          <w:w w:val="100"/>
        </w:rPr>
        <w:tab/>
      </w:r>
      <w:r>
        <w:rPr>
          <w:rFonts w:ascii="宋体" w:eastAsia="宋体" w:hAnsi="宋体" w:cs="宋体"/>
          <w:color w:val="000000"/>
          <w:spacing w:val="-1"/>
          <w:w w:val="100"/>
          <w:position w:val="0"/>
          <w:sz w:val="18"/>
          <w:u w:val="none"/>
        </w:rPr>
        <w:t>装配装饰一体化建筑的基础</w:t>
      </w:r>
    </w:p>
    <w:p>
      <w:pPr>
        <w:spacing w:before="0" w:after="0" w:line="312" w:lineRule="exact"/>
        <w:ind w:left="184" w:firstLine="5"/>
        <w:jc w:val="left"/>
      </w:pPr>
      <w:r>
        <w:rPr>
          <w:rFonts w:ascii="宋体" w:eastAsia="宋体" w:hAnsi="宋体" w:cs="宋体"/>
          <w:color w:val="000000"/>
          <w:spacing w:val="-1"/>
          <w:w w:val="100"/>
          <w:position w:val="0"/>
          <w:sz w:val="18"/>
          <w:u w:val="none"/>
        </w:rPr>
        <w:t>1-基坑；2-基础型钢柱脚；3-高强螺栓组件；4-地梁；5-垫块支撑；6-型钢地梁定位器；7-基坑护壁；</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8-钢柱栓钉；9-混</w:t>
      </w:r>
    </w:p>
    <w:p>
      <w:pPr>
        <w:spacing w:before="0" w:after="0" w:line="312" w:lineRule="exact"/>
        <w:ind w:left="184" w:firstLine="4056"/>
        <w:jc w:val="left"/>
      </w:pPr>
      <w:r>
        <w:rPr>
          <w:rFonts w:ascii="宋体" w:eastAsia="宋体" w:hAnsi="宋体" w:cs="宋体"/>
          <w:color w:val="000000"/>
          <w:spacing w:val="-1"/>
          <w:w w:val="100"/>
          <w:position w:val="0"/>
          <w:sz w:val="18"/>
          <w:u w:val="none"/>
        </w:rPr>
        <w:t>凝土；10-环向钢筋</w:t>
      </w:r>
    </w:p>
    <w:p>
      <w:pPr>
        <w:spacing w:before="0" w:after="0" w:line="190" w:lineRule="exact"/>
        <w:ind w:left="184" w:firstLine="4056"/>
      </w:pPr>
    </w:p>
    <w:p>
      <w:pPr>
        <w:tabs>
          <w:tab w:val="left" w:pos="4629"/>
        </w:tabs>
        <w:spacing w:before="0" w:after="0" w:line="305" w:lineRule="exact"/>
        <w:ind w:left="184" w:firstLine="3996"/>
        <w:jc w:val="left"/>
      </w:pPr>
      <w:r>
        <w:rPr>
          <w:rFonts w:ascii="黑体" w:hAnsi="黑体" w:cs="黑体"/>
          <w:color w:val="000000"/>
          <w:spacing w:val="-1"/>
          <w:w w:val="100"/>
          <w:position w:val="0"/>
          <w:sz w:val="30"/>
          <w:u w:val="none"/>
        </w:rPr>
        <w:t>5</w:t>
      </w:r>
      <w:r>
        <w:rPr>
          <w:rFonts w:cs="Calibri"/>
          <w:spacing w:val="-1"/>
          <w:w w:val="100"/>
        </w:rPr>
        <w:tab/>
      </w:r>
      <w:r>
        <w:rPr>
          <w:rFonts w:ascii="黑体" w:eastAsia="黑体" w:hAnsi="黑体" w:cs="黑体"/>
          <w:color w:val="000000"/>
          <w:spacing w:val="-1"/>
          <w:w w:val="100"/>
          <w:position w:val="0"/>
          <w:sz w:val="30"/>
          <w:u w:val="none"/>
        </w:rPr>
        <w:t>结构设计</w:t>
      </w:r>
    </w:p>
    <w:p>
      <w:pPr>
        <w:spacing w:before="0" w:after="0" w:line="240" w:lineRule="exact"/>
        <w:ind w:left="184" w:firstLine="3996"/>
      </w:pPr>
    </w:p>
    <w:p>
      <w:pPr>
        <w:spacing w:before="0" w:after="0" w:line="336" w:lineRule="exact"/>
        <w:ind w:left="184" w:firstLine="3929"/>
        <w:jc w:val="left"/>
      </w:pPr>
      <w:r>
        <w:rPr>
          <w:rFonts w:ascii="黑体" w:hAnsi="黑体" w:cs="黑体"/>
          <w:color w:val="000000"/>
          <w:spacing w:val="-1"/>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结构计算原则</w:t>
      </w:r>
    </w:p>
    <w:p>
      <w:pPr>
        <w:spacing w:before="0" w:after="0" w:line="240" w:lineRule="exact"/>
        <w:ind w:left="184" w:firstLine="3929"/>
      </w:pPr>
    </w:p>
    <w:p>
      <w:pPr>
        <w:spacing w:before="0" w:after="0" w:line="228" w:lineRule="exact"/>
        <w:ind w:left="184" w:firstLine="0"/>
        <w:jc w:val="left"/>
      </w:pPr>
      <w:r>
        <w:rPr>
          <w:rFonts w:ascii="黑体" w:hAnsi="黑体" w:cs="黑体"/>
          <w:color w:val="000000"/>
          <w:spacing w:val="-1"/>
          <w:w w:val="100"/>
          <w:position w:val="0"/>
          <w:sz w:val="21"/>
          <w:u w:val="none"/>
        </w:rPr>
        <w:t>5.1.1</w:t>
      </w:r>
      <w:r>
        <w:rPr>
          <w:rFonts w:ascii="Calibri" w:hAnsi="Calibri" w:cs="Calibri"/>
          <w:color w:val="000000"/>
          <w:spacing w:val="0"/>
          <w:w w:val="200"/>
          <w:sz w:val="24"/>
          <w:u w:val="none"/>
        </w:rPr>
        <w:t>  </w:t>
      </w:r>
      <w:r>
        <w:rPr>
          <w:rFonts w:ascii="宋体" w:eastAsia="宋体" w:hAnsi="宋体" w:cs="宋体"/>
          <w:color w:val="000000"/>
          <w:spacing w:val="0"/>
          <w:w w:val="100"/>
          <w:position w:val="0"/>
          <w:sz w:val="21"/>
          <w:u w:val="none"/>
        </w:rPr>
        <w:t>轻钢结构装配装饰一体化建筑的竖向荷载应由承重墙体的立柱独立承担；水平风荷载或水平地震</w:t>
      </w:r>
    </w:p>
    <w:p>
      <w:pPr>
        <w:spacing w:before="0" w:after="0" w:line="309" w:lineRule="exact"/>
        <w:ind w:left="184" w:firstLine="0"/>
        <w:jc w:val="left"/>
      </w:pPr>
      <w:r>
        <w:rPr>
          <w:rFonts w:ascii="宋体" w:hAnsi="宋体" w:cs="宋体"/>
          <w:color w:val="000000"/>
          <w:spacing w:val="-1"/>
          <w:w w:val="100"/>
          <w:position w:val="0"/>
          <w:sz w:val="21"/>
          <w:u w:val="none"/>
        </w:rPr>
        <w:t>作用应由抗剪墙体承担。</w:t>
      </w:r>
    </w:p>
    <w:p>
      <w:pPr>
        <w:spacing w:before="0" w:after="0" w:line="315" w:lineRule="exact"/>
        <w:ind w:left="184" w:firstLine="0"/>
        <w:jc w:val="left"/>
      </w:pPr>
      <w:r>
        <w:rPr>
          <w:rFonts w:ascii="黑体" w:hAnsi="黑体" w:cs="黑体"/>
          <w:color w:val="000000"/>
          <w:spacing w:val="-1"/>
          <w:w w:val="100"/>
          <w:position w:val="0"/>
          <w:sz w:val="21"/>
          <w:u w:val="none"/>
        </w:rPr>
        <w:t>5.1.2</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轻钢结构装配装饰一体化建筑的结构设计可在建筑结构的两个主轴方向分别计算水平荷载的作用。</w:t>
      </w:r>
    </w:p>
    <w:p>
      <w:pPr>
        <w:spacing w:before="0" w:after="0" w:line="309" w:lineRule="exact"/>
        <w:ind w:left="184" w:firstLine="0"/>
        <w:jc w:val="left"/>
      </w:pPr>
      <w:r>
        <w:rPr>
          <w:rFonts w:ascii="宋体" w:eastAsia="宋体" w:hAnsi="宋体" w:cs="宋体"/>
          <w:color w:val="000000"/>
          <w:spacing w:val="-1"/>
          <w:w w:val="100"/>
          <w:position w:val="0"/>
          <w:sz w:val="21"/>
          <w:u w:val="none"/>
        </w:rPr>
        <w:t>每个主轴方向的水平荷载应由该方向抗剪墙体承担，可根据其抗剪刚度大小按比例分配，并应考虑门窗洞</w:t>
      </w:r>
    </w:p>
    <w:p>
      <w:pPr>
        <w:spacing w:before="0" w:after="0" w:line="312" w:lineRule="exact"/>
        <w:ind w:left="184" w:firstLine="0"/>
        <w:jc w:val="left"/>
      </w:pPr>
      <w:r>
        <w:rPr>
          <w:rFonts w:ascii="宋体" w:hAnsi="宋体" w:cs="宋体"/>
          <w:color w:val="000000"/>
          <w:spacing w:val="-1"/>
          <w:w w:val="100"/>
          <w:position w:val="0"/>
          <w:sz w:val="21"/>
          <w:u w:val="none"/>
        </w:rPr>
        <w:t>口对墙体抗剪刚度的削弱作用。各墙体承担的水平剪力、水平荷载效应分析可按现行行业标准《低层冷弯</w:t>
      </w:r>
    </w:p>
    <w:p>
      <w:pPr>
        <w:spacing w:before="0" w:after="0" w:line="312" w:lineRule="exact"/>
        <w:ind w:left="184" w:firstLine="0"/>
        <w:jc w:val="left"/>
      </w:pPr>
      <w:r>
        <w:rPr>
          <w:rFonts w:ascii="宋体" w:hAnsi="宋体" w:cs="宋体"/>
          <w:color w:val="000000"/>
          <w:spacing w:val="-1"/>
          <w:w w:val="100"/>
          <w:position w:val="0"/>
          <w:sz w:val="21"/>
          <w:u w:val="none"/>
        </w:rPr>
        <w:t>薄壁型钢房屋建筑技术规程》JGJ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计算。</w:t>
      </w:r>
    </w:p>
    <w:p>
      <w:pPr>
        <w:spacing w:before="0" w:after="0" w:line="315" w:lineRule="exact"/>
        <w:ind w:left="184" w:firstLine="0"/>
        <w:jc w:val="left"/>
      </w:pPr>
      <w:r>
        <w:rPr>
          <w:rFonts w:ascii="黑体" w:hAnsi="黑体" w:cs="黑体"/>
          <w:color w:val="000000"/>
          <w:spacing w:val="-1"/>
          <w:w w:val="100"/>
          <w:position w:val="0"/>
          <w:sz w:val="21"/>
          <w:u w:val="none"/>
        </w:rPr>
        <w:t>5.1.3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构件应按下列规定进行验算：</w:t>
      </w:r>
    </w:p>
    <w:p>
      <w:pPr>
        <w:spacing w:before="0" w:after="0" w:line="312" w:lineRule="exact"/>
        <w:ind w:left="184"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墙体立柱应按压弯构件验算其强度、稳定性及刚度；</w:t>
      </w:r>
    </w:p>
    <w:p>
      <w:pPr>
        <w:spacing w:before="0" w:after="0" w:line="312" w:lineRule="exact"/>
        <w:ind w:left="184"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屋架构件应按屋面荷载的效应，验算其强度、稳定性及刚度；</w:t>
      </w:r>
    </w:p>
    <w:p>
      <w:pPr>
        <w:spacing w:before="0" w:after="0" w:line="312" w:lineRule="exact"/>
        <w:ind w:left="184"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楼面梁应按承受楼面竖向荷载的受弯构件验算其强度和刚度。</w:t>
      </w:r>
    </w:p>
    <w:p>
      <w:pPr>
        <w:spacing w:before="0" w:after="0" w:line="312" w:lineRule="exact"/>
        <w:ind w:left="184" w:firstLine="0"/>
        <w:jc w:val="left"/>
      </w:pPr>
      <w:r>
        <w:rPr>
          <w:rFonts w:ascii="黑体" w:hAnsi="黑体" w:cs="黑体"/>
          <w:color w:val="000000"/>
          <w:spacing w:val="-1"/>
          <w:w w:val="100"/>
          <w:position w:val="0"/>
          <w:sz w:val="21"/>
          <w:u w:val="none"/>
        </w:rPr>
        <w:t>5.1.4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本规程结构设计采用以概率理论为基础的极限状态设计法，以分项系数设计表达式进行计算。</w:t>
      </w:r>
    </w:p>
    <w:p>
      <w:pPr>
        <w:spacing w:before="0" w:after="0" w:line="312" w:lineRule="exact"/>
        <w:ind w:left="184" w:firstLine="0"/>
        <w:jc w:val="left"/>
      </w:pPr>
      <w:r>
        <w:rPr>
          <w:rFonts w:ascii="黑体" w:hAnsi="黑体" w:cs="黑体"/>
          <w:color w:val="000000"/>
          <w:spacing w:val="-1"/>
          <w:w w:val="100"/>
          <w:position w:val="0"/>
          <w:sz w:val="21"/>
          <w:u w:val="none"/>
        </w:rPr>
        <w:t>5.1.5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本规程中的承重结构，应按承载能力极限状态和正常使用极限状态进行设计。</w:t>
      </w:r>
    </w:p>
    <w:p>
      <w:pPr>
        <w:spacing w:before="0" w:after="0" w:line="312" w:lineRule="exact"/>
        <w:ind w:left="184" w:firstLine="0"/>
        <w:jc w:val="left"/>
      </w:pPr>
      <w:r>
        <w:rPr>
          <w:rFonts w:ascii="黑体" w:hAnsi="黑体" w:cs="黑体"/>
          <w:color w:val="000000"/>
          <w:spacing w:val="-1"/>
          <w:w w:val="100"/>
          <w:position w:val="0"/>
          <w:sz w:val="21"/>
          <w:u w:val="none"/>
        </w:rPr>
        <w:t>5.1.6</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当结构构件和连接按不考虑地震作用的承载能力极限状态设计时，应根据现行国家标准《建筑结</w:t>
      </w:r>
    </w:p>
    <w:p>
      <w:pPr>
        <w:spacing w:before="0" w:after="0" w:line="309" w:lineRule="exact"/>
        <w:ind w:left="184" w:firstLine="0"/>
        <w:jc w:val="left"/>
      </w:pPr>
      <w:r>
        <w:rPr>
          <w:rFonts w:ascii="宋体" w:hAnsi="宋体" w:cs="宋体"/>
          <w:color w:val="000000"/>
          <w:spacing w:val="-2"/>
          <w:w w:val="100"/>
          <w:position w:val="0"/>
          <w:sz w:val="21"/>
          <w:u w:val="none"/>
        </w:rPr>
        <w:t>构荷载规范》GB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50009</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的规定采用荷载效应的基本组合进行计算。当结构构件和连接按考虑地震作用的承</w:t>
      </w:r>
    </w:p>
    <w:p>
      <w:pPr>
        <w:spacing w:before="0" w:after="0" w:line="312" w:lineRule="exact"/>
        <w:ind w:left="184" w:firstLine="0"/>
        <w:jc w:val="left"/>
      </w:pPr>
      <w:r>
        <w:rPr>
          <w:rFonts w:ascii="宋体" w:hAnsi="宋体" w:cs="宋体"/>
          <w:color w:val="000000"/>
          <w:spacing w:val="-1"/>
          <w:w w:val="100"/>
          <w:position w:val="0"/>
          <w:sz w:val="21"/>
          <w:u w:val="none"/>
        </w:rPr>
        <w:t>载能力极限状态设计时，应根据现行国家标准《建筑抗震设计规范》GB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50011</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规定的荷载效应组合进行计</w:t>
      </w:r>
    </w:p>
    <w:p>
      <w:pPr>
        <w:spacing w:before="0" w:after="0" w:line="376" w:lineRule="exact"/>
        <w:ind w:left="184" w:firstLine="0"/>
        <w:jc w:val="left"/>
      </w:pPr>
      <w:r>
        <w:rPr>
          <w:rFonts w:ascii="宋体" w:eastAsia="宋体" w:hAnsi="宋体" w:cs="宋体"/>
          <w:color w:val="000000"/>
          <w:spacing w:val="-1"/>
          <w:w w:val="100"/>
          <w:position w:val="6"/>
          <w:sz w:val="21"/>
          <w:u w:val="none"/>
        </w:rPr>
        <w:t>算，其中承载力抗震调整系数</w:t>
      </w:r>
      <w:r>
        <w:rPr>
          <w:rFonts w:ascii="DejaVu Math TeX Gyre" w:eastAsia="DejaVu Math TeX Gyre" w:hAnsi="DejaVu Math TeX Gyre" w:cs="DejaVu Math TeX Gyre"/>
          <w:color w:val="000000"/>
          <w:spacing w:val="0"/>
          <w:w w:val="180"/>
          <w:position w:val="2"/>
          <w:sz w:val="21"/>
          <w:u w:val="none"/>
        </w:rPr>
        <w:t>�</w:t>
      </w:r>
      <w:r>
        <w:rPr>
          <w:rFonts w:ascii="DejaVu Math TeX Gyre" w:hAnsi="DejaVu Math TeX Gyre" w:cs="DejaVu Math TeX Gyre"/>
          <w:color w:val="000000"/>
          <w:spacing w:val="-1"/>
          <w:w w:val="100"/>
          <w:position w:val="0"/>
          <w:sz w:val="15"/>
          <w:u w:val="none"/>
        </w:rPr>
        <w:t>RE</w:t>
      </w:r>
      <w:r>
        <w:rPr>
          <w:rFonts w:ascii="宋体" w:eastAsia="宋体" w:hAnsi="宋体" w:cs="宋体"/>
          <w:color w:val="000000"/>
          <w:spacing w:val="-2"/>
          <w:w w:val="100"/>
          <w:position w:val="6"/>
          <w:sz w:val="21"/>
          <w:u w:val="none"/>
        </w:rPr>
        <w:t>取</w:t>
      </w:r>
      <w:r>
        <w:rPr>
          <w:rFonts w:ascii="Calibri" w:hAnsi="Calibri" w:cs="Calibri"/>
          <w:color w:val="000000"/>
          <w:spacing w:val="4"/>
          <w:w w:val="100"/>
          <w:sz w:val="21"/>
          <w:u w:val="none"/>
        </w:rPr>
        <w:t> </w:t>
      </w:r>
      <w:r>
        <w:rPr>
          <w:rFonts w:ascii="宋体" w:hAnsi="宋体" w:cs="宋体"/>
          <w:color w:val="000000"/>
          <w:spacing w:val="0"/>
          <w:w w:val="100"/>
          <w:position w:val="6"/>
          <w:sz w:val="21"/>
          <w:u w:val="none"/>
        </w:rPr>
        <w:t>0.9。</w:t>
      </w:r>
    </w:p>
    <w:p>
      <w:pPr>
        <w:spacing w:before="0" w:after="0" w:line="252" w:lineRule="exact"/>
        <w:ind w:left="184" w:firstLine="0"/>
        <w:jc w:val="left"/>
      </w:pPr>
      <w:r>
        <w:rPr>
          <w:rFonts w:ascii="黑体" w:hAnsi="黑体" w:cs="黑体"/>
          <w:color w:val="000000"/>
          <w:spacing w:val="-1"/>
          <w:w w:val="100"/>
          <w:position w:val="0"/>
          <w:sz w:val="21"/>
          <w:u w:val="none"/>
        </w:rPr>
        <w:t>5.1.7</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当结构构件按正常使用极限状态设计时，应根据现行国家标准《建筑结构荷载规范》GB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50009</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规</w:t>
      </w:r>
    </w:p>
    <w:p>
      <w:pPr>
        <w:spacing w:before="0" w:after="0" w:line="309" w:lineRule="exact"/>
        <w:ind w:left="184" w:firstLine="0"/>
        <w:jc w:val="left"/>
      </w:pPr>
      <w:r>
        <w:rPr>
          <w:rFonts w:ascii="宋体" w:hAnsi="宋体" w:cs="宋体"/>
          <w:color w:val="000000"/>
          <w:spacing w:val="-1"/>
          <w:w w:val="100"/>
          <w:position w:val="0"/>
          <w:sz w:val="21"/>
          <w:u w:val="none"/>
        </w:rPr>
        <w:t>定的荷载效应的标准组合和现行国家标准《建筑抗震设计规范》GB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50011</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规定的荷载效应组合进行计算。</w:t>
      </w:r>
    </w:p>
    <w:p>
      <w:pPr>
        <w:spacing w:before="0" w:after="0" w:line="315" w:lineRule="exact"/>
        <w:ind w:left="184" w:firstLine="0"/>
        <w:jc w:val="left"/>
      </w:pPr>
      <w:r>
        <w:rPr>
          <w:rFonts w:ascii="黑体" w:hAnsi="黑体" w:cs="黑体"/>
          <w:color w:val="000000"/>
          <w:spacing w:val="-1"/>
          <w:w w:val="100"/>
          <w:position w:val="0"/>
          <w:sz w:val="21"/>
          <w:u w:val="none"/>
        </w:rPr>
        <w:t>5.1.8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结构构件的受拉强度应按净截面计算；受压强度应按有效净截面计算；稳定性应按有效截面计算；</w:t>
      </w:r>
    </w:p>
    <w:p>
      <w:pPr>
        <w:spacing w:before="0" w:after="0" w:line="309" w:lineRule="exact"/>
        <w:ind w:left="184" w:firstLine="0"/>
        <w:jc w:val="left"/>
      </w:pPr>
      <w:r>
        <w:rPr>
          <w:rFonts w:ascii="宋体" w:hAnsi="宋体" w:cs="宋体"/>
          <w:color w:val="000000"/>
          <w:spacing w:val="0"/>
          <w:w w:val="100"/>
          <w:position w:val="0"/>
          <w:sz w:val="21"/>
          <w:u w:val="none"/>
        </w:rPr>
        <w:t>变形和各种稳定系数均可按毛截面计算。</w:t>
      </w:r>
    </w:p>
    <w:p>
      <w:pPr>
        <w:spacing w:before="0" w:after="0" w:line="315" w:lineRule="exact"/>
        <w:ind w:left="184" w:firstLine="0"/>
        <w:jc w:val="left"/>
      </w:pPr>
      <w:r>
        <w:rPr>
          <w:rFonts w:ascii="黑体" w:hAnsi="黑体" w:cs="黑体"/>
          <w:color w:val="000000"/>
          <w:spacing w:val="-1"/>
          <w:w w:val="100"/>
          <w:position w:val="0"/>
          <w:sz w:val="21"/>
          <w:u w:val="none"/>
        </w:rPr>
        <w:t>5.1.9</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构件中受压板件有效宽度的计算应按现行国家标准《冷弯薄壁型钢结构技术规范》GB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50018</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计算；</w:t>
      </w:r>
    </w:p>
    <w:p>
      <w:pPr>
        <w:spacing w:before="0" w:after="0" w:line="309" w:lineRule="exact"/>
        <w:ind w:left="184" w:firstLine="0"/>
        <w:jc w:val="left"/>
      </w:pPr>
      <w:r>
        <w:rPr>
          <w:rFonts w:ascii="宋体" w:eastAsia="宋体" w:hAnsi="宋体" w:cs="宋体"/>
          <w:color w:val="000000"/>
          <w:spacing w:val="-1"/>
          <w:w w:val="100"/>
          <w:position w:val="0"/>
          <w:sz w:val="21"/>
          <w:u w:val="none"/>
        </w:rPr>
        <w:t>当板厚小于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mm</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时，应考虑相邻板件的约束作用。</w:t>
      </w:r>
    </w:p>
    <w:p>
      <w:pPr>
        <w:spacing w:before="0" w:after="0" w:line="240" w:lineRule="exact"/>
        <w:ind w:left="184" w:firstLine="0"/>
      </w:pPr>
    </w:p>
    <w:p>
      <w:pPr>
        <w:spacing w:before="0" w:after="0" w:line="231" w:lineRule="exact"/>
        <w:ind w:left="184" w:firstLine="3823"/>
        <w:jc w:val="left"/>
      </w:pPr>
      <w:r>
        <w:rPr>
          <w:rFonts w:ascii="黑体" w:hAnsi="黑体" w:cs="黑体"/>
          <w:color w:val="000000"/>
          <w:spacing w:val="-1"/>
          <w:w w:val="100"/>
          <w:position w:val="0"/>
          <w:sz w:val="21"/>
          <w:u w:val="none"/>
        </w:rPr>
        <w:t>5.2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构件和连接计算</w:t>
      </w:r>
    </w:p>
    <w:p>
      <w:pPr>
        <w:spacing w:before="0" w:after="0" w:line="240" w:lineRule="exact"/>
        <w:ind w:left="184" w:firstLine="3823"/>
      </w:pPr>
    </w:p>
    <w:p>
      <w:pPr>
        <w:spacing w:before="0" w:after="0" w:line="384" w:lineRule="exact"/>
        <w:ind w:left="184" w:firstLine="4032"/>
        <w:jc w:val="left"/>
      </w:pPr>
      <w:r>
        <w:rPr>
          <w:rFonts w:ascii="黑体" w:hAnsi="黑体" w:cs="黑体"/>
          <w:color w:val="000000"/>
          <w:spacing w:val="-1"/>
          <w:w w:val="100"/>
          <w:position w:val="0"/>
          <w:sz w:val="21"/>
          <w:u w:val="none"/>
        </w:rPr>
        <w:t>5.2.1</w:t>
      </w:r>
      <w:r>
        <w:rPr>
          <w:rFonts w:ascii="Calibri" w:hAnsi="Calibri" w:cs="Calibri"/>
          <w:color w:val="000000"/>
          <w:spacing w:val="0"/>
          <w:w w:val="197"/>
          <w:sz w:val="24"/>
          <w:u w:val="none"/>
        </w:rPr>
        <w:t>  </w:t>
      </w:r>
      <w:r>
        <w:rPr>
          <w:rFonts w:ascii="黑体" w:eastAsia="黑体" w:hAnsi="黑体" w:cs="黑体"/>
          <w:color w:val="000000"/>
          <w:spacing w:val="-1"/>
          <w:w w:val="100"/>
          <w:position w:val="0"/>
          <w:sz w:val="21"/>
          <w:u w:val="none"/>
        </w:rPr>
        <w:t>构件计算</w:t>
      </w:r>
    </w:p>
    <w:p>
      <w:pPr>
        <w:spacing w:before="0" w:after="0" w:line="240" w:lineRule="exact"/>
        <w:ind w:left="184" w:firstLine="4032"/>
      </w:pPr>
    </w:p>
    <w:p>
      <w:pPr>
        <w:spacing w:before="0" w:after="0" w:line="228" w:lineRule="exact"/>
        <w:ind w:left="184" w:firstLine="0"/>
        <w:jc w:val="left"/>
      </w:pPr>
      <w:r>
        <w:rPr>
          <w:rFonts w:ascii="黑体" w:hAnsi="黑体" w:cs="黑体"/>
          <w:color w:val="000000"/>
          <w:spacing w:val="-1"/>
          <w:w w:val="100"/>
          <w:position w:val="0"/>
          <w:sz w:val="21"/>
          <w:u w:val="none"/>
        </w:rPr>
        <w:t>5.2.1.1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冷弯薄壁型钢构件常用的截面类型可采用图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5.2.1.1-1、5.2.1.1-2</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所示截面。</w:t>
      </w:r>
    </w:p>
    <w:p>
      <w:pPr>
        <w:spacing w:before="0" w:after="0" w:line="240" w:lineRule="exact"/>
        <w:ind w:left="184" w:firstLine="0"/>
      </w:pPr>
    </w:p>
    <w:p>
      <w:pPr>
        <w:spacing w:before="0" w:after="0" w:line="450" w:lineRule="exact"/>
        <w:ind w:left="184" w:firstLine="0"/>
        <w:jc w:val="left"/>
      </w:pPr>
      <w:r>
        <w:rPr>
          <w:rFonts w:ascii="Microsoft YaHei UI" w:hAnsi="Microsoft YaHei UI" w:cs="Microsoft YaHei UI"/>
          <w:color w:val="000000"/>
          <w:spacing w:val="-17"/>
          <w:w w:val="100"/>
          <w:position w:val="0"/>
          <w:sz w:val="18"/>
          <w:u w:val="none"/>
        </w:rPr>
        <w:t>14</w:t>
      </w:r>
    </w:p>
    <w:p>
      <w:pPr>
        <w:widowControl/>
        <w:jc w:val="left"/>
        <w:sectPr>
          <w:type w:val="continuous"/>
          <w:pgSz w:w="11907" w:h="16840"/>
          <w:pgMar w:top="736" w:right="589" w:bottom="496" w:left="949" w:header="0" w:footer="0" w:gutter="0"/>
          <w:pgNumType w:start="69"/>
          <w:cols w:num="1" w:space="708" w:equalWidth="0">
            <w:col w:w="10370" w:space="0"/>
          </w:cols>
          <w:docGrid w:type="lines" w:linePitch="312" w:charSpace="0"/>
        </w:sectPr>
      </w:pPr>
    </w:p>
    <w:p>
      <w:pPr>
        <w:spacing w:before="0" w:after="0" w:line="72" w:lineRule="exact"/>
      </w:pPr>
      <w:bookmarkStart w:id="22" w:name="22"/>
      <w:bookmarkEnd w:id="22"/>
    </w:p>
    <w:p>
      <w:pPr>
        <w:widowControl/>
        <w:jc w:val="left"/>
        <w:sectPr>
          <w:type w:val="continuous"/>
          <w:pgSz w:w="11907" w:h="16839"/>
          <w:pgMar w:top="736" w:right="610" w:bottom="496" w:left="970" w:header="0" w:footer="0" w:gutter="0"/>
          <w:pgNumType w:start="70"/>
          <w:cols w:num="1" w:space="720"/>
          <w:docGrid w:type="lines" w:linePitch="312" w:charSpace="0"/>
        </w:sectPr>
      </w:pPr>
    </w:p>
    <w:p>
      <w:pPr>
        <w:spacing w:before="0" w:after="0" w:line="212" w:lineRule="exact"/>
        <w:ind w:left="8018" w:firstLine="0"/>
        <w:jc w:val="left"/>
      </w:pPr>
      <w:r>
        <w:pict>
          <v:shape id="imagerId189" o:spid="_x0000_s1053" type="#_x0000_t75" style="width:321pt;height:95pt;margin-top:67pt;margin-left:137pt;mso-height-relative:page;mso-position-horizontal-relative:page;mso-position-vertical-relative:page;mso-width-relative:page;position:absolute;z-index:-251629568" coordsize="21600,21600" filled="f">
            <v:imagedata r:id="rId12" o:title=""/>
            <o:lock v:ext="edit" aspectratio="t"/>
          </v:shape>
        </w:pict>
      </w:r>
      <w:r>
        <w:pict>
          <v:shape id="imagerId190" o:spid="_x0000_s1054" type="#_x0000_t75" style="width:321pt;height:114pt;margin-top:167pt;margin-left:137pt;mso-height-relative:page;mso-position-horizontal-relative:page;mso-position-vertical-relative:page;mso-width-relative:page;position:absolute;z-index:-251628544" coordsize="21600,21600" filled="f">
            <v:imagedata r:id="rId13" o:title=""/>
            <o:lock v:ext="edit" aspectratio="t"/>
          </v:shape>
        </w:pict>
      </w:r>
      <w:r>
        <w:pict>
          <v:shape id="imagerId191" o:spid="_x0000_s1055" type="#_x0000_t75" style="width:331pt;height:101pt;margin-top:314pt;margin-left:132pt;mso-height-relative:page;mso-position-horizontal-relative:page;mso-position-vertical-relative:page;mso-width-relative:page;position:absolute;z-index:-251627520" coordsize="21600,21600" filled="f">
            <v:imagedata r:id="rId14" o:title=""/>
            <o:lock v:ext="edit" aspectratio="t"/>
          </v:shape>
        </w:pict>
      </w:r>
      <w:r>
        <w:pict>
          <v:shape id="imagerId192" o:spid="_x0000_s1056" type="#_x0000_t75" style="width:321pt;height:97pt;margin-top:425pt;margin-left:137pt;mso-height-relative:page;mso-position-horizontal-relative:page;mso-position-vertical-relative:page;mso-width-relative:page;position:absolute;z-index:-251626496" coordsize="21600,21600" filled="f">
            <v:imagedata r:id="rId15"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widowControl/>
        <w:jc w:val="left"/>
        <w:sectPr>
          <w:type w:val="continuous"/>
          <w:pgSz w:w="11907" w:h="16839"/>
          <w:pgMar w:top="736" w:right="610" w:bottom="496" w:left="970" w:header="0" w:footer="0" w:gutter="0"/>
          <w:pgNumType w:start="71"/>
          <w:cols w:num="1" w:space="708" w:equalWidth="0">
            <w:col w:w="10327" w:space="0"/>
          </w:cols>
          <w:docGrid w:type="lines" w:linePitch="312" w:charSpace="0"/>
        </w:sectPr>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93" w:lineRule="exact"/>
        <w:ind w:left="8018" w:firstLine="0"/>
      </w:pPr>
    </w:p>
    <w:p>
      <w:pPr>
        <w:widowControl/>
        <w:jc w:val="left"/>
        <w:sectPr>
          <w:type w:val="continuous"/>
          <w:pgSz w:w="11907" w:h="16839"/>
          <w:pgMar w:top="736" w:right="610" w:bottom="496" w:left="970" w:header="0" w:footer="0" w:gutter="0"/>
          <w:pgNumType w:start="72"/>
          <w:cols w:num="1" w:space="720"/>
          <w:docGrid w:type="lines" w:linePitch="312" w:charSpace="0"/>
        </w:sectPr>
      </w:pPr>
    </w:p>
    <w:p>
      <w:pPr>
        <w:spacing w:before="0" w:after="0" w:line="180" w:lineRule="exact"/>
        <w:ind w:left="163" w:firstLine="2683"/>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5.2.1.1-1</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冷弯薄壁型钢构件常用的单一截面类型</w:t>
      </w:r>
    </w:p>
    <w:p>
      <w:pPr>
        <w:spacing w:before="0" w:after="0" w:line="240" w:lineRule="exact"/>
        <w:ind w:left="163" w:firstLine="2683"/>
      </w:pPr>
    </w:p>
    <w:p>
      <w:pPr>
        <w:spacing w:before="0" w:after="0" w:line="240" w:lineRule="exact"/>
        <w:ind w:left="163" w:firstLine="2683"/>
      </w:pPr>
    </w:p>
    <w:p>
      <w:pPr>
        <w:spacing w:before="0" w:after="0" w:line="240" w:lineRule="exact"/>
        <w:ind w:left="163" w:firstLine="2683"/>
      </w:pPr>
    </w:p>
    <w:p>
      <w:pPr>
        <w:spacing w:before="0" w:after="0" w:line="240" w:lineRule="exact"/>
        <w:ind w:left="163" w:firstLine="2683"/>
      </w:pPr>
    </w:p>
    <w:p>
      <w:pPr>
        <w:spacing w:before="0" w:after="0" w:line="240" w:lineRule="exact"/>
        <w:ind w:left="163" w:firstLine="2683"/>
      </w:pPr>
    </w:p>
    <w:p>
      <w:pPr>
        <w:spacing w:before="0" w:after="0" w:line="240" w:lineRule="exact"/>
        <w:ind w:left="163" w:firstLine="2683"/>
      </w:pPr>
    </w:p>
    <w:p>
      <w:pPr>
        <w:spacing w:before="0" w:after="0" w:line="240" w:lineRule="exact"/>
        <w:ind w:left="163" w:firstLine="2683"/>
      </w:pPr>
    </w:p>
    <w:p>
      <w:pPr>
        <w:spacing w:before="0" w:after="0" w:line="1182" w:lineRule="exact"/>
        <w:ind w:left="163" w:firstLine="1701"/>
        <w:jc w:val="left"/>
        <w:rPr>
          <w:rFonts w:hint="eastAsia"/>
        </w:rPr>
      </w:pPr>
    </w:p>
    <w:p>
      <w:pPr>
        <w:spacing w:before="0" w:after="0" w:line="240" w:lineRule="exact"/>
        <w:ind w:left="163" w:firstLine="1701"/>
      </w:pPr>
    </w:p>
    <w:p>
      <w:pPr>
        <w:spacing w:before="0" w:after="0" w:line="240" w:lineRule="exact"/>
        <w:ind w:left="163" w:firstLine="1701"/>
      </w:pPr>
    </w:p>
    <w:p>
      <w:pPr>
        <w:spacing w:before="0" w:after="0" w:line="240" w:lineRule="exact"/>
        <w:ind w:left="163" w:firstLine="1701"/>
      </w:pPr>
    </w:p>
    <w:p>
      <w:pPr>
        <w:spacing w:before="0" w:after="0" w:line="240" w:lineRule="exact"/>
        <w:ind w:left="163" w:firstLine="1701"/>
      </w:pPr>
    </w:p>
    <w:p>
      <w:pPr>
        <w:spacing w:before="0" w:after="0" w:line="240" w:lineRule="exact"/>
        <w:ind w:left="163" w:firstLine="1701"/>
      </w:pPr>
    </w:p>
    <w:p>
      <w:pPr>
        <w:spacing w:before="0" w:after="0" w:line="240" w:lineRule="exact"/>
        <w:ind w:left="163" w:firstLine="1701"/>
      </w:pPr>
    </w:p>
    <w:p>
      <w:pPr>
        <w:spacing w:before="0" w:after="0" w:line="240" w:lineRule="exact"/>
        <w:ind w:left="163" w:firstLine="1701"/>
      </w:pPr>
    </w:p>
    <w:p>
      <w:pPr>
        <w:spacing w:before="0" w:after="0" w:line="217" w:lineRule="exact"/>
        <w:ind w:left="163" w:firstLine="2683"/>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5.2.1.1-2</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冷弯薄壁型钢构件常用的拼合截面类型</w:t>
      </w:r>
    </w:p>
    <w:p>
      <w:pPr>
        <w:spacing w:before="0" w:after="0" w:line="240" w:lineRule="exact"/>
        <w:ind w:left="163" w:firstLine="2683"/>
      </w:pPr>
    </w:p>
    <w:p>
      <w:pPr>
        <w:spacing w:before="0" w:after="0" w:line="245" w:lineRule="exact"/>
        <w:ind w:left="163" w:firstLine="0"/>
        <w:jc w:val="left"/>
      </w:pPr>
      <w:r>
        <w:rPr>
          <w:rFonts w:ascii="黑体" w:hAnsi="黑体" w:cs="黑体"/>
          <w:color w:val="000000"/>
          <w:spacing w:val="-1"/>
          <w:w w:val="100"/>
          <w:position w:val="0"/>
          <w:sz w:val="21"/>
          <w:u w:val="none"/>
        </w:rPr>
        <w:t>5.2.1.2</w:t>
      </w:r>
      <w:r>
        <w:rPr>
          <w:rFonts w:ascii="Calibri" w:hAnsi="Calibri" w:cs="Calibri"/>
          <w:color w:val="000000"/>
          <w:spacing w:val="0"/>
          <w:w w:val="197"/>
          <w:sz w:val="24"/>
          <w:u w:val="none"/>
        </w:rPr>
        <w:t>  </w:t>
      </w:r>
      <w:r>
        <w:rPr>
          <w:rFonts w:ascii="宋体" w:hAnsi="宋体" w:cs="宋体"/>
          <w:color w:val="000000"/>
          <w:spacing w:val="0"/>
          <w:w w:val="100"/>
          <w:position w:val="0"/>
          <w:sz w:val="21"/>
          <w:u w:val="none"/>
        </w:rPr>
        <w:t>轴心受拉构件的强度应按现行国家标准《冷弯薄壁型钢结构技术规范》GB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50018</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的规定进行计</w:t>
      </w:r>
    </w:p>
    <w:p>
      <w:pPr>
        <w:spacing w:before="0" w:after="0" w:line="309" w:lineRule="exact"/>
        <w:ind w:left="163" w:firstLine="0"/>
        <w:jc w:val="left"/>
      </w:pPr>
      <w:r>
        <w:rPr>
          <w:rFonts w:ascii="宋体" w:hAnsi="宋体" w:cs="宋体"/>
          <w:color w:val="000000"/>
          <w:spacing w:val="0"/>
          <w:w w:val="100"/>
          <w:position w:val="0"/>
          <w:sz w:val="21"/>
          <w:u w:val="none"/>
        </w:rPr>
        <w:t>算。</w:t>
      </w:r>
    </w:p>
    <w:p>
      <w:pPr>
        <w:spacing w:before="0" w:after="0" w:line="315" w:lineRule="exact"/>
        <w:ind w:left="163" w:firstLine="0"/>
        <w:jc w:val="left"/>
      </w:pPr>
      <w:r>
        <w:rPr>
          <w:rFonts w:ascii="黑体" w:hAnsi="黑体" w:cs="黑体"/>
          <w:color w:val="000000"/>
          <w:spacing w:val="-1"/>
          <w:w w:val="100"/>
          <w:position w:val="0"/>
          <w:sz w:val="21"/>
          <w:u w:val="none"/>
        </w:rPr>
        <w:t>5.2.1.3</w:t>
      </w:r>
      <w:r>
        <w:rPr>
          <w:rFonts w:ascii="Calibri" w:hAnsi="Calibri" w:cs="Calibri"/>
          <w:color w:val="000000"/>
          <w:spacing w:val="0"/>
          <w:w w:val="200"/>
          <w:sz w:val="24"/>
          <w:u w:val="none"/>
        </w:rPr>
        <w:t>  </w:t>
      </w:r>
      <w:r>
        <w:rPr>
          <w:rFonts w:ascii="宋体" w:hAnsi="宋体" w:cs="宋体"/>
          <w:color w:val="000000"/>
          <w:spacing w:val="0"/>
          <w:w w:val="100"/>
          <w:position w:val="0"/>
          <w:sz w:val="21"/>
          <w:u w:val="none"/>
        </w:rPr>
        <w:t>轴心受压构件的强度和稳定性开口截面除应按现行国家标准《冷弯薄壁型钢结构技术规范》GB</w:t>
      </w:r>
    </w:p>
    <w:p>
      <w:pPr>
        <w:spacing w:before="0" w:after="0" w:line="309" w:lineRule="exact"/>
        <w:ind w:left="163" w:firstLine="0"/>
        <w:jc w:val="left"/>
      </w:pPr>
      <w:r>
        <w:rPr>
          <w:rFonts w:ascii="宋体" w:hAnsi="宋体" w:cs="宋体"/>
          <w:color w:val="000000"/>
          <w:spacing w:val="-1"/>
          <w:w w:val="100"/>
          <w:position w:val="0"/>
          <w:sz w:val="21"/>
          <w:u w:val="none"/>
        </w:rPr>
        <w:t>50018</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的规定进行计算外，对于不符合本规程第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5.2.1.6</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条规定的，还应考虑畸变屈曲的影响，可按现行</w:t>
      </w:r>
    </w:p>
    <w:p>
      <w:pPr>
        <w:spacing w:before="0" w:after="0" w:line="312" w:lineRule="exact"/>
        <w:ind w:left="163" w:firstLine="0"/>
        <w:jc w:val="left"/>
      </w:pPr>
      <w:r>
        <w:rPr>
          <w:rFonts w:ascii="宋体" w:hAnsi="宋体" w:cs="宋体"/>
          <w:color w:val="000000"/>
          <w:spacing w:val="-1"/>
          <w:w w:val="100"/>
          <w:position w:val="0"/>
          <w:sz w:val="21"/>
          <w:u w:val="none"/>
        </w:rPr>
        <w:t>行业标准《低层冷弯薄壁型钢房屋建筑技术规程》JGJ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进行计算。</w:t>
      </w:r>
    </w:p>
    <w:p>
      <w:pPr>
        <w:spacing w:before="0" w:after="0" w:line="315" w:lineRule="exact"/>
        <w:ind w:left="163" w:firstLine="0"/>
        <w:jc w:val="left"/>
      </w:pPr>
      <w:r>
        <w:rPr>
          <w:rFonts w:ascii="黑体" w:hAnsi="黑体" w:cs="黑体"/>
          <w:color w:val="000000"/>
          <w:spacing w:val="0"/>
          <w:w w:val="100"/>
          <w:position w:val="0"/>
          <w:sz w:val="21"/>
          <w:u w:val="none"/>
        </w:rPr>
        <w:t>5.2.1.4</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受弯构件的强度和稳定性卷边槽形截面绕对称轴受弯时，除应按现行国家</w:t>
      </w:r>
      <w:r>
        <w:rPr>
          <w:rFonts w:ascii="宋体" w:hAnsi="宋体" w:cs="宋体"/>
          <w:color w:val="000000"/>
          <w:spacing w:val="0"/>
          <w:w w:val="100"/>
          <w:position w:val="0"/>
          <w:sz w:val="21"/>
          <w:u w:val="none"/>
        </w:rPr>
        <w:t>标准《</w:t>
      </w:r>
      <w:r>
        <w:rPr>
          <w:rFonts w:ascii="宋体" w:eastAsia="宋体" w:hAnsi="宋体" w:cs="宋体"/>
          <w:color w:val="000000"/>
          <w:spacing w:val="0"/>
          <w:w w:val="100"/>
          <w:position w:val="0"/>
          <w:sz w:val="21"/>
          <w:u w:val="none"/>
        </w:rPr>
        <w:t>冷弯薄壁型钢</w:t>
      </w:r>
    </w:p>
    <w:p>
      <w:pPr>
        <w:spacing w:before="0" w:after="0" w:line="309" w:lineRule="exact"/>
        <w:ind w:left="163" w:firstLine="0"/>
        <w:jc w:val="left"/>
      </w:pPr>
      <w:r>
        <w:rPr>
          <w:rFonts w:ascii="宋体" w:hAnsi="宋体" w:cs="宋体"/>
          <w:color w:val="000000"/>
          <w:spacing w:val="-1"/>
          <w:w w:val="100"/>
          <w:position w:val="0"/>
          <w:sz w:val="21"/>
          <w:u w:val="none"/>
        </w:rPr>
        <w:t>结构技术规范》GB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50018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的规定进行计算外，尚应考虑畸变屈曲的影响，按现行行业标准《低层冷弯薄壁</w:t>
      </w:r>
    </w:p>
    <w:p>
      <w:pPr>
        <w:spacing w:before="0" w:after="0" w:line="312" w:lineRule="exact"/>
        <w:ind w:left="163" w:firstLine="0"/>
        <w:jc w:val="left"/>
      </w:pPr>
      <w:r>
        <w:rPr>
          <w:rFonts w:ascii="宋体" w:hAnsi="宋体" w:cs="宋体"/>
          <w:color w:val="000000"/>
          <w:spacing w:val="-1"/>
          <w:w w:val="100"/>
          <w:position w:val="0"/>
          <w:sz w:val="21"/>
          <w:u w:val="none"/>
        </w:rPr>
        <w:t>型钢房屋建筑技术规程》JGJ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进行计算。</w:t>
      </w:r>
    </w:p>
    <w:p>
      <w:pPr>
        <w:spacing w:before="0" w:after="0" w:line="315" w:lineRule="exact"/>
        <w:ind w:left="163" w:firstLine="0"/>
        <w:jc w:val="left"/>
      </w:pPr>
      <w:r>
        <w:rPr>
          <w:rFonts w:ascii="黑体" w:hAnsi="黑体" w:cs="黑体"/>
          <w:color w:val="000000"/>
          <w:spacing w:val="0"/>
          <w:w w:val="100"/>
          <w:position w:val="0"/>
          <w:sz w:val="21"/>
          <w:u w:val="none"/>
        </w:rPr>
        <w:t>5.2.1.5</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压(拉)弯构件的强度和稳定性应按现行国家</w:t>
      </w:r>
      <w:r>
        <w:rPr>
          <w:rFonts w:ascii="宋体" w:eastAsia="宋体" w:hAnsi="宋体" w:cs="宋体"/>
          <w:color w:val="333333"/>
          <w:spacing w:val="0"/>
          <w:w w:val="100"/>
          <w:position w:val="0"/>
          <w:sz w:val="21"/>
          <w:u w:val="none"/>
        </w:rPr>
        <w:t>行业</w:t>
      </w:r>
      <w:r>
        <w:rPr>
          <w:rFonts w:ascii="宋体" w:hAnsi="宋体" w:cs="宋体"/>
          <w:color w:val="000000"/>
          <w:spacing w:val="0"/>
          <w:w w:val="100"/>
          <w:position w:val="0"/>
          <w:sz w:val="21"/>
          <w:u w:val="none"/>
        </w:rPr>
        <w:t>标准《冷弯薄壁型钢结构技术规范》GB</w:t>
      </w:r>
      <w:r>
        <w:rPr>
          <w:rFonts w:ascii="Calibri" w:hAnsi="Calibri" w:cs="Calibri"/>
          <w:color w:val="000000"/>
          <w:spacing w:val="0"/>
          <w:w w:val="234"/>
          <w:sz w:val="21"/>
          <w:u w:val="none"/>
        </w:rPr>
        <w:t> </w:t>
      </w:r>
      <w:r>
        <w:rPr>
          <w:rFonts w:ascii="宋体" w:hAnsi="宋体" w:cs="宋体"/>
          <w:color w:val="000000"/>
          <w:spacing w:val="-1"/>
          <w:w w:val="100"/>
          <w:position w:val="0"/>
          <w:sz w:val="21"/>
          <w:u w:val="none"/>
        </w:rPr>
        <w:t>50018</w:t>
      </w:r>
    </w:p>
    <w:p>
      <w:pPr>
        <w:spacing w:before="0" w:after="0" w:line="309" w:lineRule="exact"/>
        <w:ind w:left="163" w:firstLine="0"/>
        <w:jc w:val="left"/>
      </w:pPr>
      <w:r>
        <w:rPr>
          <w:rFonts w:ascii="宋体" w:hAnsi="宋体" w:cs="宋体"/>
          <w:color w:val="000000"/>
          <w:spacing w:val="-1"/>
          <w:w w:val="100"/>
          <w:position w:val="0"/>
          <w:sz w:val="21"/>
          <w:u w:val="none"/>
        </w:rPr>
        <w:t>的规定进行计算。需考虑畸变屈曲的影响时，可按现行</w:t>
      </w:r>
      <w:r>
        <w:rPr>
          <w:rFonts w:ascii="宋体" w:eastAsia="宋体" w:hAnsi="宋体" w:cs="宋体"/>
          <w:color w:val="333333"/>
          <w:spacing w:val="-2"/>
          <w:w w:val="100"/>
          <w:position w:val="0"/>
          <w:sz w:val="21"/>
          <w:u w:val="none"/>
        </w:rPr>
        <w:t>行业</w:t>
      </w:r>
      <w:r>
        <w:rPr>
          <w:rFonts w:ascii="宋体" w:hAnsi="宋体" w:cs="宋体"/>
          <w:color w:val="000000"/>
          <w:spacing w:val="0"/>
          <w:w w:val="100"/>
          <w:position w:val="0"/>
          <w:sz w:val="21"/>
          <w:u w:val="none"/>
        </w:rPr>
        <w:t>标准《低层冷弯薄壁型钢房屋建筑技术规程》</w:t>
      </w:r>
    </w:p>
    <w:p>
      <w:pPr>
        <w:spacing w:before="0" w:after="0" w:line="312" w:lineRule="exact"/>
        <w:ind w:left="163" w:firstLine="0"/>
        <w:jc w:val="left"/>
      </w:pPr>
      <w:r>
        <w:rPr>
          <w:rFonts w:ascii="宋体" w:hAnsi="宋体" w:cs="宋体"/>
          <w:color w:val="000000"/>
          <w:spacing w:val="-1"/>
          <w:w w:val="100"/>
          <w:position w:val="0"/>
          <w:sz w:val="21"/>
          <w:u w:val="none"/>
        </w:rPr>
        <w:t>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进行计算。</w:t>
      </w:r>
    </w:p>
    <w:p>
      <w:pPr>
        <w:spacing w:before="0" w:after="0" w:line="315" w:lineRule="exact"/>
        <w:ind w:left="163" w:firstLine="0"/>
        <w:jc w:val="left"/>
      </w:pPr>
      <w:r>
        <w:rPr>
          <w:rFonts w:ascii="黑体" w:hAnsi="黑体" w:cs="黑体"/>
          <w:color w:val="000000"/>
          <w:spacing w:val="0"/>
          <w:w w:val="100"/>
          <w:position w:val="0"/>
          <w:sz w:val="21"/>
          <w:u w:val="none"/>
        </w:rPr>
        <w:t>5.2.1.6</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冷弯薄壁型钢结构开口截面构件符合下列情况之一时，可不考虑畸变屈曲对构件承载力的影响：</w:t>
      </w:r>
    </w:p>
    <w:p>
      <w:pPr>
        <w:spacing w:before="0" w:after="0" w:line="312" w:lineRule="exact"/>
        <w:ind w:left="163"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构件受压翼缘有可靠的限制畸变屈曲变形的约束；</w:t>
      </w:r>
    </w:p>
    <w:p>
      <w:pPr>
        <w:spacing w:before="0" w:after="0" w:line="350" w:lineRule="exact"/>
        <w:ind w:left="163" w:firstLine="425"/>
        <w:jc w:val="left"/>
      </w:pPr>
      <w:r>
        <w:rPr>
          <w:rFonts w:ascii="黑体" w:hAnsi="黑体" w:cs="黑体"/>
          <w:color w:val="000000"/>
          <w:spacing w:val="-1"/>
          <w:w w:val="100"/>
          <w:position w:val="3"/>
          <w:sz w:val="21"/>
          <w:u w:val="none"/>
        </w:rPr>
        <w:t>2</w:t>
      </w:r>
      <w:r>
        <w:rPr>
          <w:rFonts w:ascii="Calibri" w:hAnsi="Calibri" w:cs="Calibri"/>
          <w:color w:val="000000"/>
          <w:spacing w:val="0"/>
          <w:w w:val="386"/>
          <w:sz w:val="24"/>
          <w:u w:val="none"/>
        </w:rPr>
        <w:t> </w:t>
      </w:r>
      <w:r>
        <w:rPr>
          <w:rFonts w:ascii="宋体" w:eastAsia="宋体" w:hAnsi="宋体" w:cs="宋体"/>
          <w:color w:val="000000"/>
          <w:spacing w:val="0"/>
          <w:w w:val="100"/>
          <w:position w:val="4"/>
          <w:sz w:val="21"/>
          <w:u w:val="none"/>
        </w:rPr>
        <w:t>构件长度小于构件畸变屈曲半波长(</w:t>
      </w:r>
      <w:r>
        <w:rPr>
          <w:rFonts w:ascii="DejaVu Math TeX Gyre" w:hAnsi="DejaVu Math TeX Gyre" w:cs="DejaVu Math TeX Gyre"/>
          <w:color w:val="000000"/>
          <w:spacing w:val="-1"/>
          <w:w w:val="100"/>
          <w:position w:val="0"/>
          <w:sz w:val="21"/>
          <w:u w:val="none"/>
        </w:rPr>
        <w:t>λ</w:t>
      </w:r>
      <w:r>
        <w:rPr>
          <w:rFonts w:ascii="宋体" w:hAnsi="宋体" w:cs="宋体"/>
          <w:color w:val="000000"/>
          <w:spacing w:val="-3"/>
          <w:w w:val="100"/>
          <w:position w:val="4"/>
          <w:sz w:val="21"/>
          <w:u w:val="none"/>
        </w:rPr>
        <w:t>)；畸变屈曲半波长应按《低层冷弯薄壁型钢房屋建筑技术规</w:t>
      </w:r>
    </w:p>
    <w:p>
      <w:pPr>
        <w:spacing w:before="0" w:after="0" w:line="270" w:lineRule="exact"/>
        <w:ind w:left="163" w:firstLine="0"/>
        <w:jc w:val="left"/>
      </w:pPr>
      <w:r>
        <w:rPr>
          <w:rFonts w:ascii="宋体" w:hAnsi="宋体" w:cs="宋体"/>
          <w:color w:val="000000"/>
          <w:spacing w:val="-1"/>
          <w:w w:val="100"/>
          <w:position w:val="0"/>
          <w:sz w:val="21"/>
          <w:u w:val="none"/>
        </w:rPr>
        <w:t>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进行计算；</w:t>
      </w:r>
    </w:p>
    <w:p>
      <w:pPr>
        <w:spacing w:before="0" w:after="0" w:line="381" w:lineRule="exact"/>
        <w:ind w:left="163" w:firstLine="9461"/>
        <w:jc w:val="left"/>
      </w:pPr>
      <w:r>
        <w:rPr>
          <w:rFonts w:ascii="Microsoft YaHei UI" w:hAnsi="Microsoft YaHei UI" w:cs="Microsoft YaHei UI"/>
          <w:color w:val="000000"/>
          <w:spacing w:val="-17"/>
          <w:w w:val="100"/>
          <w:position w:val="0"/>
          <w:sz w:val="18"/>
          <w:u w:val="none"/>
        </w:rPr>
        <w:t>15</w:t>
      </w:r>
    </w:p>
    <w:p>
      <w:pPr>
        <w:widowControl/>
        <w:jc w:val="left"/>
        <w:sectPr>
          <w:type w:val="continuous"/>
          <w:pgSz w:w="11907" w:h="16839"/>
          <w:pgMar w:top="736" w:right="610" w:bottom="496" w:left="970" w:header="0" w:footer="0" w:gutter="0"/>
          <w:pgNumType w:start="73"/>
          <w:cols w:num="1" w:space="708" w:equalWidth="0">
            <w:col w:w="10327" w:space="0"/>
          </w:cols>
          <w:docGrid w:type="lines" w:linePitch="312" w:charSpace="0"/>
        </w:sectPr>
      </w:pPr>
    </w:p>
    <w:tbl>
      <w:tblPr>
        <w:tblStyle w:val="TableNormal"/>
        <w:tblpPr w:leftFromText="180" w:rightFromText="180" w:vertAnchor="page" w:horzAnchor="page" w:tblpX="1479" w:tblpY="12330"/>
        <w:tblW w:w="0" w:type="auto"/>
        <w:tblInd w:w="0" w:type="dxa"/>
        <w:tblLayout w:type="fixed"/>
        <w:tblCellMar>
          <w:top w:w="0" w:type="dxa"/>
          <w:left w:w="108" w:type="dxa"/>
          <w:bottom w:w="0" w:type="dxa"/>
          <w:right w:w="108" w:type="dxa"/>
        </w:tblCellMar>
      </w:tblPr>
      <w:tblGrid>
        <w:gridCol w:w="3543"/>
        <w:gridCol w:w="3403"/>
      </w:tblGrid>
      <w:tr>
        <w:tblPrEx>
          <w:tblW w:w="0" w:type="auto"/>
          <w:tblInd w:w="0" w:type="dxa"/>
          <w:tblLayout w:type="fixed"/>
          <w:tblCellMar>
            <w:top w:w="0" w:type="dxa"/>
            <w:left w:w="108" w:type="dxa"/>
            <w:bottom w:w="0" w:type="dxa"/>
            <w:right w:w="108" w:type="dxa"/>
          </w:tblCellMar>
        </w:tblPrEx>
        <w:trPr>
          <w:trHeight w:hRule="exact" w:val="322"/>
        </w:trPr>
        <w:tc>
          <w:tcPr>
            <w:tcW w:w="3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410" w:right="-239"/>
            </w:pPr>
            <w:bookmarkStart w:id="23" w:name="23"/>
            <w:bookmarkEnd w:id="23"/>
            <w:r>
              <w:rPr>
                <w:rFonts w:ascii="宋体" w:eastAsia="宋体" w:hAnsi="宋体" w:cs="宋体"/>
                <w:color w:val="000000"/>
                <w:spacing w:val="-1"/>
                <w:w w:val="100"/>
                <w:position w:val="0"/>
                <w:sz w:val="18"/>
                <w:u w:val="none"/>
              </w:rPr>
              <w:t>构件类别</w:t>
            </w:r>
          </w:p>
        </w:tc>
        <w:tc>
          <w:tcPr>
            <w:tcW w:w="3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160" w:right="-239"/>
            </w:pPr>
            <w:r>
              <w:rPr>
                <w:rFonts w:ascii="宋体" w:eastAsia="宋体" w:hAnsi="宋体" w:cs="宋体"/>
                <w:color w:val="000000"/>
                <w:spacing w:val="-1"/>
                <w:w w:val="100"/>
                <w:position w:val="0"/>
                <w:sz w:val="18"/>
                <w:u w:val="none"/>
              </w:rPr>
              <w:t>构件挠度限制</w:t>
            </w:r>
          </w:p>
        </w:tc>
      </w:tr>
      <w:tr>
        <w:tblPrEx>
          <w:tblW w:w="0" w:type="auto"/>
          <w:tblInd w:w="0" w:type="dxa"/>
          <w:tblLayout w:type="fixed"/>
          <w:tblCellMar>
            <w:top w:w="0" w:type="dxa"/>
            <w:left w:w="108" w:type="dxa"/>
            <w:bottom w:w="0" w:type="dxa"/>
            <w:right w:w="108" w:type="dxa"/>
          </w:tblCellMar>
        </w:tblPrEx>
        <w:trPr>
          <w:trHeight w:hRule="exact" w:val="710"/>
        </w:trPr>
        <w:tc>
          <w:tcPr>
            <w:tcW w:w="3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32" w:right="-239"/>
            </w:pPr>
            <w:r>
              <w:rPr>
                <w:rFonts w:ascii="宋体" w:eastAsia="宋体" w:hAnsi="宋体" w:cs="宋体"/>
                <w:color w:val="000000"/>
                <w:spacing w:val="-1"/>
                <w:w w:val="100"/>
                <w:position w:val="0"/>
                <w:sz w:val="18"/>
                <w:u w:val="none"/>
              </w:rPr>
              <w:t>楼层梁：</w:t>
            </w:r>
          </w:p>
          <w:p>
            <w:pPr>
              <w:spacing w:before="0" w:after="0" w:line="233" w:lineRule="exact"/>
              <w:ind w:left="952" w:right="-239"/>
            </w:pPr>
            <w:r>
              <w:rPr>
                <w:rFonts w:ascii="宋体" w:eastAsia="宋体" w:hAnsi="宋体" w:cs="宋体"/>
                <w:color w:val="000000"/>
                <w:spacing w:val="-1"/>
                <w:w w:val="100"/>
                <w:position w:val="0"/>
                <w:sz w:val="18"/>
                <w:u w:val="none"/>
              </w:rPr>
              <w:t>全部荷载</w:t>
            </w:r>
          </w:p>
          <w:p>
            <w:pPr>
              <w:spacing w:before="0" w:after="0" w:line="233" w:lineRule="exact"/>
              <w:ind w:left="952" w:right="-239"/>
            </w:pPr>
            <w:r>
              <w:rPr>
                <w:rFonts w:ascii="宋体" w:eastAsia="宋体" w:hAnsi="宋体" w:cs="宋体"/>
                <w:color w:val="000000"/>
                <w:spacing w:val="-1"/>
                <w:w w:val="100"/>
                <w:position w:val="0"/>
                <w:sz w:val="18"/>
                <w:u w:val="none"/>
              </w:rPr>
              <w:t>活荷载</w:t>
            </w:r>
          </w:p>
        </w:tc>
        <w:tc>
          <w:tcPr>
            <w:tcW w:w="3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77" w:right="-239"/>
            </w:pPr>
          </w:p>
          <w:p>
            <w:pPr>
              <w:spacing w:before="0" w:after="0" w:line="207" w:lineRule="exact"/>
              <w:ind w:left="1477" w:right="-239"/>
            </w:pPr>
            <w:r>
              <w:rPr>
                <w:rFonts w:ascii="宋体" w:hAnsi="宋体" w:cs="宋体"/>
                <w:color w:val="000000"/>
                <w:spacing w:val="0"/>
                <w:w w:val="100"/>
                <w:sz w:val="19"/>
                <w:u w:val="none"/>
              </w:rPr>
              <w:t>L/250</w:t>
            </w:r>
          </w:p>
          <w:p>
            <w:pPr>
              <w:spacing w:before="0" w:after="0" w:line="233" w:lineRule="exact"/>
              <w:ind w:left="1477" w:right="-239"/>
            </w:pPr>
            <w:r>
              <w:rPr>
                <w:rFonts w:ascii="宋体" w:hAnsi="宋体" w:cs="宋体"/>
                <w:color w:val="000000"/>
                <w:spacing w:val="0"/>
                <w:w w:val="100"/>
                <w:sz w:val="19"/>
                <w:u w:val="none"/>
              </w:rPr>
              <w:t>L/500</w:t>
            </w:r>
          </w:p>
        </w:tc>
      </w:tr>
      <w:tr>
        <w:tblPrEx>
          <w:tblW w:w="0" w:type="auto"/>
          <w:tblInd w:w="0" w:type="dxa"/>
          <w:tblLayout w:type="fixed"/>
          <w:tblCellMar>
            <w:top w:w="0" w:type="dxa"/>
            <w:left w:w="108" w:type="dxa"/>
            <w:bottom w:w="0" w:type="dxa"/>
            <w:right w:w="108" w:type="dxa"/>
          </w:tblCellMar>
        </w:tblPrEx>
        <w:trPr>
          <w:trHeight w:hRule="exact" w:val="322"/>
        </w:trPr>
        <w:tc>
          <w:tcPr>
            <w:tcW w:w="3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2" w:right="-239"/>
            </w:pPr>
            <w:r>
              <w:rPr>
                <w:rFonts w:ascii="宋体" w:hAnsi="宋体" w:cs="宋体"/>
                <w:color w:val="000000"/>
                <w:spacing w:val="-1"/>
                <w:w w:val="100"/>
                <w:position w:val="0"/>
                <w:sz w:val="18"/>
                <w:u w:val="none"/>
              </w:rPr>
              <w:t>门、窗过梁</w:t>
            </w:r>
          </w:p>
        </w:tc>
        <w:tc>
          <w:tcPr>
            <w:tcW w:w="3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477" w:right="-239"/>
            </w:pPr>
            <w:r>
              <w:rPr>
                <w:rFonts w:ascii="宋体" w:hAnsi="宋体" w:cs="宋体"/>
                <w:color w:val="000000"/>
                <w:spacing w:val="0"/>
                <w:w w:val="100"/>
                <w:sz w:val="19"/>
                <w:u w:val="none"/>
              </w:rPr>
              <w:t>L/350</w:t>
            </w:r>
          </w:p>
        </w:tc>
      </w:tr>
      <w:tr>
        <w:tblPrEx>
          <w:tblW w:w="0" w:type="auto"/>
          <w:tblInd w:w="0" w:type="dxa"/>
          <w:tblLayout w:type="fixed"/>
          <w:tblCellMar>
            <w:top w:w="0" w:type="dxa"/>
            <w:left w:w="108" w:type="dxa"/>
            <w:bottom w:w="0" w:type="dxa"/>
            <w:right w:w="108" w:type="dxa"/>
          </w:tblCellMar>
        </w:tblPrEx>
        <w:trPr>
          <w:trHeight w:hRule="exact" w:val="322"/>
        </w:trPr>
        <w:tc>
          <w:tcPr>
            <w:tcW w:w="3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2" w:right="-239"/>
            </w:pPr>
            <w:r>
              <w:rPr>
                <w:rFonts w:ascii="宋体" w:eastAsia="宋体" w:hAnsi="宋体" w:cs="宋体"/>
                <w:color w:val="000000"/>
                <w:spacing w:val="-1"/>
                <w:w w:val="100"/>
                <w:position w:val="0"/>
                <w:sz w:val="18"/>
                <w:u w:val="none"/>
              </w:rPr>
              <w:t>屋架</w:t>
            </w:r>
          </w:p>
        </w:tc>
        <w:tc>
          <w:tcPr>
            <w:tcW w:w="3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477" w:right="-239"/>
            </w:pPr>
            <w:r>
              <w:rPr>
                <w:rFonts w:ascii="宋体" w:hAnsi="宋体" w:cs="宋体"/>
                <w:color w:val="000000"/>
                <w:spacing w:val="0"/>
                <w:w w:val="100"/>
                <w:sz w:val="19"/>
                <w:u w:val="none"/>
              </w:rPr>
              <w:t>L/250</w:t>
            </w:r>
          </w:p>
        </w:tc>
      </w:tr>
      <w:tr>
        <w:tblPrEx>
          <w:tblW w:w="0" w:type="auto"/>
          <w:tblInd w:w="0" w:type="dxa"/>
          <w:tblLayout w:type="fixed"/>
          <w:tblCellMar>
            <w:top w:w="0" w:type="dxa"/>
            <w:left w:w="108" w:type="dxa"/>
            <w:bottom w:w="0" w:type="dxa"/>
            <w:right w:w="108" w:type="dxa"/>
          </w:tblCellMar>
        </w:tblPrEx>
        <w:trPr>
          <w:trHeight w:hRule="exact" w:val="322"/>
        </w:trPr>
        <w:tc>
          <w:tcPr>
            <w:tcW w:w="3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2" w:right="-239"/>
            </w:pPr>
            <w:r>
              <w:rPr>
                <w:rFonts w:ascii="宋体" w:eastAsia="宋体" w:hAnsi="宋体" w:cs="宋体"/>
                <w:color w:val="000000"/>
                <w:spacing w:val="-1"/>
                <w:w w:val="100"/>
                <w:position w:val="0"/>
                <w:sz w:val="18"/>
                <w:u w:val="none"/>
              </w:rPr>
              <w:t>结构板</w:t>
            </w:r>
          </w:p>
        </w:tc>
        <w:tc>
          <w:tcPr>
            <w:tcW w:w="3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477" w:right="-239"/>
            </w:pPr>
            <w:r>
              <w:rPr>
                <w:rFonts w:ascii="宋体" w:hAnsi="宋体" w:cs="宋体"/>
                <w:color w:val="000000"/>
                <w:spacing w:val="0"/>
                <w:w w:val="100"/>
                <w:sz w:val="19"/>
                <w:u w:val="none"/>
              </w:rPr>
              <w:t>L/200</w:t>
            </w:r>
          </w:p>
        </w:tc>
      </w:tr>
    </w:tbl>
    <w:p>
      <w:pPr>
        <w:spacing w:before="0" w:after="0" w:line="72" w:lineRule="exact"/>
      </w:pPr>
    </w:p>
    <w:p>
      <w:pPr>
        <w:widowControl/>
        <w:jc w:val="left"/>
        <w:sectPr>
          <w:type w:val="continuous"/>
          <w:pgSz w:w="11907" w:h="16840"/>
          <w:pgMar w:top="736" w:right="641" w:bottom="496" w:left="1001" w:header="0" w:footer="0" w:gutter="0"/>
          <w:pgNumType w:start="74"/>
          <w:cols w:num="1" w:space="720"/>
          <w:docGrid w:type="lines" w:linePitch="312" w:charSpace="0"/>
        </w:sectPr>
      </w:pPr>
    </w:p>
    <w:p>
      <w:pPr>
        <w:spacing w:before="0" w:after="0" w:line="212" w:lineRule="exact"/>
        <w:ind w:left="132" w:firstLine="0"/>
        <w:jc w:val="left"/>
      </w:pPr>
      <w:r>
        <w:pict>
          <v:shape id="imagerId193" o:spid="_x0000_s1057" type="#_x0000_t75" style="width:334pt;height:101pt;margin-top:197pt;margin-left:131pt;mso-height-relative:page;mso-position-horizontal-relative:page;mso-position-vertical-relative:page;mso-width-relative:page;position:absolute;z-index:-251625472" coordsize="21600,21600" filled="f">
            <v:imagedata r:id="rId16" o:title=""/>
            <o:lock v:ext="edit" aspectratio="t"/>
          </v:shape>
        </w:pict>
      </w:r>
      <w:r>
        <w:pict>
          <v:shape id="imagerId194" o:spid="_x0000_s1058" type="#_x0000_t75" style="width:277pt;height:123pt;margin-top:420pt;margin-left:159pt;mso-height-relative:page;mso-position-horizontal-relative:page;mso-position-vertical-relative:page;mso-width-relative:page;position:absolute;z-index:-251624448" coordsize="21600,21600" filled="f">
            <v:imagedata r:id="rId17" o:title=""/>
            <o:lock v:ext="edit" aspectratio="t"/>
          </v:shape>
        </w:pict>
      </w:r>
      <w:r>
        <w:pict>
          <v:shape id="WS_polygon122" o:spid="_x0000_s1059" type="#_x0000_t12" style="width:45.05pt;height:15.3pt;margin-top:123.8pt;margin-left:351.8pt;mso-height-relative:page;mso-position-horizontal-relative:page;mso-position-vertical-relative:page;mso-width-relative:page;position:absolute;z-index:-251623424" coordsize="21600,21600" fillcolor="black" stroked="f">
            <v:stroke joinstyle="miter"/>
          </v:shape>
        </w:pict>
      </w:r>
      <w:r>
        <w:rPr>
          <w:rFonts w:ascii="黑体" w:hAnsi="黑体" w:cs="黑体"/>
          <w:color w:val="000000"/>
          <w:spacing w:val="-1"/>
          <w:w w:val="100"/>
          <w:position w:val="0"/>
          <w:sz w:val="21"/>
          <w:u w:val="none"/>
        </w:rPr>
        <w:t>DB21/T</w:t>
      </w:r>
      <w:r>
        <w:rPr>
          <w:rFonts w:ascii="Calibri" w:hAnsi="Calibri" w:cs="Calibri"/>
          <w:color w:val="000000"/>
          <w:spacing w:val="0"/>
          <w:w w:val="229"/>
          <w:sz w:val="21"/>
          <w:u w:val="none"/>
        </w:rPr>
        <w:t> </w:t>
      </w:r>
      <w:r>
        <w:rPr>
          <w:rFonts w:ascii="黑体" w:hAnsi="黑体" w:cs="黑体"/>
          <w:color w:val="000000"/>
          <w:spacing w:val="-1"/>
          <w:w w:val="100"/>
          <w:position w:val="0"/>
          <w:sz w:val="21"/>
          <w:u w:val="none"/>
        </w:rPr>
        <w:t>XXXX—2023</w:t>
      </w:r>
    </w:p>
    <w:p>
      <w:pPr>
        <w:spacing w:before="0" w:after="0" w:line="240" w:lineRule="exact"/>
        <w:ind w:left="132" w:firstLine="0"/>
      </w:pPr>
    </w:p>
    <w:p>
      <w:pPr>
        <w:spacing w:before="0" w:after="0" w:line="365" w:lineRule="exact"/>
        <w:ind w:left="132"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hAnsi="宋体" w:cs="宋体"/>
          <w:color w:val="000000"/>
          <w:spacing w:val="-1"/>
          <w:w w:val="100"/>
          <w:position w:val="0"/>
          <w:sz w:val="21"/>
          <w:u w:val="none"/>
        </w:rPr>
        <w:t>构件截面采取了其他有效抑制畸变屈曲发生的措施。</w:t>
      </w:r>
    </w:p>
    <w:p>
      <w:pPr>
        <w:spacing w:before="0" w:after="0" w:line="372" w:lineRule="exact"/>
        <w:ind w:left="132" w:firstLine="0"/>
        <w:jc w:val="left"/>
      </w:pPr>
      <w:r>
        <w:rPr>
          <w:rFonts w:ascii="黑体" w:hAnsi="黑体" w:cs="黑体"/>
          <w:color w:val="000000"/>
          <w:spacing w:val="0"/>
          <w:w w:val="100"/>
          <w:position w:val="6"/>
          <w:sz w:val="21"/>
          <w:u w:val="none"/>
        </w:rPr>
        <w:t>5.2.1.7</w:t>
      </w:r>
      <w:r>
        <w:rPr>
          <w:rFonts w:ascii="Calibri" w:hAnsi="Calibri" w:cs="Calibri"/>
          <w:color w:val="000000"/>
          <w:spacing w:val="3"/>
          <w:w w:val="100"/>
          <w:sz w:val="21"/>
          <w:u w:val="none"/>
        </w:rPr>
        <w:t> </w:t>
      </w:r>
      <w:r>
        <w:rPr>
          <w:rFonts w:ascii="宋体" w:eastAsia="宋体" w:hAnsi="宋体" w:cs="宋体"/>
          <w:color w:val="000000"/>
          <w:spacing w:val="-1"/>
          <w:w w:val="100"/>
          <w:position w:val="6"/>
          <w:sz w:val="21"/>
          <w:u w:val="none"/>
        </w:rPr>
        <w:t>中间加劲板件宽度可按等效板件的有效宽度</w:t>
      </w:r>
      <w:r>
        <w:rPr>
          <w:rFonts w:ascii="DejaVu Math TeX Gyre" w:hAnsi="DejaVu Math TeX Gyre" w:cs="DejaVu Math TeX Gyre"/>
          <w:color w:val="000000"/>
          <w:spacing w:val="-1"/>
          <w:w w:val="100"/>
          <w:position w:val="2"/>
          <w:sz w:val="21"/>
          <w:u w:val="none"/>
        </w:rPr>
        <w:t>b</w:t>
      </w:r>
      <w:r>
        <w:rPr>
          <w:rFonts w:ascii="DejaVu Math TeX Gyre" w:hAnsi="DejaVu Math TeX Gyre" w:cs="DejaVu Math TeX Gyre"/>
          <w:color w:val="000000"/>
          <w:spacing w:val="-1"/>
          <w:w w:val="100"/>
          <w:position w:val="0"/>
          <w:sz w:val="15"/>
          <w:u w:val="none"/>
        </w:rPr>
        <w:t>e</w:t>
      </w:r>
      <w:r>
        <w:rPr>
          <w:rFonts w:ascii="宋体" w:eastAsia="宋体" w:hAnsi="宋体" w:cs="宋体"/>
          <w:color w:val="000000"/>
          <w:spacing w:val="-1"/>
          <w:w w:val="100"/>
          <w:position w:val="6"/>
          <w:sz w:val="21"/>
          <w:u w:val="none"/>
        </w:rPr>
        <w:t>采用(图</w:t>
      </w:r>
      <w:r>
        <w:rPr>
          <w:rFonts w:ascii="Calibri" w:hAnsi="Calibri" w:cs="Calibri"/>
          <w:color w:val="000000"/>
          <w:spacing w:val="6"/>
          <w:w w:val="100"/>
          <w:sz w:val="21"/>
          <w:u w:val="none"/>
        </w:rPr>
        <w:t> </w:t>
      </w:r>
      <w:r>
        <w:rPr>
          <w:rFonts w:ascii="宋体" w:hAnsi="宋体" w:cs="宋体"/>
          <w:color w:val="000000"/>
          <w:spacing w:val="-5"/>
          <w:w w:val="100"/>
          <w:position w:val="6"/>
          <w:sz w:val="21"/>
          <w:u w:val="none"/>
        </w:rPr>
        <w:t>5.2.1.7-a)。等效板件厚度(图</w:t>
      </w:r>
      <w:r>
        <w:rPr>
          <w:rFonts w:ascii="Calibri" w:hAnsi="Calibri" w:cs="Calibri"/>
          <w:color w:val="000000"/>
          <w:spacing w:val="4"/>
          <w:w w:val="100"/>
          <w:sz w:val="21"/>
          <w:u w:val="none"/>
        </w:rPr>
        <w:t> </w:t>
      </w:r>
      <w:r>
        <w:rPr>
          <w:rFonts w:ascii="宋体" w:hAnsi="宋体" w:cs="宋体"/>
          <w:color w:val="000000"/>
          <w:spacing w:val="-1"/>
          <w:w w:val="100"/>
          <w:position w:val="6"/>
          <w:sz w:val="21"/>
          <w:u w:val="none"/>
        </w:rPr>
        <w:t>5.2.1.7-b)</w:t>
      </w:r>
    </w:p>
    <w:p>
      <w:pPr>
        <w:spacing w:before="0" w:after="0" w:line="248" w:lineRule="exact"/>
        <w:ind w:left="132" w:firstLine="0"/>
        <w:jc w:val="left"/>
      </w:pPr>
      <w:r>
        <w:rPr>
          <w:rFonts w:ascii="宋体" w:eastAsia="宋体" w:hAnsi="宋体" w:cs="宋体"/>
          <w:color w:val="000000"/>
          <w:spacing w:val="-1"/>
          <w:w w:val="100"/>
          <w:position w:val="0"/>
          <w:sz w:val="21"/>
          <w:u w:val="none"/>
        </w:rPr>
        <w:t>可按下式计算：</w:t>
      </w:r>
    </w:p>
    <w:p>
      <w:pPr>
        <w:widowControl/>
        <w:jc w:val="left"/>
        <w:sectPr>
          <w:type w:val="continuous"/>
          <w:pgSz w:w="11907" w:h="16840"/>
          <w:pgMar w:top="736" w:right="641" w:bottom="496" w:left="1001" w:header="0" w:footer="0" w:gutter="0"/>
          <w:pgNumType w:start="75"/>
          <w:cols w:num="1" w:space="708" w:equalWidth="0">
            <w:col w:w="10265" w:space="0"/>
          </w:cols>
          <w:docGrid w:type="lines" w:linePitch="312" w:charSpace="0"/>
        </w:sectPr>
      </w:pPr>
    </w:p>
    <w:p>
      <w:pPr>
        <w:spacing w:before="0" w:after="0" w:line="253" w:lineRule="exact"/>
        <w:ind w:left="132" w:firstLine="0"/>
      </w:pPr>
    </w:p>
    <w:p>
      <w:pPr>
        <w:widowControl/>
        <w:jc w:val="left"/>
        <w:sectPr>
          <w:type w:val="continuous"/>
          <w:pgSz w:w="11907" w:h="16840"/>
          <w:pgMar w:top="736" w:right="641" w:bottom="496" w:left="1001" w:header="0" w:footer="0" w:gutter="0"/>
          <w:pgNumType w:start="76"/>
          <w:cols w:num="1" w:space="720"/>
          <w:docGrid w:type="lines" w:linePitch="312" w:charSpace="0"/>
        </w:sectPr>
      </w:pPr>
    </w:p>
    <w:p>
      <w:pPr>
        <w:spacing w:before="0" w:after="0" w:line="298" w:lineRule="exact"/>
        <w:ind w:left="5522" w:firstLine="0"/>
        <w:jc w:val="left"/>
      </w:pPr>
      <w:r>
        <w:rPr>
          <w:rFonts w:ascii="DejaVu Math TeX Gyre" w:eastAsia="DejaVu Math TeX Gyre" w:hAnsi="DejaVu Math TeX Gyre" w:cs="DejaVu Math TeX Gyre"/>
          <w:color w:val="000000"/>
          <w:spacing w:val="0"/>
          <w:w w:val="138"/>
          <w:position w:val="2"/>
          <w:sz w:val="21"/>
          <w:u w:val="none"/>
        </w:rPr>
        <w:t>�</w:t>
      </w:r>
      <w:r>
        <w:rPr>
          <w:rFonts w:ascii="DejaVu Math TeX Gyre" w:hAnsi="DejaVu Math TeX Gyre" w:cs="DejaVu Math TeX Gyre"/>
          <w:color w:val="000000"/>
          <w:spacing w:val="-1"/>
          <w:w w:val="100"/>
          <w:position w:val="0"/>
          <w:sz w:val="15"/>
          <w:u w:val="none"/>
        </w:rPr>
        <w:t>s</w:t>
      </w:r>
      <w:r>
        <w:rPr>
          <w:rFonts w:ascii="Calibri" w:hAnsi="Calibri" w:cs="Calibri"/>
          <w:color w:val="000000"/>
          <w:spacing w:val="19"/>
          <w:w w:val="100"/>
          <w:sz w:val="21"/>
          <w:u w:val="none"/>
        </w:rPr>
        <w:t> </w:t>
      </w:r>
      <w:r>
        <w:rPr>
          <w:rFonts w:ascii="DejaVu Math TeX Gyre" w:hAnsi="DejaVu Math TeX Gyre" w:cs="DejaVu Math TeX Gyre"/>
          <w:color w:val="000000"/>
          <w:spacing w:val="-1"/>
          <w:w w:val="100"/>
          <w:position w:val="2"/>
          <w:sz w:val="21"/>
          <w:u w:val="none"/>
        </w:rPr>
        <w:t>=</w:t>
      </w:r>
    </w:p>
    <w:p>
      <w:pPr>
        <w:spacing w:before="0" w:after="0" w:line="156" w:lineRule="exact"/>
        <w:ind w:firstLine="0"/>
        <w:jc w:val="left"/>
      </w:pPr>
      <w:r>
        <w:br w:type="column"/>
      </w:r>
      <w:r>
        <w:rPr>
          <w:rFonts w:ascii="DejaVu Math TeX Gyre" w:hAnsi="DejaVu Math TeX Gyre" w:cs="DejaVu Math TeX Gyre"/>
          <w:color w:val="000000"/>
          <w:spacing w:val="-1"/>
          <w:w w:val="100"/>
          <w:position w:val="0"/>
          <w:sz w:val="12"/>
          <w:u w:val="none"/>
        </w:rPr>
        <w:t>3</w:t>
      </w:r>
    </w:p>
    <w:p>
      <w:pPr>
        <w:spacing w:before="0" w:after="0" w:line="298" w:lineRule="exact"/>
        <w:ind w:firstLine="0"/>
        <w:jc w:val="left"/>
      </w:pPr>
      <w:r>
        <w:br w:type="column"/>
      </w:r>
      <w:r>
        <w:rPr>
          <w:rFonts w:ascii="DejaVu Math TeX Gyre" w:eastAsia="DejaVu Math TeX Gyre" w:hAnsi="DejaVu Math TeX Gyre" w:cs="DejaVu Math TeX Gyre"/>
          <w:color w:val="000000"/>
          <w:spacing w:val="14"/>
          <w:w w:val="100"/>
          <w:position w:val="2"/>
          <w:sz w:val="21"/>
          <w:u w:val="none"/>
        </w:rPr>
        <w:t>12�</w:t>
      </w:r>
      <w:r>
        <w:rPr>
          <w:rFonts w:ascii="DejaVu Math TeX Gyre" w:hAnsi="DejaVu Math TeX Gyre" w:cs="DejaVu Math TeX Gyre"/>
          <w:color w:val="000000"/>
          <w:spacing w:val="-1"/>
          <w:w w:val="100"/>
          <w:position w:val="0"/>
          <w:sz w:val="15"/>
          <w:u w:val="none"/>
        </w:rPr>
        <w:t>sf</w:t>
      </w:r>
      <w:r>
        <w:rPr>
          <w:rFonts w:ascii="DejaVu Math TeX Gyre" w:eastAsia="DejaVu Math TeX Gyre" w:hAnsi="DejaVu Math TeX Gyre" w:cs="DejaVu Math TeX Gyre"/>
          <w:color w:val="000000"/>
          <w:spacing w:val="0"/>
          <w:w w:val="140"/>
          <w:position w:val="2"/>
          <w:sz w:val="21"/>
          <w:u w:val="none"/>
        </w:rPr>
        <w:t>/�</w:t>
      </w:r>
      <w:r>
        <w:rPr>
          <w:rFonts w:ascii="Calibri" w:hAnsi="Calibri" w:cs="Calibri"/>
          <w:color w:val="000000"/>
          <w:spacing w:val="0"/>
          <w:w w:val="281"/>
          <w:sz w:val="24"/>
          <w:u w:val="none"/>
        </w:rPr>
        <w:t>           </w:t>
      </w:r>
      <w:r>
        <w:rPr>
          <w:rFonts w:ascii="宋体" w:eastAsia="宋体" w:hAnsi="宋体" w:cs="宋体"/>
          <w:color w:val="000000"/>
          <w:spacing w:val="-1"/>
          <w:w w:val="100"/>
          <w:position w:val="6"/>
          <w:sz w:val="21"/>
          <w:u w:val="none"/>
        </w:rPr>
        <w:t>（5.2.1.7）</w:t>
      </w:r>
    </w:p>
    <w:p>
      <w:pPr>
        <w:widowControl/>
        <w:jc w:val="left"/>
        <w:sectPr>
          <w:type w:val="continuous"/>
          <w:pgSz w:w="11907" w:h="16840"/>
          <w:pgMar w:top="736" w:right="641" w:bottom="496" w:left="1001" w:header="0" w:footer="0" w:gutter="0"/>
          <w:pgNumType w:start="77"/>
          <w:cols w:num="3" w:space="708" w:equalWidth="0">
            <w:col w:w="6007" w:space="0"/>
            <w:col w:w="161" w:space="0"/>
            <w:col w:w="4097" w:space="0"/>
          </w:cols>
          <w:docGrid w:type="lines" w:linePitch="312" w:charSpace="0"/>
        </w:sectPr>
      </w:pPr>
    </w:p>
    <w:p>
      <w:pPr>
        <w:spacing w:before="0" w:after="0" w:line="155" w:lineRule="exact"/>
        <w:ind w:firstLine="0"/>
      </w:pPr>
    </w:p>
    <w:p>
      <w:pPr>
        <w:widowControl/>
        <w:jc w:val="left"/>
        <w:sectPr>
          <w:type w:val="continuous"/>
          <w:pgSz w:w="11907" w:h="16840"/>
          <w:pgMar w:top="736" w:right="641" w:bottom="496" w:left="1001" w:header="0" w:footer="0" w:gutter="0"/>
          <w:pgNumType w:start="78"/>
          <w:cols w:num="1" w:space="720"/>
          <w:docGrid w:type="lines" w:linePitch="312" w:charSpace="0"/>
        </w:sectPr>
      </w:pPr>
    </w:p>
    <w:p>
      <w:pPr>
        <w:spacing w:before="0" w:after="0" w:line="294" w:lineRule="exact"/>
        <w:ind w:left="132" w:firstLine="0"/>
        <w:jc w:val="left"/>
      </w:pPr>
      <w:r>
        <w:rPr>
          <w:rFonts w:ascii="宋体" w:eastAsia="宋体" w:hAnsi="宋体" w:cs="宋体"/>
          <w:color w:val="000000"/>
          <w:spacing w:val="-1"/>
          <w:w w:val="100"/>
          <w:position w:val="6"/>
          <w:sz w:val="21"/>
          <w:u w:val="none"/>
        </w:rPr>
        <w:t>式中：</w:t>
      </w:r>
      <w:r>
        <w:rPr>
          <w:rFonts w:ascii="DejaVu Math TeX Gyre" w:eastAsia="DejaVu Math TeX Gyre" w:hAnsi="DejaVu Math TeX Gyre" w:cs="DejaVu Math TeX Gyre"/>
          <w:color w:val="000000"/>
          <w:spacing w:val="0"/>
          <w:w w:val="138"/>
          <w:position w:val="2"/>
          <w:sz w:val="21"/>
          <w:u w:val="none"/>
        </w:rPr>
        <w:t>�</w:t>
      </w:r>
      <w:r>
        <w:rPr>
          <w:rFonts w:ascii="DejaVu Math TeX Gyre" w:hAnsi="DejaVu Math TeX Gyre" w:cs="DejaVu Math TeX Gyre"/>
          <w:color w:val="000000"/>
          <w:spacing w:val="-1"/>
          <w:w w:val="100"/>
          <w:position w:val="0"/>
          <w:sz w:val="15"/>
          <w:u w:val="none"/>
        </w:rPr>
        <w:t>s</w:t>
      </w:r>
      <w:r>
        <w:rPr>
          <w:rFonts w:ascii="Microsoft YaHei UI" w:hAnsi="Microsoft YaHei UI" w:cs="Microsoft YaHei UI"/>
          <w:color w:val="000000"/>
          <w:spacing w:val="-18"/>
          <w:w w:val="100"/>
          <w:position w:val="3"/>
          <w:sz w:val="21"/>
          <w:u w:val="none"/>
        </w:rPr>
        <w:t>——</w:t>
      </w:r>
      <w:r>
        <w:rPr>
          <w:rFonts w:ascii="宋体" w:eastAsia="宋体" w:hAnsi="宋体" w:cs="宋体"/>
          <w:color w:val="000000"/>
          <w:spacing w:val="-1"/>
          <w:w w:val="100"/>
          <w:position w:val="6"/>
          <w:sz w:val="21"/>
          <w:u w:val="none"/>
        </w:rPr>
        <w:t>等效板件厚度；</w:t>
      </w:r>
    </w:p>
    <w:p>
      <w:pPr>
        <w:spacing w:before="0" w:after="0" w:line="312" w:lineRule="exact"/>
        <w:ind w:left="132" w:firstLine="631"/>
        <w:jc w:val="left"/>
      </w:pPr>
      <w:r>
        <w:rPr>
          <w:rFonts w:ascii="DejaVu Math TeX Gyre" w:eastAsia="DejaVu Math TeX Gyre" w:hAnsi="DejaVu Math TeX Gyre" w:cs="DejaVu Math TeX Gyre"/>
          <w:color w:val="000000"/>
          <w:spacing w:val="0"/>
          <w:w w:val="160"/>
          <w:position w:val="2"/>
          <w:sz w:val="21"/>
          <w:u w:val="none"/>
        </w:rPr>
        <w:t>�</w:t>
      </w:r>
      <w:r>
        <w:rPr>
          <w:rFonts w:ascii="DejaVu Math TeX Gyre" w:hAnsi="DejaVu Math TeX Gyre" w:cs="DejaVu Math TeX Gyre"/>
          <w:color w:val="000000"/>
          <w:spacing w:val="-1"/>
          <w:w w:val="100"/>
          <w:position w:val="0"/>
          <w:sz w:val="15"/>
          <w:u w:val="none"/>
        </w:rPr>
        <w:t>sf</w:t>
      </w:r>
      <w:r>
        <w:rPr>
          <w:rFonts w:ascii="Microsoft YaHei UI" w:hAnsi="Microsoft YaHei UI" w:cs="Microsoft YaHei UI"/>
          <w:color w:val="000000"/>
          <w:spacing w:val="-18"/>
          <w:w w:val="100"/>
          <w:position w:val="3"/>
          <w:sz w:val="21"/>
          <w:u w:val="none"/>
        </w:rPr>
        <w:t>——</w:t>
      </w:r>
      <w:r>
        <w:rPr>
          <w:rFonts w:ascii="宋体" w:eastAsia="宋体" w:hAnsi="宋体" w:cs="宋体"/>
          <w:color w:val="000000"/>
          <w:spacing w:val="-1"/>
          <w:w w:val="100"/>
          <w:position w:val="6"/>
          <w:sz w:val="21"/>
          <w:u w:val="none"/>
        </w:rPr>
        <w:t>中间加劲板件对中轴线的惯性矩；</w:t>
      </w:r>
    </w:p>
    <w:p>
      <w:pPr>
        <w:spacing w:before="0" w:after="0" w:line="290" w:lineRule="exact"/>
        <w:ind w:left="132" w:firstLine="631"/>
        <w:jc w:val="left"/>
      </w:pPr>
      <w:r>
        <w:rPr>
          <w:rFonts w:ascii="DejaVu Math TeX Gyre" w:eastAsia="DejaVu Math TeX Gyre" w:hAnsi="DejaVu Math TeX Gyre" w:cs="DejaVu Math TeX Gyre"/>
          <w:color w:val="000000"/>
          <w:spacing w:val="0"/>
          <w:w w:val="189"/>
          <w:position w:val="0"/>
          <w:sz w:val="21"/>
          <w:u w:val="none"/>
        </w:rPr>
        <w:t>�</w:t>
      </w:r>
      <w:r>
        <w:rPr>
          <w:rFonts w:ascii="Calibri" w:hAnsi="Calibri" w:cs="Calibri"/>
          <w:color w:val="000000"/>
          <w:spacing w:val="17"/>
          <w:w w:val="100"/>
          <w:sz w:val="21"/>
          <w:u w:val="none"/>
        </w:rPr>
        <w:t> </w:t>
      </w:r>
      <w:r>
        <w:rPr>
          <w:rFonts w:ascii="Microsoft YaHei UI" w:hAnsi="Microsoft YaHei UI" w:cs="Microsoft YaHei UI"/>
          <w:color w:val="000000"/>
          <w:spacing w:val="-18"/>
          <w:w w:val="100"/>
          <w:position w:val="0"/>
          <w:sz w:val="21"/>
          <w:u w:val="none"/>
        </w:rPr>
        <w:t>——</w:t>
      </w:r>
      <w:r>
        <w:rPr>
          <w:rFonts w:ascii="宋体" w:hAnsi="宋体" w:cs="宋体"/>
          <w:color w:val="000000"/>
          <w:spacing w:val="-1"/>
          <w:w w:val="100"/>
          <w:position w:val="4"/>
          <w:sz w:val="21"/>
          <w:u w:val="none"/>
        </w:rPr>
        <w:t>中间加劲板件的宽度。</w:t>
      </w:r>
    </w:p>
    <w:p>
      <w:pPr>
        <w:widowControl/>
        <w:jc w:val="left"/>
        <w:sectPr>
          <w:type w:val="continuous"/>
          <w:pgSz w:w="11907" w:h="16840"/>
          <w:pgMar w:top="736" w:right="641" w:bottom="496" w:left="1001" w:header="0" w:footer="0" w:gutter="0"/>
          <w:pgNumType w:start="79"/>
          <w:cols w:num="1" w:space="708" w:equalWidth="0">
            <w:col w:w="10265" w:space="0"/>
          </w:cols>
          <w:docGrid w:type="lines" w:linePitch="312" w:charSpace="0"/>
        </w:sectPr>
      </w:pPr>
    </w:p>
    <w:p>
      <w:pPr>
        <w:spacing w:before="0" w:after="0" w:line="240" w:lineRule="exact"/>
        <w:ind w:left="132" w:firstLine="631"/>
      </w:pPr>
    </w:p>
    <w:p>
      <w:pPr>
        <w:spacing w:before="0" w:after="0" w:line="240" w:lineRule="exact"/>
        <w:ind w:left="132" w:firstLine="631"/>
      </w:pPr>
    </w:p>
    <w:p>
      <w:pPr>
        <w:spacing w:before="0" w:after="0" w:line="240" w:lineRule="exact"/>
        <w:ind w:left="132" w:firstLine="631"/>
      </w:pPr>
    </w:p>
    <w:p>
      <w:pPr>
        <w:spacing w:before="0" w:after="0" w:line="240" w:lineRule="exact"/>
        <w:ind w:left="132" w:firstLine="631"/>
      </w:pPr>
    </w:p>
    <w:p>
      <w:pPr>
        <w:spacing w:before="0" w:after="0" w:line="240" w:lineRule="exact"/>
        <w:ind w:left="132" w:firstLine="631"/>
      </w:pPr>
    </w:p>
    <w:p>
      <w:pPr>
        <w:spacing w:before="0" w:after="0" w:line="240" w:lineRule="exact"/>
        <w:ind w:left="132" w:firstLine="631"/>
      </w:pPr>
    </w:p>
    <w:p>
      <w:pPr>
        <w:spacing w:before="0" w:after="0" w:line="240" w:lineRule="exact"/>
        <w:ind w:left="132" w:firstLine="631"/>
      </w:pPr>
    </w:p>
    <w:p>
      <w:pPr>
        <w:spacing w:before="0" w:after="0" w:line="240" w:lineRule="exact"/>
        <w:ind w:left="132" w:firstLine="631"/>
      </w:pPr>
    </w:p>
    <w:p>
      <w:pPr>
        <w:spacing w:before="0" w:after="0" w:line="341" w:lineRule="exact"/>
        <w:ind w:left="132" w:firstLine="631"/>
      </w:pPr>
    </w:p>
    <w:p>
      <w:pPr>
        <w:widowControl/>
        <w:jc w:val="left"/>
        <w:sectPr>
          <w:type w:val="continuous"/>
          <w:pgSz w:w="11907" w:h="16840"/>
          <w:pgMar w:top="736" w:right="641" w:bottom="496" w:left="1001" w:header="0" w:footer="0" w:gutter="0"/>
          <w:pgNumType w:start="80"/>
          <w:cols w:num="1" w:space="720"/>
          <w:docGrid w:type="lines" w:linePitch="312" w:charSpace="0"/>
        </w:sectPr>
      </w:pPr>
    </w:p>
    <w:p>
      <w:pPr>
        <w:spacing w:before="0" w:after="0" w:line="180" w:lineRule="exact"/>
        <w:ind w:left="132" w:firstLine="3132"/>
        <w:jc w:val="left"/>
      </w:pPr>
      <w:r>
        <w:pict>
          <v:shape id="_x0000_s2085" o:spid="_x0000_s1060" type="#_x0000_t202" style="width:332pt;height:53pt;margin-top:397.7pt;margin-left:141.6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5.2.1.7</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中间加劲板件有效宽度和厚度</w:t>
      </w:r>
    </w:p>
    <w:p>
      <w:pPr>
        <w:spacing w:before="0" w:after="0" w:line="240" w:lineRule="exact"/>
        <w:ind w:left="132" w:firstLine="3132"/>
      </w:pPr>
    </w:p>
    <w:p>
      <w:pPr>
        <w:spacing w:before="0" w:after="0" w:line="401" w:lineRule="exact"/>
        <w:ind w:left="132" w:firstLine="3718"/>
        <w:jc w:val="left"/>
      </w:pPr>
      <w:r>
        <w:rPr>
          <w:rFonts w:ascii="黑体" w:hAnsi="黑体" w:cs="黑体"/>
          <w:color w:val="000000"/>
          <w:spacing w:val="-1"/>
          <w:w w:val="100"/>
          <w:position w:val="0"/>
          <w:sz w:val="21"/>
          <w:u w:val="none"/>
        </w:rPr>
        <w:t>5.2.2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连接计算和构造</w:t>
      </w:r>
    </w:p>
    <w:p>
      <w:pPr>
        <w:spacing w:before="0" w:after="0" w:line="240" w:lineRule="exact"/>
        <w:ind w:left="132" w:firstLine="3718"/>
      </w:pPr>
    </w:p>
    <w:p>
      <w:pPr>
        <w:spacing w:before="0" w:after="0" w:line="228" w:lineRule="exact"/>
        <w:ind w:left="132" w:firstLine="0"/>
        <w:jc w:val="left"/>
      </w:pPr>
      <w:r>
        <w:rPr>
          <w:rFonts w:ascii="黑体" w:hAnsi="黑体" w:cs="黑体"/>
          <w:color w:val="000000"/>
          <w:spacing w:val="0"/>
          <w:w w:val="100"/>
          <w:position w:val="0"/>
          <w:sz w:val="21"/>
          <w:u w:val="none"/>
        </w:rPr>
        <w:t>5.2.2.1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连接计算和构造应符合现行</w:t>
      </w:r>
      <w:r>
        <w:rPr>
          <w:rFonts w:ascii="宋体" w:eastAsia="宋体" w:hAnsi="宋体" w:cs="宋体"/>
          <w:color w:val="333333"/>
          <w:spacing w:val="-2"/>
          <w:w w:val="100"/>
          <w:position w:val="0"/>
          <w:sz w:val="21"/>
          <w:u w:val="none"/>
        </w:rPr>
        <w:t>行业</w:t>
      </w:r>
      <w:r>
        <w:rPr>
          <w:rFonts w:ascii="宋体" w:hAnsi="宋体" w:cs="宋体"/>
          <w:color w:val="000000"/>
          <w:spacing w:val="-1"/>
          <w:w w:val="100"/>
          <w:position w:val="0"/>
          <w:sz w:val="21"/>
          <w:u w:val="none"/>
        </w:rPr>
        <w:t>标准《低层冷弯薄壁型钢房屋建筑技术规程》JGJ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227</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的规定。</w:t>
      </w:r>
    </w:p>
    <w:p>
      <w:pPr>
        <w:spacing w:before="0" w:after="0" w:line="338" w:lineRule="exact"/>
        <w:ind w:left="132" w:firstLine="0"/>
        <w:jc w:val="left"/>
      </w:pPr>
      <w:r>
        <w:rPr>
          <w:rFonts w:ascii="黑体" w:hAnsi="黑体" w:cs="黑体"/>
          <w:color w:val="000000"/>
          <w:spacing w:val="0"/>
          <w:w w:val="100"/>
          <w:position w:val="2"/>
          <w:sz w:val="21"/>
          <w:u w:val="none"/>
        </w:rPr>
        <w:t>5.2.2.2</w:t>
      </w:r>
      <w:r>
        <w:rPr>
          <w:rFonts w:ascii="Calibri" w:hAnsi="Calibri" w:cs="Calibri"/>
          <w:color w:val="000000"/>
          <w:spacing w:val="0"/>
          <w:w w:val="197"/>
          <w:sz w:val="24"/>
          <w:u w:val="none"/>
        </w:rPr>
        <w:t>  </w:t>
      </w:r>
      <w:r>
        <w:rPr>
          <w:rFonts w:ascii="宋体" w:eastAsia="宋体" w:hAnsi="宋体" w:cs="宋体"/>
          <w:color w:val="000000"/>
          <w:spacing w:val="0"/>
          <w:w w:val="100"/>
          <w:position w:val="2"/>
          <w:sz w:val="21"/>
          <w:u w:val="none"/>
        </w:rPr>
        <w:t>采用螺钉连接时，螺钉至少应有</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3</w:t>
      </w:r>
      <w:r>
        <w:rPr>
          <w:rFonts w:ascii="Calibri" w:hAnsi="Calibri" w:cs="Calibri"/>
          <w:color w:val="000000"/>
          <w:spacing w:val="7"/>
          <w:w w:val="100"/>
          <w:sz w:val="21"/>
          <w:u w:val="none"/>
        </w:rPr>
        <w:t> </w:t>
      </w:r>
      <w:r>
        <w:rPr>
          <w:rFonts w:ascii="宋体" w:eastAsia="宋体" w:hAnsi="宋体" w:cs="宋体"/>
          <w:color w:val="000000"/>
          <w:spacing w:val="0"/>
          <w:w w:val="100"/>
          <w:position w:val="2"/>
          <w:sz w:val="21"/>
          <w:u w:val="none"/>
        </w:rPr>
        <w:t>圈螺纹穿过连接构</w:t>
      </w:r>
      <w:r>
        <w:rPr>
          <w:rFonts w:ascii="宋体" w:hAnsi="宋体" w:cs="宋体"/>
          <w:color w:val="000000"/>
          <w:spacing w:val="0"/>
          <w:w w:val="100"/>
          <w:position w:val="2"/>
          <w:sz w:val="21"/>
          <w:u w:val="none"/>
        </w:rPr>
        <w:t>件。螺</w:t>
      </w:r>
      <w:r>
        <w:rPr>
          <w:rFonts w:ascii="宋体" w:eastAsia="宋体" w:hAnsi="宋体" w:cs="宋体"/>
          <w:color w:val="000000"/>
          <w:spacing w:val="0"/>
          <w:w w:val="100"/>
          <w:position w:val="2"/>
          <w:sz w:val="21"/>
          <w:u w:val="none"/>
        </w:rPr>
        <w:t>钉的中心距和端距不得小于螺钉直</w:t>
      </w:r>
    </w:p>
    <w:p>
      <w:pPr>
        <w:spacing w:before="0" w:after="0" w:line="312" w:lineRule="exact"/>
        <w:ind w:left="132" w:firstLine="0"/>
        <w:jc w:val="left"/>
      </w:pPr>
      <w:r>
        <w:rPr>
          <w:rFonts w:ascii="宋体" w:eastAsia="宋体" w:hAnsi="宋体" w:cs="宋体"/>
          <w:color w:val="000000"/>
          <w:spacing w:val="-2"/>
          <w:w w:val="100"/>
          <w:position w:val="2"/>
          <w:sz w:val="21"/>
          <w:u w:val="none"/>
        </w:rPr>
        <w:t>径的</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2"/>
          <w:sz w:val="21"/>
          <w:u w:val="none"/>
        </w:rPr>
        <w:t>倍，边距不得小于螺钉直径的</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2"/>
          <w:sz w:val="21"/>
          <w:u w:val="none"/>
        </w:rPr>
        <w:t>倍。受力连接中的螺钉数量不得少于</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2</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个。用于钢板之间连接时，</w:t>
      </w:r>
    </w:p>
    <w:p>
      <w:pPr>
        <w:spacing w:before="0" w:after="0" w:line="312" w:lineRule="exact"/>
        <w:ind w:left="132" w:firstLine="0"/>
        <w:jc w:val="left"/>
      </w:pPr>
      <w:r>
        <w:rPr>
          <w:rFonts w:ascii="宋体" w:eastAsia="宋体" w:hAnsi="宋体" w:cs="宋体"/>
          <w:color w:val="000000"/>
          <w:spacing w:val="-1"/>
          <w:w w:val="100"/>
          <w:position w:val="2"/>
          <w:sz w:val="21"/>
          <w:u w:val="none"/>
        </w:rPr>
        <w:t>钉头应靠近较薄的构件一侧</w:t>
      </w:r>
      <w:r>
        <w:rPr>
          <w:rFonts w:ascii="Microsoft YaHei UI" w:hAnsi="Microsoft YaHei UI" w:cs="Microsoft YaHei UI"/>
          <w:color w:val="000000"/>
          <w:spacing w:val="-1"/>
          <w:w w:val="100"/>
          <w:position w:val="0"/>
          <w:sz w:val="21"/>
          <w:u w:val="none"/>
        </w:rPr>
        <w:t>(</w:t>
      </w:r>
      <w:r>
        <w:rPr>
          <w:rFonts w:ascii="宋体" w:eastAsia="宋体" w:hAnsi="宋体" w:cs="宋体"/>
          <w:color w:val="000000"/>
          <w:spacing w:val="-2"/>
          <w:w w:val="100"/>
          <w:position w:val="2"/>
          <w:sz w:val="21"/>
          <w:u w:val="none"/>
        </w:rPr>
        <w:t>图</w:t>
      </w:r>
      <w:r>
        <w:rPr>
          <w:rFonts w:ascii="Calibri" w:hAnsi="Calibri" w:cs="Calibri"/>
          <w:color w:val="000000"/>
          <w:spacing w:val="6"/>
          <w:w w:val="100"/>
          <w:sz w:val="21"/>
          <w:u w:val="none"/>
        </w:rPr>
        <w:t> </w:t>
      </w:r>
      <w:r>
        <w:rPr>
          <w:rFonts w:ascii="宋体" w:hAnsi="宋体" w:cs="宋体"/>
          <w:color w:val="000000"/>
          <w:spacing w:val="-1"/>
          <w:w w:val="100"/>
          <w:position w:val="2"/>
          <w:sz w:val="21"/>
          <w:u w:val="none"/>
        </w:rPr>
        <w:t>5.2.2.2</w:t>
      </w:r>
      <w:r>
        <w:rPr>
          <w:rFonts w:ascii="Microsoft YaHei UI" w:hAnsi="Microsoft YaHei UI" w:cs="Microsoft YaHei UI"/>
          <w:color w:val="000000"/>
          <w:spacing w:val="-1"/>
          <w:w w:val="100"/>
          <w:position w:val="0"/>
          <w:sz w:val="21"/>
          <w:u w:val="none"/>
        </w:rPr>
        <w:t>)</w:t>
      </w:r>
      <w:r>
        <w:rPr>
          <w:rFonts w:ascii="宋体" w:hAnsi="宋体" w:cs="宋体"/>
          <w:color w:val="000000"/>
          <w:spacing w:val="-2"/>
          <w:w w:val="100"/>
          <w:position w:val="2"/>
          <w:sz w:val="21"/>
          <w:u w:val="none"/>
        </w:rPr>
        <w:t>。</w:t>
      </w: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spacing w:before="0" w:after="0" w:line="240" w:lineRule="exact"/>
        <w:ind w:left="132" w:firstLine="0"/>
      </w:pPr>
    </w:p>
    <w:p>
      <w:pPr>
        <w:tabs>
          <w:tab w:val="left" w:pos="4929"/>
        </w:tabs>
        <w:spacing w:before="0" w:after="0" w:line="365" w:lineRule="exact"/>
        <w:ind w:left="132" w:firstLine="3763"/>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5.2.2.2</w:t>
      </w:r>
      <w:r>
        <w:rPr>
          <w:rFonts w:cs="Calibri"/>
          <w:spacing w:val="-1"/>
          <w:w w:val="100"/>
        </w:rPr>
        <w:tab/>
      </w:r>
      <w:r>
        <w:rPr>
          <w:rFonts w:ascii="宋体" w:eastAsia="宋体" w:hAnsi="宋体" w:cs="宋体"/>
          <w:color w:val="000000"/>
          <w:spacing w:val="-1"/>
          <w:w w:val="100"/>
          <w:position w:val="0"/>
          <w:sz w:val="18"/>
          <w:u w:val="none"/>
        </w:rPr>
        <w:t>螺钉连接示意</w:t>
      </w:r>
    </w:p>
    <w:p>
      <w:pPr>
        <w:spacing w:before="0" w:after="0" w:line="240" w:lineRule="exact"/>
        <w:ind w:left="132" w:firstLine="3763"/>
      </w:pPr>
    </w:p>
    <w:p>
      <w:pPr>
        <w:spacing w:before="0" w:after="0" w:line="401" w:lineRule="exact"/>
        <w:ind w:left="132" w:firstLine="4032"/>
        <w:jc w:val="left"/>
      </w:pPr>
      <w:r>
        <w:rPr>
          <w:rFonts w:ascii="黑体" w:hAnsi="黑体" w:cs="黑体"/>
          <w:color w:val="000000"/>
          <w:spacing w:val="-1"/>
          <w:w w:val="100"/>
          <w:position w:val="0"/>
          <w:sz w:val="21"/>
          <w:u w:val="none"/>
        </w:rPr>
        <w:t>5.2.3</w:t>
      </w:r>
      <w:r>
        <w:rPr>
          <w:rFonts w:ascii="Calibri" w:hAnsi="Calibri" w:cs="Calibri"/>
          <w:color w:val="000000"/>
          <w:spacing w:val="0"/>
          <w:w w:val="197"/>
          <w:sz w:val="24"/>
          <w:u w:val="none"/>
        </w:rPr>
        <w:t>  </w:t>
      </w:r>
      <w:r>
        <w:rPr>
          <w:rFonts w:ascii="黑体" w:eastAsia="黑体" w:hAnsi="黑体" w:cs="黑体"/>
          <w:color w:val="000000"/>
          <w:spacing w:val="-1"/>
          <w:w w:val="100"/>
          <w:position w:val="0"/>
          <w:sz w:val="21"/>
          <w:u w:val="none"/>
        </w:rPr>
        <w:t>变形限值</w:t>
      </w:r>
    </w:p>
    <w:p>
      <w:pPr>
        <w:spacing w:before="0" w:after="0" w:line="240" w:lineRule="exact"/>
        <w:ind w:left="132" w:firstLine="4032"/>
      </w:pPr>
    </w:p>
    <w:p>
      <w:pPr>
        <w:spacing w:before="0" w:after="0" w:line="228" w:lineRule="exact"/>
        <w:ind w:left="132" w:firstLine="0"/>
        <w:jc w:val="left"/>
      </w:pPr>
      <w:r>
        <w:rPr>
          <w:rFonts w:ascii="黑体" w:hAnsi="黑体" w:cs="黑体"/>
          <w:color w:val="000000"/>
          <w:spacing w:val="-1"/>
          <w:w w:val="100"/>
          <w:position w:val="0"/>
          <w:sz w:val="21"/>
          <w:u w:val="none"/>
        </w:rPr>
        <w:t>5.2.3.1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计算结构和构件的变形时，可不考虑螺栓或螺钉孔引起的构件截面削弱的影响。</w:t>
      </w:r>
    </w:p>
    <w:p>
      <w:pPr>
        <w:spacing w:before="0" w:after="0" w:line="312" w:lineRule="exact"/>
        <w:ind w:left="132" w:firstLine="0"/>
        <w:jc w:val="left"/>
      </w:pPr>
      <w:r>
        <w:rPr>
          <w:rFonts w:ascii="黑体" w:hAnsi="黑体" w:cs="黑体"/>
          <w:color w:val="000000"/>
          <w:spacing w:val="-1"/>
          <w:w w:val="100"/>
          <w:position w:val="0"/>
          <w:sz w:val="21"/>
          <w:u w:val="none"/>
        </w:rPr>
        <w:t>5.2.3.2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受弯构件的挠度不宜大于表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5.2.3.2</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规定的限值。</w:t>
      </w:r>
    </w:p>
    <w:p>
      <w:pPr>
        <w:spacing w:before="0" w:after="0" w:line="375" w:lineRule="exact"/>
        <w:ind w:left="132" w:firstLine="3492"/>
        <w:jc w:val="left"/>
      </w:pPr>
    </w:p>
    <w:p>
      <w:pPr>
        <w:widowControl/>
        <w:jc w:val="left"/>
        <w:sectPr>
          <w:type w:val="continuous"/>
          <w:pgSz w:w="11907" w:h="16840"/>
          <w:pgMar w:top="736" w:right="641" w:bottom="496" w:left="1001" w:header="0" w:footer="0" w:gutter="0"/>
          <w:pgNumType w:start="81"/>
          <w:cols w:num="1" w:space="708" w:equalWidth="0">
            <w:col w:w="10265" w:space="0"/>
          </w:cols>
          <w:docGrid w:type="lines" w:linePitch="312" w:charSpace="0"/>
        </w:sectPr>
      </w:pPr>
    </w:p>
    <w:p>
      <w:pPr>
        <w:spacing w:before="0" w:after="0" w:line="240" w:lineRule="exact"/>
        <w:ind w:left="132" w:firstLine="3492"/>
      </w:pPr>
    </w:p>
    <w:p>
      <w:pPr>
        <w:spacing w:before="0" w:after="0" w:line="240" w:lineRule="exact"/>
        <w:ind w:left="132" w:firstLine="3492"/>
      </w:pPr>
    </w:p>
    <w:p>
      <w:pPr>
        <w:spacing w:before="0" w:after="0" w:line="240" w:lineRule="exact"/>
        <w:ind w:left="132" w:firstLine="3492"/>
      </w:pPr>
    </w:p>
    <w:p>
      <w:pPr>
        <w:spacing w:before="0" w:after="0" w:line="240" w:lineRule="exact"/>
        <w:ind w:left="132" w:firstLine="3492"/>
      </w:pPr>
    </w:p>
    <w:p>
      <w:pPr>
        <w:spacing w:before="0" w:after="0" w:line="240" w:lineRule="exact"/>
        <w:ind w:left="132" w:firstLine="3492"/>
      </w:pPr>
    </w:p>
    <w:p>
      <w:pPr>
        <w:spacing w:before="0" w:after="0" w:line="240" w:lineRule="exact"/>
        <w:ind w:left="132" w:firstLine="3492"/>
      </w:pPr>
    </w:p>
    <w:p>
      <w:pPr>
        <w:spacing w:before="0" w:after="0" w:line="240" w:lineRule="exact"/>
        <w:ind w:left="132" w:firstLine="3492"/>
        <w:sectPr>
          <w:type w:val="continuous"/>
          <w:pgSz w:w="11907" w:h="16840"/>
          <w:pgMar w:top="736" w:right="641" w:bottom="496" w:left="1001" w:header="0" w:footer="0" w:gutter="0"/>
          <w:pgNumType w:start="82"/>
          <w:cols w:num="1" w:space="708" w:equalWidth="0">
            <w:col w:w="10265" w:space="0"/>
          </w:cols>
          <w:docGrid w:type="lines" w:linePitch="312" w:charSpace="0"/>
        </w:sectPr>
      </w:pPr>
    </w:p>
    <w:p>
      <w:pPr>
        <w:spacing w:before="0" w:after="0" w:line="240" w:lineRule="exact"/>
        <w:ind w:left="132" w:firstLine="3492"/>
      </w:pPr>
    </w:p>
    <w:p>
      <w:pPr>
        <w:spacing w:before="0" w:after="0" w:line="240" w:lineRule="exact"/>
        <w:ind w:left="132" w:firstLine="3492"/>
      </w:pPr>
    </w:p>
    <w:p>
      <w:pPr>
        <w:tabs>
          <w:tab w:val="left" w:pos="1188"/>
        </w:tabs>
        <w:spacing w:before="0" w:after="0" w:line="235" w:lineRule="exact"/>
        <w:ind w:left="559" w:firstLine="0"/>
        <w:jc w:val="left"/>
      </w:pPr>
    </w:p>
    <w:p>
      <w:pPr>
        <w:tabs>
          <w:tab w:val="left" w:pos="1176"/>
        </w:tabs>
        <w:spacing w:before="0" w:after="0" w:line="312" w:lineRule="exact"/>
        <w:ind w:left="559" w:firstLine="348"/>
        <w:jc w:val="left"/>
      </w:pPr>
      <w:r>
        <w:pict>
          <v:shape id="wondershare_487" o:spid="_x0000_s1061" type="#_x0000_t202" style="width:152.8pt;height:14.1pt;margin-top:636.8pt;margin-left:231.2pt;mso-height-relative:page;mso-position-horizontal-relative:page;mso-position-vertical-relative:page;mso-width-relative:page;position:absolute;z-index:-251621376" coordsize="21600,21600" filled="f" stroked="f">
            <v:stroke joinstyle="miter"/>
            <v:textbox inset="0,0,0,0">
              <w:txbxContent>
                <w:p>
                  <w:pPr>
                    <w:tabs>
                      <w:tab w:val="left" w:pos="1037"/>
                    </w:tabs>
                    <w:autoSpaceDE w:val="0"/>
                    <w:autoSpaceDN w:val="0"/>
                    <w:adjustRightInd w:val="0"/>
                    <w:spacing w:before="0" w:after="0" w:line="183" w:lineRule="exact"/>
                    <w:jc w:val="left"/>
                  </w:pPr>
                  <w:r>
                    <w:rPr>
                      <w:rFonts w:ascii="黑体" w:eastAsia="黑体" w:hAnsi="黑体" w:cs="黑体"/>
                      <w:color w:val="000000"/>
                      <w:spacing w:val="-1"/>
                      <w:w w:val="100"/>
                      <w:position w:val="0"/>
                      <w:sz w:val="18"/>
                      <w:u w:val="none"/>
                    </w:rPr>
                    <w:t>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5.2.3.2</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18"/>
                      <w:u w:val="none"/>
                    </w:rPr>
                    <w:t>受弯构件的挠度限值</w:t>
                  </w:r>
                </w:p>
              </w:txbxContent>
            </v:textbox>
          </v:shape>
        </w:pict>
      </w:r>
      <w:r>
        <w:pict>
          <v:shape id="wondershare_567" o:spid="_x0000_s1062" type="#_x0000_t202" style="width:132.4pt;height:13.95pt;margin-top:756.7pt;margin-left:78pt;mso-height-relative:page;mso-position-horizontal-relative:page;mso-position-vertical-relative:page;mso-width-relative:page;position:absolute;z-index:-251620352" coordsize="21600,21600" filled="f" stroked="f">
            <v:stroke joinstyle="miter"/>
            <v:textbox inset="0,0,0,0">
              <w:txbxContent>
                <w:p>
                  <w:pPr>
                    <w:tabs>
                      <w:tab w:val="left" w:pos="629"/>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注：1</w:t>
                  </w:r>
                  <w:r>
                    <w:rPr>
                      <w:rFonts w:cs="Calibri"/>
                      <w:spacing w:val="-18"/>
                      <w:w w:val="100"/>
                    </w:rPr>
                    <w:tab/>
                  </w:r>
                  <w:r>
                    <w:rPr>
                      <w:rFonts w:ascii="宋体" w:eastAsia="宋体" w:hAnsi="宋体" w:cs="宋体"/>
                      <w:color w:val="000000"/>
                      <w:spacing w:val="-1"/>
                      <w:w w:val="100"/>
                      <w:position w:val="0"/>
                      <w:sz w:val="18"/>
                      <w:u w:val="none"/>
                    </w:rPr>
                    <w:t>表中</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L</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为构件跨度；</w:t>
                  </w:r>
                </w:p>
              </w:txbxContent>
            </v:textbox>
          </v:shape>
        </w:pict>
      </w:r>
      <w:r>
        <w:rPr>
          <w:rFonts w:ascii="宋体" w:hAnsi="宋体" w:cs="宋体"/>
          <w:color w:val="000000"/>
          <w:spacing w:val="-1"/>
          <w:w w:val="100"/>
          <w:position w:val="0"/>
          <w:sz w:val="18"/>
          <w:u w:val="none"/>
        </w:rPr>
        <w:t>2</w:t>
      </w:r>
      <w:r>
        <w:rPr>
          <w:rFonts w:cs="Calibri"/>
          <w:spacing w:val="-1"/>
          <w:w w:val="100"/>
        </w:rPr>
        <w:tab/>
      </w:r>
      <w:r>
        <w:rPr>
          <w:rFonts w:ascii="宋体" w:eastAsia="宋体" w:hAnsi="宋体" w:cs="宋体"/>
          <w:color w:val="000000"/>
          <w:spacing w:val="-1"/>
          <w:w w:val="100"/>
          <w:position w:val="0"/>
          <w:sz w:val="18"/>
          <w:u w:val="none"/>
        </w:rPr>
        <w:t>对悬臂梁，按悬伸长度的</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倍计算受弯构件的跨度。</w:t>
      </w:r>
    </w:p>
    <w:p>
      <w:pPr>
        <w:widowControl/>
        <w:jc w:val="left"/>
        <w:sectPr>
          <w:type w:val="nextPage"/>
          <w:pgSz w:w="11907" w:h="16840"/>
          <w:pgMar w:top="736" w:right="641" w:bottom="496" w:left="1001" w:header="0" w:footer="0" w:gutter="0"/>
          <w:pgNumType w:start="83"/>
          <w:cols w:num="1" w:space="708" w:equalWidth="0">
            <w:col w:w="10265" w:space="0"/>
          </w:cols>
          <w:titlePg w:val="0"/>
          <w:docGrid w:type="lines" w:linePitch="312" w:charSpace="0"/>
        </w:sectPr>
      </w:pPr>
    </w:p>
    <w:p>
      <w:pPr>
        <w:spacing w:before="0" w:after="0" w:line="417" w:lineRule="exact"/>
        <w:ind w:left="132" w:firstLine="0"/>
        <w:jc w:val="left"/>
      </w:pPr>
      <w:r>
        <w:rPr>
          <w:rFonts w:ascii="Microsoft YaHei UI" w:hAnsi="Microsoft YaHei UI" w:cs="Microsoft YaHei UI"/>
          <w:color w:val="000000"/>
          <w:spacing w:val="-17"/>
          <w:w w:val="100"/>
          <w:position w:val="0"/>
          <w:sz w:val="18"/>
          <w:u w:val="none"/>
        </w:rPr>
        <w:t>16</w:t>
      </w:r>
    </w:p>
    <w:p>
      <w:pPr>
        <w:widowControl/>
        <w:jc w:val="left"/>
        <w:sectPr>
          <w:type w:val="continuous"/>
          <w:pgSz w:w="11907" w:h="16840"/>
          <w:pgMar w:top="736" w:right="641" w:bottom="496" w:left="1001" w:header="0" w:footer="0" w:gutter="0"/>
          <w:pgNumType w:start="84"/>
          <w:cols w:num="1" w:space="708" w:equalWidth="0">
            <w:col w:w="10265" w:space="0"/>
          </w:cols>
          <w:docGrid w:type="lines" w:linePitch="312" w:charSpace="0"/>
        </w:sectPr>
      </w:pPr>
    </w:p>
    <w:tbl>
      <w:tblPr>
        <w:tblStyle w:val="TableNormal"/>
        <w:tblpPr w:leftFromText="180" w:rightFromText="180" w:vertAnchor="page" w:horzAnchor="page" w:tblpX="1223" w:tblpY="2658"/>
        <w:tblW w:w="0" w:type="auto"/>
        <w:tblInd w:w="0" w:type="dxa"/>
        <w:tblLayout w:type="fixed"/>
        <w:tblCellMar>
          <w:top w:w="0" w:type="dxa"/>
          <w:left w:w="108" w:type="dxa"/>
          <w:bottom w:w="0" w:type="dxa"/>
          <w:right w:w="108" w:type="dxa"/>
        </w:tblCellMar>
      </w:tblPr>
      <w:tblGrid>
        <w:gridCol w:w="3659"/>
        <w:gridCol w:w="3656"/>
      </w:tblGrid>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470" w:right="-239"/>
            </w:pPr>
            <w:bookmarkStart w:id="24" w:name="24"/>
            <w:bookmarkEnd w:id="24"/>
            <w:r>
              <w:rPr>
                <w:rFonts w:ascii="宋体" w:eastAsia="宋体" w:hAnsi="宋体" w:cs="宋体"/>
                <w:color w:val="000000"/>
                <w:spacing w:val="-1"/>
                <w:w w:val="100"/>
                <w:position w:val="0"/>
                <w:sz w:val="18"/>
                <w:u w:val="none"/>
              </w:rPr>
              <w:t>板件类别</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377" w:right="-239"/>
            </w:pPr>
            <w:r>
              <w:rPr>
                <w:rFonts w:ascii="宋体" w:eastAsia="宋体" w:hAnsi="宋体" w:cs="宋体"/>
                <w:color w:val="000000"/>
                <w:spacing w:val="-1"/>
                <w:w w:val="100"/>
                <w:position w:val="0"/>
                <w:sz w:val="18"/>
                <w:u w:val="none"/>
              </w:rPr>
              <w:t>宽厚比限值</w:t>
            </w:r>
          </w:p>
        </w:tc>
      </w:tr>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78" w:right="-239"/>
            </w:pPr>
            <w:r>
              <w:rPr>
                <w:rFonts w:ascii="宋体" w:eastAsia="宋体" w:hAnsi="宋体" w:cs="宋体"/>
                <w:color w:val="000000"/>
                <w:spacing w:val="-1"/>
                <w:w w:val="100"/>
                <w:position w:val="0"/>
                <w:sz w:val="18"/>
                <w:u w:val="none"/>
              </w:rPr>
              <w:t>非加劲板件</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37" w:right="-239"/>
            </w:pPr>
            <w:r>
              <w:rPr>
                <w:rFonts w:ascii="宋体" w:hAnsi="宋体" w:cs="宋体"/>
                <w:color w:val="000000"/>
                <w:spacing w:val="-1"/>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90" w:right="-239"/>
            </w:pPr>
            <w:r>
              <w:rPr>
                <w:rFonts w:ascii="宋体" w:eastAsia="宋体" w:hAnsi="宋体" w:cs="宋体"/>
                <w:color w:val="000000"/>
                <w:spacing w:val="-1"/>
                <w:w w:val="100"/>
                <w:position w:val="0"/>
                <w:sz w:val="18"/>
                <w:u w:val="none"/>
              </w:rPr>
              <w:t>部分加劲板件</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37" w:right="-239"/>
            </w:pPr>
            <w:r>
              <w:rPr>
                <w:rFonts w:ascii="宋体" w:hAnsi="宋体" w:cs="宋体"/>
                <w:color w:val="000000"/>
                <w:spacing w:val="-1"/>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70" w:right="-239"/>
            </w:pPr>
            <w:r>
              <w:rPr>
                <w:rFonts w:ascii="宋体" w:eastAsia="宋体" w:hAnsi="宋体" w:cs="宋体"/>
                <w:color w:val="000000"/>
                <w:spacing w:val="-1"/>
                <w:w w:val="100"/>
                <w:position w:val="0"/>
                <w:sz w:val="18"/>
                <w:u w:val="none"/>
              </w:rPr>
              <w:t>加劲板件</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694" w:right="-239"/>
            </w:pPr>
            <w:r>
              <w:rPr>
                <w:rFonts w:ascii="宋体" w:hAnsi="宋体" w:cs="宋体"/>
                <w:color w:val="000000"/>
                <w:spacing w:val="-1"/>
                <w:w w:val="100"/>
                <w:position w:val="0"/>
                <w:sz w:val="18"/>
                <w:u w:val="none"/>
              </w:rPr>
              <w:t>250</w:t>
            </w:r>
          </w:p>
        </w:tc>
      </w:tr>
    </w:tbl>
    <w:tbl>
      <w:tblPr>
        <w:tblStyle w:val="TableNormal"/>
        <w:tblpPr w:leftFromText="180" w:rightFromText="180" w:vertAnchor="page" w:horzAnchor="page" w:tblpX="1223" w:tblpY="5360"/>
        <w:tblW w:w="0" w:type="auto"/>
        <w:tblInd w:w="0" w:type="dxa"/>
        <w:tblLayout w:type="fixed"/>
        <w:tblCellMar>
          <w:top w:w="0" w:type="dxa"/>
          <w:left w:w="108" w:type="dxa"/>
          <w:bottom w:w="0" w:type="dxa"/>
          <w:right w:w="108" w:type="dxa"/>
        </w:tblCellMar>
      </w:tblPr>
      <w:tblGrid>
        <w:gridCol w:w="3659"/>
        <w:gridCol w:w="3656"/>
      </w:tblGrid>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470" w:right="-239"/>
            </w:pPr>
            <w:r>
              <w:rPr>
                <w:rFonts w:ascii="宋体" w:eastAsia="宋体" w:hAnsi="宋体" w:cs="宋体"/>
                <w:color w:val="000000"/>
                <w:spacing w:val="-1"/>
                <w:w w:val="100"/>
                <w:position w:val="0"/>
                <w:sz w:val="18"/>
                <w:u w:val="none"/>
              </w:rPr>
              <w:t>板件类别</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377" w:right="-239"/>
            </w:pPr>
            <w:r>
              <w:rPr>
                <w:rFonts w:ascii="宋体" w:eastAsia="宋体" w:hAnsi="宋体" w:cs="宋体"/>
                <w:color w:val="000000"/>
                <w:spacing w:val="-1"/>
                <w:w w:val="100"/>
                <w:position w:val="0"/>
                <w:sz w:val="18"/>
                <w:u w:val="none"/>
              </w:rPr>
              <w:t>长细比限值</w:t>
            </w:r>
          </w:p>
        </w:tc>
      </w:tr>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90" w:right="-239"/>
            </w:pPr>
            <w:r>
              <w:rPr>
                <w:rFonts w:ascii="宋体" w:hAnsi="宋体" w:cs="宋体"/>
                <w:color w:val="000000"/>
                <w:spacing w:val="-1"/>
                <w:w w:val="100"/>
                <w:position w:val="0"/>
                <w:sz w:val="18"/>
                <w:u w:val="none"/>
              </w:rPr>
              <w:t>主要承重构件（梁、立柱、屋架等）</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694" w:right="-239"/>
            </w:pPr>
            <w:r>
              <w:rPr>
                <w:rFonts w:ascii="宋体" w:hAnsi="宋体" w:cs="宋体"/>
                <w:color w:val="000000"/>
                <w:spacing w:val="-1"/>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322"/>
        </w:trPr>
        <w:tc>
          <w:tcPr>
            <w:tcW w:w="3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98" w:right="-239"/>
            </w:pPr>
            <w:r>
              <w:rPr>
                <w:rFonts w:ascii="宋体" w:eastAsia="宋体" w:hAnsi="宋体" w:cs="宋体"/>
                <w:color w:val="000000"/>
                <w:spacing w:val="-1"/>
                <w:w w:val="100"/>
                <w:position w:val="0"/>
                <w:sz w:val="18"/>
                <w:u w:val="none"/>
              </w:rPr>
              <w:t>其他构件及支撑</w:t>
            </w:r>
          </w:p>
        </w:tc>
        <w:tc>
          <w:tcPr>
            <w:tcW w:w="3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94" w:right="-239"/>
            </w:pPr>
            <w:r>
              <w:rPr>
                <w:rFonts w:ascii="宋体" w:hAnsi="宋体" w:cs="宋体"/>
                <w:color w:val="000000"/>
                <w:spacing w:val="-1"/>
                <w:w w:val="100"/>
                <w:position w:val="0"/>
                <w:sz w:val="18"/>
                <w:u w:val="none"/>
              </w:rPr>
              <w:t>200</w:t>
            </w:r>
          </w:p>
        </w:tc>
      </w:tr>
    </w:tbl>
    <w:p>
      <w:pPr>
        <w:spacing w:before="0" w:after="0" w:line="72" w:lineRule="exact"/>
      </w:pPr>
    </w:p>
    <w:p>
      <w:pPr>
        <w:widowControl/>
        <w:jc w:val="left"/>
        <w:sectPr>
          <w:type w:val="continuous"/>
          <w:pgSz w:w="11907" w:h="16839"/>
          <w:pgMar w:top="736" w:right="713" w:bottom="496" w:left="1073" w:header="0" w:footer="0" w:gutter="0"/>
          <w:pgNumType w:start="85"/>
          <w:cols w:num="1" w:space="720"/>
          <w:docGrid w:type="lines" w:linePitch="312" w:charSpace="0"/>
        </w:sectPr>
      </w:pPr>
    </w:p>
    <w:p>
      <w:pPr>
        <w:spacing w:before="0" w:after="0" w:line="212" w:lineRule="exact"/>
        <w:ind w:left="60" w:firstLine="7855"/>
        <w:jc w:val="left"/>
      </w:pPr>
      <w:r>
        <w:pict>
          <v:shape id="imagerId195" o:spid="_x0000_s1063" type="#_x0000_t75" style="width:321pt;height:148pt;margin-top:529pt;margin-left:137pt;mso-height-relative:page;mso-position-horizontal-relative:page;mso-position-vertical-relative:page;mso-width-relative:page;position:absolute;z-index:-251619328" coordsize="21600,21600" filled="f">
            <v:imagedata r:id="rId18" o:title=""/>
            <o:lock v:ext="edit" aspectratio="t"/>
          </v:shape>
        </w:pict>
      </w:r>
      <w:r>
        <w:rPr>
          <w:rFonts w:ascii="黑体" w:hAnsi="黑体" w:cs="黑体"/>
          <w:color w:val="000000"/>
          <w:spacing w:val="-1"/>
          <w:w w:val="100"/>
          <w:position w:val="0"/>
          <w:sz w:val="21"/>
          <w:u w:val="none"/>
        </w:rPr>
        <w:t>DB21/T</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XXXX—2023</w:t>
      </w:r>
    </w:p>
    <w:p>
      <w:pPr>
        <w:spacing w:before="0" w:after="0" w:line="240" w:lineRule="exact"/>
        <w:ind w:left="60" w:firstLine="7855"/>
      </w:pPr>
    </w:p>
    <w:p>
      <w:pPr>
        <w:spacing w:before="0" w:after="0" w:line="365" w:lineRule="exact"/>
        <w:ind w:left="60" w:firstLine="0"/>
        <w:jc w:val="left"/>
      </w:pPr>
      <w:r>
        <w:rPr>
          <w:rFonts w:ascii="黑体" w:hAnsi="黑体" w:cs="黑体"/>
          <w:color w:val="000000"/>
          <w:spacing w:val="-1"/>
          <w:w w:val="100"/>
          <w:position w:val="0"/>
          <w:sz w:val="21"/>
          <w:u w:val="none"/>
        </w:rPr>
        <w:t>5.2.3.3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水平风荷载作用下，墙体立柱垂直于墙面的横向弯曲变形与立柱长度之比不得大于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1/250。</w:t>
      </w:r>
    </w:p>
    <w:p>
      <w:pPr>
        <w:spacing w:before="0" w:after="0" w:line="312" w:lineRule="exact"/>
        <w:ind w:left="60" w:firstLine="0"/>
        <w:jc w:val="left"/>
      </w:pPr>
      <w:r>
        <w:rPr>
          <w:rFonts w:ascii="黑体" w:hAnsi="黑体" w:cs="黑体"/>
          <w:color w:val="000000"/>
          <w:spacing w:val="-1"/>
          <w:w w:val="100"/>
          <w:position w:val="0"/>
          <w:sz w:val="21"/>
          <w:u w:val="none"/>
        </w:rPr>
        <w:t>5.2.3.4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由水平风荷载标准值或多遇地震作用标准值产生的层间位移与层高之比不应大于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1/300。</w:t>
      </w:r>
    </w:p>
    <w:p>
      <w:pPr>
        <w:spacing w:before="0" w:after="0" w:line="240" w:lineRule="exact"/>
        <w:ind w:left="60" w:firstLine="0"/>
      </w:pPr>
    </w:p>
    <w:p>
      <w:pPr>
        <w:spacing w:before="0" w:after="0" w:line="228" w:lineRule="exact"/>
        <w:ind w:left="60" w:firstLine="3823"/>
        <w:jc w:val="left"/>
      </w:pPr>
      <w:r>
        <w:rPr>
          <w:rFonts w:ascii="黑体" w:hAnsi="黑体" w:cs="黑体"/>
          <w:color w:val="000000"/>
          <w:spacing w:val="-1"/>
          <w:w w:val="100"/>
          <w:position w:val="0"/>
          <w:sz w:val="21"/>
          <w:u w:val="none"/>
        </w:rPr>
        <w:t>5.2.4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一般构造规定</w:t>
      </w:r>
    </w:p>
    <w:p>
      <w:pPr>
        <w:spacing w:before="0" w:after="0" w:line="240" w:lineRule="exact"/>
        <w:ind w:left="60" w:firstLine="3823"/>
      </w:pPr>
    </w:p>
    <w:p>
      <w:pPr>
        <w:spacing w:before="0" w:after="0" w:line="228" w:lineRule="exact"/>
        <w:ind w:left="60" w:firstLine="0"/>
        <w:jc w:val="left"/>
      </w:pPr>
      <w:r>
        <w:rPr>
          <w:rFonts w:ascii="黑体" w:hAnsi="黑体" w:cs="黑体"/>
          <w:color w:val="000000"/>
          <w:spacing w:val="-1"/>
          <w:w w:val="100"/>
          <w:position w:val="0"/>
          <w:sz w:val="21"/>
          <w:u w:val="none"/>
        </w:rPr>
        <w:t>5.2.4.1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构件受压板件的宽厚比不应大于表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5.2.4.1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规定的限值。</w:t>
      </w:r>
    </w:p>
    <w:p>
      <w:pPr>
        <w:spacing w:before="0" w:after="0" w:line="375" w:lineRule="exact"/>
        <w:ind w:left="60" w:firstLine="3403"/>
        <w:jc w:val="left"/>
      </w:pPr>
    </w:p>
    <w:p>
      <w:pPr>
        <w:widowControl/>
        <w:jc w:val="left"/>
        <w:sectPr>
          <w:type w:val="continuous"/>
          <w:pgSz w:w="11907" w:h="16839"/>
          <w:pgMar w:top="736" w:right="713" w:bottom="496" w:left="1073" w:header="0" w:footer="0" w:gutter="0"/>
          <w:pgNumType w:start="86"/>
          <w:cols w:num="1" w:space="708" w:equalWidth="0">
            <w:col w:w="10121" w:space="0"/>
          </w:cols>
          <w:docGrid w:type="lines" w:linePitch="312" w:charSpace="0"/>
        </w:sectPr>
      </w:pPr>
    </w:p>
    <w:p>
      <w:pPr>
        <w:spacing w:before="0" w:after="0" w:line="240" w:lineRule="exact"/>
        <w:ind w:left="60" w:firstLine="3403"/>
      </w:pPr>
    </w:p>
    <w:p>
      <w:pPr>
        <w:spacing w:before="0" w:after="0" w:line="240" w:lineRule="exact"/>
        <w:ind w:left="60" w:firstLine="3403"/>
      </w:pPr>
    </w:p>
    <w:p>
      <w:pPr>
        <w:spacing w:before="0" w:after="0" w:line="240" w:lineRule="exact"/>
        <w:ind w:left="60" w:firstLine="3403"/>
      </w:pPr>
    </w:p>
    <w:p>
      <w:pPr>
        <w:spacing w:before="0" w:after="0" w:line="240" w:lineRule="exact"/>
        <w:ind w:left="60" w:firstLine="3403"/>
      </w:pPr>
    </w:p>
    <w:p>
      <w:pPr>
        <w:spacing w:before="0" w:after="0" w:line="240" w:lineRule="exact"/>
        <w:ind w:left="60" w:firstLine="3403"/>
      </w:pPr>
    </w:p>
    <w:p>
      <w:pPr>
        <w:spacing w:before="0" w:after="0" w:line="240" w:lineRule="exact"/>
        <w:ind w:left="60" w:firstLine="3403"/>
      </w:pPr>
    </w:p>
    <w:p>
      <w:pPr>
        <w:spacing w:before="0" w:after="0" w:line="290" w:lineRule="exact"/>
        <w:ind w:left="60" w:firstLine="0"/>
        <w:jc w:val="left"/>
      </w:pPr>
    </w:p>
    <w:p>
      <w:pPr>
        <w:spacing w:before="0" w:after="0" w:line="283" w:lineRule="exact"/>
        <w:ind w:left="60" w:firstLine="0"/>
        <w:jc w:val="left"/>
      </w:pPr>
      <w:r>
        <w:pict>
          <v:shape id="wondershare_170" o:spid="_x0000_s1064" type="#_x0000_t202" style="width:161.7pt;height:14.1pt;margin-top:153.2pt;margin-left:226.8pt;mso-height-relative:page;mso-position-horizontal-relative:page;mso-position-vertical-relative:page;mso-width-relative:page;position:absolute;z-index:-251618304" coordsize="21600,21600" filled="f" stroked="f">
            <v:stroke joinstyle="miter"/>
            <v:textbox inset="0,0,0,0">
              <w:txbxContent>
                <w:p>
                  <w:pPr>
                    <w:tabs>
                      <w:tab w:val="left" w:pos="1034"/>
                    </w:tabs>
                    <w:autoSpaceDE w:val="0"/>
                    <w:autoSpaceDN w:val="0"/>
                    <w:adjustRightInd w:val="0"/>
                    <w:spacing w:before="0" w:after="0" w:line="183" w:lineRule="exact"/>
                    <w:jc w:val="left"/>
                  </w:pPr>
                  <w:r>
                    <w:rPr>
                      <w:rFonts w:ascii="黑体" w:eastAsia="黑体" w:hAnsi="黑体" w:cs="黑体"/>
                      <w:color w:val="000000"/>
                      <w:spacing w:val="-1"/>
                      <w:w w:val="100"/>
                      <w:position w:val="0"/>
                      <w:sz w:val="18"/>
                      <w:u w:val="none"/>
                    </w:rPr>
                    <w:t>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5.2.4.1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18"/>
                      <w:u w:val="none"/>
                    </w:rPr>
                    <w:t>受压板件的宽厚比限值</w:t>
                  </w:r>
                </w:p>
              </w:txbxContent>
            </v:textbox>
          </v:shape>
        </w:pict>
      </w:r>
      <w:r>
        <w:pict>
          <v:shape id="_x0000_s2090" o:spid="_x0000_s1065" type="#_x0000_t202" style="width:332pt;height:53pt;margin-top:397.7pt;margin-left:141.6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69" o:spid="_x0000_s1066" type="#_x0000_t202" style="width:501.9pt;height:17.55pt;margin-top:236.25pt;margin-left:56.6pt;mso-height-relative:page;mso-position-horizontal-relative:page;mso-position-vertical-relative:page;mso-width-relative:page;position:absolute;z-index:-251616256" coordsize="21600,21600" filled="f" stroked="f">
            <v:stroke joinstyle="miter"/>
            <v:textbox inset="0,0,0,0">
              <w:txbxContent>
                <w:p>
                  <w:pPr>
                    <w:tabs>
                      <w:tab w:val="left" w:pos="946"/>
                    </w:tabs>
                    <w:autoSpaceDE w:val="0"/>
                    <w:autoSpaceDN w:val="0"/>
                    <w:adjustRightInd w:val="0"/>
                    <w:spacing w:before="0" w:after="0" w:line="226" w:lineRule="exact"/>
                    <w:jc w:val="left"/>
                  </w:pPr>
                  <w:r>
                    <w:rPr>
                      <w:rFonts w:ascii="黑体" w:hAnsi="黑体" w:cs="黑体"/>
                      <w:color w:val="000000"/>
                      <w:spacing w:val="-1"/>
                      <w:w w:val="100"/>
                      <w:position w:val="2"/>
                      <w:sz w:val="21"/>
                      <w:u w:val="none"/>
                    </w:rPr>
                    <w:t>5.2.4.2</w:t>
                  </w:r>
                  <w:r>
                    <w:rPr>
                      <w:color w:val="000000"/>
                      <w:spacing w:val="0"/>
                      <w:w w:val="100"/>
                      <w:sz w:val="24"/>
                      <w:u w:val="none"/>
                    </w:rPr>
                    <w:t>  </w:t>
                  </w:r>
                  <w:r>
                    <w:rPr>
                      <w:rFonts w:cs="Calibri"/>
                      <w:spacing w:val="-17"/>
                      <w:w w:val="100"/>
                    </w:rPr>
                    <w:tab/>
                  </w:r>
                  <w:r>
                    <w:rPr>
                      <w:rFonts w:ascii="宋体" w:eastAsia="宋体" w:hAnsi="宋体" w:cs="宋体"/>
                      <w:color w:val="000000"/>
                      <w:spacing w:val="-2"/>
                      <w:w w:val="100"/>
                      <w:position w:val="2"/>
                      <w:sz w:val="21"/>
                      <w:u w:val="none"/>
                    </w:rPr>
                    <w:t>受压构件的长细比，不宜大于表</w:t>
                  </w:r>
                  <w:r>
                    <w:rPr>
                      <w:rFonts w:ascii="Calibri" w:hAnsi="Calibri" w:cs="Calibri"/>
                      <w:color w:val="000000"/>
                      <w:spacing w:val="4"/>
                      <w:w w:val="100"/>
                      <w:sz w:val="21"/>
                      <w:u w:val="none"/>
                    </w:rPr>
                    <w:t> </w:t>
                  </w:r>
                  <w:r>
                    <w:rPr>
                      <w:rFonts w:ascii="宋体" w:hAnsi="宋体" w:cs="宋体"/>
                      <w:color w:val="000000"/>
                      <w:spacing w:val="-1"/>
                      <w:w w:val="100"/>
                      <w:position w:val="2"/>
                      <w:sz w:val="21"/>
                      <w:u w:val="none"/>
                    </w:rPr>
                    <w:t>5.2.4.2</w:t>
                  </w:r>
                  <w:r>
                    <w:rPr>
                      <w:rFonts w:ascii="Calibri" w:hAnsi="Calibri" w:cs="Calibri"/>
                      <w:color w:val="000000"/>
                      <w:spacing w:val="5"/>
                      <w:w w:val="100"/>
                      <w:sz w:val="21"/>
                      <w:u w:val="none"/>
                    </w:rPr>
                    <w:t> </w:t>
                  </w:r>
                  <w:r>
                    <w:rPr>
                      <w:rFonts w:ascii="宋体" w:hAnsi="宋体" w:cs="宋体"/>
                      <w:color w:val="000000"/>
                      <w:spacing w:val="-3"/>
                      <w:w w:val="100"/>
                      <w:position w:val="2"/>
                      <w:sz w:val="21"/>
                      <w:u w:val="none"/>
                    </w:rPr>
                    <w:t>规定的限值。受拉构件的长细比，不宜大于</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350</w:t>
                  </w:r>
                  <w:r>
                    <w:rPr>
                      <w:rFonts w:ascii="宋体" w:eastAsia="宋体" w:hAnsi="宋体" w:cs="宋体"/>
                      <w:color w:val="000000"/>
                      <w:spacing w:val="-7"/>
                      <w:w w:val="100"/>
                      <w:position w:val="2"/>
                      <w:sz w:val="21"/>
                      <w:u w:val="none"/>
                    </w:rPr>
                    <w:t>，但张</w:t>
                  </w:r>
                </w:p>
              </w:txbxContent>
            </v:textbox>
          </v:shape>
        </w:pict>
      </w:r>
      <w:r>
        <w:rPr>
          <w:rFonts w:ascii="宋体" w:hAnsi="宋体" w:cs="宋体"/>
          <w:color w:val="000000"/>
          <w:spacing w:val="-1"/>
          <w:w w:val="100"/>
          <w:position w:val="0"/>
          <w:sz w:val="21"/>
          <w:u w:val="none"/>
        </w:rPr>
        <w:t>紧拉条的长细比可不受此限制。当受拉构件在永久荷载和风荷载或多遇地震组合作用下受压时，长细比不</w:t>
      </w:r>
    </w:p>
    <w:p>
      <w:pPr>
        <w:spacing w:before="0" w:after="0" w:line="341" w:lineRule="exact"/>
        <w:ind w:left="60" w:firstLine="0"/>
        <w:jc w:val="left"/>
      </w:pPr>
      <w:r>
        <w:rPr>
          <w:rFonts w:ascii="宋体" w:eastAsia="宋体" w:hAnsi="宋体" w:cs="宋体"/>
          <w:color w:val="000000"/>
          <w:spacing w:val="-1"/>
          <w:w w:val="100"/>
          <w:position w:val="2"/>
          <w:sz w:val="21"/>
          <w:u w:val="none"/>
        </w:rPr>
        <w:t>宜大于</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250</w:t>
      </w:r>
      <w:r>
        <w:rPr>
          <w:rFonts w:ascii="宋体" w:hAnsi="宋体" w:cs="宋体"/>
          <w:color w:val="000000"/>
          <w:spacing w:val="-2"/>
          <w:w w:val="100"/>
          <w:position w:val="2"/>
          <w:sz w:val="21"/>
          <w:u w:val="none"/>
        </w:rPr>
        <w:t>。</w:t>
      </w:r>
    </w:p>
    <w:p>
      <w:pPr>
        <w:spacing w:before="0" w:after="0" w:line="349" w:lineRule="exact"/>
        <w:ind w:left="60" w:firstLine="3403"/>
        <w:jc w:val="left"/>
      </w:pPr>
    </w:p>
    <w:p>
      <w:pPr>
        <w:spacing w:before="0" w:after="0" w:line="240" w:lineRule="exact"/>
        <w:ind w:left="60" w:firstLine="3403"/>
      </w:pPr>
    </w:p>
    <w:p>
      <w:pPr>
        <w:spacing w:before="0" w:after="0" w:line="240" w:lineRule="exact"/>
        <w:ind w:left="60" w:firstLine="3403"/>
      </w:pPr>
    </w:p>
    <w:p>
      <w:pPr>
        <w:spacing w:before="0" w:after="0" w:line="240" w:lineRule="exact"/>
        <w:ind w:left="60" w:firstLine="3403"/>
      </w:pPr>
    </w:p>
    <w:p>
      <w:pPr>
        <w:spacing w:before="0" w:after="0" w:line="240" w:lineRule="exact"/>
        <w:ind w:left="60" w:firstLine="3403"/>
      </w:pPr>
    </w:p>
    <w:p>
      <w:pPr>
        <w:spacing w:before="0" w:after="0" w:line="420" w:lineRule="exact"/>
        <w:ind w:left="60" w:firstLine="0"/>
        <w:jc w:val="left"/>
      </w:pPr>
    </w:p>
    <w:p>
      <w:pPr>
        <w:spacing w:before="0" w:after="0" w:line="309" w:lineRule="exact"/>
        <w:ind w:left="60" w:firstLine="0"/>
        <w:jc w:val="left"/>
      </w:pPr>
      <w:r>
        <w:pict>
          <v:shape id="wondershare_333" o:spid="_x0000_s1067" type="#_x0000_t202" style="width:161.7pt;height:14.1pt;margin-top:288.35pt;margin-left:226.8pt;mso-height-relative:page;mso-position-horizontal-relative:page;mso-position-vertical-relative:page;mso-width-relative:page;position:absolute;z-index:-251615232" coordsize="21600,21600" filled="f" stroked="f">
            <v:stroke joinstyle="miter"/>
            <v:textbox inset="0,0,0,0">
              <w:txbxContent>
                <w:p>
                  <w:pPr>
                    <w:tabs>
                      <w:tab w:val="left" w:pos="1034"/>
                    </w:tabs>
                    <w:autoSpaceDE w:val="0"/>
                    <w:autoSpaceDN w:val="0"/>
                    <w:adjustRightInd w:val="0"/>
                    <w:spacing w:before="0" w:after="0" w:line="183" w:lineRule="exact"/>
                    <w:jc w:val="left"/>
                  </w:pPr>
                  <w:r>
                    <w:rPr>
                      <w:rFonts w:ascii="黑体" w:eastAsia="黑体" w:hAnsi="黑体" w:cs="黑体"/>
                      <w:color w:val="000000"/>
                      <w:spacing w:val="-1"/>
                      <w:w w:val="100"/>
                      <w:position w:val="0"/>
                      <w:sz w:val="18"/>
                      <w:u w:val="none"/>
                    </w:rPr>
                    <w:t>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5.2.4.2</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18"/>
                      <w:u w:val="none"/>
                    </w:rPr>
                    <w:t>受压构件的长细比限值</w:t>
                  </w:r>
                </w:p>
              </w:txbxContent>
            </v:textbox>
          </v:shape>
        </w:pict>
      </w:r>
      <w:r>
        <w:pict>
          <v:shape id="wondershare_435" o:spid="_x0000_s1068" type="#_x0000_t202" style="width:501.95pt;height:15.6pt;margin-top:355.85pt;margin-left:56.6pt;mso-height-relative:page;mso-position-horizontal-relative:page;mso-position-vertical-relative:page;mso-width-relative:page;position:absolute;z-index:-251614208" coordsize="21600,21600" filled="f" stroked="f">
            <v:stroke joinstyle="miter"/>
            <v:textbox inset="0,0,0,0">
              <w:txbxContent>
                <w:p>
                  <w:pPr>
                    <w:tabs>
                      <w:tab w:val="left" w:pos="946"/>
                    </w:tabs>
                    <w:autoSpaceDE w:val="0"/>
                    <w:autoSpaceDN w:val="0"/>
                    <w:adjustRightInd w:val="0"/>
                    <w:spacing w:before="0" w:after="0" w:line="212" w:lineRule="exact"/>
                    <w:jc w:val="left"/>
                  </w:pPr>
                  <w:r>
                    <w:rPr>
                      <w:rFonts w:ascii="黑体" w:hAnsi="黑体" w:cs="黑体"/>
                      <w:color w:val="000000"/>
                      <w:spacing w:val="-1"/>
                      <w:w w:val="100"/>
                      <w:position w:val="0"/>
                      <w:sz w:val="21"/>
                      <w:u w:val="none"/>
                    </w:rPr>
                    <w:t>5.2.4.3</w:t>
                  </w:r>
                  <w:r>
                    <w:rPr>
                      <w:color w:val="000000"/>
                      <w:spacing w:val="0"/>
                      <w:w w:val="100"/>
                      <w:sz w:val="24"/>
                      <w:u w:val="none"/>
                    </w:rPr>
                    <w:t>  </w:t>
                  </w:r>
                  <w:r>
                    <w:rPr>
                      <w:rFonts w:cs="Calibri"/>
                      <w:spacing w:val="-1"/>
                      <w:w w:val="100"/>
                    </w:rPr>
                    <w:tab/>
                  </w:r>
                  <w:r>
                    <w:rPr>
                      <w:rFonts w:ascii="宋体" w:hAnsi="宋体" w:cs="宋体"/>
                      <w:color w:val="000000"/>
                      <w:spacing w:val="-2"/>
                      <w:w w:val="100"/>
                      <w:position w:val="0"/>
                      <w:sz w:val="21"/>
                      <w:u w:val="none"/>
                    </w:rPr>
                    <w:t>冷弯薄壁型钢结构承重构件的壁厚应符合现行国家标准《冷弯薄壁型钢结构技术规范》GB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50018</w:t>
                  </w:r>
                </w:p>
              </w:txbxContent>
            </v:textbox>
          </v:shape>
        </w:pict>
      </w:r>
      <w:r>
        <w:rPr>
          <w:rFonts w:ascii="宋体" w:hAnsi="宋体" w:cs="宋体"/>
          <w:color w:val="000000"/>
          <w:spacing w:val="-1"/>
          <w:w w:val="100"/>
          <w:position w:val="0"/>
          <w:sz w:val="21"/>
          <w:u w:val="none"/>
        </w:rPr>
        <w:t>的规定。</w:t>
      </w:r>
    </w:p>
    <w:p>
      <w:pPr>
        <w:spacing w:before="0" w:after="0" w:line="315" w:lineRule="exact"/>
        <w:ind w:left="60" w:firstLine="0"/>
        <w:jc w:val="left"/>
      </w:pPr>
      <w:r>
        <w:rPr>
          <w:rFonts w:ascii="黑体" w:hAnsi="黑体" w:cs="黑体"/>
          <w:color w:val="000000"/>
          <w:spacing w:val="-1"/>
          <w:w w:val="100"/>
          <w:position w:val="0"/>
          <w:sz w:val="21"/>
          <w:u w:val="none"/>
        </w:rPr>
        <w:t>5.2.4.4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轻钢结构装配装饰一体化建筑同一榀构架的立柱、楼板梁、屋架宜在同一平面内，构件形心之</w:t>
      </w:r>
    </w:p>
    <w:p>
      <w:pPr>
        <w:spacing w:before="0" w:after="0" w:line="309" w:lineRule="exact"/>
        <w:ind w:left="60" w:firstLine="0"/>
        <w:jc w:val="left"/>
      </w:pPr>
      <w:r>
        <w:rPr>
          <w:rFonts w:ascii="宋体" w:eastAsia="宋体" w:hAnsi="宋体" w:cs="宋体"/>
          <w:color w:val="000000"/>
          <w:spacing w:val="0"/>
          <w:w w:val="100"/>
          <w:position w:val="0"/>
          <w:sz w:val="21"/>
          <w:u w:val="none"/>
        </w:rPr>
        <w:t>间的偏心不宜超过</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20</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mm。</w:t>
      </w:r>
    </w:p>
    <w:p>
      <w:pPr>
        <w:spacing w:before="0" w:after="0" w:line="315" w:lineRule="exact"/>
        <w:ind w:left="60" w:firstLine="0"/>
        <w:jc w:val="left"/>
      </w:pPr>
      <w:r>
        <w:rPr>
          <w:rFonts w:ascii="黑体" w:hAnsi="黑体" w:cs="黑体"/>
          <w:color w:val="000000"/>
          <w:spacing w:val="-1"/>
          <w:w w:val="100"/>
          <w:position w:val="0"/>
          <w:sz w:val="21"/>
          <w:u w:val="none"/>
        </w:rPr>
        <w:t>5.2.4.5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冷弯薄壁型钢构件的腹板开孔时(图</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5.2.4.5)应满足下列要求：</w:t>
      </w:r>
    </w:p>
    <w:p>
      <w:pPr>
        <w:spacing w:before="0" w:after="0" w:line="312" w:lineRule="exact"/>
        <w:ind w:left="60" w:firstLine="425"/>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0"/>
          <w:w w:val="100"/>
          <w:position w:val="0"/>
          <w:sz w:val="21"/>
          <w:u w:val="none"/>
        </w:rPr>
        <w:t>孔口的中心距不应小于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600</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rPr>
        <w:t>mm；</w:t>
      </w:r>
    </w:p>
    <w:p>
      <w:pPr>
        <w:spacing w:before="0" w:after="0" w:line="312" w:lineRule="exact"/>
        <w:ind w:left="60" w:firstLine="425"/>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水平构件的孔高不应大于腹板高度的</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65</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的较小值；</w:t>
      </w:r>
    </w:p>
    <w:p>
      <w:pPr>
        <w:spacing w:before="0" w:after="0" w:line="312" w:lineRule="exact"/>
        <w:ind w:left="60" w:firstLine="425"/>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竖向构件的孔高不应大于腹板高度的</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40</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的较小值；</w:t>
      </w:r>
    </w:p>
    <w:p>
      <w:pPr>
        <w:spacing w:before="0" w:after="0" w:line="312" w:lineRule="exact"/>
        <w:ind w:left="60" w:firstLine="425"/>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孔宽不宜大于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110</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rPr>
        <w:t>mm；</w:t>
      </w:r>
    </w:p>
    <w:p>
      <w:pPr>
        <w:spacing w:before="0" w:after="0" w:line="312" w:lineRule="exact"/>
        <w:ind w:left="60" w:firstLine="425"/>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孔口边至最近端部边缘的距离不得小于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250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mm；</w:t>
      </w:r>
    </w:p>
    <w:p>
      <w:pPr>
        <w:spacing w:before="0" w:after="0" w:line="312" w:lineRule="exact"/>
        <w:ind w:left="60" w:firstLine="425"/>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当不满足时，应根据本规程第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5.2.4.6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条的要求对孔口加强。</w:t>
      </w:r>
    </w:p>
    <w:p>
      <w:pPr>
        <w:widowControl/>
        <w:jc w:val="left"/>
        <w:sectPr>
          <w:type w:val="continuous"/>
          <w:pgSz w:w="11907" w:h="16839"/>
          <w:pgMar w:top="736" w:right="713" w:bottom="496" w:left="1073" w:header="0" w:footer="0" w:gutter="0"/>
          <w:pgNumType w:start="87"/>
          <w:cols w:num="1" w:space="708" w:equalWidth="0">
            <w:col w:w="10121" w:space="0"/>
          </w:cols>
          <w:docGrid w:type="lines" w:linePitch="312" w:charSpace="0"/>
        </w:sectPr>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tabs>
          <w:tab w:val="left" w:pos="4858"/>
        </w:tabs>
        <w:spacing w:before="0" w:after="0" w:line="374" w:lineRule="exact"/>
        <w:ind w:left="60" w:firstLine="3763"/>
        <w:jc w:val="left"/>
      </w:pPr>
      <w:r>
        <w:rPr>
          <w:rFonts w:ascii="宋体" w:eastAsia="宋体" w:hAnsi="宋体" w:cs="宋体"/>
          <w:color w:val="000000"/>
          <w:spacing w:val="-1"/>
          <w:w w:val="100"/>
          <w:position w:val="0"/>
          <w:sz w:val="18"/>
          <w:u w:val="none"/>
        </w:rPr>
        <w:t>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5.2.4.5</w:t>
      </w:r>
      <w:r>
        <w:rPr>
          <w:rFonts w:cs="Calibri"/>
          <w:spacing w:val="5"/>
          <w:w w:val="100"/>
        </w:rPr>
        <w:tab/>
      </w:r>
      <w:r>
        <w:rPr>
          <w:rFonts w:ascii="宋体" w:eastAsia="宋体" w:hAnsi="宋体" w:cs="宋体"/>
          <w:color w:val="000000"/>
          <w:spacing w:val="-1"/>
          <w:w w:val="100"/>
          <w:position w:val="0"/>
          <w:sz w:val="18"/>
          <w:u w:val="none"/>
        </w:rPr>
        <w:t>构件开孔示意</w:t>
      </w:r>
    </w:p>
    <w:p>
      <w:pPr>
        <w:spacing w:before="0" w:after="0" w:line="406" w:lineRule="exact"/>
        <w:ind w:left="60" w:firstLine="0"/>
        <w:jc w:val="left"/>
      </w:pPr>
      <w:r>
        <w:rPr>
          <w:rFonts w:ascii="黑体" w:hAnsi="黑体" w:cs="黑体"/>
          <w:color w:val="000000"/>
          <w:spacing w:val="-1"/>
          <w:w w:val="100"/>
          <w:position w:val="0"/>
          <w:sz w:val="21"/>
          <w:u w:val="none"/>
        </w:rPr>
        <w:t>5.2.4.6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当腹板开孔不满足本规程第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5.2.4.5</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条的要求时，应对孔口进行加强，见图</w:t>
      </w:r>
      <w:r>
        <w:rPr>
          <w:rFonts w:ascii="Calibri" w:hAnsi="Calibri" w:cs="Calibri"/>
          <w:color w:val="000000"/>
          <w:spacing w:val="6"/>
          <w:w w:val="100"/>
          <w:sz w:val="21"/>
          <w:u w:val="none"/>
        </w:rPr>
        <w:t> </w:t>
      </w:r>
      <w:r>
        <w:rPr>
          <w:rFonts w:ascii="宋体" w:hAnsi="宋体" w:cs="宋体"/>
          <w:color w:val="000000"/>
          <w:spacing w:val="-3"/>
          <w:w w:val="100"/>
          <w:position w:val="0"/>
          <w:sz w:val="21"/>
          <w:u w:val="none"/>
        </w:rPr>
        <w:t>5.2.4.6。孔口加强</w:t>
      </w:r>
    </w:p>
    <w:p>
      <w:pPr>
        <w:spacing w:before="0" w:after="0" w:line="309" w:lineRule="exact"/>
        <w:ind w:left="60" w:firstLine="0"/>
        <w:jc w:val="left"/>
      </w:pPr>
      <w:r>
        <w:rPr>
          <w:rFonts w:ascii="宋体" w:hAnsi="宋体" w:cs="宋体"/>
          <w:color w:val="000000"/>
          <w:spacing w:val="-1"/>
          <w:w w:val="100"/>
          <w:position w:val="0"/>
          <w:sz w:val="21"/>
          <w:u w:val="none"/>
        </w:rPr>
        <w:t>件可采用平板、槽形构件或卷边槽形构件。孔口加强件的厚度不应小于所要加强腹板的厚度，且伸出孔口</w:t>
      </w:r>
    </w:p>
    <w:p>
      <w:pPr>
        <w:spacing w:before="0" w:after="0" w:line="312" w:lineRule="exact"/>
        <w:ind w:left="60" w:firstLine="0"/>
        <w:jc w:val="left"/>
        <w:sectPr>
          <w:type w:val="continuous"/>
          <w:pgSz w:w="11907" w:h="16839"/>
          <w:pgMar w:top="736" w:right="713" w:bottom="496" w:left="1073" w:header="0" w:footer="0" w:gutter="0"/>
          <w:pgNumType w:start="88"/>
          <w:cols w:num="1" w:space="708" w:equalWidth="0">
            <w:col w:w="10121" w:space="0"/>
          </w:cols>
          <w:docGrid w:type="lines" w:linePitch="312" w:charSpace="0"/>
        </w:sectPr>
      </w:pPr>
      <w:r>
        <w:rPr>
          <w:rFonts w:ascii="宋体" w:eastAsia="宋体" w:hAnsi="宋体" w:cs="宋体"/>
          <w:color w:val="000000"/>
          <w:spacing w:val="0"/>
          <w:w w:val="100"/>
          <w:position w:val="0"/>
          <w:sz w:val="21"/>
          <w:u w:val="none"/>
        </w:rPr>
        <w:t>四周不应小于</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25</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mm。加强件与腹板应采用螺钉连接，螺钉中心间距应不大于</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25</w:t>
      </w:r>
      <w:r>
        <w:rPr>
          <w:rFonts w:ascii="Calibri" w:hAnsi="Calibri" w:cs="Calibri"/>
          <w:color w:val="000000"/>
          <w:spacing w:val="0"/>
          <w:w w:val="229"/>
          <w:sz w:val="21"/>
          <w:u w:val="none"/>
        </w:rPr>
        <w:t> </w:t>
      </w:r>
      <w:r>
        <w:rPr>
          <w:rFonts w:ascii="宋体" w:eastAsia="宋体" w:hAnsi="宋体" w:cs="宋体"/>
          <w:color w:val="000000"/>
          <w:spacing w:val="0"/>
          <w:w w:val="100"/>
          <w:position w:val="0"/>
          <w:sz w:val="21"/>
          <w:u w:val="none"/>
        </w:rPr>
        <w:t>mm，最小边距应不小于</w:t>
      </w:r>
    </w:p>
    <w:p>
      <w:pPr>
        <w:spacing w:before="0" w:after="0" w:line="312" w:lineRule="exact"/>
        <w:ind w:left="60" w:firstLine="0"/>
        <w:jc w:val="left"/>
      </w:pPr>
      <w:r>
        <w:rPr>
          <w:rFonts w:ascii="宋体" w:hAnsi="宋体" w:cs="宋体"/>
          <w:color w:val="000000"/>
          <w:spacing w:val="-2"/>
          <w:w w:val="100"/>
          <w:position w:val="0"/>
          <w:sz w:val="21"/>
          <w:u w:val="none"/>
        </w:rPr>
        <w:t>12</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mm。</w:t>
      </w:r>
    </w:p>
    <w:p>
      <w:pPr>
        <w:spacing w:before="0" w:after="0" w:line="240" w:lineRule="exact"/>
        <w:ind w:left="60" w:firstLine="0"/>
      </w:pPr>
    </w:p>
    <w:p>
      <w:pPr>
        <w:spacing w:before="0" w:after="0" w:line="240" w:lineRule="exact"/>
        <w:ind w:left="60" w:firstLine="0"/>
      </w:pPr>
    </w:p>
    <w:p>
      <w:pPr>
        <w:spacing w:before="0" w:after="0" w:line="280" w:lineRule="exact"/>
        <w:ind w:left="60" w:firstLine="9461"/>
        <w:jc w:val="left"/>
      </w:pPr>
      <w:r>
        <w:rPr>
          <w:rFonts w:ascii="Microsoft YaHei UI" w:hAnsi="Microsoft YaHei UI" w:cs="Microsoft YaHei UI"/>
          <w:color w:val="000000"/>
          <w:spacing w:val="-17"/>
          <w:w w:val="100"/>
          <w:position w:val="0"/>
          <w:sz w:val="18"/>
          <w:u w:val="none"/>
        </w:rPr>
        <w:t>17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https://d.book118.com/036040053041010101</w:t>
        </w:r>
      </w:hyperlink>
    </w:p>
    <w:p>
      <w:pPr>
        <w:widowControl/>
        <w:jc w:val="left"/>
      </w:pPr>
    </w:p>
    <w:sectPr>
      <w:type w:val="nextPage"/>
      <w:pgSz w:w="11907" w:h="16839"/>
      <w:pgMar w:top="736" w:right="713" w:bottom="496" w:left="1073" w:header="0" w:footer="0" w:gutter="0"/>
      <w:pgNumType w:start="89"/>
      <w:cols w:num="1" w:space="708" w:equalWidth="0">
        <w:col w:w="10121"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5A63C4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hyperlink" Target="https://d.book118.com/036040053041010101"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2024-03-13T01:41:09Z</dcterms:created>
  <dcterms:modified xsi:type="dcterms:W3CDTF">2024-03-13T01:41:27Z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C3B85E87E9A54BCE8F5CCAEB61D5D349_12</vt:lpwstr>
  </property>
  <property fmtid="{D5CDD505-2E9C-101B-9397-08002B2CF9AE}" pid="3" name="KSOProductBuildVer">
    <vt:lpwstr>2052-12.1.0.16399</vt:lpwstr>
  </property>
</Properties>
</file>