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2018-2023年上海东海职业技术学院高职单招（数学／语文／英语）历年常考试题库含答案解析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苏轼的《水调歌头》（明月几时有）是一首（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A.清明词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B.重阳词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C.端午词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D.中秋词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陶渊明《饮酒》“采菊东篱下，悠然见南山”两句的抒情方式是（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A.借景抒情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B.借典故抒情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C.借前人成句抒情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D.直抒胸臆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《关山月》是以什么为线索来抒情的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A.笛声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B.月夜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C.歌舞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《史记》的作者是（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A.司马迁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B.左丘明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C.班固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D.范晔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《长亭送别》中，表现莺莺对现实不满的最为强烈的曲词是（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A.有梦也难寻觅。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B.但得一个并头莲，煞强如状元及第。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C.前暮私情，昨夜成亲，今日别离。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D.蜗角虚名，蝇头微利，拆鸳鸯在两下里。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柳永的词集是（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D.《珠玉集》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“易安居士”是指（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8.</w:t>
      </w:r>
      <w:r>
        <w:rPr>
          <w:rFonts w:ascii="黑体" w:eastAsia="黑体" w:hAnsi="黑体" w:cs="Times New Roman"/>
          <w:sz w:val="24"/>
          <w:lang w:val="en-US" w:eastAsia="ja-JP" w:bidi="ar-SA"/>
        </w:rPr>
        <w:t>“祸起萧墙”、“望洋兴叹”、“日薄西山”三个成语依次出自（　　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A.《季氏将伐颛臾》、《陈情表》、《庄子·秋水》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B.《寡人之于国也》、《季氏将伐颛臾》、《陈情表》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C.《季氏将伐颛臾》、《庄子·秋水》、《陈情表》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D.《寡人之于国也》、《庄子·秋水》、《陈情表》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7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《楚辞·九歌·国殇》之“国殇”的含义是（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A.祭奠为楚国捐躯的将士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B.感伤楚国将士斗志的衰败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C.鼓舞为楚国捐躯的斗志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D.感伤楚国国势的衰败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《再别康桥》是一首（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A.咏物诗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B.借景抒发个人情怀的抒情诗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C.政治抒情诗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D.散文诗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闻一多属于下列诗歌流派中的（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A.七月派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B.新月派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C.湖畔派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D.象征诗派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A.被后人称作“三苏”的作家是苏洵、苏轼、苏辙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B.“济南二安”指的是李清照和辛弃疾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C.苍凉悲壮是曹操诗歌的主要艺术风格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D.曹雪芹是我国明代伟大的浪漫主义作家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盛唐山水田园诗派的代表诗人是（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B.谢灵运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D.王之涣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下列画横线的句子翻译错误的一项是（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A.与尔三矢，尔其无忘乃父之志。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B.故今具道所以，冀君实或见恕。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C.左右以君贱之也，食以草具。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https://d.book118.com/036053213230010052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036053213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