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有机肥料及微生物肥料项目规划设计纲要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88" w:history="1">
        <w:r>
          <w:rPr>
            <w:rFonts w:ascii="仿宋" w:eastAsia="仿宋" w:hAnsi="仿宋" w:cs="仿宋" w:hint="eastAsia"/>
            <w:lang w:eastAsia="zh-CN"/>
          </w:rPr>
          <w:t>序言</w:t>
        </w:r>
        <w:r>
          <w:tab/>
        </w:r>
        <w:r>
          <w:fldChar w:fldCharType="begin"/>
        </w:r>
        <w:r>
          <w:instrText xml:space="preserve"> PAGEREF _Toc6188 \h </w:instrText>
        </w:r>
        <w:r>
          <w:fldChar w:fldCharType="separate"/>
        </w:r>
        <w:r>
          <w:t>3</w:t>
        </w:r>
        <w:r>
          <w:fldChar w:fldCharType="end"/>
        </w:r>
      </w:hyperlink>
    </w:p>
    <w:p>
      <w:pPr>
        <w:pStyle w:val="TOC1"/>
        <w:tabs>
          <w:tab w:val="right" w:leader="dot" w:pos="8306"/>
        </w:tabs>
      </w:pPr>
      <w:hyperlink w:anchor="_Toc5786" w:history="1">
        <w:r>
          <w:rPr>
            <w:rFonts w:ascii="仿宋" w:eastAsia="仿宋" w:hAnsi="仿宋" w:cs="仿宋" w:hint="eastAsia"/>
            <w:lang w:eastAsia="zh-CN"/>
          </w:rPr>
          <w:t>一、有机肥料及微生物肥料项目可持续发展</w:t>
        </w:r>
        <w:r>
          <w:tab/>
        </w:r>
        <w:r>
          <w:fldChar w:fldCharType="begin"/>
        </w:r>
        <w:r>
          <w:instrText xml:space="preserve"> PAGEREF _Toc5786 \h </w:instrText>
        </w:r>
        <w:r>
          <w:fldChar w:fldCharType="separate"/>
        </w:r>
        <w:r>
          <w:t>3</w:t>
        </w:r>
        <w:r>
          <w:fldChar w:fldCharType="end"/>
        </w:r>
      </w:hyperlink>
    </w:p>
    <w:p>
      <w:pPr>
        <w:pStyle w:val="TOC2"/>
        <w:tabs>
          <w:tab w:val="right" w:leader="dot" w:pos="8306"/>
        </w:tabs>
      </w:pPr>
      <w:hyperlink w:anchor="_Toc22385" w:history="1">
        <w:r>
          <w:rPr>
            <w:rFonts w:ascii="仿宋" w:eastAsia="仿宋" w:hAnsi="仿宋" w:cs="仿宋" w:hint="eastAsia"/>
            <w:lang w:eastAsia="zh-CN"/>
          </w:rPr>
          <w:t>(一)、可持续战略与实践</w:t>
        </w:r>
        <w:r>
          <w:tab/>
        </w:r>
        <w:r>
          <w:fldChar w:fldCharType="begin"/>
        </w:r>
        <w:r>
          <w:instrText xml:space="preserve"> PAGEREF _Toc22385 \h </w:instrText>
        </w:r>
        <w:r>
          <w:fldChar w:fldCharType="separate"/>
        </w:r>
        <w:r>
          <w:t>3</w:t>
        </w:r>
        <w:r>
          <w:fldChar w:fldCharType="end"/>
        </w:r>
      </w:hyperlink>
    </w:p>
    <w:p>
      <w:pPr>
        <w:pStyle w:val="TOC2"/>
        <w:tabs>
          <w:tab w:val="right" w:leader="dot" w:pos="8306"/>
        </w:tabs>
      </w:pPr>
      <w:hyperlink w:anchor="_Toc9339" w:history="1">
        <w:r>
          <w:rPr>
            <w:rFonts w:ascii="仿宋" w:eastAsia="仿宋" w:hAnsi="仿宋" w:cs="仿宋" w:hint="eastAsia"/>
            <w:lang w:eastAsia="zh-CN"/>
          </w:rPr>
          <w:t>(二)、环保与社会责任</w:t>
        </w:r>
        <w:r>
          <w:tab/>
        </w:r>
        <w:r>
          <w:fldChar w:fldCharType="begin"/>
        </w:r>
        <w:r>
          <w:instrText xml:space="preserve"> PAGEREF _Toc9339 \h </w:instrText>
        </w:r>
        <w:r>
          <w:fldChar w:fldCharType="separate"/>
        </w:r>
        <w:r>
          <w:t>4</w:t>
        </w:r>
        <w:r>
          <w:fldChar w:fldCharType="end"/>
        </w:r>
      </w:hyperlink>
    </w:p>
    <w:p>
      <w:pPr>
        <w:pStyle w:val="TOC1"/>
        <w:tabs>
          <w:tab w:val="right" w:leader="dot" w:pos="8306"/>
        </w:tabs>
      </w:pPr>
      <w:hyperlink w:anchor="_Toc735" w:history="1">
        <w:r>
          <w:rPr>
            <w:rFonts w:ascii="仿宋" w:eastAsia="仿宋" w:hAnsi="仿宋" w:cs="仿宋" w:hint="eastAsia"/>
            <w:lang w:eastAsia="zh-CN"/>
          </w:rPr>
          <w:t>二、有机肥料及微生物肥料项目危机管理</w:t>
        </w:r>
        <w:r>
          <w:tab/>
        </w:r>
        <w:r>
          <w:fldChar w:fldCharType="begin"/>
        </w:r>
        <w:r>
          <w:instrText xml:space="preserve"> PAGEREF _Toc735 \h </w:instrText>
        </w:r>
        <w:r>
          <w:fldChar w:fldCharType="separate"/>
        </w:r>
        <w:r>
          <w:t>5</w:t>
        </w:r>
        <w:r>
          <w:fldChar w:fldCharType="end"/>
        </w:r>
      </w:hyperlink>
    </w:p>
    <w:p>
      <w:pPr>
        <w:pStyle w:val="TOC2"/>
        <w:tabs>
          <w:tab w:val="right" w:leader="dot" w:pos="8306"/>
        </w:tabs>
      </w:pPr>
      <w:hyperlink w:anchor="_Toc31387" w:history="1">
        <w:r>
          <w:rPr>
            <w:rFonts w:ascii="仿宋" w:eastAsia="仿宋" w:hAnsi="仿宋" w:cs="仿宋" w:hint="eastAsia"/>
            <w:lang w:eastAsia="zh-CN"/>
          </w:rPr>
          <w:t>(一)、危机预警与识别</w:t>
        </w:r>
        <w:r>
          <w:tab/>
        </w:r>
        <w:r>
          <w:fldChar w:fldCharType="begin"/>
        </w:r>
        <w:r>
          <w:instrText xml:space="preserve"> PAGEREF _Toc31387 \h </w:instrText>
        </w:r>
        <w:r>
          <w:fldChar w:fldCharType="separate"/>
        </w:r>
        <w:r>
          <w:t>5</w:t>
        </w:r>
        <w:r>
          <w:fldChar w:fldCharType="end"/>
        </w:r>
      </w:hyperlink>
    </w:p>
    <w:p>
      <w:pPr>
        <w:pStyle w:val="TOC2"/>
        <w:tabs>
          <w:tab w:val="right" w:leader="dot" w:pos="8306"/>
        </w:tabs>
      </w:pPr>
      <w:hyperlink w:anchor="_Toc28762" w:history="1">
        <w:r>
          <w:rPr>
            <w:rFonts w:ascii="仿宋" w:eastAsia="仿宋" w:hAnsi="仿宋" w:cs="仿宋" w:hint="eastAsia"/>
            <w:lang w:eastAsia="zh-CN"/>
          </w:rPr>
          <w:t>(二)、危机应对与恢复</w:t>
        </w:r>
        <w:r>
          <w:tab/>
        </w:r>
        <w:r>
          <w:fldChar w:fldCharType="begin"/>
        </w:r>
        <w:r>
          <w:instrText xml:space="preserve"> PAGEREF _Toc28762 \h </w:instrText>
        </w:r>
        <w:r>
          <w:fldChar w:fldCharType="separate"/>
        </w:r>
        <w:r>
          <w:t>6</w:t>
        </w:r>
        <w:r>
          <w:fldChar w:fldCharType="end"/>
        </w:r>
      </w:hyperlink>
    </w:p>
    <w:p>
      <w:pPr>
        <w:pStyle w:val="TOC1"/>
        <w:tabs>
          <w:tab w:val="right" w:leader="dot" w:pos="8306"/>
        </w:tabs>
      </w:pPr>
      <w:hyperlink w:anchor="_Toc30518" w:history="1">
        <w:r>
          <w:rPr>
            <w:rFonts w:ascii="仿宋" w:eastAsia="仿宋" w:hAnsi="仿宋" w:cs="仿宋" w:hint="eastAsia"/>
            <w:lang w:eastAsia="zh-CN"/>
          </w:rPr>
          <w:t>三、有机肥料及微生物肥料项目概论</w:t>
        </w:r>
        <w:r>
          <w:tab/>
        </w:r>
        <w:r>
          <w:fldChar w:fldCharType="begin"/>
        </w:r>
        <w:r>
          <w:instrText xml:space="preserve"> PAGEREF _Toc30518 \h </w:instrText>
        </w:r>
        <w:r>
          <w:fldChar w:fldCharType="separate"/>
        </w:r>
        <w:r>
          <w:t>7</w:t>
        </w:r>
        <w:r>
          <w:fldChar w:fldCharType="end"/>
        </w:r>
      </w:hyperlink>
    </w:p>
    <w:p>
      <w:pPr>
        <w:pStyle w:val="TOC2"/>
        <w:tabs>
          <w:tab w:val="right" w:leader="dot" w:pos="8306"/>
        </w:tabs>
      </w:pPr>
      <w:hyperlink w:anchor="_Toc28043" w:history="1">
        <w:r>
          <w:rPr>
            <w:rFonts w:ascii="仿宋" w:eastAsia="仿宋" w:hAnsi="仿宋" w:cs="仿宋" w:hint="eastAsia"/>
            <w:lang w:eastAsia="zh-CN"/>
          </w:rPr>
          <w:t>(一)、有机肥料及微生物肥料项目概况</w:t>
        </w:r>
        <w:r>
          <w:tab/>
        </w:r>
        <w:r>
          <w:fldChar w:fldCharType="begin"/>
        </w:r>
        <w:r>
          <w:instrText xml:space="preserve"> PAGEREF _Toc28043 \h </w:instrText>
        </w:r>
        <w:r>
          <w:fldChar w:fldCharType="separate"/>
        </w:r>
        <w:r>
          <w:t>7</w:t>
        </w:r>
        <w:r>
          <w:fldChar w:fldCharType="end"/>
        </w:r>
      </w:hyperlink>
    </w:p>
    <w:p>
      <w:pPr>
        <w:pStyle w:val="TOC2"/>
        <w:tabs>
          <w:tab w:val="right" w:leader="dot" w:pos="8306"/>
        </w:tabs>
      </w:pPr>
      <w:hyperlink w:anchor="_Toc24636" w:history="1">
        <w:r>
          <w:rPr>
            <w:rFonts w:ascii="仿宋" w:eastAsia="仿宋" w:hAnsi="仿宋" w:cs="仿宋" w:hint="eastAsia"/>
            <w:lang w:eastAsia="zh-CN"/>
          </w:rPr>
          <w:t>(二)、有机肥料及微生物肥料项目目标</w:t>
        </w:r>
        <w:r>
          <w:tab/>
        </w:r>
        <w:r>
          <w:fldChar w:fldCharType="begin"/>
        </w:r>
        <w:r>
          <w:instrText xml:space="preserve"> PAGEREF _Toc24636 \h </w:instrText>
        </w:r>
        <w:r>
          <w:fldChar w:fldCharType="separate"/>
        </w:r>
        <w:r>
          <w:t>10</w:t>
        </w:r>
        <w:r>
          <w:fldChar w:fldCharType="end"/>
        </w:r>
      </w:hyperlink>
    </w:p>
    <w:p>
      <w:pPr>
        <w:pStyle w:val="TOC2"/>
        <w:tabs>
          <w:tab w:val="right" w:leader="dot" w:pos="8306"/>
        </w:tabs>
      </w:pPr>
      <w:hyperlink w:anchor="_Toc25548" w:history="1">
        <w:r>
          <w:rPr>
            <w:rFonts w:ascii="仿宋" w:eastAsia="仿宋" w:hAnsi="仿宋" w:cs="仿宋" w:hint="eastAsia"/>
            <w:lang w:eastAsia="zh-CN"/>
          </w:rPr>
          <w:t>(三)、有机肥料及微生物肥料项目提出的理由</w:t>
        </w:r>
        <w:r>
          <w:tab/>
        </w:r>
        <w:r>
          <w:fldChar w:fldCharType="begin"/>
        </w:r>
        <w:r>
          <w:instrText xml:space="preserve"> PAGEREF _Toc25548 \h </w:instrText>
        </w:r>
        <w:r>
          <w:fldChar w:fldCharType="separate"/>
        </w:r>
        <w:r>
          <w:t>11</w:t>
        </w:r>
        <w:r>
          <w:fldChar w:fldCharType="end"/>
        </w:r>
      </w:hyperlink>
    </w:p>
    <w:p>
      <w:pPr>
        <w:pStyle w:val="TOC2"/>
        <w:tabs>
          <w:tab w:val="right" w:leader="dot" w:pos="8306"/>
        </w:tabs>
      </w:pPr>
      <w:hyperlink w:anchor="_Toc28711" w:history="1">
        <w:r>
          <w:rPr>
            <w:rFonts w:ascii="仿宋" w:eastAsia="仿宋" w:hAnsi="仿宋" w:cs="仿宋" w:hint="eastAsia"/>
            <w:lang w:eastAsia="zh-CN"/>
          </w:rPr>
          <w:t>(四)、有机肥料及微生物肥料项目意义</w:t>
        </w:r>
        <w:r>
          <w:tab/>
        </w:r>
        <w:r>
          <w:fldChar w:fldCharType="begin"/>
        </w:r>
        <w:r>
          <w:instrText xml:space="preserve"> PAGEREF _Toc28711 \h </w:instrText>
        </w:r>
        <w:r>
          <w:fldChar w:fldCharType="separate"/>
        </w:r>
        <w:r>
          <w:t>13</w:t>
        </w:r>
        <w:r>
          <w:fldChar w:fldCharType="end"/>
        </w:r>
      </w:hyperlink>
    </w:p>
    <w:p>
      <w:pPr>
        <w:pStyle w:val="TOC2"/>
        <w:tabs>
          <w:tab w:val="right" w:leader="dot" w:pos="8306"/>
        </w:tabs>
      </w:pPr>
      <w:hyperlink w:anchor="_Toc18468" w:history="1">
        <w:r>
          <w:rPr>
            <w:rFonts w:ascii="仿宋" w:eastAsia="仿宋" w:hAnsi="仿宋" w:cs="仿宋" w:hint="eastAsia"/>
            <w:lang w:eastAsia="zh-CN"/>
          </w:rPr>
          <w:t>(五)、有机肥料及微生物肥料项目背景</w:t>
        </w:r>
        <w:r>
          <w:tab/>
        </w:r>
        <w:r>
          <w:fldChar w:fldCharType="begin"/>
        </w:r>
        <w:r>
          <w:instrText xml:space="preserve"> PAGEREF _Toc18468 \h </w:instrText>
        </w:r>
        <w:r>
          <w:fldChar w:fldCharType="separate"/>
        </w:r>
        <w:r>
          <w:t>14</w:t>
        </w:r>
        <w:r>
          <w:fldChar w:fldCharType="end"/>
        </w:r>
      </w:hyperlink>
    </w:p>
    <w:p>
      <w:pPr>
        <w:pStyle w:val="TOC1"/>
        <w:tabs>
          <w:tab w:val="right" w:leader="dot" w:pos="8306"/>
        </w:tabs>
      </w:pPr>
      <w:hyperlink w:anchor="_Toc17005" w:history="1">
        <w:r>
          <w:rPr>
            <w:rFonts w:ascii="仿宋" w:eastAsia="仿宋" w:hAnsi="仿宋" w:cs="仿宋" w:hint="eastAsia"/>
            <w:lang w:eastAsia="zh-CN"/>
          </w:rPr>
          <w:t>四、市场分析、调研</w:t>
        </w:r>
        <w:r>
          <w:tab/>
        </w:r>
        <w:r>
          <w:fldChar w:fldCharType="begin"/>
        </w:r>
        <w:r>
          <w:instrText xml:space="preserve"> PAGEREF _Toc17005 \h </w:instrText>
        </w:r>
        <w:r>
          <w:fldChar w:fldCharType="separate"/>
        </w:r>
        <w:r>
          <w:t>15</w:t>
        </w:r>
        <w:r>
          <w:fldChar w:fldCharType="end"/>
        </w:r>
      </w:hyperlink>
    </w:p>
    <w:p>
      <w:pPr>
        <w:pStyle w:val="TOC2"/>
        <w:tabs>
          <w:tab w:val="right" w:leader="dot" w:pos="8306"/>
        </w:tabs>
      </w:pPr>
      <w:hyperlink w:anchor="_Toc8319" w:history="1">
        <w:r>
          <w:rPr>
            <w:rFonts w:ascii="仿宋" w:eastAsia="仿宋" w:hAnsi="仿宋" w:cs="仿宋" w:hint="eastAsia"/>
            <w:lang w:eastAsia="zh-CN"/>
          </w:rPr>
          <w:t>(一)、有机肥料及微生物肥料行业分析</w:t>
        </w:r>
        <w:r>
          <w:tab/>
        </w:r>
        <w:r>
          <w:fldChar w:fldCharType="begin"/>
        </w:r>
        <w:r>
          <w:instrText xml:space="preserve"> PAGEREF _Toc8319 \h </w:instrText>
        </w:r>
        <w:r>
          <w:fldChar w:fldCharType="separate"/>
        </w:r>
        <w:r>
          <w:t>15</w:t>
        </w:r>
        <w:r>
          <w:fldChar w:fldCharType="end"/>
        </w:r>
      </w:hyperlink>
    </w:p>
    <w:p>
      <w:pPr>
        <w:pStyle w:val="TOC2"/>
        <w:tabs>
          <w:tab w:val="right" w:leader="dot" w:pos="8306"/>
        </w:tabs>
      </w:pPr>
      <w:hyperlink w:anchor="_Toc25717" w:history="1">
        <w:r>
          <w:rPr>
            <w:rFonts w:ascii="仿宋" w:eastAsia="仿宋" w:hAnsi="仿宋" w:cs="仿宋" w:hint="eastAsia"/>
            <w:lang w:eastAsia="zh-CN"/>
          </w:rPr>
          <w:t>(二)、有机肥料及微生物肥料市场分析预测</w:t>
        </w:r>
        <w:r>
          <w:tab/>
        </w:r>
        <w:r>
          <w:fldChar w:fldCharType="begin"/>
        </w:r>
        <w:r>
          <w:instrText xml:space="preserve"> PAGEREF _Toc25717 \h </w:instrText>
        </w:r>
        <w:r>
          <w:fldChar w:fldCharType="separate"/>
        </w:r>
        <w:r>
          <w:t>15</w:t>
        </w:r>
        <w:r>
          <w:fldChar w:fldCharType="end"/>
        </w:r>
      </w:hyperlink>
    </w:p>
    <w:p>
      <w:pPr>
        <w:pStyle w:val="TOC1"/>
        <w:tabs>
          <w:tab w:val="right" w:leader="dot" w:pos="8306"/>
        </w:tabs>
      </w:pPr>
      <w:hyperlink w:anchor="_Toc28484" w:history="1">
        <w:r>
          <w:rPr>
            <w:rFonts w:ascii="仿宋" w:eastAsia="仿宋" w:hAnsi="仿宋" w:cs="仿宋" w:hint="eastAsia"/>
            <w:lang w:eastAsia="zh-CN"/>
          </w:rPr>
          <w:t>五、有机肥料及微生物肥料项目建设背景及必要性分析</w:t>
        </w:r>
        <w:r>
          <w:tab/>
        </w:r>
        <w:r>
          <w:fldChar w:fldCharType="begin"/>
        </w:r>
        <w:r>
          <w:instrText xml:space="preserve"> PAGEREF _Toc28484 \h </w:instrText>
        </w:r>
        <w:r>
          <w:fldChar w:fldCharType="separate"/>
        </w:r>
        <w:r>
          <w:t>16</w:t>
        </w:r>
        <w:r>
          <w:fldChar w:fldCharType="end"/>
        </w:r>
      </w:hyperlink>
    </w:p>
    <w:p>
      <w:pPr>
        <w:pStyle w:val="TOC2"/>
        <w:tabs>
          <w:tab w:val="right" w:leader="dot" w:pos="8306"/>
        </w:tabs>
      </w:pPr>
      <w:hyperlink w:anchor="_Toc14134" w:history="1">
        <w:r>
          <w:rPr>
            <w:rFonts w:ascii="仿宋" w:eastAsia="仿宋" w:hAnsi="仿宋" w:cs="仿宋" w:hint="eastAsia"/>
            <w:lang w:eastAsia="zh-CN"/>
          </w:rPr>
          <w:t>(一)、有机肥料及微生物肥料项目背景分析</w:t>
        </w:r>
        <w:r>
          <w:tab/>
        </w:r>
        <w:r>
          <w:fldChar w:fldCharType="begin"/>
        </w:r>
        <w:r>
          <w:instrText xml:space="preserve"> PAGEREF _Toc14134 \h </w:instrText>
        </w:r>
        <w:r>
          <w:fldChar w:fldCharType="separate"/>
        </w:r>
        <w:r>
          <w:t>16</w:t>
        </w:r>
        <w:r>
          <w:fldChar w:fldCharType="end"/>
        </w:r>
      </w:hyperlink>
    </w:p>
    <w:p>
      <w:pPr>
        <w:pStyle w:val="TOC2"/>
        <w:tabs>
          <w:tab w:val="right" w:leader="dot" w:pos="8306"/>
        </w:tabs>
      </w:pPr>
      <w:hyperlink w:anchor="_Toc8434" w:history="1">
        <w:r>
          <w:rPr>
            <w:rFonts w:ascii="仿宋" w:eastAsia="仿宋" w:hAnsi="仿宋" w:cs="仿宋" w:hint="eastAsia"/>
            <w:lang w:eastAsia="zh-CN"/>
          </w:rPr>
          <w:t>(二)、有机肥料及微生物肥料项目建设必要性分析</w:t>
        </w:r>
        <w:r>
          <w:tab/>
        </w:r>
        <w:r>
          <w:fldChar w:fldCharType="begin"/>
        </w:r>
        <w:r>
          <w:instrText xml:space="preserve"> PAGEREF _Toc8434 \h </w:instrText>
        </w:r>
        <w:r>
          <w:fldChar w:fldCharType="separate"/>
        </w:r>
        <w:r>
          <w:t>18</w:t>
        </w:r>
        <w:r>
          <w:fldChar w:fldCharType="end"/>
        </w:r>
      </w:hyperlink>
    </w:p>
    <w:p>
      <w:pPr>
        <w:pStyle w:val="TOC1"/>
        <w:tabs>
          <w:tab w:val="right" w:leader="dot" w:pos="8306"/>
        </w:tabs>
      </w:pPr>
      <w:hyperlink w:anchor="_Toc28405" w:history="1">
        <w:r>
          <w:rPr>
            <w:rFonts w:ascii="仿宋" w:eastAsia="仿宋" w:hAnsi="仿宋" w:cs="仿宋" w:hint="eastAsia"/>
            <w:lang w:eastAsia="zh-CN"/>
          </w:rPr>
          <w:t>六、有机肥料及微生物肥料项目土建工程</w:t>
        </w:r>
        <w:r>
          <w:tab/>
        </w:r>
        <w:r>
          <w:fldChar w:fldCharType="begin"/>
        </w:r>
        <w:r>
          <w:instrText xml:space="preserve"> PAGEREF _Toc28405 \h </w:instrText>
        </w:r>
        <w:r>
          <w:fldChar w:fldCharType="separate"/>
        </w:r>
        <w:r>
          <w:t>20</w:t>
        </w:r>
        <w:r>
          <w:fldChar w:fldCharType="end"/>
        </w:r>
      </w:hyperlink>
    </w:p>
    <w:p>
      <w:pPr>
        <w:pStyle w:val="TOC2"/>
        <w:tabs>
          <w:tab w:val="right" w:leader="dot" w:pos="8306"/>
        </w:tabs>
      </w:pPr>
      <w:hyperlink w:anchor="_Toc13178" w:history="1">
        <w:r>
          <w:rPr>
            <w:rFonts w:ascii="仿宋" w:eastAsia="仿宋" w:hAnsi="仿宋" w:cs="仿宋" w:hint="eastAsia"/>
            <w:lang w:eastAsia="zh-CN"/>
          </w:rPr>
          <w:t>(一)、建筑工程设计原则</w:t>
        </w:r>
        <w:r>
          <w:tab/>
        </w:r>
        <w:r>
          <w:fldChar w:fldCharType="begin"/>
        </w:r>
        <w:r>
          <w:instrText xml:space="preserve"> PAGEREF _Toc13178 \h </w:instrText>
        </w:r>
        <w:r>
          <w:fldChar w:fldCharType="separate"/>
        </w:r>
        <w:r>
          <w:t>20</w:t>
        </w:r>
        <w:r>
          <w:fldChar w:fldCharType="end"/>
        </w:r>
      </w:hyperlink>
    </w:p>
    <w:p>
      <w:pPr>
        <w:pStyle w:val="TOC2"/>
        <w:tabs>
          <w:tab w:val="right" w:leader="dot" w:pos="8306"/>
        </w:tabs>
      </w:pPr>
      <w:hyperlink w:anchor="_Toc10675" w:history="1">
        <w:r>
          <w:rPr>
            <w:rFonts w:ascii="仿宋" w:eastAsia="仿宋" w:hAnsi="仿宋" w:cs="仿宋" w:hint="eastAsia"/>
            <w:lang w:eastAsia="zh-CN"/>
          </w:rPr>
          <w:t>(二)、土建工程设计年限及安全等级</w:t>
        </w:r>
        <w:r>
          <w:tab/>
        </w:r>
        <w:r>
          <w:fldChar w:fldCharType="begin"/>
        </w:r>
        <w:r>
          <w:instrText xml:space="preserve"> PAGEREF _Toc10675 \h </w:instrText>
        </w:r>
        <w:r>
          <w:fldChar w:fldCharType="separate"/>
        </w:r>
        <w:r>
          <w:t>21</w:t>
        </w:r>
        <w:r>
          <w:fldChar w:fldCharType="end"/>
        </w:r>
      </w:hyperlink>
    </w:p>
    <w:p>
      <w:pPr>
        <w:pStyle w:val="TOC2"/>
        <w:tabs>
          <w:tab w:val="right" w:leader="dot" w:pos="8306"/>
        </w:tabs>
      </w:pPr>
      <w:hyperlink w:anchor="_Toc19805" w:history="1">
        <w:r>
          <w:rPr>
            <w:rFonts w:ascii="仿宋" w:eastAsia="仿宋" w:hAnsi="仿宋" w:cs="仿宋" w:hint="eastAsia"/>
            <w:lang w:eastAsia="zh-CN"/>
          </w:rPr>
          <w:t>(三)、建筑工程设计总体要求</w:t>
        </w:r>
        <w:r>
          <w:tab/>
        </w:r>
        <w:r>
          <w:fldChar w:fldCharType="begin"/>
        </w:r>
        <w:r>
          <w:instrText xml:space="preserve"> PAGEREF _Toc19805 \h </w:instrText>
        </w:r>
        <w:r>
          <w:fldChar w:fldCharType="separate"/>
        </w:r>
        <w:r>
          <w:t>22</w:t>
        </w:r>
        <w:r>
          <w:fldChar w:fldCharType="end"/>
        </w:r>
      </w:hyperlink>
    </w:p>
    <w:p>
      <w:pPr>
        <w:pStyle w:val="TOC2"/>
        <w:tabs>
          <w:tab w:val="right" w:leader="dot" w:pos="8306"/>
        </w:tabs>
      </w:pPr>
      <w:hyperlink w:anchor="_Toc6733" w:history="1">
        <w:r>
          <w:rPr>
            <w:rFonts w:ascii="仿宋" w:eastAsia="仿宋" w:hAnsi="仿宋" w:cs="仿宋" w:hint="eastAsia"/>
            <w:lang w:eastAsia="zh-CN"/>
          </w:rPr>
          <w:t>(四)、土建工程建设指标</w:t>
        </w:r>
        <w:r>
          <w:tab/>
        </w:r>
        <w:r>
          <w:fldChar w:fldCharType="begin"/>
        </w:r>
        <w:r>
          <w:instrText xml:space="preserve"> PAGEREF _Toc6733 \h </w:instrText>
        </w:r>
        <w:r>
          <w:fldChar w:fldCharType="separate"/>
        </w:r>
        <w:r>
          <w:t>23</w:t>
        </w:r>
        <w:r>
          <w:fldChar w:fldCharType="end"/>
        </w:r>
      </w:hyperlink>
    </w:p>
    <w:p>
      <w:pPr>
        <w:pStyle w:val="TOC1"/>
        <w:tabs>
          <w:tab w:val="right" w:leader="dot" w:pos="8306"/>
        </w:tabs>
      </w:pPr>
      <w:hyperlink w:anchor="_Toc27364" w:history="1">
        <w:r>
          <w:rPr>
            <w:rFonts w:ascii="仿宋" w:eastAsia="仿宋" w:hAnsi="仿宋" w:cs="仿宋" w:hint="eastAsia"/>
            <w:lang w:eastAsia="zh-CN"/>
          </w:rPr>
          <w:t>七、有机肥料及微生物肥料项目人力资源管理</w:t>
        </w:r>
        <w:r>
          <w:tab/>
        </w:r>
        <w:r>
          <w:fldChar w:fldCharType="begin"/>
        </w:r>
        <w:r>
          <w:instrText xml:space="preserve"> PAGEREF _Toc27364 \h </w:instrText>
        </w:r>
        <w:r>
          <w:fldChar w:fldCharType="separate"/>
        </w:r>
        <w:r>
          <w:t>23</w:t>
        </w:r>
        <w:r>
          <w:fldChar w:fldCharType="end"/>
        </w:r>
      </w:hyperlink>
    </w:p>
    <w:p>
      <w:pPr>
        <w:pStyle w:val="TOC2"/>
        <w:tabs>
          <w:tab w:val="right" w:leader="dot" w:pos="8306"/>
        </w:tabs>
      </w:pPr>
      <w:hyperlink w:anchor="_Toc30045" w:history="1">
        <w:r>
          <w:rPr>
            <w:rFonts w:ascii="仿宋" w:eastAsia="仿宋" w:hAnsi="仿宋" w:cs="仿宋" w:hint="eastAsia"/>
            <w:lang w:eastAsia="zh-CN"/>
          </w:rPr>
          <w:t>(一)、建立健全的预算管理制度</w:t>
        </w:r>
        <w:r>
          <w:tab/>
        </w:r>
        <w:r>
          <w:fldChar w:fldCharType="begin"/>
        </w:r>
        <w:r>
          <w:instrText xml:space="preserve"> PAGEREF _Toc30045 \h </w:instrText>
        </w:r>
        <w:r>
          <w:fldChar w:fldCharType="separate"/>
        </w:r>
        <w:r>
          <w:t>23</w:t>
        </w:r>
        <w:r>
          <w:fldChar w:fldCharType="end"/>
        </w:r>
      </w:hyperlink>
    </w:p>
    <w:p>
      <w:pPr>
        <w:pStyle w:val="TOC2"/>
        <w:tabs>
          <w:tab w:val="right" w:leader="dot" w:pos="8306"/>
        </w:tabs>
      </w:pPr>
      <w:hyperlink w:anchor="_Toc14824" w:history="1">
        <w:r>
          <w:rPr>
            <w:rFonts w:ascii="仿宋" w:eastAsia="仿宋" w:hAnsi="仿宋" w:cs="仿宋" w:hint="eastAsia"/>
            <w:lang w:eastAsia="zh-CN"/>
          </w:rPr>
          <w:t>(二)、加强资金流动监控</w:t>
        </w:r>
        <w:r>
          <w:tab/>
        </w:r>
        <w:r>
          <w:fldChar w:fldCharType="begin"/>
        </w:r>
        <w:r>
          <w:instrText xml:space="preserve"> PAGEREF _Toc14824 \h </w:instrText>
        </w:r>
        <w:r>
          <w:fldChar w:fldCharType="separate"/>
        </w:r>
        <w:r>
          <w:t>25</w:t>
        </w:r>
        <w:r>
          <w:fldChar w:fldCharType="end"/>
        </w:r>
      </w:hyperlink>
    </w:p>
    <w:p>
      <w:pPr>
        <w:pStyle w:val="TOC2"/>
        <w:tabs>
          <w:tab w:val="right" w:leader="dot" w:pos="8306"/>
        </w:tabs>
      </w:pPr>
      <w:hyperlink w:anchor="_Toc30297" w:history="1">
        <w:r>
          <w:rPr>
            <w:rFonts w:ascii="仿宋" w:eastAsia="仿宋" w:hAnsi="仿宋" w:cs="仿宋" w:hint="eastAsia"/>
            <w:lang w:eastAsia="zh-CN"/>
          </w:rPr>
          <w:t>(三)、制定完善的风险控制机制</w:t>
        </w:r>
        <w:r>
          <w:tab/>
        </w:r>
        <w:r>
          <w:fldChar w:fldCharType="begin"/>
        </w:r>
        <w:r>
          <w:instrText xml:space="preserve"> PAGEREF _Toc30297 \h </w:instrText>
        </w:r>
        <w:r>
          <w:fldChar w:fldCharType="separate"/>
        </w:r>
        <w:r>
          <w:t>26</w:t>
        </w:r>
        <w:r>
          <w:fldChar w:fldCharType="end"/>
        </w:r>
      </w:hyperlink>
    </w:p>
    <w:p>
      <w:pPr>
        <w:pStyle w:val="TOC2"/>
        <w:tabs>
          <w:tab w:val="right" w:leader="dot" w:pos="8306"/>
        </w:tabs>
      </w:pPr>
      <w:hyperlink w:anchor="_Toc16640" w:history="1">
        <w:r>
          <w:rPr>
            <w:rFonts w:ascii="仿宋" w:eastAsia="仿宋" w:hAnsi="仿宋" w:cs="仿宋" w:hint="eastAsia"/>
            <w:lang w:eastAsia="zh-CN"/>
          </w:rPr>
          <w:t>(四)、优化成本管理</w:t>
        </w:r>
        <w:r>
          <w:tab/>
        </w:r>
        <w:r>
          <w:fldChar w:fldCharType="begin"/>
        </w:r>
        <w:r>
          <w:instrText xml:space="preserve"> PAGEREF _Toc16640 \h </w:instrText>
        </w:r>
        <w:r>
          <w:fldChar w:fldCharType="separate"/>
        </w:r>
        <w:r>
          <w:t>28</w:t>
        </w:r>
        <w:r>
          <w:fldChar w:fldCharType="end"/>
        </w:r>
      </w:hyperlink>
    </w:p>
    <w:p>
      <w:pPr>
        <w:pStyle w:val="TOC1"/>
        <w:tabs>
          <w:tab w:val="right" w:leader="dot" w:pos="8306"/>
        </w:tabs>
      </w:pPr>
      <w:hyperlink w:anchor="_Toc18058" w:history="1">
        <w:r>
          <w:rPr>
            <w:rFonts w:ascii="仿宋" w:eastAsia="仿宋" w:hAnsi="仿宋" w:cs="仿宋" w:hint="eastAsia"/>
            <w:lang w:eastAsia="zh-CN"/>
          </w:rPr>
          <w:t>八、生产安全保护</w:t>
        </w:r>
        <w:r>
          <w:tab/>
        </w:r>
        <w:r>
          <w:fldChar w:fldCharType="begin"/>
        </w:r>
        <w:r>
          <w:instrText xml:space="preserve"> PAGEREF _Toc18058 \h </w:instrText>
        </w:r>
        <w:r>
          <w:fldChar w:fldCharType="separate"/>
        </w:r>
        <w:r>
          <w:t>29</w:t>
        </w:r>
        <w:r>
          <w:fldChar w:fldCharType="end"/>
        </w:r>
      </w:hyperlink>
    </w:p>
    <w:p>
      <w:pPr>
        <w:pStyle w:val="TOC2"/>
        <w:tabs>
          <w:tab w:val="right" w:leader="dot" w:pos="8306"/>
        </w:tabs>
      </w:pPr>
      <w:hyperlink w:anchor="_Toc5402" w:history="1">
        <w:r>
          <w:rPr>
            <w:rFonts w:ascii="仿宋" w:eastAsia="仿宋" w:hAnsi="仿宋" w:cs="仿宋" w:hint="eastAsia"/>
            <w:lang w:eastAsia="zh-CN"/>
          </w:rPr>
          <w:t>(一)、消防安全</w:t>
        </w:r>
        <w:r>
          <w:tab/>
        </w:r>
        <w:r>
          <w:fldChar w:fldCharType="begin"/>
        </w:r>
        <w:r>
          <w:instrText xml:space="preserve"> PAGEREF _Toc5402 \h </w:instrText>
        </w:r>
        <w:r>
          <w:fldChar w:fldCharType="separate"/>
        </w:r>
        <w:r>
          <w:t>29</w:t>
        </w:r>
        <w:r>
          <w:fldChar w:fldCharType="end"/>
        </w:r>
      </w:hyperlink>
    </w:p>
    <w:p>
      <w:pPr>
        <w:pStyle w:val="TOC2"/>
        <w:tabs>
          <w:tab w:val="right" w:leader="dot" w:pos="8306"/>
        </w:tabs>
      </w:pPr>
      <w:hyperlink w:anchor="_Toc7373" w:history="1">
        <w:r>
          <w:rPr>
            <w:rFonts w:ascii="仿宋" w:eastAsia="仿宋" w:hAnsi="仿宋" w:cs="仿宋" w:hint="eastAsia"/>
            <w:lang w:eastAsia="zh-CN"/>
          </w:rPr>
          <w:t>(二)、防火防爆总图布置措施</w:t>
        </w:r>
        <w:r>
          <w:tab/>
        </w:r>
        <w:r>
          <w:fldChar w:fldCharType="begin"/>
        </w:r>
        <w:r>
          <w:instrText xml:space="preserve"> PAGEREF _Toc7373 \h </w:instrText>
        </w:r>
        <w:r>
          <w:fldChar w:fldCharType="separate"/>
        </w:r>
        <w:r>
          <w:t>31</w:t>
        </w:r>
        <w:r>
          <w:fldChar w:fldCharType="end"/>
        </w:r>
      </w:hyperlink>
    </w:p>
    <w:p>
      <w:pPr>
        <w:pStyle w:val="TOC2"/>
        <w:tabs>
          <w:tab w:val="right" w:leader="dot" w:pos="8306"/>
        </w:tabs>
      </w:pPr>
      <w:hyperlink w:anchor="_Toc14527" w:history="1">
        <w:r>
          <w:rPr>
            <w:rFonts w:ascii="仿宋" w:eastAsia="仿宋" w:hAnsi="仿宋" w:cs="仿宋" w:hint="eastAsia"/>
            <w:lang w:eastAsia="zh-CN"/>
          </w:rPr>
          <w:t>(三)、自然灾害防范措施</w:t>
        </w:r>
        <w:r>
          <w:tab/>
        </w:r>
        <w:r>
          <w:fldChar w:fldCharType="begin"/>
        </w:r>
        <w:r>
          <w:instrText xml:space="preserve"> PAGEREF _Toc14527 \h </w:instrText>
        </w:r>
        <w:r>
          <w:fldChar w:fldCharType="separate"/>
        </w:r>
        <w:r>
          <w:t>32</w:t>
        </w:r>
        <w:r>
          <w:fldChar w:fldCharType="end"/>
        </w:r>
      </w:hyperlink>
    </w:p>
    <w:p>
      <w:pPr>
        <w:pStyle w:val="TOC2"/>
        <w:tabs>
          <w:tab w:val="right" w:leader="dot" w:pos="8306"/>
        </w:tabs>
      </w:pPr>
      <w:hyperlink w:anchor="_Toc25656" w:history="1">
        <w:r>
          <w:rPr>
            <w:rFonts w:ascii="仿宋" w:eastAsia="仿宋" w:hAnsi="仿宋" w:cs="仿宋" w:hint="eastAsia"/>
            <w:lang w:eastAsia="zh-CN"/>
          </w:rPr>
          <w:t>(四)、安全色及安全标志使用要求</w:t>
        </w:r>
        <w:r>
          <w:tab/>
        </w:r>
        <w:r>
          <w:fldChar w:fldCharType="begin"/>
        </w:r>
        <w:r>
          <w:instrText xml:space="preserve"> PAGEREF _Toc25656 \h </w:instrText>
        </w:r>
        <w:r>
          <w:fldChar w:fldCharType="separate"/>
        </w:r>
        <w:r>
          <w:t>33</w:t>
        </w:r>
        <w:r>
          <w:fldChar w:fldCharType="end"/>
        </w:r>
      </w:hyperlink>
    </w:p>
    <w:p>
      <w:pPr>
        <w:pStyle w:val="TOC2"/>
        <w:tabs>
          <w:tab w:val="right" w:leader="dot" w:pos="8306"/>
        </w:tabs>
      </w:pPr>
      <w:hyperlink w:anchor="_Toc23188" w:history="1">
        <w:r>
          <w:rPr>
            <w:rFonts w:ascii="仿宋" w:eastAsia="仿宋" w:hAnsi="仿宋" w:cs="仿宋" w:hint="eastAsia"/>
            <w:lang w:eastAsia="zh-CN"/>
          </w:rPr>
          <w:t>(五)、防尘防毒措施</w:t>
        </w:r>
        <w:r>
          <w:tab/>
        </w:r>
        <w:r>
          <w:fldChar w:fldCharType="begin"/>
        </w:r>
        <w:r>
          <w:instrText xml:space="preserve"> PAGEREF _Toc23188 \h </w:instrText>
        </w:r>
        <w:r>
          <w:fldChar w:fldCharType="separate"/>
        </w:r>
        <w:r>
          <w:t>34</w:t>
        </w:r>
        <w:r>
          <w:fldChar w:fldCharType="end"/>
        </w:r>
      </w:hyperlink>
    </w:p>
    <w:p>
      <w:pPr>
        <w:pStyle w:val="TOC2"/>
        <w:tabs>
          <w:tab w:val="right" w:leader="dot" w:pos="8306"/>
        </w:tabs>
      </w:pPr>
      <w:hyperlink w:anchor="_Toc26908" w:history="1">
        <w:r>
          <w:rPr>
            <w:rFonts w:ascii="仿宋" w:eastAsia="仿宋" w:hAnsi="仿宋" w:cs="仿宋" w:hint="eastAsia"/>
            <w:lang w:eastAsia="zh-CN"/>
          </w:rPr>
          <w:t>(六)、防静电、触电防护及防雷措施</w:t>
        </w:r>
        <w:r>
          <w:tab/>
        </w:r>
        <w:r>
          <w:fldChar w:fldCharType="begin"/>
        </w:r>
        <w:r>
          <w:instrText xml:space="preserve"> PAGEREF _Toc26908 \h </w:instrText>
        </w:r>
        <w:r>
          <w:fldChar w:fldCharType="separate"/>
        </w:r>
        <w:r>
          <w:t>35</w:t>
        </w:r>
        <w:r>
          <w:fldChar w:fldCharType="end"/>
        </w:r>
      </w:hyperlink>
    </w:p>
    <w:p>
      <w:pPr>
        <w:pStyle w:val="TOC2"/>
        <w:tabs>
          <w:tab w:val="right" w:leader="dot" w:pos="8306"/>
        </w:tabs>
      </w:pPr>
      <w:hyperlink w:anchor="_Toc5339" w:history="1">
        <w:r>
          <w:rPr>
            <w:rFonts w:ascii="仿宋" w:eastAsia="仿宋" w:hAnsi="仿宋" w:cs="仿宋" w:hint="eastAsia"/>
            <w:lang w:eastAsia="zh-CN"/>
          </w:rPr>
          <w:t>(七)、机械设备安全保障措施</w:t>
        </w:r>
        <w:r>
          <w:tab/>
        </w:r>
        <w:r>
          <w:fldChar w:fldCharType="begin"/>
        </w:r>
        <w:r>
          <w:instrText xml:space="preserve"> PAGEREF _Toc5339 \h </w:instrText>
        </w:r>
        <w:r>
          <w:fldChar w:fldCharType="separate"/>
        </w:r>
        <w:r>
          <w:t>36</w:t>
        </w:r>
        <w:r>
          <w:fldChar w:fldCharType="end"/>
        </w:r>
      </w:hyperlink>
    </w:p>
    <w:p>
      <w:pPr>
        <w:pStyle w:val="TOC1"/>
        <w:tabs>
          <w:tab w:val="right" w:leader="dot" w:pos="8306"/>
        </w:tabs>
      </w:pPr>
      <w:hyperlink w:anchor="_Toc18182" w:history="1">
        <w:r>
          <w:rPr>
            <w:rFonts w:ascii="仿宋" w:eastAsia="仿宋" w:hAnsi="仿宋" w:cs="仿宋" w:hint="eastAsia"/>
            <w:lang w:eastAsia="zh-CN"/>
          </w:rPr>
          <w:t>九、有机肥料及微生物肥料项目社会影响</w:t>
        </w:r>
        <w:r>
          <w:tab/>
        </w:r>
        <w:r>
          <w:fldChar w:fldCharType="begin"/>
        </w:r>
        <w:r>
          <w:instrText xml:space="preserve"> PAGEREF _Toc18182 \h </w:instrText>
        </w:r>
        <w:r>
          <w:fldChar w:fldCharType="separate"/>
        </w:r>
        <w:r>
          <w:t>38</w:t>
        </w:r>
        <w:r>
          <w:fldChar w:fldCharType="end"/>
        </w:r>
      </w:hyperlink>
    </w:p>
    <w:p>
      <w:pPr>
        <w:pStyle w:val="TOC2"/>
        <w:tabs>
          <w:tab w:val="right" w:leader="dot" w:pos="8306"/>
        </w:tabs>
      </w:pPr>
      <w:hyperlink w:anchor="_Toc7679" w:history="1">
        <w:r>
          <w:rPr>
            <w:rFonts w:ascii="仿宋" w:eastAsia="仿宋" w:hAnsi="仿宋" w:cs="仿宋" w:hint="eastAsia"/>
            <w:lang w:eastAsia="zh-CN"/>
          </w:rPr>
          <w:t>(一)、社会责任与义务</w:t>
        </w:r>
        <w:r>
          <w:tab/>
        </w:r>
        <w:r>
          <w:fldChar w:fldCharType="begin"/>
        </w:r>
        <w:r>
          <w:instrText xml:space="preserve"> PAGEREF _Toc7679 \h </w:instrText>
        </w:r>
        <w:r>
          <w:fldChar w:fldCharType="separate"/>
        </w:r>
        <w:r>
          <w:t>38</w:t>
        </w:r>
        <w:r>
          <w:fldChar w:fldCharType="end"/>
        </w:r>
      </w:hyperlink>
    </w:p>
    <w:p>
      <w:pPr>
        <w:pStyle w:val="TOC2"/>
        <w:tabs>
          <w:tab w:val="right" w:leader="dot" w:pos="8306"/>
        </w:tabs>
      </w:pPr>
      <w:hyperlink w:anchor="_Toc26521" w:history="1">
        <w:r>
          <w:rPr>
            <w:rFonts w:ascii="仿宋" w:eastAsia="仿宋" w:hAnsi="仿宋" w:cs="仿宋" w:hint="eastAsia"/>
            <w:lang w:eastAsia="zh-CN"/>
          </w:rPr>
          <w:t>(二)、社会参与与沟通</w:t>
        </w:r>
        <w:r>
          <w:tab/>
        </w:r>
        <w:r>
          <w:fldChar w:fldCharType="begin"/>
        </w:r>
        <w:r>
          <w:instrText xml:space="preserve"> PAGEREF _Toc26521 \h </w:instrText>
        </w:r>
        <w:r>
          <w:fldChar w:fldCharType="separate"/>
        </w:r>
        <w:r>
          <w:t>38</w:t>
        </w:r>
        <w:r>
          <w:fldChar w:fldCharType="end"/>
        </w:r>
      </w:hyperlink>
    </w:p>
    <w:p>
      <w:pPr>
        <w:pStyle w:val="TOC1"/>
        <w:tabs>
          <w:tab w:val="right" w:leader="dot" w:pos="8306"/>
        </w:tabs>
      </w:pPr>
      <w:hyperlink w:anchor="_Toc6763" w:history="1">
        <w:r>
          <w:rPr>
            <w:rFonts w:ascii="仿宋" w:eastAsia="仿宋" w:hAnsi="仿宋" w:cs="仿宋" w:hint="eastAsia"/>
            <w:lang w:eastAsia="zh-CN"/>
          </w:rPr>
          <w:t>十、有机肥料及微生物肥料项目创新与研发</w:t>
        </w:r>
        <w:r>
          <w:tab/>
        </w:r>
        <w:r>
          <w:fldChar w:fldCharType="begin"/>
        </w:r>
        <w:r>
          <w:instrText xml:space="preserve"> PAGEREF _Toc6763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79" w:history="1">
        <w:r>
          <w:rPr>
            <w:rFonts w:ascii="仿宋" w:eastAsia="仿宋" w:hAnsi="仿宋" w:cs="仿宋" w:hint="eastAsia"/>
            <w:lang w:eastAsia="zh-CN"/>
          </w:rPr>
          <w:t>(一)、创新策略与方向</w:t>
        </w:r>
        <w:r>
          <w:tab/>
        </w:r>
        <w:r>
          <w:fldChar w:fldCharType="begin"/>
        </w:r>
        <w:r>
          <w:instrText xml:space="preserve"> PAGEREF _Toc8579 \h </w:instrText>
        </w:r>
        <w:r>
          <w:fldChar w:fldCharType="separate"/>
        </w:r>
        <w:r>
          <w:t>40</w:t>
        </w:r>
        <w:r>
          <w:fldChar w:fldCharType="end"/>
        </w:r>
      </w:hyperlink>
    </w:p>
    <w:p>
      <w:pPr>
        <w:pStyle w:val="TOC2"/>
        <w:tabs>
          <w:tab w:val="right" w:leader="dot" w:pos="8306"/>
        </w:tabs>
      </w:pPr>
      <w:hyperlink w:anchor="_Toc579" w:history="1">
        <w:r>
          <w:rPr>
            <w:rFonts w:ascii="仿宋" w:eastAsia="仿宋" w:hAnsi="仿宋" w:cs="仿宋" w:hint="eastAsia"/>
            <w:lang w:eastAsia="zh-CN"/>
          </w:rPr>
          <w:t>(二)、研发规划与投入</w:t>
        </w:r>
        <w:r>
          <w:tab/>
        </w:r>
        <w:r>
          <w:fldChar w:fldCharType="begin"/>
        </w:r>
        <w:r>
          <w:instrText xml:space="preserve"> PAGEREF _Toc579 \h </w:instrText>
        </w:r>
        <w:r>
          <w:fldChar w:fldCharType="separate"/>
        </w:r>
        <w:r>
          <w:t>41</w:t>
        </w:r>
        <w:r>
          <w:fldChar w:fldCharType="end"/>
        </w:r>
      </w:hyperlink>
    </w:p>
    <w:p>
      <w:pPr>
        <w:pStyle w:val="TOC1"/>
        <w:tabs>
          <w:tab w:val="right" w:leader="dot" w:pos="8306"/>
        </w:tabs>
      </w:pPr>
      <w:hyperlink w:anchor="_Toc16348" w:history="1">
        <w:r>
          <w:rPr>
            <w:rFonts w:ascii="仿宋" w:eastAsia="仿宋" w:hAnsi="仿宋" w:cs="仿宋" w:hint="eastAsia"/>
            <w:lang w:eastAsia="zh-CN"/>
          </w:rPr>
          <w:t>十一、有机肥料及微生物肥料项目风险管理</w:t>
        </w:r>
        <w:r>
          <w:tab/>
        </w:r>
        <w:r>
          <w:fldChar w:fldCharType="begin"/>
        </w:r>
        <w:r>
          <w:instrText xml:space="preserve"> PAGEREF _Toc16348 \h </w:instrText>
        </w:r>
        <w:r>
          <w:fldChar w:fldCharType="separate"/>
        </w:r>
        <w:r>
          <w:t>43</w:t>
        </w:r>
        <w:r>
          <w:fldChar w:fldCharType="end"/>
        </w:r>
      </w:hyperlink>
    </w:p>
    <w:p>
      <w:pPr>
        <w:pStyle w:val="TOC2"/>
        <w:tabs>
          <w:tab w:val="right" w:leader="dot" w:pos="8306"/>
        </w:tabs>
      </w:pPr>
      <w:hyperlink w:anchor="_Toc25013" w:history="1">
        <w:r>
          <w:rPr>
            <w:rFonts w:ascii="仿宋" w:eastAsia="仿宋" w:hAnsi="仿宋" w:cs="仿宋" w:hint="eastAsia"/>
            <w:lang w:eastAsia="zh-CN"/>
          </w:rPr>
          <w:t>(一)、风险识别与评估</w:t>
        </w:r>
        <w:r>
          <w:tab/>
        </w:r>
        <w:r>
          <w:fldChar w:fldCharType="begin"/>
        </w:r>
        <w:r>
          <w:instrText xml:space="preserve"> PAGEREF _Toc25013 \h </w:instrText>
        </w:r>
        <w:r>
          <w:fldChar w:fldCharType="separate"/>
        </w:r>
        <w:r>
          <w:t>43</w:t>
        </w:r>
        <w:r>
          <w:fldChar w:fldCharType="end"/>
        </w:r>
      </w:hyperlink>
    </w:p>
    <w:p>
      <w:pPr>
        <w:pStyle w:val="TOC2"/>
        <w:tabs>
          <w:tab w:val="right" w:leader="dot" w:pos="8306"/>
        </w:tabs>
      </w:pPr>
      <w:hyperlink w:anchor="_Toc15787" w:history="1">
        <w:r>
          <w:rPr>
            <w:rFonts w:ascii="仿宋" w:eastAsia="仿宋" w:hAnsi="仿宋" w:cs="仿宋" w:hint="eastAsia"/>
            <w:lang w:eastAsia="zh-CN"/>
          </w:rPr>
          <w:t>(二)、风险应对策略</w:t>
        </w:r>
        <w:r>
          <w:tab/>
        </w:r>
        <w:r>
          <w:fldChar w:fldCharType="begin"/>
        </w:r>
        <w:r>
          <w:instrText xml:space="preserve"> PAGEREF _Toc15787 \h </w:instrText>
        </w:r>
        <w:r>
          <w:fldChar w:fldCharType="separate"/>
        </w:r>
        <w:r>
          <w:t>44</w:t>
        </w:r>
        <w:r>
          <w:fldChar w:fldCharType="end"/>
        </w:r>
      </w:hyperlink>
    </w:p>
    <w:p>
      <w:pPr>
        <w:pStyle w:val="TOC2"/>
        <w:tabs>
          <w:tab w:val="right" w:leader="dot" w:pos="8306"/>
        </w:tabs>
      </w:pPr>
      <w:hyperlink w:anchor="_Toc12537" w:history="1">
        <w:r>
          <w:rPr>
            <w:rFonts w:ascii="仿宋" w:eastAsia="仿宋" w:hAnsi="仿宋" w:cs="仿宋" w:hint="eastAsia"/>
            <w:lang w:eastAsia="zh-CN"/>
          </w:rPr>
          <w:t>(三)、风险监控与控制</w:t>
        </w:r>
        <w:r>
          <w:tab/>
        </w:r>
        <w:r>
          <w:fldChar w:fldCharType="begin"/>
        </w:r>
        <w:r>
          <w:instrText xml:space="preserve"> PAGEREF _Toc12537 \h </w:instrText>
        </w:r>
        <w:r>
          <w:fldChar w:fldCharType="separate"/>
        </w:r>
        <w:r>
          <w:t>46</w:t>
        </w:r>
        <w:r>
          <w:fldChar w:fldCharType="end"/>
        </w:r>
      </w:hyperlink>
    </w:p>
    <w:p>
      <w:pPr>
        <w:pStyle w:val="TOC1"/>
        <w:tabs>
          <w:tab w:val="right" w:leader="dot" w:pos="8306"/>
        </w:tabs>
      </w:pPr>
      <w:hyperlink w:anchor="_Toc7784" w:history="1">
        <w:r>
          <w:rPr>
            <w:rFonts w:ascii="仿宋" w:eastAsia="仿宋" w:hAnsi="仿宋" w:cs="仿宋" w:hint="eastAsia"/>
            <w:lang w:eastAsia="zh-CN"/>
          </w:rPr>
          <w:t>十二、有机肥料及微生物肥料项目环境影响分析</w:t>
        </w:r>
        <w:r>
          <w:tab/>
        </w:r>
        <w:r>
          <w:fldChar w:fldCharType="begin"/>
        </w:r>
        <w:r>
          <w:instrText xml:space="preserve"> PAGEREF _Toc7784 \h </w:instrText>
        </w:r>
        <w:r>
          <w:fldChar w:fldCharType="separate"/>
        </w:r>
        <w:r>
          <w:t>47</w:t>
        </w:r>
        <w:r>
          <w:fldChar w:fldCharType="end"/>
        </w:r>
      </w:hyperlink>
    </w:p>
    <w:p>
      <w:pPr>
        <w:pStyle w:val="TOC2"/>
        <w:tabs>
          <w:tab w:val="right" w:leader="dot" w:pos="8306"/>
        </w:tabs>
      </w:pPr>
      <w:hyperlink w:anchor="_Toc10563" w:history="1">
        <w:r>
          <w:rPr>
            <w:rFonts w:ascii="仿宋" w:eastAsia="仿宋" w:hAnsi="仿宋" w:cs="仿宋" w:hint="eastAsia"/>
            <w:lang w:eastAsia="zh-CN"/>
          </w:rPr>
          <w:t>(一)、建设区域环境质量现状</w:t>
        </w:r>
        <w:r>
          <w:tab/>
        </w:r>
        <w:r>
          <w:fldChar w:fldCharType="begin"/>
        </w:r>
        <w:r>
          <w:instrText xml:space="preserve"> PAGEREF _Toc10563 \h </w:instrText>
        </w:r>
        <w:r>
          <w:fldChar w:fldCharType="separate"/>
        </w:r>
        <w:r>
          <w:t>47</w:t>
        </w:r>
        <w:r>
          <w:fldChar w:fldCharType="end"/>
        </w:r>
      </w:hyperlink>
    </w:p>
    <w:p>
      <w:pPr>
        <w:pStyle w:val="TOC2"/>
        <w:tabs>
          <w:tab w:val="right" w:leader="dot" w:pos="8306"/>
        </w:tabs>
      </w:pPr>
      <w:hyperlink w:anchor="_Toc21423" w:history="1">
        <w:r>
          <w:rPr>
            <w:rFonts w:ascii="仿宋" w:eastAsia="仿宋" w:hAnsi="仿宋" w:cs="仿宋" w:hint="eastAsia"/>
            <w:lang w:eastAsia="zh-CN"/>
          </w:rPr>
          <w:t>(二)、建设期环境保护</w:t>
        </w:r>
        <w:r>
          <w:tab/>
        </w:r>
        <w:r>
          <w:fldChar w:fldCharType="begin"/>
        </w:r>
        <w:r>
          <w:instrText xml:space="preserve"> PAGEREF _Toc21423 \h </w:instrText>
        </w:r>
        <w:r>
          <w:fldChar w:fldCharType="separate"/>
        </w:r>
        <w:r>
          <w:t>48</w:t>
        </w:r>
        <w:r>
          <w:fldChar w:fldCharType="end"/>
        </w:r>
      </w:hyperlink>
    </w:p>
    <w:p>
      <w:pPr>
        <w:pStyle w:val="TOC2"/>
        <w:tabs>
          <w:tab w:val="right" w:leader="dot" w:pos="8306"/>
        </w:tabs>
      </w:pPr>
      <w:hyperlink w:anchor="_Toc26148" w:history="1">
        <w:r>
          <w:rPr>
            <w:rFonts w:ascii="仿宋" w:eastAsia="仿宋" w:hAnsi="仿宋" w:cs="仿宋" w:hint="eastAsia"/>
            <w:lang w:eastAsia="zh-CN"/>
          </w:rPr>
          <w:t>(三)、运营期环境保护</w:t>
        </w:r>
        <w:r>
          <w:tab/>
        </w:r>
        <w:r>
          <w:fldChar w:fldCharType="begin"/>
        </w:r>
        <w:r>
          <w:instrText xml:space="preserve"> PAGEREF _Toc26148 \h </w:instrText>
        </w:r>
        <w:r>
          <w:fldChar w:fldCharType="separate"/>
        </w:r>
        <w:r>
          <w:t>50</w:t>
        </w:r>
        <w:r>
          <w:fldChar w:fldCharType="end"/>
        </w:r>
      </w:hyperlink>
    </w:p>
    <w:p>
      <w:pPr>
        <w:pStyle w:val="TOC2"/>
        <w:tabs>
          <w:tab w:val="right" w:leader="dot" w:pos="8306"/>
        </w:tabs>
      </w:pPr>
      <w:hyperlink w:anchor="_Toc24971" w:history="1">
        <w:r>
          <w:rPr>
            <w:rFonts w:ascii="仿宋" w:eastAsia="仿宋" w:hAnsi="仿宋" w:cs="仿宋" w:hint="eastAsia"/>
            <w:lang w:eastAsia="zh-CN"/>
          </w:rPr>
          <w:t>(四)、有机肥料及微生物肥料项目建设对区域经济的影响</w:t>
        </w:r>
        <w:r>
          <w:tab/>
        </w:r>
        <w:r>
          <w:fldChar w:fldCharType="begin"/>
        </w:r>
        <w:r>
          <w:instrText xml:space="preserve"> PAGEREF _Toc24971 \h </w:instrText>
        </w:r>
        <w:r>
          <w:fldChar w:fldCharType="separate"/>
        </w:r>
        <w:r>
          <w:t>51</w:t>
        </w:r>
        <w:r>
          <w:fldChar w:fldCharType="end"/>
        </w:r>
      </w:hyperlink>
    </w:p>
    <w:p>
      <w:pPr>
        <w:pStyle w:val="TOC2"/>
        <w:tabs>
          <w:tab w:val="right" w:leader="dot" w:pos="8306"/>
        </w:tabs>
      </w:pPr>
      <w:hyperlink w:anchor="_Toc24377" w:history="1">
        <w:r>
          <w:rPr>
            <w:rFonts w:ascii="仿宋" w:eastAsia="仿宋" w:hAnsi="仿宋" w:cs="仿宋" w:hint="eastAsia"/>
            <w:lang w:eastAsia="zh-CN"/>
          </w:rPr>
          <w:t>(五)、废弃物处理</w:t>
        </w:r>
        <w:r>
          <w:tab/>
        </w:r>
        <w:r>
          <w:fldChar w:fldCharType="begin"/>
        </w:r>
        <w:r>
          <w:instrText xml:space="preserve"> PAGEREF _Toc24377 \h </w:instrText>
        </w:r>
        <w:r>
          <w:fldChar w:fldCharType="separate"/>
        </w:r>
        <w:r>
          <w:t>53</w:t>
        </w:r>
        <w:r>
          <w:fldChar w:fldCharType="end"/>
        </w:r>
      </w:hyperlink>
    </w:p>
    <w:p>
      <w:pPr>
        <w:pStyle w:val="TOC2"/>
        <w:tabs>
          <w:tab w:val="right" w:leader="dot" w:pos="8306"/>
        </w:tabs>
      </w:pPr>
      <w:hyperlink w:anchor="_Toc15861" w:history="1">
        <w:r>
          <w:rPr>
            <w:rFonts w:ascii="仿宋" w:eastAsia="仿宋" w:hAnsi="仿宋" w:cs="仿宋" w:hint="eastAsia"/>
            <w:lang w:eastAsia="zh-CN"/>
          </w:rPr>
          <w:t>(六)、特殊环境影响分析</w:t>
        </w:r>
        <w:r>
          <w:tab/>
        </w:r>
        <w:r>
          <w:fldChar w:fldCharType="begin"/>
        </w:r>
        <w:r>
          <w:instrText xml:space="preserve"> PAGEREF _Toc15861 \h </w:instrText>
        </w:r>
        <w:r>
          <w:fldChar w:fldCharType="separate"/>
        </w:r>
        <w:r>
          <w:t>54</w:t>
        </w:r>
        <w:r>
          <w:fldChar w:fldCharType="end"/>
        </w:r>
      </w:hyperlink>
    </w:p>
    <w:p>
      <w:pPr>
        <w:pStyle w:val="TOC2"/>
        <w:tabs>
          <w:tab w:val="right" w:leader="dot" w:pos="8306"/>
        </w:tabs>
      </w:pPr>
      <w:hyperlink w:anchor="_Toc25627" w:history="1">
        <w:r>
          <w:rPr>
            <w:rFonts w:ascii="仿宋" w:eastAsia="仿宋" w:hAnsi="仿宋" w:cs="仿宋" w:hint="eastAsia"/>
            <w:lang w:eastAsia="zh-CN"/>
          </w:rPr>
          <w:t>(七)、清洁生产</w:t>
        </w:r>
        <w:r>
          <w:tab/>
        </w:r>
        <w:r>
          <w:fldChar w:fldCharType="begin"/>
        </w:r>
        <w:r>
          <w:instrText xml:space="preserve"> PAGEREF _Toc25627 \h </w:instrText>
        </w:r>
        <w:r>
          <w:fldChar w:fldCharType="separate"/>
        </w:r>
        <w:r>
          <w:t>56</w:t>
        </w:r>
        <w:r>
          <w:fldChar w:fldCharType="end"/>
        </w:r>
      </w:hyperlink>
    </w:p>
    <w:p>
      <w:pPr>
        <w:pStyle w:val="TOC2"/>
        <w:tabs>
          <w:tab w:val="right" w:leader="dot" w:pos="8306"/>
        </w:tabs>
      </w:pPr>
      <w:hyperlink w:anchor="_Toc3461" w:history="1">
        <w:r>
          <w:rPr>
            <w:rFonts w:ascii="仿宋" w:eastAsia="仿宋" w:hAnsi="仿宋" w:cs="仿宋" w:hint="eastAsia"/>
            <w:lang w:eastAsia="zh-CN"/>
          </w:rPr>
          <w:t>(八)、环境保护综合评价</w:t>
        </w:r>
        <w:r>
          <w:tab/>
        </w:r>
        <w:r>
          <w:fldChar w:fldCharType="begin"/>
        </w:r>
        <w:r>
          <w:instrText xml:space="preserve"> PAGEREF _Toc3461 \h </w:instrText>
        </w:r>
        <w:r>
          <w:fldChar w:fldCharType="separate"/>
        </w:r>
        <w:r>
          <w:t>57</w:t>
        </w:r>
        <w:r>
          <w:fldChar w:fldCharType="end"/>
        </w:r>
      </w:hyperlink>
    </w:p>
    <w:p>
      <w:pPr>
        <w:pStyle w:val="TOC1"/>
        <w:tabs>
          <w:tab w:val="right" w:leader="dot" w:pos="8306"/>
        </w:tabs>
      </w:pPr>
      <w:hyperlink w:anchor="_Toc21733" w:history="1">
        <w:r>
          <w:rPr>
            <w:rFonts w:ascii="仿宋" w:eastAsia="仿宋" w:hAnsi="仿宋" w:cs="仿宋" w:hint="eastAsia"/>
            <w:lang w:eastAsia="zh-CN"/>
          </w:rPr>
          <w:t>十三、有机肥料及微生物肥料项目工程方案分析</w:t>
        </w:r>
        <w:r>
          <w:tab/>
        </w:r>
        <w:r>
          <w:fldChar w:fldCharType="begin"/>
        </w:r>
        <w:r>
          <w:instrText xml:space="preserve"> PAGEREF _Toc21733 \h </w:instrText>
        </w:r>
        <w:r>
          <w:fldChar w:fldCharType="separate"/>
        </w:r>
        <w:r>
          <w:t>58</w:t>
        </w:r>
        <w:r>
          <w:fldChar w:fldCharType="end"/>
        </w:r>
      </w:hyperlink>
    </w:p>
    <w:p>
      <w:pPr>
        <w:pStyle w:val="TOC2"/>
        <w:tabs>
          <w:tab w:val="right" w:leader="dot" w:pos="8306"/>
        </w:tabs>
      </w:pPr>
      <w:hyperlink w:anchor="_Toc11872" w:history="1">
        <w:r>
          <w:rPr>
            <w:rFonts w:ascii="仿宋" w:eastAsia="仿宋" w:hAnsi="仿宋" w:cs="仿宋" w:hint="eastAsia"/>
            <w:lang w:eastAsia="zh-CN"/>
          </w:rPr>
          <w:t>(一)、建筑工程设计原则</w:t>
        </w:r>
        <w:r>
          <w:tab/>
        </w:r>
        <w:r>
          <w:fldChar w:fldCharType="begin"/>
        </w:r>
        <w:r>
          <w:instrText xml:space="preserve"> PAGEREF _Toc11872 \h </w:instrText>
        </w:r>
        <w:r>
          <w:fldChar w:fldCharType="separate"/>
        </w:r>
        <w:r>
          <w:t>58</w:t>
        </w:r>
        <w:r>
          <w:fldChar w:fldCharType="end"/>
        </w:r>
      </w:hyperlink>
    </w:p>
    <w:p>
      <w:pPr>
        <w:pStyle w:val="TOC2"/>
        <w:tabs>
          <w:tab w:val="right" w:leader="dot" w:pos="8306"/>
        </w:tabs>
      </w:pPr>
      <w:hyperlink w:anchor="_Toc25546" w:history="1">
        <w:r>
          <w:rPr>
            <w:rFonts w:ascii="仿宋" w:eastAsia="仿宋" w:hAnsi="仿宋" w:cs="仿宋" w:hint="eastAsia"/>
            <w:lang w:eastAsia="zh-CN"/>
          </w:rPr>
          <w:t>(二)、土建工程建设指标</w:t>
        </w:r>
        <w:r>
          <w:tab/>
        </w:r>
        <w:r>
          <w:fldChar w:fldCharType="begin"/>
        </w:r>
        <w:r>
          <w:instrText xml:space="preserve"> PAGEREF _Toc25546 \h </w:instrText>
        </w:r>
        <w:r>
          <w:fldChar w:fldCharType="separate"/>
        </w:r>
        <w:r>
          <w:t>62</w:t>
        </w:r>
        <w:r>
          <w:fldChar w:fldCharType="end"/>
        </w:r>
      </w:hyperlink>
    </w:p>
    <w:p>
      <w:pPr>
        <w:pStyle w:val="TOC1"/>
        <w:tabs>
          <w:tab w:val="right" w:leader="dot" w:pos="8306"/>
        </w:tabs>
      </w:pPr>
      <w:hyperlink w:anchor="_Toc19436" w:history="1">
        <w:r>
          <w:rPr>
            <w:rFonts w:ascii="仿宋" w:eastAsia="仿宋" w:hAnsi="仿宋" w:cs="仿宋" w:hint="eastAsia"/>
            <w:lang w:eastAsia="zh-CN"/>
          </w:rPr>
          <w:t>十四、供应链管理</w:t>
        </w:r>
        <w:r>
          <w:tab/>
        </w:r>
        <w:r>
          <w:fldChar w:fldCharType="begin"/>
        </w:r>
        <w:r>
          <w:instrText xml:space="preserve"> PAGEREF _Toc19436 \h </w:instrText>
        </w:r>
        <w:r>
          <w:fldChar w:fldCharType="separate"/>
        </w:r>
        <w:r>
          <w:t>63</w:t>
        </w:r>
        <w:r>
          <w:fldChar w:fldCharType="end"/>
        </w:r>
      </w:hyperlink>
    </w:p>
    <w:p>
      <w:pPr>
        <w:pStyle w:val="TOC2"/>
        <w:tabs>
          <w:tab w:val="right" w:leader="dot" w:pos="8306"/>
        </w:tabs>
      </w:pPr>
      <w:hyperlink w:anchor="_Toc20632" w:history="1">
        <w:r>
          <w:rPr>
            <w:rFonts w:ascii="仿宋" w:eastAsia="仿宋" w:hAnsi="仿宋" w:cs="仿宋" w:hint="eastAsia"/>
            <w:lang w:eastAsia="zh-CN"/>
          </w:rPr>
          <w:t>(一)、供应链战略规划</w:t>
        </w:r>
        <w:r>
          <w:tab/>
        </w:r>
        <w:r>
          <w:fldChar w:fldCharType="begin"/>
        </w:r>
        <w:r>
          <w:instrText xml:space="preserve"> PAGEREF _Toc20632 \h </w:instrText>
        </w:r>
        <w:r>
          <w:fldChar w:fldCharType="separate"/>
        </w:r>
        <w:r>
          <w:t>63</w:t>
        </w:r>
        <w:r>
          <w:fldChar w:fldCharType="end"/>
        </w:r>
      </w:hyperlink>
    </w:p>
    <w:p>
      <w:pPr>
        <w:pStyle w:val="TOC2"/>
        <w:tabs>
          <w:tab w:val="right" w:leader="dot" w:pos="8306"/>
        </w:tabs>
      </w:pPr>
      <w:hyperlink w:anchor="_Toc18641" w:history="1">
        <w:r>
          <w:rPr>
            <w:rFonts w:ascii="仿宋" w:eastAsia="仿宋" w:hAnsi="仿宋" w:cs="仿宋" w:hint="eastAsia"/>
            <w:lang w:eastAsia="zh-CN"/>
          </w:rPr>
          <w:t>(二)、供应商选择与合作</w:t>
        </w:r>
        <w:r>
          <w:tab/>
        </w:r>
        <w:r>
          <w:fldChar w:fldCharType="begin"/>
        </w:r>
        <w:r>
          <w:instrText xml:space="preserve"> PAGEREF _Toc18641 \h </w:instrText>
        </w:r>
        <w:r>
          <w:fldChar w:fldCharType="separate"/>
        </w:r>
        <w:r>
          <w:t>65</w:t>
        </w:r>
        <w:r>
          <w:fldChar w:fldCharType="end"/>
        </w:r>
      </w:hyperlink>
    </w:p>
    <w:p>
      <w:pPr>
        <w:pStyle w:val="TOC2"/>
        <w:tabs>
          <w:tab w:val="right" w:leader="dot" w:pos="8306"/>
        </w:tabs>
      </w:pPr>
      <w:hyperlink w:anchor="_Toc21786" w:history="1">
        <w:r>
          <w:rPr>
            <w:rFonts w:ascii="仿宋" w:eastAsia="仿宋" w:hAnsi="仿宋" w:cs="仿宋" w:hint="eastAsia"/>
            <w:lang w:eastAsia="zh-CN"/>
          </w:rPr>
          <w:t>(三)、物流与库存管理</w:t>
        </w:r>
        <w:r>
          <w:tab/>
        </w:r>
        <w:r>
          <w:fldChar w:fldCharType="begin"/>
        </w:r>
        <w:r>
          <w:instrText xml:space="preserve"> PAGEREF _Toc21786 \h </w:instrText>
        </w:r>
        <w:r>
          <w:fldChar w:fldCharType="separate"/>
        </w:r>
        <w:r>
          <w:t>66</w:t>
        </w:r>
        <w:r>
          <w:fldChar w:fldCharType="end"/>
        </w:r>
      </w:hyperlink>
    </w:p>
    <w:p>
      <w:pPr>
        <w:pStyle w:val="TOC1"/>
        <w:tabs>
          <w:tab w:val="right" w:leader="dot" w:pos="8306"/>
        </w:tabs>
      </w:pPr>
      <w:hyperlink w:anchor="_Toc31310" w:history="1">
        <w:r>
          <w:rPr>
            <w:rFonts w:ascii="仿宋" w:eastAsia="仿宋" w:hAnsi="仿宋" w:cs="仿宋" w:hint="eastAsia"/>
            <w:lang w:eastAsia="zh-CN"/>
          </w:rPr>
          <w:t>十五、利益相关者分析与沟通计划</w:t>
        </w:r>
        <w:r>
          <w:tab/>
        </w:r>
        <w:r>
          <w:fldChar w:fldCharType="begin"/>
        </w:r>
        <w:r>
          <w:instrText xml:space="preserve"> PAGEREF _Toc31310 \h </w:instrText>
        </w:r>
        <w:r>
          <w:fldChar w:fldCharType="separate"/>
        </w:r>
        <w:r>
          <w:t>68</w:t>
        </w:r>
        <w:r>
          <w:fldChar w:fldCharType="end"/>
        </w:r>
      </w:hyperlink>
    </w:p>
    <w:p>
      <w:pPr>
        <w:pStyle w:val="TOC2"/>
        <w:tabs>
          <w:tab w:val="right" w:leader="dot" w:pos="8306"/>
        </w:tabs>
      </w:pPr>
      <w:hyperlink w:anchor="_Toc29108" w:history="1">
        <w:r>
          <w:rPr>
            <w:rFonts w:ascii="仿宋" w:eastAsia="仿宋" w:hAnsi="仿宋" w:cs="仿宋" w:hint="eastAsia"/>
            <w:lang w:eastAsia="zh-CN"/>
          </w:rPr>
          <w:t>(一)、利益相关者分析</w:t>
        </w:r>
        <w:r>
          <w:tab/>
        </w:r>
        <w:r>
          <w:fldChar w:fldCharType="begin"/>
        </w:r>
        <w:r>
          <w:instrText xml:space="preserve"> PAGEREF _Toc29108 \h </w:instrText>
        </w:r>
        <w:r>
          <w:fldChar w:fldCharType="separate"/>
        </w:r>
        <w:r>
          <w:t>68</w:t>
        </w:r>
        <w:r>
          <w:fldChar w:fldCharType="end"/>
        </w:r>
      </w:hyperlink>
    </w:p>
    <w:p>
      <w:pPr>
        <w:pStyle w:val="TOC2"/>
        <w:tabs>
          <w:tab w:val="right" w:leader="dot" w:pos="8306"/>
        </w:tabs>
      </w:pPr>
      <w:hyperlink w:anchor="_Toc18158" w:history="1">
        <w:r>
          <w:rPr>
            <w:rFonts w:ascii="仿宋" w:eastAsia="仿宋" w:hAnsi="仿宋" w:cs="仿宋" w:hint="eastAsia"/>
            <w:lang w:eastAsia="zh-CN"/>
          </w:rPr>
          <w:t>(二)、沟通计划</w:t>
        </w:r>
        <w:r>
          <w:tab/>
        </w:r>
        <w:r>
          <w:fldChar w:fldCharType="begin"/>
        </w:r>
        <w:r>
          <w:instrText xml:space="preserve"> PAGEREF _Toc18158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86"/>
      <w:r>
        <w:rPr>
          <w:rFonts w:ascii="仿宋" w:eastAsia="仿宋" w:hAnsi="仿宋" w:cs="仿宋" w:hint="eastAsia"/>
          <w:sz w:val="28"/>
          <w:lang w:eastAsia="zh-CN"/>
        </w:rPr>
        <w:t>一、有机肥料及微生物肥料项目可持续发展</w:t>
      </w:r>
      <w:bookmarkEnd w:id="2"/>
    </w:p>
    <w:p>
      <w:pPr>
        <w:pStyle w:val="Heading2"/>
        <w:rPr>
          <w:rFonts w:ascii="仿宋" w:eastAsia="仿宋" w:hAnsi="仿宋" w:cs="仿宋" w:hint="eastAsia"/>
          <w:lang w:eastAsia="zh-CN"/>
        </w:rPr>
      </w:pPr>
      <w:bookmarkStart w:id="3" w:name="_Toc2238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料及微生物肥料项目中，有机肥料及微生物肥料项目团队着眼于未来，明确了可持续发展的战略方向。制定的具体可持续发展目标包括降低资源使用、采用环保技术、最大化社会效益等。这一步骤不仅有助于有机肥料及微生物肥料项目在环保和社会责任方面达到最高标准，也为未来提供了明确的指引，确保有机肥料及微生物肥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可持续实践的融入有机肥料及微生物肥料项目管理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有机肥料及微生物肥料项目管理周期。从有机肥料及微生物肥料项目规划开始，有机肥料及微生物肥料项目团队就考虑了环境和社会的因素。在执行阶段，有机肥料及微生物肥料项目团队积极推动绿色技术的应用，优化资源利用。此外，关注员工的社会责任，通过培训和沟通活动提高员工对可持续发展的认知，使他们能够在日常工作中践行可持续实践。这些举措不仅为有机肥料及微生物肥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33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有机肥料及微生物肥料项目的可持续发展理念，我们深信环保与社会责任是有机肥料及微生物肥料项目成功的关键支柱。在有机肥料及微生物肥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团队通过引入先进的环保技术、建立高效的废物处理系统以及推动能源节约措施，积极履行环保责任。定期的环保监测和评估确保有机肥料及微生物肥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有机肥料及微生物肥料项目不仅致力于自身可持续发展，还注重对社会的回馈。通过支持社区有机肥料及微生物肥料项目、参与慈善事业、提供培训机会等方式，有机肥料及微生物肥料项目积极履行社会责任。与当地社区建立积极互动，关注员工的工作与生活平衡，以及员工的身心健康，是有机肥料及微生物肥料项目在社会责任层面的关键举措。这样的实践不仅增强了有机肥料及微生物肥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35"/>
      <w:r>
        <w:rPr>
          <w:rFonts w:ascii="仿宋" w:eastAsia="仿宋" w:hAnsi="仿宋" w:cs="仿宋" w:hint="eastAsia"/>
          <w:sz w:val="28"/>
          <w:lang w:eastAsia="zh-CN"/>
        </w:rPr>
        <w:t>二、有机肥料及微生物肥料项目危机管理</w:t>
      </w:r>
      <w:bookmarkEnd w:id="5"/>
    </w:p>
    <w:p>
      <w:pPr>
        <w:pStyle w:val="Heading2"/>
        <w:rPr>
          <w:rFonts w:ascii="仿宋" w:eastAsia="仿宋" w:hAnsi="仿宋" w:cs="仿宋" w:hint="eastAsia"/>
          <w:lang w:eastAsia="zh-CN"/>
        </w:rPr>
      </w:pPr>
      <w:bookmarkStart w:id="6" w:name="_Toc3138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料及微生物肥料项目危机管理中，危机预警与识别是确保有机肥料及微生物肥料项目稳健运行的核心步骤。通过建立全面的监测机制，有机肥料及微生物肥料项目团队旨在及时发现和理解潜在的风险和危机因素，以便采取及时的预防和应对措施，确保有机肥料及微生物肥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肥料及微生物肥料项目团队全面分析了整个有机肥料及微生物肥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肥料及微生物肥料项目团队着重于明确定义有机肥料及微生物肥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有机肥料及微生物肥料项目进展的持续监控，团队能够及时发现潜在问题并作出迅速反应。有机肥料及微生物肥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机肥料及微生物肥料项目得以更有序、可控地推进。</w:t>
      </w:r>
    </w:p>
    <w:p>
      <w:pPr>
        <w:pStyle w:val="Heading2"/>
        <w:ind w:firstLine="560" w:firstLineChars="200"/>
        <w:rPr>
          <w:rFonts w:ascii="仿宋" w:eastAsia="仿宋" w:hAnsi="仿宋" w:cs="仿宋" w:hint="eastAsia"/>
          <w:sz w:val="28"/>
          <w:lang w:eastAsia="zh-CN"/>
        </w:rPr>
      </w:pPr>
      <w:bookmarkStart w:id="7" w:name="_Toc2876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在危机发生时，有机肥料及微生物肥料项目团队立即行动，成立了应急小组。该小组的任务是迅速制定并实施紧急应对措施，以最小化潜在损失。以下是采取的主要措施：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暂停有机肥料及微生物肥料项目进度：为遏制危机蔓延，有机肥料及微生物肥料项目暂时停止进行，以便全面评估当前状况。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资源重新分配：重新评估有机肥料及微生物肥料项目资源的分配，确保最大限度地减小损失。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实时沟通：与关键利益相关者建立实时沟通机制，向他们传递有机肥料及微生物肥料项目危机的实际状况，保障有机肥料及微生物肥料项目核心利益。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在紧急应对的同时，有机肥料及微生物肥料项目团队强调了团队协作和有效沟通的重要性。以下是团队协作的关键举措：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信息共享机制：建立了信息共享平台，确保团队成员能够及时获取有机肥料及微生物肥料项目危机的实时信息。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领导者沟通：有机肥料及微生物肥料项目领导者通过定期会议和即时沟通工具，指导团队应对危机，保持团队稳定运行。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随着危机得到初步控制，有机肥料及微生物肥料项目团队转向制定恢复计划，以确保有机肥料及微生物肥料项目能够从中迅速恢复。主要恢复计划包括：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修复受损的进度计划：重新评估有机肥料及微生物肥料项目进度，制定修复计划，确保有机肥料及微生物肥料项目尽快回归正常进程。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重新调整资源分配：优化资源分配，确保有机肥料及微生物肥料项目在有限资源下高效运转。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风险管理机制加强：对有机肥料及微生物肥料项目风险进行全面评估，制定更强化的风险管理策略，以预防未来可能的危机。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518"/>
      <w:r>
        <w:rPr>
          <w:rFonts w:ascii="仿宋" w:eastAsia="仿宋" w:hAnsi="仿宋" w:cs="仿宋" w:hint="eastAsia"/>
          <w:sz w:val="28"/>
          <w:lang w:eastAsia="zh-CN"/>
        </w:rPr>
        <w:t>三、有机肥料及微生物肥料项目概论</w:t>
      </w:r>
      <w:bookmarkEnd w:id="8"/>
    </w:p>
    <w:p>
      <w:pPr>
        <w:pStyle w:val="Heading2"/>
        <w:rPr>
          <w:rFonts w:ascii="仿宋" w:eastAsia="仿宋" w:hAnsi="仿宋" w:cs="仿宋" w:hint="eastAsia"/>
          <w:lang w:eastAsia="zh-CN"/>
        </w:rPr>
      </w:pPr>
      <w:bookmarkStart w:id="9" w:name="_Toc28043"/>
      <w:r>
        <w:rPr>
          <w:rFonts w:ascii="仿宋" w:eastAsia="仿宋" w:hAnsi="仿宋" w:cs="仿宋" w:hint="eastAsia"/>
          <w:lang w:eastAsia="zh-CN"/>
        </w:rPr>
        <w:t>(一)、有机肥料及微生物肥料项目概况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的起源追溯至对市场的深入洞察。市场的不断演变与变革为有机肥料及微生物肥料项目提供了难得的机遇。当前市场存在的需求缺口和变革的大环境共同构成了有机肥料及微生物肥料项目的背景。这个有机肥料及微生物肥料项目旨在充分利用市场机遇，填补行业中尚未满足的需求，为客户提供全新的解决方案。市场的变革和需求的增长使得这个有机肥料及微生物肥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有机肥料及微生物肥料项目名称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正式命名为有机肥料及微生物肥料。这个名称不仅仅是一个标识，更代表了有机肥料及微生物肥料项目的核心理念和愿景。它蕴含着有机肥料及微生物肥料项目所要解决问题的关键字，具有强烈的表达和辨识度，为有机肥料及微生物肥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有机肥料及微生物肥料项目目标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的核心目标是提供一种全新、高效的解决方案，满足客户日益增长的需求。有机肥料及微生物肥料项目追求的不仅仅是满足市场需求，更是在市场中获得卓越的竞争优势。通过不断提升产品或服务的质量和创新水平，有机肥料及微生物肥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有机肥料及微生物肥料项目范围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有机肥料及微生物肥料项目全面涵盖了产品研发、制造、市场推广和售后服务，确保从产品设计到最终用户体验的全方位关注。这一全面的有机肥料及微生物肥料项目范围是为了确保有机肥料及微生物肥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有机肥料及微生物肥料项目时间表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计划在未来18个月内完成，包括研发、测试、市场试点和正式推出等不同阶段。这个时间表的合理设计是为了确保有机肥料及微生物肥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有机肥料及微生物肥料项目预算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总预算估算为XX百万美元，主要分配在研发、市场推广、人员培训和运营等方面。这一充足的预算为有机肥料及微生物肥料项目提供了充足的资源，确保有机肥料及微生物肥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有机肥料及微生物肥料项目风险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可能面临的风险包括市场接受度低、技术难题、竞争激烈等。有机肥料及微生物肥料项目团队已经制定了相应的风险应对计划，通过前瞻性的风险管理，确保有机肥料及微生物肥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有机肥料及微生物肥料项目团队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汇聚了一支经验丰富、多领域专业素养的核心团队，确保有机肥料及微生物肥料项目在各个方面都能拥有高水平的执行力。团队的协同作战是有机肥料及微生物肥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有机肥料及微生物肥料项目背景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有机肥料及微生物肥料项目的背景根植于市场对更高效、创新产品的渴望，同时也受到科技发展对行业格局的深刻改变的影响。这为有机肥料及微生物肥料项目提供了广阔的发展空间和市场需求。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有机肥料及微生物肥料项目现状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截至目前，有机肥料及微生物肥料项目已完成市场调研和技术验证，取得了初步的成功。这为有机肥料及微生物肥料项目在未来的发展奠定了坚实的基础，为更远大的目标打下了坚实的基石。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636"/>
      <w:r>
        <w:rPr>
          <w:rFonts w:ascii="仿宋" w:eastAsia="仿宋" w:hAnsi="仿宋" w:cs="仿宋" w:hint="eastAsia"/>
          <w:sz w:val="28"/>
          <w:lang w:eastAsia="zh-CN"/>
        </w:rPr>
        <w:t>(二)、有机肥料及微生物肥料项目目标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有机肥料及微生物肥料项目首要业务目标是在市场中占据有利地位，实现产品/服务的成功推广和销售。通过不断提升产品质量、创新性，有机肥料及微生物肥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在科技迅速发展的时代，有机肥料及微生物肥料项目着眼于技术创新。通过持续的研发和技术升级，有机肥料及微生物肥料项目旨在推出更具创新性的产品或服务，以满足市场对新鲜、先进解决方案的需求。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有机肥料及微生物肥料项目设定了客户满意度目标。通过提供卓越的产品质量和优质的客户服务，有机肥料及微生物肥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有机肥料及微生物肥料项目注重社会责任和可持续发展。通过实施环保、社会责任有机肥料及微生物肥料项目，有机肥料及微生物肥料项目致力于在经济发展的同时保护环境，促进社会公平，实现可持续经营。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有机肥料及微生物肥料项目的团队是实现目标的核心驱动力。因此，有机肥料及微生物肥料项目设定了团队发展目标，包括提升团队成员的专业技能、培养领导力，以及搭建协同高效的团队工作氛围。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5548"/>
      <w:r>
        <w:rPr>
          <w:rFonts w:ascii="仿宋" w:eastAsia="仿宋" w:hAnsi="仿宋" w:cs="仿宋" w:hint="eastAsia"/>
          <w:sz w:val="28"/>
          <w:lang w:eastAsia="zh-CN"/>
        </w:rPr>
        <w:t>(三)、有机肥料及微生物肥料项目提出的理由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有机肥料及微生物肥料项目提出的理由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的提出源于对市场机遇的深刻洞察。当前市场中存在的需求缺口和行业发展趋势表明，有巨大的商业机会等待被开发。通过准确捕捉市场机遇，有机肥料及微生物肥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的理念基于对技术创新的信仰。通过持续的研发和技术投入，有机肥料及微生物肥料项目有望推出更具创新性的产品或服务。在科技飞速发展的当下，有机肥料及微生物肥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的提出是为了增强企业的行业竞争力。通过提升产品或服务的质量和独特性，有机肥料及微生物肥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响应了消费者需求的变化。随着社会和科技的不断发展，消费者对产品和服务的需求也在发生变化。通过深入了解并及时回应消费者的新需求，有机肥料及微生物肥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的提出是企业战略发展规划的一部分。在面对日益激烈的市场竞争和不断变化的商业环境中，有机肥料及微生物肥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的提出不仅仅是基于商业考量，还注重社会责任。通过推出环保、社会责任等方面的有机肥料及微生物肥料项目，有机肥料及微生物肥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有机肥料及微生物肥料项目的提出反映了对利益相关者期望的关注。包括客户、员工、投资者等利益相关者在企业发展中都有着各自的期望，有机肥料及微生物肥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711"/>
      <w:r>
        <w:rPr>
          <w:rFonts w:ascii="仿宋" w:eastAsia="仿宋" w:hAnsi="仿宋" w:cs="仿宋" w:hint="eastAsia"/>
          <w:sz w:val="28"/>
          <w:lang w:eastAsia="zh-CN"/>
        </w:rPr>
        <w:t>(四)、有机肥料及微生物肥料项目意义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在实施有机肥料及微生物肥料项目的过程中，我们不仅仅是在追逐商业成功，更是为企业和社会的多个层面创造了深远的意义。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项目的首要意义在于提升企业的市场竞争力。通过持续的创新和对产品质量的高标准要求，有机肥料及微生物肥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有机肥料及微生物肥料项目的推进将促使行业技术水平的提升。通过引入先进技术和创新性解决方案，有机肥料及微生物肥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有机肥料及微生物肥料项目不仅创造了大量就业机会，提高了就业水平，还注重社会责任和环保。通过参与社会公益事业和推动环保有机肥料及微生物肥料项目，有机肥料及微生物肥料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综合而言，有机肥料及微生物肥料项目意义重大，不仅推动了企业的发展，也为行业和社会的进步贡献了积极力量。这是一个全面而深刻的影响，将在未来产生可持续的正面效应。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468"/>
      <w:r>
        <w:rPr>
          <w:rFonts w:ascii="仿宋" w:eastAsia="仿宋" w:hAnsi="仿宋" w:cs="仿宋" w:hint="eastAsia"/>
          <w:sz w:val="28"/>
          <w:lang w:eastAsia="zh-CN"/>
        </w:rPr>
        <w:t>(五)、有机肥料及微生物肥料项目背景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在当今迅猛发展的商业环境中，有机肥料及微生物肥料项目的动因根植于对多方面因素的审慎考量。这个有机肥料及微生物肥料项目的提出并非孤立的决策，而是对企业所处背景深入思考的产物。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有机肥料及微生物肥料项目背后的首要原因。科技的迅速发展和全球市场的快速变化使得企业必须灵活应对。有机肥料及微生物肥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有机肥料及微生物肥料项目背景中不可忽视的一环。企业需要在激烈竞争中脱颖而出，为此，有机肥料及微生物肥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技术的迅速发展为企业带来了机遇与挑战。作为有机肥料及微生物肥料项目启动的背景之一，对新兴技术的应用将有助于提升企业的技术水平，使其在不断演进的商业环境中保持竞争优势。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有机肥料及微生物肥料项目充分融入了社会责任的理念，通过可持续经营和社会公益有机肥料及微生物肥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00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8319"/>
      <w:r>
        <w:rPr>
          <w:rFonts w:ascii="仿宋" w:eastAsia="仿宋" w:hAnsi="仿宋" w:cs="仿宋" w:hint="eastAsia"/>
          <w:lang w:eastAsia="zh-CN"/>
        </w:rPr>
        <w:t>(一)、有机肥料及微生物肥料行业分析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有机肥料及微生物肥料行业一直以来都是市场的关注焦点。行业内的发展趋势、竞争态势以及潜在机会都对有机肥料及微生物肥料项目的推进产生深远的影响。通过深入研究行业的整体概貌，我们将更好地理解行业的核心特征，为有机肥料及微生物肥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肥料及微生物肥料行业，技术一直是推动创新和发展的关键因素。我们将对当前技术趋势进行详尽分析，包括但不限于人工智能、大数据应用、先进制造技术等。这有助于有机肥料及微生物肥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肥料及微生物肥料项目成功的基础。我们将对主要竞争对手进行深入研究，包括其市场份额、产品特点、市场定位等。通过全面了解竞争对手的优势和劣势，有机肥料及微生物肥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717"/>
      <w:r>
        <w:rPr>
          <w:rFonts w:ascii="仿宋" w:eastAsia="仿宋" w:hAnsi="仿宋" w:cs="仿宋" w:hint="eastAsia"/>
          <w:sz w:val="28"/>
          <w:lang w:eastAsia="zh-CN"/>
        </w:rPr>
        <w:t>(二)、有机肥料及微生物肥料市场分析预测</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肥料及微生物肥料市场未来的增长趋势。这包括市场的整体规模、各细分领域的发展趋势等。有机肥料及微生物肥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肥料及微生物肥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有机肥料及微生物肥料项目实施过程中需要充分考虑的因素。我们将对市场风险进行全面评估，包括但不限于政策法规风险、市场竞争风险、技术变革风险等。通过对潜在风险的深入分析，有机肥料及微生物肥料项目可以制定相应的风险缓解策略，降低不确定性对有机肥料及微生物肥料项目的影响。</w:t>
      </w:r>
    </w:p>
    <w:p>
      <w:pPr>
        <w:pStyle w:val="Heading1"/>
        <w:ind w:firstLine="560" w:firstLineChars="200"/>
        <w:rPr>
          <w:rFonts w:ascii="仿宋" w:eastAsia="仿宋" w:hAnsi="仿宋" w:cs="仿宋" w:hint="eastAsia"/>
          <w:sz w:val="28"/>
          <w:lang w:eastAsia="zh-CN"/>
        </w:rPr>
      </w:pPr>
      <w:bookmarkStart w:id="17" w:name="_Toc28484"/>
      <w:r>
        <w:rPr>
          <w:rFonts w:ascii="仿宋" w:eastAsia="仿宋" w:hAnsi="仿宋" w:cs="仿宋" w:hint="eastAsia"/>
          <w:sz w:val="28"/>
          <w:lang w:eastAsia="zh-CN"/>
        </w:rPr>
        <w:t>五、有机肥料及微生物肥料项目建设背景及必要性分析</w:t>
      </w:r>
      <w:bookmarkEnd w:id="17"/>
    </w:p>
    <w:p>
      <w:pPr>
        <w:pStyle w:val="Heading2"/>
        <w:rPr>
          <w:rFonts w:ascii="仿宋" w:eastAsia="仿宋" w:hAnsi="仿宋" w:cs="仿宋" w:hint="eastAsia"/>
          <w:lang w:eastAsia="zh-CN"/>
        </w:rPr>
      </w:pPr>
      <w:bookmarkStart w:id="18" w:name="_Toc14134"/>
      <w:r>
        <w:rPr>
          <w:rFonts w:ascii="仿宋" w:eastAsia="仿宋" w:hAnsi="仿宋" w:cs="仿宋" w:hint="eastAsia"/>
          <w:lang w:eastAsia="zh-CN"/>
        </w:rPr>
        <w:t>(一)、有机肥料及微生物肥料项目背景分析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https://d.book118.com/036215144211010031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有机肥料及微生物肥料项目规划设计纲要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26C91"/>
    <w:rsid w:val="6E426C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215144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2024-01-04T08:48:00Z</dcterms:created>
  <dcterms:modified xsi:type="dcterms:W3CDTF">2024-01-04T08:49:00Z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2D36007535DF403B8E5BD4BB0021AAA0_11</vt:lpwstr>
  </property>
  <property fmtid="{D5CDD505-2E9C-101B-9397-08002B2CF9AE}" pid="3" name="KSOProductBuildVer">
    <vt:lpwstr>2052-12.1.0.16120</vt:lpwstr>
  </property>
</Properties>
</file>