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68" w:line="219" w:lineRule="auto"/>
        <w:ind w:left="7804"/>
        <w:rPr>
          <w:sz w:val="31"/>
          <w:szCs w:val="31"/>
        </w:rPr>
      </w:pPr>
      <w:r>
        <w:drawing>
          <wp:anchor distT="0" distB="0" distL="0" distR="0" simplePos="0" relativeHeight="251659264" behindDoc="0" locked="0" layoutInCell="0" allowOverlap="1">
            <wp:simplePos x="0" y="0"/>
            <wp:positionH relativeFrom="page">
              <wp:posOffset>889012</wp:posOffset>
            </wp:positionH>
            <wp:positionV relativeFrom="page">
              <wp:posOffset>9791712</wp:posOffset>
            </wp:positionV>
            <wp:extent cx="5759412"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5759412" cy="6350"/>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5295885</wp:posOffset>
            </wp:positionH>
            <wp:positionV relativeFrom="page">
              <wp:posOffset>558837</wp:posOffset>
            </wp:positionV>
            <wp:extent cx="419133" cy="419074"/>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419133" cy="419074"/>
                    </a:xfrm>
                    <a:prstGeom prst="rect">
                      <a:avLst/>
                    </a:prstGeom>
                  </pic:spPr>
                </pic:pic>
              </a:graphicData>
            </a:graphic>
          </wp:anchor>
        </w:drawing>
      </w:r>
      <w:r>
        <w:rPr>
          <w:b/>
          <w:bCs/>
          <w:spacing w:val="27"/>
          <w:sz w:val="31"/>
          <w:szCs w:val="31"/>
        </w:rPr>
        <w:t>联合资信</w:t>
      </w:r>
    </w:p>
    <w:p>
      <w:pPr>
        <w:spacing w:before="5" w:line="196" w:lineRule="auto"/>
        <w:ind w:left="7769"/>
        <w:outlineLvl w:val="0"/>
        <w:rPr>
          <w:rFonts w:ascii="Arial" w:eastAsia="Arial" w:hAnsi="Arial" w:cs="Arial"/>
          <w:sz w:val="19"/>
          <w:szCs w:val="19"/>
        </w:rPr>
      </w:pPr>
      <w:r>
        <w:rPr>
          <w:rFonts w:ascii="Arial" w:eastAsia="Arial" w:hAnsi="Arial" w:cs="Arial"/>
          <w:b/>
          <w:bCs/>
          <w:spacing w:val="-2"/>
          <w:sz w:val="19"/>
          <w:szCs w:val="19"/>
        </w:rPr>
        <w:t>LianheRatings</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62" w:line="300" w:lineRule="auto"/>
        <w:ind w:left="100" w:right="194" w:firstLine="439"/>
        <w:jc w:val="both"/>
      </w:pPr>
      <w:r>
        <w:rPr>
          <w:spacing w:val="20"/>
        </w:rPr>
        <w:t>从事融资租赁业务的企业根据其监管机构及性质分为金融租赁公司和融资租赁公</w:t>
      </w:r>
      <w:r>
        <w:rPr>
          <w:spacing w:val="19"/>
        </w:rPr>
        <w:t>司，融资租赁</w:t>
      </w:r>
      <w:r>
        <w:t xml:space="preserve"> </w:t>
      </w:r>
      <w:r>
        <w:rPr>
          <w:spacing w:val="20"/>
        </w:rPr>
        <w:t>公司又分为内资租赁公司和外资租赁公司，本文的第一和第二部分涵盖金融租赁公司和融资租赁公</w:t>
      </w:r>
      <w:r>
        <w:rPr>
          <w:spacing w:val="10"/>
        </w:rPr>
        <w:t xml:space="preserve"> </w:t>
      </w:r>
      <w:r>
        <w:rPr>
          <w:spacing w:val="17"/>
        </w:rPr>
        <w:t>司情况，第三和第四部分重点分析融资租赁公司情况。</w:t>
      </w:r>
    </w:p>
    <w:p>
      <w:pPr>
        <w:spacing w:line="358" w:lineRule="auto"/>
        <w:rPr>
          <w:rFonts w:ascii="Arial"/>
          <w:sz w:val="21"/>
        </w:rPr>
      </w:pPr>
    </w:p>
    <w:p>
      <w:pPr>
        <w:spacing w:before="81" w:line="222" w:lineRule="auto"/>
        <w:ind w:left="103"/>
        <w:rPr>
          <w:rFonts w:ascii="SimHei" w:eastAsia="SimHei" w:hAnsi="SimHei" w:cs="SimHei"/>
          <w:sz w:val="25"/>
          <w:szCs w:val="25"/>
        </w:rPr>
      </w:pPr>
      <w:r>
        <w:rPr>
          <w:rFonts w:ascii="SimHei" w:eastAsia="SimHei" w:hAnsi="SimHei" w:cs="SimHei"/>
          <w:b/>
          <w:bCs/>
          <w:spacing w:val="23"/>
          <w:sz w:val="25"/>
          <w:szCs w:val="25"/>
        </w:rPr>
        <w:t>一、2023年融资租赁行业运行情况</w:t>
      </w:r>
    </w:p>
    <w:p>
      <w:pPr>
        <w:spacing w:line="248" w:lineRule="auto"/>
        <w:rPr>
          <w:rFonts w:ascii="Arial"/>
          <w:sz w:val="21"/>
        </w:rPr>
      </w:pPr>
    </w:p>
    <w:p>
      <w:pPr>
        <w:spacing w:before="62" w:line="380" w:lineRule="exact"/>
        <w:ind w:left="542"/>
        <w:rPr>
          <w:rFonts w:ascii="KaiTi" w:eastAsia="KaiTi" w:hAnsi="KaiTi" w:cs="KaiTi"/>
          <w:sz w:val="19"/>
          <w:szCs w:val="19"/>
        </w:rPr>
      </w:pPr>
      <w:r>
        <w:rPr>
          <w:rFonts w:ascii="KaiTi" w:eastAsia="KaiTi" w:hAnsi="KaiTi" w:cs="KaiTi"/>
          <w:b/>
          <w:bCs/>
          <w:spacing w:val="25"/>
          <w:position w:val="14"/>
          <w:sz w:val="19"/>
          <w:szCs w:val="19"/>
        </w:rPr>
        <w:t>截至2023年9月末，全国融资租赁企业总数以及融资租赁合</w:t>
      </w:r>
      <w:r>
        <w:rPr>
          <w:rFonts w:ascii="KaiTi" w:eastAsia="KaiTi" w:hAnsi="KaiTi" w:cs="KaiTi"/>
          <w:b/>
          <w:bCs/>
          <w:spacing w:val="24"/>
          <w:position w:val="14"/>
          <w:sz w:val="19"/>
          <w:szCs w:val="19"/>
        </w:rPr>
        <w:t>同余额持续下降，下降主要来自</w:t>
      </w:r>
    </w:p>
    <w:p>
      <w:pPr>
        <w:spacing w:line="220" w:lineRule="auto"/>
        <w:ind w:left="102"/>
        <w:rPr>
          <w:rFonts w:ascii="KaiTi" w:eastAsia="KaiTi" w:hAnsi="KaiTi" w:cs="KaiTi"/>
          <w:sz w:val="19"/>
          <w:szCs w:val="19"/>
        </w:rPr>
      </w:pPr>
      <w:r>
        <w:rPr>
          <w:rFonts w:ascii="KaiTi" w:eastAsia="KaiTi" w:hAnsi="KaiTi" w:cs="KaiTi"/>
          <w:b/>
          <w:bCs/>
          <w:spacing w:val="16"/>
          <w:sz w:val="19"/>
          <w:szCs w:val="19"/>
        </w:rPr>
        <w:t>于外资租赁公司；金融租赁公司虽然数量最少，但合同余额占比最高。</w:t>
      </w:r>
    </w:p>
    <w:p>
      <w:pPr>
        <w:pStyle w:val="BodyText"/>
        <w:spacing w:before="103" w:line="275" w:lineRule="auto"/>
        <w:ind w:left="100" w:right="175" w:firstLine="439"/>
      </w:pPr>
      <w:r>
        <w:rPr>
          <w:spacing w:val="29"/>
        </w:rPr>
        <w:t>截至2023年9月末，全国融资租赁企业总数保持持续下降趋势，为9170家，较2022年末的</w:t>
      </w:r>
      <w:r>
        <w:rPr>
          <w:spacing w:val="3"/>
        </w:rPr>
        <w:t xml:space="preserve"> </w:t>
      </w:r>
      <w:r>
        <w:rPr>
          <w:spacing w:val="24"/>
        </w:rPr>
        <w:t>9840家减少了670家。其中，金融租赁公司保持72家没有变化，内资租赁公司增加6家至4</w:t>
      </w:r>
      <w:r>
        <w:rPr>
          <w:spacing w:val="23"/>
        </w:rPr>
        <w:t>40家，</w:t>
      </w:r>
    </w:p>
    <w:p>
      <w:pPr>
        <w:pStyle w:val="BodyText"/>
        <w:spacing w:before="116" w:line="334" w:lineRule="auto"/>
        <w:ind w:left="100" w:right="25"/>
      </w:pPr>
      <w:r>
        <w:rPr>
          <w:spacing w:val="22"/>
        </w:rPr>
        <w:t>外资租赁公司减少676家至8658</w:t>
      </w:r>
      <w:r>
        <w:rPr>
          <w:spacing w:val="-15"/>
        </w:rPr>
        <w:t xml:space="preserve"> </w:t>
      </w:r>
      <w:r>
        <w:rPr>
          <w:spacing w:val="22"/>
        </w:rPr>
        <w:t xml:space="preserve">家。2022年，有大批外资租赁公司陆续退出市场，当年外资租赁  </w:t>
      </w:r>
      <w:r>
        <w:rPr>
          <w:spacing w:val="21"/>
        </w:rPr>
        <w:t>公司减少2083家；2023年前三季度，外资租赁公司数量继续下降，但下降幅度较2022年有所缓和。</w:t>
      </w:r>
      <w:r>
        <w:rPr>
          <w:spacing w:val="14"/>
        </w:rPr>
        <w:t xml:space="preserve"> </w:t>
      </w:r>
      <w:r>
        <w:rPr>
          <w:spacing w:val="22"/>
        </w:rPr>
        <w:t>在业务总量上，全国融资租赁企业合同余额持续下降，截至2023年9月末，全国融资租赁合同余额</w:t>
      </w:r>
      <w:r>
        <w:rPr>
          <w:spacing w:val="5"/>
        </w:rPr>
        <w:t xml:space="preserve">  </w:t>
      </w:r>
      <w:r>
        <w:rPr>
          <w:spacing w:val="24"/>
        </w:rPr>
        <w:t>约为57560</w:t>
      </w:r>
      <w:r>
        <w:rPr>
          <w:spacing w:val="-41"/>
        </w:rPr>
        <w:t xml:space="preserve"> </w:t>
      </w:r>
      <w:r>
        <w:rPr>
          <w:spacing w:val="24"/>
        </w:rPr>
        <w:t>亿元，较2022年末的58500</w:t>
      </w:r>
      <w:r>
        <w:rPr>
          <w:spacing w:val="-25"/>
        </w:rPr>
        <w:t xml:space="preserve"> </w:t>
      </w:r>
      <w:r>
        <w:rPr>
          <w:spacing w:val="24"/>
        </w:rPr>
        <w:t xml:space="preserve">亿元减少了940亿元，降幅主要来自于外资租赁公司。其  </w:t>
      </w:r>
      <w:r>
        <w:rPr>
          <w:spacing w:val="18"/>
        </w:rPr>
        <w:t>中，金融租赁公司合同余额约为25160</w:t>
      </w:r>
      <w:r>
        <w:rPr>
          <w:spacing w:val="-8"/>
        </w:rPr>
        <w:t xml:space="preserve"> </w:t>
      </w:r>
      <w:r>
        <w:rPr>
          <w:spacing w:val="18"/>
        </w:rPr>
        <w:t>亿元，</w:t>
      </w:r>
      <w:r>
        <w:rPr>
          <w:spacing w:val="74"/>
          <w:w w:val="101"/>
        </w:rPr>
        <w:t xml:space="preserve"> </w:t>
      </w:r>
      <w:r>
        <w:rPr>
          <w:spacing w:val="18"/>
        </w:rPr>
        <w:t>占比43</w:t>
      </w:r>
      <w:r>
        <w:rPr>
          <w:spacing w:val="-54"/>
        </w:rPr>
        <w:t xml:space="preserve"> </w:t>
      </w:r>
      <w:r>
        <w:rPr>
          <w:spacing w:val="18"/>
        </w:rPr>
        <w:t>.</w:t>
      </w:r>
      <w:r>
        <w:rPr>
          <w:spacing w:val="-54"/>
        </w:rPr>
        <w:t xml:space="preserve"> </w:t>
      </w:r>
      <w:r>
        <w:rPr>
          <w:spacing w:val="18"/>
        </w:rPr>
        <w:t>71%;内资租赁公司合同余额约为20740 亿</w:t>
      </w:r>
    </w:p>
    <w:p>
      <w:pPr>
        <w:pStyle w:val="BodyText"/>
        <w:spacing w:line="219" w:lineRule="auto"/>
        <w:ind w:left="100"/>
      </w:pPr>
      <w:r>
        <w:rPr>
          <w:spacing w:val="22"/>
        </w:rPr>
        <w:t>元，占比36.03%;外资租赁公司合同余额约为11660亿元，占比20.26%。</w:t>
      </w:r>
    </w:p>
    <w:p>
      <w:pPr>
        <w:spacing w:before="240" w:line="223" w:lineRule="auto"/>
        <w:ind w:left="2300"/>
        <w:rPr>
          <w:rFonts w:ascii="KaiTi" w:eastAsia="KaiTi" w:hAnsi="KaiTi" w:cs="KaiTi"/>
          <w:sz w:val="19"/>
          <w:szCs w:val="19"/>
        </w:rPr>
      </w:pPr>
      <w:r>
        <w:rPr>
          <w:rFonts w:ascii="KaiTi" w:eastAsia="KaiTi" w:hAnsi="KaiTi" w:cs="KaiTi"/>
          <w:spacing w:val="-6"/>
          <w:sz w:val="19"/>
          <w:szCs w:val="19"/>
        </w:rPr>
        <w:t>图</w:t>
      </w:r>
      <w:r>
        <w:rPr>
          <w:rFonts w:ascii="KaiTi" w:eastAsia="KaiTi" w:hAnsi="KaiTi" w:cs="KaiTi"/>
          <w:spacing w:val="-24"/>
          <w:sz w:val="19"/>
          <w:szCs w:val="19"/>
        </w:rPr>
        <w:t xml:space="preserve"> </w:t>
      </w:r>
      <w:r>
        <w:rPr>
          <w:rFonts w:ascii="KaiTi" w:eastAsia="KaiTi" w:hAnsi="KaiTi" w:cs="KaiTi"/>
          <w:spacing w:val="-6"/>
          <w:sz w:val="19"/>
          <w:szCs w:val="19"/>
        </w:rPr>
        <w:t>1</w:t>
      </w:r>
      <w:r>
        <w:rPr>
          <w:rFonts w:ascii="KaiTi" w:eastAsia="KaiTi" w:hAnsi="KaiTi" w:cs="KaiTi"/>
          <w:spacing w:val="-6"/>
          <w:sz w:val="19"/>
          <w:szCs w:val="19"/>
        </w:rPr>
        <w:t xml:space="preserve"> </w:t>
      </w:r>
      <w:r>
        <w:rPr>
          <w:rFonts w:ascii="KaiTi" w:eastAsia="KaiTi" w:hAnsi="KaiTi" w:cs="KaiTi"/>
          <w:spacing w:val="-6"/>
          <w:sz w:val="19"/>
          <w:szCs w:val="19"/>
        </w:rPr>
        <w:t>融资租赁企业数量及合同余额情况(单位：家</w:t>
      </w:r>
      <w:r>
        <w:rPr>
          <w:rFonts w:ascii="KaiTi" w:eastAsia="KaiTi" w:hAnsi="KaiTi" w:cs="KaiTi"/>
          <w:spacing w:val="-7"/>
          <w:sz w:val="19"/>
          <w:szCs w:val="19"/>
        </w:rPr>
        <w:t>、亿元)</w:t>
      </w:r>
    </w:p>
    <w:p>
      <w:pPr>
        <w:spacing w:before="27" w:line="3930" w:lineRule="exact"/>
      </w:pPr>
      <w:r>
        <w:rPr>
          <w:position w:val="-78"/>
        </w:rPr>
        <w:drawing>
          <wp:inline distT="0" distB="0" distL="0" distR="0">
            <wp:extent cx="5930937" cy="249551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5930937" cy="2495519"/>
                    </a:xfrm>
                    <a:prstGeom prst="rect">
                      <a:avLst/>
                    </a:prstGeom>
                  </pic:spPr>
                </pic:pic>
              </a:graphicData>
            </a:graphic>
          </wp:inline>
        </w:drawing>
      </w:r>
    </w:p>
    <w:p>
      <w:pPr>
        <w:spacing w:before="120" w:line="220" w:lineRule="auto"/>
        <w:ind w:left="100"/>
        <w:rPr>
          <w:rFonts w:ascii="KaiTi" w:eastAsia="KaiTi" w:hAnsi="KaiTi" w:cs="KaiTi"/>
          <w:sz w:val="14"/>
          <w:szCs w:val="14"/>
        </w:rPr>
      </w:pPr>
      <w:r>
        <w:rPr>
          <w:rFonts w:ascii="KaiTi" w:eastAsia="KaiTi" w:hAnsi="KaiTi" w:cs="KaiTi"/>
          <w:spacing w:val="10"/>
          <w:sz w:val="14"/>
          <w:szCs w:val="14"/>
        </w:rPr>
        <w:t>注：不含单一项目公司、分公司、</w:t>
      </w:r>
      <w:r>
        <w:rPr>
          <w:rFonts w:ascii="Times New Roman" w:eastAsia="Times New Roman" w:hAnsi="Times New Roman" w:cs="Times New Roman"/>
          <w:sz w:val="14"/>
          <w:szCs w:val="14"/>
        </w:rPr>
        <w:t>SPV</w:t>
      </w:r>
      <w:r>
        <w:rPr>
          <w:rFonts w:ascii="Times New Roman" w:eastAsia="Times New Roman" w:hAnsi="Times New Roman" w:cs="Times New Roman"/>
          <w:spacing w:val="6"/>
          <w:sz w:val="14"/>
          <w:szCs w:val="14"/>
        </w:rPr>
        <w:t xml:space="preserve">   </w:t>
      </w:r>
      <w:r>
        <w:rPr>
          <w:rFonts w:ascii="KaiTi" w:eastAsia="KaiTi" w:hAnsi="KaiTi" w:cs="KaiTi"/>
          <w:spacing w:val="10"/>
          <w:sz w:val="14"/>
          <w:szCs w:val="14"/>
        </w:rPr>
        <w:t>子公司、港澳台当地租赁企业和收购海外的公司，不含已正式退出市场的企业，包括一些地区监管</w:t>
      </w:r>
    </w:p>
    <w:p>
      <w:pPr>
        <w:spacing w:before="36" w:line="194" w:lineRule="auto"/>
        <w:ind w:left="400"/>
        <w:rPr>
          <w:rFonts w:ascii="KaiTi" w:eastAsia="KaiTi" w:hAnsi="KaiTi" w:cs="KaiTi"/>
          <w:sz w:val="14"/>
          <w:szCs w:val="14"/>
        </w:rPr>
      </w:pPr>
      <w:r>
        <w:rPr>
          <w:rFonts w:ascii="KaiTi" w:eastAsia="KaiTi" w:hAnsi="KaiTi" w:cs="KaiTi"/>
          <w:spacing w:val="7"/>
          <w:sz w:val="14"/>
          <w:szCs w:val="14"/>
        </w:rPr>
        <w:t>部门列入失联或经营异常名单的企业。</w:t>
      </w:r>
    </w:p>
    <w:p>
      <w:pPr>
        <w:spacing w:line="220" w:lineRule="auto"/>
        <w:ind w:left="100"/>
        <w:rPr>
          <w:rFonts w:ascii="KaiTi" w:eastAsia="KaiTi" w:hAnsi="KaiTi" w:cs="KaiTi"/>
          <w:sz w:val="16"/>
          <w:szCs w:val="16"/>
        </w:rPr>
      </w:pPr>
      <w:r>
        <w:rPr>
          <w:rFonts w:ascii="KaiTi" w:eastAsia="KaiTi" w:hAnsi="KaiTi" w:cs="KaiTi"/>
          <w:spacing w:val="-10"/>
          <w:sz w:val="16"/>
          <w:szCs w:val="16"/>
        </w:rPr>
        <w:t>资料来源：中国租赁联盟、南开大学当代中国问题研究</w:t>
      </w:r>
      <w:r>
        <w:rPr>
          <w:rFonts w:ascii="KaiTi" w:eastAsia="KaiTi" w:hAnsi="KaiTi" w:cs="KaiTi"/>
          <w:spacing w:val="-11"/>
          <w:sz w:val="16"/>
          <w:szCs w:val="16"/>
        </w:rPr>
        <w:t>院、租赁联合研究院，联合资信整理</w:t>
      </w:r>
    </w:p>
    <w:p>
      <w:pPr>
        <w:spacing w:line="300" w:lineRule="auto"/>
        <w:rPr>
          <w:rFonts w:ascii="Arial"/>
          <w:sz w:val="21"/>
        </w:rPr>
      </w:pPr>
    </w:p>
    <w:p>
      <w:pPr>
        <w:spacing w:before="82" w:line="221" w:lineRule="auto"/>
        <w:ind w:left="103"/>
        <w:rPr>
          <w:rFonts w:ascii="SimHei" w:eastAsia="SimHei" w:hAnsi="SimHei" w:cs="SimHei"/>
          <w:sz w:val="25"/>
          <w:szCs w:val="25"/>
        </w:rPr>
      </w:pPr>
      <w:r>
        <w:rPr>
          <w:rFonts w:ascii="SimHei" w:eastAsia="SimHei" w:hAnsi="SimHei" w:cs="SimHei"/>
          <w:b/>
          <w:bCs/>
          <w:spacing w:val="24"/>
          <w:sz w:val="25"/>
          <w:szCs w:val="25"/>
        </w:rPr>
        <w:t>二、2023年以来融资租赁行业政策动态</w:t>
      </w:r>
    </w:p>
    <w:p>
      <w:pPr>
        <w:spacing w:line="261" w:lineRule="auto"/>
        <w:rPr>
          <w:rFonts w:ascii="Arial"/>
          <w:sz w:val="21"/>
        </w:rPr>
        <w:sectPr>
          <w:pgSz w:w="11910" w:h="16840"/>
          <w:pgMar w:top="880" w:right="1269" w:bottom="0" w:left="1299" w:header="0" w:footer="0" w:gutter="0"/>
          <w:cols w:space="708"/>
        </w:sectPr>
      </w:pPr>
    </w:p>
    <w:p>
      <w:pPr>
        <w:spacing w:before="63" w:line="308" w:lineRule="auto"/>
        <w:ind w:left="102" w:right="183" w:firstLine="439"/>
        <w:jc w:val="both"/>
        <w:rPr>
          <w:rFonts w:ascii="KaiTi" w:eastAsia="KaiTi" w:hAnsi="KaiTi" w:cs="KaiTi"/>
          <w:sz w:val="19"/>
          <w:szCs w:val="19"/>
        </w:rPr>
      </w:pPr>
      <w:r>
        <w:rPr>
          <w:rFonts w:ascii="KaiTi" w:eastAsia="KaiTi" w:hAnsi="KaiTi" w:cs="KaiTi"/>
          <w:b/>
          <w:bCs/>
          <w:spacing w:val="19"/>
          <w:sz w:val="19"/>
          <w:szCs w:val="19"/>
        </w:rPr>
        <w:t>2023</w:t>
      </w:r>
      <w:r>
        <w:rPr>
          <w:rFonts w:ascii="KaiTi" w:eastAsia="KaiTi" w:hAnsi="KaiTi" w:cs="KaiTi"/>
          <w:spacing w:val="41"/>
          <w:sz w:val="19"/>
          <w:szCs w:val="19"/>
        </w:rPr>
        <w:t xml:space="preserve"> </w:t>
      </w:r>
      <w:r>
        <w:rPr>
          <w:rFonts w:ascii="KaiTi" w:eastAsia="KaiTi" w:hAnsi="KaiTi" w:cs="KaiTi"/>
          <w:b/>
          <w:bCs/>
          <w:spacing w:val="19"/>
          <w:sz w:val="19"/>
          <w:szCs w:val="19"/>
        </w:rPr>
        <w:t>年，针对部分金融租赁公司偏离融物本源问题，国家金融监管总局下发了</w:t>
      </w:r>
      <w:r>
        <w:rPr>
          <w:rFonts w:ascii="KaiTi" w:eastAsia="KaiTi" w:hAnsi="KaiTi" w:cs="KaiTi"/>
          <w:b/>
          <w:bCs/>
          <w:spacing w:val="18"/>
          <w:sz w:val="19"/>
          <w:szCs w:val="19"/>
        </w:rPr>
        <w:t>金融租赁公司</w:t>
      </w:r>
      <w:r>
        <w:rPr>
          <w:rFonts w:ascii="KaiTi" w:eastAsia="KaiTi" w:hAnsi="KaiTi" w:cs="KaiTi"/>
          <w:sz w:val="19"/>
          <w:szCs w:val="19"/>
        </w:rPr>
        <w:t xml:space="preserve"> </w:t>
      </w:r>
      <w:r>
        <w:rPr>
          <w:rFonts w:ascii="KaiTi" w:eastAsia="KaiTi" w:hAnsi="KaiTi" w:cs="KaiTi"/>
          <w:b/>
          <w:bCs/>
          <w:spacing w:val="18"/>
          <w:sz w:val="19"/>
          <w:szCs w:val="19"/>
        </w:rPr>
        <w:t>管理办法，强调金融租赁公司回归“融资融物”的经营模式，暂未有针对融资租赁公司的具体文件</w:t>
      </w:r>
      <w:r>
        <w:rPr>
          <w:rFonts w:ascii="KaiTi" w:eastAsia="KaiTi" w:hAnsi="KaiTi" w:cs="KaiTi"/>
          <w:sz w:val="19"/>
          <w:szCs w:val="19"/>
        </w:rPr>
        <w:t xml:space="preserve">  </w:t>
      </w:r>
      <w:r>
        <w:rPr>
          <w:rFonts w:ascii="KaiTi" w:eastAsia="KaiTi" w:hAnsi="KaiTi" w:cs="KaiTi"/>
          <w:b/>
          <w:bCs/>
          <w:spacing w:val="18"/>
          <w:sz w:val="19"/>
          <w:szCs w:val="19"/>
        </w:rPr>
        <w:t>下发；新增贵州省、北京市、山西省和陕西省等地方金融监督管理局发布融资租赁业务指</w:t>
      </w:r>
      <w:r>
        <w:rPr>
          <w:rFonts w:ascii="KaiTi" w:eastAsia="KaiTi" w:hAnsi="KaiTi" w:cs="KaiTi"/>
          <w:b/>
          <w:bCs/>
          <w:spacing w:val="17"/>
          <w:sz w:val="19"/>
          <w:szCs w:val="19"/>
        </w:rPr>
        <w:t>引及实施</w:t>
      </w:r>
      <w:r>
        <w:rPr>
          <w:rFonts w:ascii="KaiTi" w:eastAsia="KaiTi" w:hAnsi="KaiTi" w:cs="KaiTi"/>
          <w:spacing w:val="17"/>
          <w:sz w:val="19"/>
          <w:szCs w:val="19"/>
        </w:rPr>
        <w:t xml:space="preserve"> </w:t>
      </w:r>
      <w:r>
        <w:rPr>
          <w:rFonts w:ascii="KaiTi" w:eastAsia="KaiTi" w:hAnsi="KaiTi" w:cs="KaiTi"/>
          <w:b/>
          <w:bCs/>
          <w:spacing w:val="18"/>
          <w:sz w:val="19"/>
          <w:szCs w:val="19"/>
        </w:rPr>
        <w:t>细则，主要目的以规范地方金融组织及其活动，防范、化解与处置金融风险为主，</w:t>
      </w:r>
      <w:r>
        <w:rPr>
          <w:rFonts w:ascii="KaiTi" w:eastAsia="KaiTi" w:hAnsi="KaiTi" w:cs="KaiTi"/>
          <w:b/>
          <w:bCs/>
          <w:spacing w:val="17"/>
          <w:sz w:val="19"/>
          <w:szCs w:val="19"/>
        </w:rPr>
        <w:t>对租赁公司的设</w:t>
      </w:r>
      <w:r>
        <w:rPr>
          <w:rFonts w:ascii="KaiTi" w:eastAsia="KaiTi" w:hAnsi="KaiTi" w:cs="KaiTi"/>
          <w:sz w:val="19"/>
          <w:szCs w:val="19"/>
        </w:rPr>
        <w:t xml:space="preserve">  </w:t>
      </w:r>
      <w:r>
        <w:rPr>
          <w:rFonts w:ascii="KaiTi" w:eastAsia="KaiTi" w:hAnsi="KaiTi" w:cs="KaiTi"/>
          <w:b/>
          <w:bCs/>
          <w:spacing w:val="18"/>
          <w:sz w:val="19"/>
          <w:szCs w:val="19"/>
        </w:rPr>
        <w:t>立更加严格，业务范围界定更加清晰，监督管理力度更大；融资租赁公司所在地较多的天津、江苏</w:t>
      </w:r>
    </w:p>
    <w:p>
      <w:pPr>
        <w:spacing w:line="268" w:lineRule="auto"/>
        <w:rPr>
          <w:rFonts w:ascii="Arial"/>
          <w:sz w:val="21"/>
        </w:rPr>
      </w:pPr>
    </w:p>
    <w:p>
      <w:pPr>
        <w:pStyle w:val="BodyText"/>
        <w:spacing w:before="62" w:line="212" w:lineRule="auto"/>
        <w:ind w:left="100"/>
        <w:rPr>
          <w:sz w:val="13"/>
          <w:szCs w:val="13"/>
        </w:rPr>
      </w:pPr>
      <w:r>
        <w:rPr>
          <w:rFonts w:ascii="Times New Roman" w:eastAsia="Times New Roman" w:hAnsi="Times New Roman" w:cs="Times New Roman"/>
          <w:spacing w:val="-7"/>
        </w:rPr>
        <w:t>www.Ihratings.com</w:t>
      </w:r>
      <w:r>
        <w:rPr>
          <w:rFonts w:ascii="Times New Roman" w:eastAsia="Times New Roman" w:hAnsi="Times New Roman" w:cs="Times New Roman"/>
          <w:spacing w:val="59"/>
        </w:rPr>
        <w:t xml:space="preserve"> </w:t>
      </w:r>
      <w:r>
        <w:rPr>
          <w:spacing w:val="-7"/>
        </w:rPr>
        <w:t>研究报告</w:t>
      </w:r>
      <w:r>
        <w:t xml:space="preserve">                                                                      </w:t>
      </w:r>
      <w:r>
        <w:rPr>
          <w:spacing w:val="-7"/>
          <w:sz w:val="13"/>
          <w:szCs w:val="13"/>
        </w:rPr>
        <w:t>2</w:t>
      </w:r>
    </w:p>
    <w:p>
      <w:pPr>
        <w:spacing w:line="212" w:lineRule="auto"/>
        <w:rPr>
          <w:sz w:val="13"/>
          <w:szCs w:val="13"/>
        </w:rPr>
        <w:sectPr>
          <w:type w:val="nextPage"/>
          <w:pgSz w:w="11910" w:h="16840"/>
          <w:pgMar w:top="880" w:right="1269" w:bottom="0" w:left="1299" w:header="0" w:footer="0" w:gutter="0"/>
          <w:pgNumType w:start="2"/>
          <w:cols w:space="708"/>
          <w:titlePg w:val="0"/>
        </w:sectPr>
      </w:pPr>
    </w:p>
    <w:p>
      <w:pPr>
        <w:spacing w:before="66" w:line="222" w:lineRule="auto"/>
        <w:ind w:left="7694"/>
        <w:rPr>
          <w:rFonts w:ascii="SimHei" w:eastAsia="SimHei" w:hAnsi="SimHei" w:cs="SimHei"/>
          <w:sz w:val="31"/>
          <w:szCs w:val="31"/>
        </w:rPr>
      </w:pPr>
      <w:r>
        <w:drawing>
          <wp:anchor distT="0" distB="0" distL="0" distR="0" simplePos="0" relativeHeight="251661312" behindDoc="0" locked="0" layoutInCell="0" allowOverlap="1">
            <wp:simplePos x="0" y="0"/>
            <wp:positionH relativeFrom="page">
              <wp:posOffset>895365</wp:posOffset>
            </wp:positionH>
            <wp:positionV relativeFrom="page">
              <wp:posOffset>9791712</wp:posOffset>
            </wp:positionV>
            <wp:extent cx="575306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5753060" cy="635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5295885</wp:posOffset>
            </wp:positionH>
            <wp:positionV relativeFrom="page">
              <wp:posOffset>558837</wp:posOffset>
            </wp:positionV>
            <wp:extent cx="419133" cy="41907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
                    <a:stretch>
                      <a:fillRect/>
                    </a:stretch>
                  </pic:blipFill>
                  <pic:spPr>
                    <a:xfrm>
                      <a:off x="0" y="0"/>
                      <a:ext cx="419133" cy="419074"/>
                    </a:xfrm>
                    <a:prstGeom prst="rect">
                      <a:avLst/>
                    </a:prstGeom>
                  </pic:spPr>
                </pic:pic>
              </a:graphicData>
            </a:graphic>
          </wp:anchor>
        </w:drawing>
      </w:r>
      <w:r>
        <w:rPr>
          <w:rFonts w:ascii="SimHei" w:eastAsia="SimHei" w:hAnsi="SimHei" w:cs="SimHei"/>
          <w:b/>
          <w:bCs/>
          <w:spacing w:val="25"/>
          <w:sz w:val="31"/>
          <w:szCs w:val="31"/>
        </w:rPr>
        <w:t>联合资信</w:t>
      </w:r>
    </w:p>
    <w:p>
      <w:pPr>
        <w:spacing w:before="2" w:line="196" w:lineRule="auto"/>
        <w:ind w:left="7679"/>
        <w:rPr>
          <w:rFonts w:ascii="Arial" w:eastAsia="Arial" w:hAnsi="Arial" w:cs="Arial"/>
          <w:sz w:val="19"/>
          <w:szCs w:val="19"/>
        </w:rPr>
      </w:pPr>
      <w:r>
        <w:rPr>
          <w:rFonts w:ascii="Arial" w:eastAsia="Arial" w:hAnsi="Arial" w:cs="Arial"/>
          <w:b/>
          <w:bCs/>
          <w:spacing w:val="-2"/>
          <w:sz w:val="19"/>
          <w:szCs w:val="19"/>
        </w:rPr>
        <w:t>LianheRatings</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2" w:line="223" w:lineRule="auto"/>
        <w:ind w:left="2"/>
        <w:rPr>
          <w:rFonts w:ascii="KaiTi" w:eastAsia="KaiTi" w:hAnsi="KaiTi" w:cs="KaiTi"/>
          <w:sz w:val="19"/>
          <w:szCs w:val="19"/>
        </w:rPr>
      </w:pPr>
      <w:r>
        <w:rPr>
          <w:rFonts w:ascii="KaiTi" w:eastAsia="KaiTi" w:hAnsi="KaiTi" w:cs="KaiTi"/>
          <w:b/>
          <w:bCs/>
          <w:spacing w:val="16"/>
          <w:sz w:val="19"/>
          <w:szCs w:val="19"/>
        </w:rPr>
        <w:t>和上海等地区延长了融资租赁公司监督管理办法实施的过渡期。</w:t>
      </w:r>
    </w:p>
    <w:p>
      <w:pPr>
        <w:pStyle w:val="BodyText"/>
        <w:tabs>
          <w:tab w:val="left" w:pos="138"/>
        </w:tabs>
        <w:spacing w:before="86" w:line="318" w:lineRule="auto"/>
        <w:ind w:right="116" w:firstLine="439"/>
      </w:pPr>
      <w:r>
        <w:rPr>
          <w:spacing w:val="22"/>
        </w:rPr>
        <w:t>2022年2月，针对部分金融租赁公司偏离融物本源，忽视租赁物合规管理和风险缓释作用，存</w:t>
      </w:r>
      <w:r>
        <w:rPr>
          <w:spacing w:val="5"/>
        </w:rPr>
        <w:t xml:space="preserve"> </w:t>
      </w:r>
      <w:r>
        <w:rPr>
          <w:spacing w:val="20"/>
        </w:rPr>
        <w:t>在以融物为名开展“类信贷”业务、虚构租赁物、租赁物低值高买、涉嫌新增地方政府隐性债务等</w:t>
      </w:r>
      <w:r>
        <w:rPr>
          <w:spacing w:val="17"/>
        </w:rPr>
        <w:t xml:space="preserve"> </w:t>
      </w:r>
      <w:r>
        <w:rPr>
          <w:spacing w:val="23"/>
        </w:rPr>
        <w:t>问题，中国银保监会发布了《关于加强金融租赁公司融资</w:t>
      </w:r>
      <w:r>
        <w:rPr>
          <w:spacing w:val="22"/>
        </w:rPr>
        <w:t>租赁业务合规监管有关问题的通知》(银</w:t>
      </w:r>
      <w:r>
        <w:t xml:space="preserve"> </w:t>
      </w:r>
      <w:r>
        <w:rPr>
          <w:spacing w:val="29"/>
        </w:rPr>
        <w:t>保监办发(2022)12 号),明确了金融租赁公司立足主责主业，摒弃“类信贷”经营理念，突出</w:t>
      </w:r>
      <w:r>
        <w:rPr>
          <w:spacing w:val="13"/>
        </w:rPr>
        <w:t xml:space="preserve"> </w:t>
      </w:r>
      <w:r>
        <w:rPr>
          <w:spacing w:val="21"/>
        </w:rPr>
        <w:t>“融物”特色功能，与传统银行业务实现差异互补；同时强调加强金融租赁公司融资租赁业务合规</w:t>
      </w:r>
      <w:r>
        <w:rPr>
          <w:spacing w:val="13"/>
        </w:rPr>
        <w:t xml:space="preserve"> </w:t>
      </w:r>
      <w:r>
        <w:rPr>
          <w:spacing w:val="21"/>
        </w:rPr>
        <w:t>监管。2023年10 月，国家金融监督管理总局发布了《金融租赁公司规范经营和合规管理的通知》</w:t>
      </w:r>
      <w:r>
        <w:rPr>
          <w:spacing w:val="3"/>
        </w:rPr>
        <w:t xml:space="preserve"> </w:t>
      </w:r>
      <w:r>
        <w:tab/>
      </w:r>
      <w:r>
        <w:rPr>
          <w:spacing w:val="21"/>
        </w:rPr>
        <w:t>(金规〔2023〕8号),从健全公司治理和内控管理机制、规范融资租赁经营行为、有的放矢提升金</w:t>
      </w:r>
      <w:r>
        <w:rPr>
          <w:spacing w:val="1"/>
        </w:rPr>
        <w:t xml:space="preserve"> </w:t>
      </w:r>
      <w:r>
        <w:rPr>
          <w:spacing w:val="20"/>
        </w:rPr>
        <w:t>融监管有效性和建立健全监管协作机制等四个方面提出十三项监管要求，强调突出金融租赁公司特</w:t>
      </w:r>
      <w:r>
        <w:rPr>
          <w:spacing w:val="15"/>
        </w:rPr>
        <w:t xml:space="preserve"> </w:t>
      </w:r>
      <w:r>
        <w:rPr>
          <w:spacing w:val="19"/>
        </w:rPr>
        <w:t>色，回归以融资和融物相结合的经营模式，旨在促进融资租赁公司聚焦主责主业，服务实体经济；</w:t>
      </w:r>
    </w:p>
    <w:p>
      <w:pPr>
        <w:pStyle w:val="BodyText"/>
        <w:spacing w:before="115" w:line="294" w:lineRule="auto"/>
        <w:ind w:right="155"/>
      </w:pPr>
      <w:r>
        <w:rPr>
          <w:spacing w:val="20"/>
        </w:rPr>
        <w:t>此外，文件在规范融资租赁经营行为中强调了优化</w:t>
      </w:r>
      <w:r>
        <w:rPr>
          <w:spacing w:val="19"/>
        </w:rPr>
        <w:t>租赁业务结构，2024年新增业务中售后回租业务</w:t>
      </w:r>
      <w:r>
        <w:t xml:space="preserve"> </w:t>
      </w:r>
      <w:r>
        <w:rPr>
          <w:spacing w:val="25"/>
        </w:rPr>
        <w:t>占比相比2023</w:t>
      </w:r>
      <w:r>
        <w:rPr>
          <w:spacing w:val="-5"/>
        </w:rPr>
        <w:t xml:space="preserve"> </w:t>
      </w:r>
      <w:r>
        <w:rPr>
          <w:spacing w:val="25"/>
        </w:rPr>
        <w:t>年前三季度要下降15个百分点，力争在2026年实现年度新增直租业务占比不低于</w:t>
      </w:r>
      <w:r>
        <w:t xml:space="preserve"> </w:t>
      </w:r>
      <w:r>
        <w:rPr>
          <w:spacing w:val="21"/>
        </w:rPr>
        <w:t>50%的目标。</w:t>
      </w:r>
    </w:p>
    <w:p>
      <w:pPr>
        <w:pStyle w:val="BodyText"/>
        <w:spacing w:before="121" w:line="318" w:lineRule="auto"/>
        <w:ind w:right="135" w:firstLine="439"/>
        <w:jc w:val="both"/>
      </w:pPr>
      <w:r>
        <w:rPr>
          <w:spacing w:val="20"/>
        </w:rPr>
        <w:t>相较于金融租赁公司，融资租赁公司数量众多，且已经历了十余年扩张式发展，对其监管的难</w:t>
      </w:r>
      <w:r>
        <w:rPr>
          <w:spacing w:val="17"/>
        </w:rPr>
        <w:t xml:space="preserve"> </w:t>
      </w:r>
      <w:r>
        <w:rPr>
          <w:spacing w:val="22"/>
        </w:rPr>
        <w:t>度较大，融资租赁公司的监管职责从商务部划转至银保监会后，原银保监会和</w:t>
      </w:r>
      <w:r>
        <w:rPr>
          <w:spacing w:val="21"/>
        </w:rPr>
        <w:t>央行于2020年5月和</w:t>
      </w:r>
      <w:r>
        <w:t xml:space="preserve"> </w:t>
      </w:r>
      <w:r>
        <w:rPr>
          <w:spacing w:val="17"/>
        </w:rPr>
        <w:t>2021 年 1</w:t>
      </w:r>
      <w:r>
        <w:rPr>
          <w:spacing w:val="-11"/>
        </w:rPr>
        <w:t xml:space="preserve"> </w:t>
      </w:r>
      <w:r>
        <w:rPr>
          <w:spacing w:val="17"/>
        </w:rPr>
        <w:t>2 月先后发布了《融资租赁公司监督管理暂行办法》和《地方金融监督管理条例(</w:t>
      </w:r>
      <w:r>
        <w:rPr>
          <w:spacing w:val="16"/>
        </w:rPr>
        <w:t>草案征</w:t>
      </w:r>
      <w:r>
        <w:t xml:space="preserve"> </w:t>
      </w:r>
      <w:r>
        <w:rPr>
          <w:spacing w:val="17"/>
        </w:rPr>
        <w:t>求意见稿)》。2022年已有北京市、陕西省、吉林省、内蒙古自治区、湖北省、广东省和安徽省地方</w:t>
      </w:r>
      <w:r>
        <w:t xml:space="preserve"> </w:t>
      </w:r>
      <w:r>
        <w:rPr>
          <w:spacing w:val="20"/>
        </w:rPr>
        <w:t>金融管理局下发了相关金融监管条例和办法。2</w:t>
      </w:r>
      <w:r>
        <w:rPr>
          <w:spacing w:val="19"/>
        </w:rPr>
        <w:t>023年，新增贵州省、北京市、山西省和陕西省等地</w:t>
      </w:r>
      <w:r>
        <w:t xml:space="preserve"> </w:t>
      </w:r>
      <w:r>
        <w:rPr>
          <w:spacing w:val="21"/>
        </w:rPr>
        <w:t>方金融监督管理局发布融资租赁公司监督管</w:t>
      </w:r>
      <w:r>
        <w:rPr>
          <w:spacing w:val="20"/>
        </w:rPr>
        <w:t>理办法。各地虽陆续出台了配套监管文件，但国家金融</w:t>
      </w:r>
      <w:r>
        <w:t xml:space="preserve"> </w:t>
      </w:r>
      <w:r>
        <w:rPr>
          <w:spacing w:val="20"/>
        </w:rPr>
        <w:t>监督管理局仍未下发针对融资租赁公司规范经营和合规管理办法的监管文件，基于融资租赁行业整</w:t>
      </w:r>
      <w:r>
        <w:rPr>
          <w:spacing w:val="18"/>
        </w:rPr>
        <w:t xml:space="preserve"> </w:t>
      </w:r>
      <w:r>
        <w:rPr>
          <w:spacing w:val="20"/>
        </w:rPr>
        <w:t>体监管趋严的态势以及明确要求融资租赁行业进一步回归本源，未来，融资租赁公司的监管要求可</w:t>
      </w:r>
      <w:r>
        <w:rPr>
          <w:spacing w:val="16"/>
        </w:rPr>
        <w:t xml:space="preserve"> </w:t>
      </w:r>
      <w:r>
        <w:rPr>
          <w:spacing w:val="18"/>
        </w:rPr>
        <w:t>能会参考金融租赁公司监管要求，届时融资租赁公司的转型压力将加大。</w:t>
      </w:r>
    </w:p>
    <w:p>
      <w:pPr>
        <w:pStyle w:val="BodyText"/>
        <w:spacing w:before="114" w:line="303" w:lineRule="auto"/>
        <w:ind w:right="124" w:firstLine="465"/>
        <w:jc w:val="both"/>
      </w:pPr>
      <w:r>
        <w:rPr>
          <w:spacing w:val="20"/>
        </w:rPr>
        <w:t>《融资租赁公司监督管理暂行办法》中设置的三年过渡期已到，但仍有部分融资租赁公司因业</w:t>
      </w:r>
      <w:r>
        <w:rPr>
          <w:spacing w:val="4"/>
        </w:rPr>
        <w:t xml:space="preserve"> </w:t>
      </w:r>
      <w:r>
        <w:rPr>
          <w:spacing w:val="21"/>
        </w:rPr>
        <w:t>务定位等原因无法满足监管指标。融资租赁</w:t>
      </w:r>
      <w:r>
        <w:rPr>
          <w:spacing w:val="20"/>
        </w:rPr>
        <w:t>公司所在地较多的天津、江苏和上海的地方金融监督管</w:t>
      </w:r>
      <w:r>
        <w:t xml:space="preserve"> </w:t>
      </w:r>
      <w:r>
        <w:rPr>
          <w:spacing w:val="28"/>
        </w:rPr>
        <w:t>理局发文延迟融资租赁公司监督管理办法实施有效期，其中天津市有效期延长至2024年12月31</w:t>
      </w:r>
      <w:r>
        <w:rPr>
          <w:spacing w:val="7"/>
        </w:rPr>
        <w:t xml:space="preserve"> </w:t>
      </w:r>
      <w:r>
        <w:rPr>
          <w:spacing w:val="29"/>
        </w:rPr>
        <w:t>日，江苏省有效期延长至2025年3月1日，上海市有效期延长至2</w:t>
      </w:r>
      <w:r>
        <w:rPr>
          <w:spacing w:val="28"/>
        </w:rPr>
        <w:t>025年9月30日。</w:t>
      </w:r>
    </w:p>
    <w:p>
      <w:pPr>
        <w:spacing w:line="374" w:lineRule="auto"/>
        <w:rPr>
          <w:rFonts w:ascii="Arial"/>
          <w:sz w:val="21"/>
        </w:rPr>
      </w:pPr>
    </w:p>
    <w:p>
      <w:pPr>
        <w:spacing w:before="85" w:line="221" w:lineRule="auto"/>
        <w:ind w:left="3"/>
        <w:outlineLvl w:val="0"/>
        <w:rPr>
          <w:rFonts w:ascii="SimHei" w:eastAsia="SimHei" w:hAnsi="SimHei" w:cs="SimHei"/>
          <w:sz w:val="26"/>
          <w:szCs w:val="26"/>
        </w:rPr>
      </w:pPr>
      <w:r>
        <w:rPr>
          <w:rFonts w:ascii="SimHei" w:eastAsia="SimHei" w:hAnsi="SimHei" w:cs="SimHei"/>
          <w:b/>
          <w:bCs/>
          <w:spacing w:val="15"/>
          <w:sz w:val="26"/>
          <w:szCs w:val="26"/>
        </w:rPr>
        <w:t>三、2023年发债企业信用状况分析</w:t>
      </w:r>
    </w:p>
    <w:p>
      <w:pPr>
        <w:spacing w:line="303" w:lineRule="auto"/>
        <w:rPr>
          <w:rFonts w:ascii="Arial"/>
          <w:sz w:val="21"/>
        </w:rPr>
      </w:pPr>
    </w:p>
    <w:p>
      <w:pPr>
        <w:spacing w:before="63" w:line="221" w:lineRule="auto"/>
        <w:ind w:left="592"/>
        <w:rPr>
          <w:rFonts w:ascii="SimHei" w:eastAsia="SimHei" w:hAnsi="SimHei" w:cs="SimHei"/>
          <w:sz w:val="19"/>
          <w:szCs w:val="19"/>
        </w:rPr>
      </w:pPr>
      <w:r>
        <w:rPr>
          <w:rFonts w:ascii="SimHei" w:eastAsia="SimHei" w:hAnsi="SimHei" w:cs="SimHei"/>
          <w:b/>
          <w:bCs/>
          <w:spacing w:val="-13"/>
          <w:sz w:val="19"/>
          <w:szCs w:val="19"/>
        </w:rPr>
        <w:t>(</w:t>
      </w:r>
      <w:r>
        <w:rPr>
          <w:rFonts w:ascii="SimHei" w:eastAsia="SimHei" w:hAnsi="SimHei" w:cs="SimHei"/>
          <w:spacing w:val="-18"/>
          <w:sz w:val="19"/>
          <w:szCs w:val="19"/>
        </w:rPr>
        <w:t xml:space="preserve"> </w:t>
      </w:r>
      <w:r>
        <w:rPr>
          <w:rFonts w:ascii="SimHei" w:eastAsia="SimHei" w:hAnsi="SimHei" w:cs="SimHei"/>
          <w:b/>
          <w:bCs/>
          <w:spacing w:val="-13"/>
          <w:sz w:val="19"/>
          <w:szCs w:val="19"/>
        </w:rPr>
        <w:t>一</w:t>
      </w:r>
      <w:r>
        <w:rPr>
          <w:rFonts w:ascii="SimHei" w:eastAsia="SimHei" w:hAnsi="SimHei" w:cs="SimHei"/>
          <w:spacing w:val="-30"/>
          <w:sz w:val="19"/>
          <w:szCs w:val="19"/>
        </w:rPr>
        <w:t xml:space="preserve"> </w:t>
      </w:r>
      <w:r>
        <w:rPr>
          <w:rFonts w:ascii="SimHei" w:eastAsia="SimHei" w:hAnsi="SimHei" w:cs="SimHei"/>
          <w:b/>
          <w:bCs/>
          <w:spacing w:val="-13"/>
          <w:sz w:val="19"/>
          <w:szCs w:val="19"/>
        </w:rPr>
        <w:t>)</w:t>
      </w:r>
      <w:r>
        <w:rPr>
          <w:rFonts w:ascii="SimHei" w:eastAsia="SimHei" w:hAnsi="SimHei" w:cs="SimHei"/>
          <w:spacing w:val="-27"/>
          <w:sz w:val="19"/>
          <w:szCs w:val="19"/>
        </w:rPr>
        <w:t xml:space="preserve"> </w:t>
      </w:r>
      <w:r>
        <w:rPr>
          <w:rFonts w:ascii="SimHei" w:eastAsia="SimHei" w:hAnsi="SimHei" w:cs="SimHei"/>
          <w:b/>
          <w:bCs/>
          <w:spacing w:val="-13"/>
          <w:sz w:val="19"/>
          <w:szCs w:val="19"/>
        </w:rPr>
        <w:t>债</w:t>
      </w:r>
      <w:r>
        <w:rPr>
          <w:rFonts w:ascii="SimHei" w:eastAsia="SimHei" w:hAnsi="SimHei" w:cs="SimHei"/>
          <w:spacing w:val="-23"/>
          <w:sz w:val="19"/>
          <w:szCs w:val="19"/>
        </w:rPr>
        <w:t xml:space="preserve"> </w:t>
      </w:r>
      <w:r>
        <w:rPr>
          <w:rFonts w:ascii="SimHei" w:eastAsia="SimHei" w:hAnsi="SimHei" w:cs="SimHei"/>
          <w:b/>
          <w:bCs/>
          <w:spacing w:val="-13"/>
          <w:sz w:val="19"/>
          <w:szCs w:val="19"/>
        </w:rPr>
        <w:t>券</w:t>
      </w:r>
      <w:r>
        <w:rPr>
          <w:rFonts w:ascii="SimHei" w:eastAsia="SimHei" w:hAnsi="SimHei" w:cs="SimHei"/>
          <w:spacing w:val="-26"/>
          <w:sz w:val="19"/>
          <w:szCs w:val="19"/>
        </w:rPr>
        <w:t xml:space="preserve"> </w:t>
      </w:r>
      <w:r>
        <w:rPr>
          <w:rFonts w:ascii="SimHei" w:eastAsia="SimHei" w:hAnsi="SimHei" w:cs="SimHei"/>
          <w:b/>
          <w:bCs/>
          <w:spacing w:val="-13"/>
          <w:sz w:val="19"/>
          <w:szCs w:val="19"/>
        </w:rPr>
        <w:t>发</w:t>
      </w:r>
      <w:r>
        <w:rPr>
          <w:rFonts w:ascii="SimHei" w:eastAsia="SimHei" w:hAnsi="SimHei" w:cs="SimHei"/>
          <w:spacing w:val="-27"/>
          <w:sz w:val="19"/>
          <w:szCs w:val="19"/>
        </w:rPr>
        <w:t xml:space="preserve"> </w:t>
      </w:r>
      <w:r>
        <w:rPr>
          <w:rFonts w:ascii="SimHei" w:eastAsia="SimHei" w:hAnsi="SimHei" w:cs="SimHei"/>
          <w:b/>
          <w:bCs/>
          <w:spacing w:val="-13"/>
          <w:sz w:val="19"/>
          <w:szCs w:val="19"/>
        </w:rPr>
        <w:t>行</w:t>
      </w:r>
      <w:r>
        <w:rPr>
          <w:rFonts w:ascii="SimHei" w:eastAsia="SimHei" w:hAnsi="SimHei" w:cs="SimHei"/>
          <w:spacing w:val="-27"/>
          <w:sz w:val="19"/>
          <w:szCs w:val="19"/>
        </w:rPr>
        <w:t xml:space="preserve"> </w:t>
      </w:r>
      <w:r>
        <w:rPr>
          <w:rFonts w:ascii="SimHei" w:eastAsia="SimHei" w:hAnsi="SimHei" w:cs="SimHei"/>
          <w:b/>
          <w:bCs/>
          <w:spacing w:val="-13"/>
          <w:sz w:val="19"/>
          <w:szCs w:val="19"/>
        </w:rPr>
        <w:t>及</w:t>
      </w:r>
      <w:r>
        <w:rPr>
          <w:rFonts w:ascii="SimHei" w:eastAsia="SimHei" w:hAnsi="SimHei" w:cs="SimHei"/>
          <w:spacing w:val="-25"/>
          <w:sz w:val="19"/>
          <w:szCs w:val="19"/>
        </w:rPr>
        <w:t xml:space="preserve"> </w:t>
      </w:r>
      <w:r>
        <w:rPr>
          <w:rFonts w:ascii="SimHei" w:eastAsia="SimHei" w:hAnsi="SimHei" w:cs="SimHei"/>
          <w:b/>
          <w:bCs/>
          <w:spacing w:val="-13"/>
          <w:sz w:val="19"/>
          <w:szCs w:val="19"/>
        </w:rPr>
        <w:t>到</w:t>
      </w:r>
      <w:r>
        <w:rPr>
          <w:rFonts w:ascii="SimHei" w:eastAsia="SimHei" w:hAnsi="SimHei" w:cs="SimHei"/>
          <w:spacing w:val="-28"/>
          <w:sz w:val="19"/>
          <w:szCs w:val="19"/>
        </w:rPr>
        <w:t xml:space="preserve"> </w:t>
      </w:r>
      <w:r>
        <w:rPr>
          <w:rFonts w:ascii="SimHei" w:eastAsia="SimHei" w:hAnsi="SimHei" w:cs="SimHei"/>
          <w:b/>
          <w:bCs/>
          <w:spacing w:val="-13"/>
          <w:sz w:val="19"/>
          <w:szCs w:val="19"/>
        </w:rPr>
        <w:t>期</w:t>
      </w:r>
      <w:r>
        <w:rPr>
          <w:rFonts w:ascii="SimHei" w:eastAsia="SimHei" w:hAnsi="SimHei" w:cs="SimHei"/>
          <w:spacing w:val="-27"/>
          <w:sz w:val="19"/>
          <w:szCs w:val="19"/>
        </w:rPr>
        <w:t xml:space="preserve"> </w:t>
      </w:r>
      <w:r>
        <w:rPr>
          <w:rFonts w:ascii="SimHei" w:eastAsia="SimHei" w:hAnsi="SimHei" w:cs="SimHei"/>
          <w:b/>
          <w:bCs/>
          <w:spacing w:val="-13"/>
          <w:sz w:val="19"/>
          <w:szCs w:val="19"/>
        </w:rPr>
        <w:t>情</w:t>
      </w:r>
      <w:r>
        <w:rPr>
          <w:rFonts w:ascii="SimHei" w:eastAsia="SimHei" w:hAnsi="SimHei" w:cs="SimHei"/>
          <w:spacing w:val="-26"/>
          <w:sz w:val="19"/>
          <w:szCs w:val="19"/>
        </w:rPr>
        <w:t xml:space="preserve"> </w:t>
      </w:r>
      <w:r>
        <w:rPr>
          <w:rFonts w:ascii="SimHei" w:eastAsia="SimHei" w:hAnsi="SimHei" w:cs="SimHei"/>
          <w:b/>
          <w:bCs/>
          <w:spacing w:val="-13"/>
          <w:sz w:val="19"/>
          <w:szCs w:val="19"/>
        </w:rPr>
        <w:t>况</w:t>
      </w:r>
    </w:p>
    <w:p>
      <w:pPr>
        <w:spacing w:before="267" w:line="300" w:lineRule="auto"/>
        <w:ind w:left="2" w:right="150" w:firstLine="439"/>
        <w:rPr>
          <w:rFonts w:ascii="KaiTi" w:eastAsia="KaiTi" w:hAnsi="KaiTi" w:cs="KaiTi"/>
          <w:sz w:val="19"/>
          <w:szCs w:val="19"/>
        </w:rPr>
      </w:pPr>
      <w:r>
        <w:rPr>
          <w:rFonts w:ascii="KaiTi" w:eastAsia="KaiTi" w:hAnsi="KaiTi" w:cs="KaiTi"/>
          <w:b/>
          <w:bCs/>
          <w:spacing w:val="20"/>
          <w:sz w:val="19"/>
          <w:szCs w:val="19"/>
        </w:rPr>
        <w:t>2023年1-</w:t>
      </w:r>
      <w:r>
        <w:rPr>
          <w:rFonts w:ascii="KaiTi" w:eastAsia="KaiTi" w:hAnsi="KaiTi" w:cs="KaiTi"/>
          <w:spacing w:val="-54"/>
          <w:sz w:val="19"/>
          <w:szCs w:val="19"/>
        </w:rPr>
        <w:t xml:space="preserve"> </w:t>
      </w:r>
      <w:r>
        <w:rPr>
          <w:rFonts w:ascii="KaiTi" w:eastAsia="KaiTi" w:hAnsi="KaiTi" w:cs="KaiTi"/>
          <w:b/>
          <w:bCs/>
          <w:spacing w:val="20"/>
          <w:sz w:val="19"/>
          <w:szCs w:val="19"/>
        </w:rPr>
        <w:t>11月，融资租赁公司债券</w:t>
      </w:r>
      <w:r>
        <w:rPr>
          <w:rFonts w:ascii="KaiTi" w:eastAsia="KaiTi" w:hAnsi="KaiTi" w:cs="KaiTi"/>
          <w:b/>
          <w:bCs/>
          <w:spacing w:val="19"/>
          <w:sz w:val="19"/>
          <w:szCs w:val="19"/>
        </w:rPr>
        <w:t>发行规模同比微幅增长，其中信用债发行规模同比增长，</w:t>
      </w:r>
      <w:r>
        <w:rPr>
          <w:rFonts w:ascii="KaiTi" w:eastAsia="KaiTi" w:hAnsi="KaiTi" w:cs="KaiTi"/>
          <w:spacing w:val="19"/>
          <w:sz w:val="19"/>
          <w:szCs w:val="19"/>
        </w:rPr>
        <w:t xml:space="preserve"> </w:t>
      </w:r>
      <w:r>
        <w:rPr>
          <w:rFonts w:ascii="KaiTi" w:eastAsia="KaiTi" w:hAnsi="KaiTi" w:cs="KaiTi"/>
          <w:b/>
          <w:bCs/>
          <w:spacing w:val="19"/>
          <w:sz w:val="19"/>
          <w:szCs w:val="19"/>
        </w:rPr>
        <w:t>而资产支持证券发行规模同比下降；信用债以公</w:t>
      </w:r>
      <w:r>
        <w:rPr>
          <w:rFonts w:ascii="KaiTi" w:eastAsia="KaiTi" w:hAnsi="KaiTi" w:cs="KaiTi"/>
          <w:b/>
          <w:bCs/>
          <w:spacing w:val="18"/>
          <w:sz w:val="19"/>
          <w:szCs w:val="19"/>
        </w:rPr>
        <w:t>募产品为主、发行期限整体偏短，资产支持证券以</w:t>
      </w:r>
      <w:r>
        <w:rPr>
          <w:rFonts w:ascii="KaiTi" w:eastAsia="KaiTi" w:hAnsi="KaiTi" w:cs="KaiTi"/>
          <w:sz w:val="19"/>
          <w:szCs w:val="19"/>
        </w:rPr>
        <w:t xml:space="preserve"> </w:t>
      </w:r>
      <w:r>
        <w:rPr>
          <w:rFonts w:ascii="KaiTi" w:eastAsia="KaiTi" w:hAnsi="KaiTi" w:cs="KaiTi"/>
          <w:b/>
          <w:bCs/>
          <w:spacing w:val="16"/>
          <w:sz w:val="19"/>
          <w:szCs w:val="19"/>
        </w:rPr>
        <w:t>交易所市场发行的</w:t>
      </w:r>
      <w:r>
        <w:rPr>
          <w:rFonts w:ascii="Times New Roman" w:eastAsia="Times New Roman" w:hAnsi="Times New Roman" w:cs="Times New Roman"/>
          <w:b/>
          <w:bCs/>
          <w:sz w:val="19"/>
          <w:szCs w:val="19"/>
        </w:rPr>
        <w:t>ABS</w:t>
      </w:r>
      <w:r>
        <w:rPr>
          <w:rFonts w:ascii="Times New Roman" w:eastAsia="Times New Roman" w:hAnsi="Times New Roman" w:cs="Times New Roman"/>
          <w:b/>
          <w:bCs/>
          <w:spacing w:val="16"/>
          <w:sz w:val="19"/>
          <w:szCs w:val="19"/>
        </w:rPr>
        <w:t xml:space="preserve">  </w:t>
      </w:r>
      <w:r>
        <w:rPr>
          <w:rFonts w:ascii="KaiTi" w:eastAsia="KaiTi" w:hAnsi="KaiTi" w:cs="KaiTi"/>
          <w:b/>
          <w:bCs/>
          <w:spacing w:val="16"/>
          <w:sz w:val="19"/>
          <w:szCs w:val="19"/>
        </w:rPr>
        <w:t>为主，整体融资情况稳定。</w:t>
      </w:r>
    </w:p>
    <w:p>
      <w:pPr>
        <w:pStyle w:val="BodyText"/>
        <w:spacing w:before="124" w:line="308" w:lineRule="auto"/>
        <w:ind w:firstLine="439"/>
        <w:sectPr>
          <w:pgSz w:w="11910" w:h="16840"/>
          <w:pgMar w:top="880" w:right="1315" w:bottom="0" w:left="1390" w:header="0" w:footer="0" w:gutter="0"/>
          <w:pgNumType w:start="3"/>
          <w:cols w:space="708"/>
        </w:sectPr>
      </w:pPr>
      <w:r>
        <w:rPr>
          <w:spacing w:val="23"/>
        </w:rPr>
        <w:t>2023年1-</w:t>
      </w:r>
      <w:r>
        <w:rPr>
          <w:spacing w:val="-35"/>
        </w:rPr>
        <w:t xml:space="preserve"> </w:t>
      </w:r>
      <w:r>
        <w:rPr>
          <w:spacing w:val="23"/>
        </w:rPr>
        <w:t>11月，共有130家融资租赁公司发行了债券，发行规模6614亿元(同比+2</w:t>
      </w:r>
      <w:r>
        <w:rPr>
          <w:spacing w:val="-55"/>
        </w:rPr>
        <w:t xml:space="preserve"> </w:t>
      </w:r>
      <w:r>
        <w:rPr>
          <w:spacing w:val="23"/>
        </w:rPr>
        <w:t>.</w:t>
      </w:r>
      <w:r>
        <w:rPr>
          <w:spacing w:val="-57"/>
        </w:rPr>
        <w:t xml:space="preserve"> </w:t>
      </w:r>
      <w:r>
        <w:rPr>
          <w:spacing w:val="23"/>
        </w:rPr>
        <w:t>36%)。</w:t>
      </w:r>
      <w:r>
        <w:t xml:space="preserve">  </w:t>
      </w:r>
      <w:r>
        <w:rPr>
          <w:spacing w:val="26"/>
        </w:rPr>
        <w:t>其中，共有55家融资租赁公司发行了信用债，发行规模3080亿元(同比+13</w:t>
      </w:r>
      <w:r>
        <w:rPr>
          <w:spacing w:val="-41"/>
        </w:rPr>
        <w:t xml:space="preserve"> </w:t>
      </w:r>
      <w:r>
        <w:rPr>
          <w:spacing w:val="26"/>
        </w:rPr>
        <w:t>.07%);共有109家融</w:t>
      </w:r>
      <w:r>
        <w:t xml:space="preserve">  </w:t>
      </w:r>
      <w:r>
        <w:rPr>
          <w:spacing w:val="23"/>
        </w:rPr>
        <w:t>资租赁公司发行了资产支持证券，发行规模3534亿元(同比-5.45%),整体保持稳定。信用债方面，</w:t>
      </w:r>
      <w:r>
        <w:rPr>
          <w:spacing w:val="1"/>
        </w:rPr>
        <w:t xml:space="preserve"> </w:t>
      </w:r>
      <w:r>
        <w:rPr>
          <w:spacing w:val="25"/>
        </w:rPr>
        <w:t>以发行市场看，仍以银行间市场为主(发行规模占比75</w:t>
      </w:r>
      <w:r>
        <w:rPr>
          <w:spacing w:val="-56"/>
        </w:rPr>
        <w:t xml:space="preserve"> </w:t>
      </w:r>
      <w:r>
        <w:rPr>
          <w:spacing w:val="24"/>
        </w:rPr>
        <w:t>.44%);以债券品种看，以公募方式发行的</w:t>
      </w:r>
      <w:r>
        <w:t xml:space="preserve">  </w:t>
      </w:r>
      <w:r>
        <w:rPr>
          <w:spacing w:val="28"/>
        </w:rPr>
        <w:t>短期融资券(发行规模占比58</w:t>
      </w:r>
      <w:r>
        <w:rPr>
          <w:spacing w:val="-37"/>
        </w:rPr>
        <w:t xml:space="preserve"> </w:t>
      </w:r>
      <w:r>
        <w:rPr>
          <w:spacing w:val="28"/>
        </w:rPr>
        <w:t>.</w:t>
      </w:r>
      <w:r>
        <w:rPr>
          <w:spacing w:val="-49"/>
        </w:rPr>
        <w:t xml:space="preserve"> </w:t>
      </w:r>
      <w:r>
        <w:rPr>
          <w:spacing w:val="28"/>
        </w:rPr>
        <w:t>90%)、</w:t>
      </w:r>
      <w:r>
        <w:rPr>
          <w:spacing w:val="76"/>
        </w:rPr>
        <w:t xml:space="preserve"> </w:t>
      </w:r>
      <w:r>
        <w:rPr>
          <w:spacing w:val="28"/>
        </w:rPr>
        <w:t>一</w:t>
      </w:r>
      <w:r>
        <w:rPr>
          <w:spacing w:val="-51"/>
        </w:rPr>
        <w:t xml:space="preserve"> </w:t>
      </w:r>
      <w:r>
        <w:rPr>
          <w:spacing w:val="28"/>
        </w:rPr>
        <w:t>般公司债(发行规模占比22</w:t>
      </w:r>
      <w:r>
        <w:rPr>
          <w:spacing w:val="-44"/>
        </w:rPr>
        <w:t xml:space="preserve"> </w:t>
      </w:r>
      <w:r>
        <w:rPr>
          <w:spacing w:val="28"/>
        </w:rPr>
        <w:t>.</w:t>
      </w:r>
      <w:r>
        <w:rPr>
          <w:spacing w:val="-46"/>
        </w:rPr>
        <w:t xml:space="preserve"> </w:t>
      </w:r>
      <w:r>
        <w:rPr>
          <w:spacing w:val="28"/>
        </w:rPr>
        <w:t>38%)和中期票据(占比</w:t>
      </w:r>
    </w:p>
    <w:p>
      <w:pPr>
        <w:spacing w:line="259" w:lineRule="auto"/>
        <w:rPr>
          <w:rFonts w:ascii="Arial"/>
          <w:sz w:val="21"/>
        </w:rPr>
      </w:pPr>
    </w:p>
    <w:p>
      <w:pPr>
        <w:pStyle w:val="BodyText"/>
        <w:spacing w:before="62" w:line="212" w:lineRule="auto"/>
        <w:rPr>
          <w:sz w:val="14"/>
          <w:szCs w:val="14"/>
        </w:rPr>
      </w:pPr>
      <w:r>
        <w:rPr>
          <w:rFonts w:ascii="Times New Roman" w:eastAsia="Times New Roman" w:hAnsi="Times New Roman" w:cs="Times New Roman"/>
          <w:spacing w:val="-6"/>
        </w:rPr>
        <w:t xml:space="preserve">www.Ihratings.com  </w:t>
      </w:r>
      <w:r>
        <w:rPr>
          <w:spacing w:val="-6"/>
        </w:rPr>
        <w:t>研究报告</w:t>
      </w:r>
      <w:r>
        <w:t xml:space="preserve">                                                                      </w:t>
      </w:r>
      <w:r>
        <w:rPr>
          <w:spacing w:val="-6"/>
          <w:position w:val="-1"/>
          <w:sz w:val="14"/>
          <w:szCs w:val="14"/>
        </w:rPr>
        <w:t>3</w:t>
      </w:r>
    </w:p>
    <w:p>
      <w:pPr>
        <w:spacing w:line="212" w:lineRule="auto"/>
        <w:rPr>
          <w:sz w:val="14"/>
          <w:szCs w:val="14"/>
        </w:rPr>
        <w:sectPr>
          <w:type w:val="nextPage"/>
          <w:pgSz w:w="11910" w:h="16840"/>
          <w:pgMar w:top="880" w:right="1315" w:bottom="0" w:left="1390" w:header="0" w:footer="0" w:gutter="0"/>
          <w:pgNumType w:start="4"/>
          <w:cols w:space="708"/>
          <w:titlePg w:val="0"/>
        </w:sectPr>
      </w:pPr>
    </w:p>
    <w:p>
      <w:pPr>
        <w:spacing w:before="67" w:line="225" w:lineRule="auto"/>
        <w:ind w:left="7714"/>
        <w:rPr>
          <w:rFonts w:ascii="YouYuan" w:eastAsia="YouYuan" w:hAnsi="YouYuan" w:cs="YouYuan"/>
          <w:sz w:val="31"/>
          <w:szCs w:val="31"/>
        </w:rPr>
      </w:pPr>
      <w:r>
        <w:drawing>
          <wp:anchor distT="0" distB="0" distL="0" distR="0" simplePos="0" relativeHeight="251663360" behindDoc="0" locked="0" layoutInCell="0" allowOverlap="1">
            <wp:simplePos x="0" y="0"/>
            <wp:positionH relativeFrom="page">
              <wp:posOffset>895365</wp:posOffset>
            </wp:positionH>
            <wp:positionV relativeFrom="page">
              <wp:posOffset>9791712</wp:posOffset>
            </wp:positionV>
            <wp:extent cx="5765765"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
                    <a:stretch>
                      <a:fillRect/>
                    </a:stretch>
                  </pic:blipFill>
                  <pic:spPr>
                    <a:xfrm>
                      <a:off x="0" y="0"/>
                      <a:ext cx="5765765" cy="6350"/>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5295885</wp:posOffset>
            </wp:positionH>
            <wp:positionV relativeFrom="page">
              <wp:posOffset>558837</wp:posOffset>
            </wp:positionV>
            <wp:extent cx="419133" cy="419074"/>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5"/>
                    <a:stretch>
                      <a:fillRect/>
                    </a:stretch>
                  </pic:blipFill>
                  <pic:spPr>
                    <a:xfrm>
                      <a:off x="0" y="0"/>
                      <a:ext cx="419133" cy="419074"/>
                    </a:xfrm>
                    <a:prstGeom prst="rect">
                      <a:avLst/>
                    </a:prstGeom>
                  </pic:spPr>
                </pic:pic>
              </a:graphicData>
            </a:graphic>
          </wp:anchor>
        </w:drawing>
      </w:r>
      <w:r>
        <w:rPr>
          <w:rFonts w:ascii="YouYuan" w:eastAsia="YouYuan" w:hAnsi="YouYuan" w:cs="YouYuan"/>
          <w:b/>
          <w:bCs/>
          <w:spacing w:val="21"/>
          <w:sz w:val="31"/>
          <w:szCs w:val="31"/>
        </w:rPr>
        <w:t>联合资信</w:t>
      </w:r>
    </w:p>
    <w:p>
      <w:pPr>
        <w:spacing w:before="12" w:line="196" w:lineRule="auto"/>
        <w:ind w:left="7679"/>
        <w:rPr>
          <w:rFonts w:ascii="Arial" w:eastAsia="Arial" w:hAnsi="Arial" w:cs="Arial"/>
          <w:sz w:val="19"/>
          <w:szCs w:val="19"/>
        </w:rPr>
      </w:pPr>
      <w:r>
        <w:rPr>
          <w:rFonts w:ascii="Arial" w:eastAsia="Arial" w:hAnsi="Arial" w:cs="Arial"/>
          <w:b/>
          <w:bCs/>
          <w:spacing w:val="-2"/>
          <w:sz w:val="19"/>
          <w:szCs w:val="19"/>
        </w:rPr>
        <w:t>LianheRatings</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61" w:line="313" w:lineRule="auto"/>
      </w:pPr>
      <w:r>
        <w:rPr>
          <w:spacing w:val="26"/>
        </w:rPr>
        <w:t>14</w:t>
      </w:r>
      <w:r>
        <w:rPr>
          <w:spacing w:val="-54"/>
        </w:rPr>
        <w:t xml:space="preserve"> </w:t>
      </w:r>
      <w:r>
        <w:rPr>
          <w:spacing w:val="26"/>
        </w:rPr>
        <w:t>.</w:t>
      </w:r>
      <w:r>
        <w:rPr>
          <w:spacing w:val="-45"/>
        </w:rPr>
        <w:t xml:space="preserve"> </w:t>
      </w:r>
      <w:r>
        <w:rPr>
          <w:spacing w:val="26"/>
        </w:rPr>
        <w:t>18%)为主，以私募方式发行的定向工具和私募债占比很</w:t>
      </w:r>
      <w:r>
        <w:rPr>
          <w:spacing w:val="25"/>
        </w:rPr>
        <w:t>低；发行期限方面，1年以内(含1年)</w:t>
      </w:r>
      <w:r>
        <w:t xml:space="preserve"> </w:t>
      </w:r>
      <w:r>
        <w:rPr>
          <w:spacing w:val="26"/>
        </w:rPr>
        <w:t>的占比61</w:t>
      </w:r>
      <w:r>
        <w:rPr>
          <w:spacing w:val="-49"/>
        </w:rPr>
        <w:t xml:space="preserve"> </w:t>
      </w:r>
      <w:r>
        <w:rPr>
          <w:spacing w:val="26"/>
        </w:rPr>
        <w:t>.</w:t>
      </w:r>
      <w:r>
        <w:rPr>
          <w:spacing w:val="-51"/>
        </w:rPr>
        <w:t xml:space="preserve"> </w:t>
      </w:r>
      <w:r>
        <w:rPr>
          <w:spacing w:val="26"/>
        </w:rPr>
        <w:t>37%、1~2年(含2年)的占比17</w:t>
      </w:r>
      <w:r>
        <w:rPr>
          <w:spacing w:val="-50"/>
        </w:rPr>
        <w:t xml:space="preserve"> </w:t>
      </w:r>
      <w:r>
        <w:rPr>
          <w:spacing w:val="26"/>
        </w:rPr>
        <w:t>.</w:t>
      </w:r>
      <w:r>
        <w:rPr>
          <w:spacing w:val="-54"/>
        </w:rPr>
        <w:t xml:space="preserve"> </w:t>
      </w:r>
      <w:r>
        <w:rPr>
          <w:spacing w:val="26"/>
        </w:rPr>
        <w:t>91%、3年的占比14</w:t>
      </w:r>
      <w:r>
        <w:rPr>
          <w:spacing w:val="-50"/>
        </w:rPr>
        <w:t xml:space="preserve"> </w:t>
      </w:r>
      <w:r>
        <w:rPr>
          <w:spacing w:val="26"/>
        </w:rPr>
        <w:t>.</w:t>
      </w:r>
      <w:r>
        <w:rPr>
          <w:spacing w:val="-54"/>
        </w:rPr>
        <w:t xml:space="preserve"> </w:t>
      </w:r>
      <w:r>
        <w:rPr>
          <w:spacing w:val="26"/>
        </w:rPr>
        <w:t>94%、</w:t>
      </w:r>
      <w:r>
        <w:rPr>
          <w:spacing w:val="25"/>
        </w:rPr>
        <w:t xml:space="preserve">发行期限3年以上的占比  </w:t>
      </w:r>
      <w:r>
        <w:rPr>
          <w:spacing w:val="24"/>
        </w:rPr>
        <w:t>5</w:t>
      </w:r>
      <w:r>
        <w:rPr>
          <w:spacing w:val="-53"/>
        </w:rPr>
        <w:t xml:space="preserve"> </w:t>
      </w:r>
      <w:r>
        <w:rPr>
          <w:spacing w:val="24"/>
        </w:rPr>
        <w:t>.</w:t>
      </w:r>
      <w:r>
        <w:rPr>
          <w:spacing w:val="-54"/>
        </w:rPr>
        <w:t xml:space="preserve"> </w:t>
      </w:r>
      <w:r>
        <w:rPr>
          <w:spacing w:val="24"/>
        </w:rPr>
        <w:t>78%,发行期限整体偏短且1年以内(含1年)的规模占比较上年同期提高了11</w:t>
      </w:r>
      <w:r>
        <w:rPr>
          <w:spacing w:val="-53"/>
        </w:rPr>
        <w:t xml:space="preserve"> </w:t>
      </w:r>
      <w:r>
        <w:rPr>
          <w:spacing w:val="24"/>
        </w:rPr>
        <w:t>.</w:t>
      </w:r>
      <w:r>
        <w:rPr>
          <w:spacing w:val="-45"/>
        </w:rPr>
        <w:t xml:space="preserve"> </w:t>
      </w:r>
      <w:r>
        <w:rPr>
          <w:spacing w:val="24"/>
        </w:rPr>
        <w:t>10个</w:t>
      </w:r>
      <w:r>
        <w:rPr>
          <w:spacing w:val="23"/>
        </w:rPr>
        <w:t xml:space="preserve">百分点，融  </w:t>
      </w:r>
      <w:r>
        <w:rPr>
          <w:spacing w:val="28"/>
        </w:rPr>
        <w:t xml:space="preserve">资租赁公司倾向于资金成本较低的短期融资，另外，4年期和5年期的债券均在第2年末或第3年  </w:t>
      </w:r>
      <w:r>
        <w:rPr>
          <w:spacing w:val="24"/>
        </w:rPr>
        <w:t xml:space="preserve">末设置发行人调整票面利率选择权和投资者回售选择权，也有部分3年期债券在第2年末设置发行  </w:t>
      </w:r>
      <w:r>
        <w:rPr>
          <w:spacing w:val="20"/>
        </w:rPr>
        <w:t>人调整票面利率选择权和投资者回售选择权，长期限债券市场发行压力较大，整体融资</w:t>
      </w:r>
      <w:r>
        <w:rPr>
          <w:spacing w:val="19"/>
        </w:rPr>
        <w:t xml:space="preserve">环境面临一  </w:t>
      </w:r>
      <w:r>
        <w:rPr>
          <w:spacing w:val="20"/>
        </w:rPr>
        <w:t>定压力；募集资金用途主要为偿还到期债务。资产支持证券方面，融资租赁公司倾向于</w:t>
      </w:r>
      <w:r>
        <w:rPr>
          <w:spacing w:val="19"/>
        </w:rPr>
        <w:t xml:space="preserve">在交易所市  </w:t>
      </w:r>
      <w:r>
        <w:rPr>
          <w:spacing w:val="16"/>
        </w:rPr>
        <w:t>场发行</w:t>
      </w:r>
      <w:r>
        <w:rPr>
          <w:spacing w:val="-15"/>
        </w:rPr>
        <w:t xml:space="preserve"> </w:t>
      </w:r>
      <w:r>
        <w:rPr>
          <w:rFonts w:ascii="Times New Roman" w:eastAsia="Times New Roman" w:hAnsi="Times New Roman" w:cs="Times New Roman"/>
        </w:rPr>
        <w:t>ABS</w:t>
      </w:r>
      <w:r>
        <w:rPr>
          <w:rFonts w:ascii="Times New Roman" w:eastAsia="Times New Roman" w:hAnsi="Times New Roman" w:cs="Times New Roman"/>
          <w:spacing w:val="16"/>
        </w:rPr>
        <w:t>,</w:t>
      </w:r>
      <w:r>
        <w:rPr>
          <w:rFonts w:ascii="Times New Roman" w:eastAsia="Times New Roman" w:hAnsi="Times New Roman" w:cs="Times New Roman"/>
        </w:rPr>
        <w:t>ABN</w:t>
      </w:r>
      <w:r>
        <w:rPr>
          <w:rFonts w:ascii="Times New Roman" w:eastAsia="Times New Roman" w:hAnsi="Times New Roman" w:cs="Times New Roman"/>
          <w:spacing w:val="16"/>
        </w:rPr>
        <w:t xml:space="preserve">     </w:t>
      </w:r>
      <w:r>
        <w:rPr>
          <w:spacing w:val="16"/>
        </w:rPr>
        <w:t>的发行规模同比下滑，</w:t>
      </w:r>
      <w:r>
        <w:rPr>
          <w:spacing w:val="-35"/>
        </w:rPr>
        <w:t xml:space="preserve"> </w:t>
      </w:r>
      <w:r>
        <w:rPr>
          <w:rFonts w:ascii="Times New Roman" w:eastAsia="Times New Roman" w:hAnsi="Times New Roman" w:cs="Times New Roman"/>
        </w:rPr>
        <w:t>ABS</w:t>
      </w:r>
      <w:r>
        <w:rPr>
          <w:rFonts w:ascii="Times New Roman" w:eastAsia="Times New Roman" w:hAnsi="Times New Roman" w:cs="Times New Roman"/>
          <w:spacing w:val="16"/>
        </w:rPr>
        <w:t xml:space="preserve">  </w:t>
      </w:r>
      <w:r>
        <w:rPr>
          <w:spacing w:val="16"/>
        </w:rPr>
        <w:t>的发行规模和占</w:t>
      </w:r>
      <w:r>
        <w:rPr>
          <w:spacing w:val="15"/>
        </w:rPr>
        <w:t>比同比提升，发行规模占比74.86%。</w:t>
      </w:r>
    </w:p>
    <w:p>
      <w:pPr>
        <w:pStyle w:val="BodyText"/>
        <w:spacing w:before="263" w:line="219" w:lineRule="auto"/>
        <w:ind w:left="2480"/>
        <w:rPr>
          <w:sz w:val="18"/>
          <w:szCs w:val="18"/>
        </w:rPr>
      </w:pPr>
      <w:r>
        <w:rPr>
          <w:spacing w:val="1"/>
          <w:sz w:val="18"/>
          <w:szCs w:val="18"/>
        </w:rPr>
        <w:t>表1融资租赁公司发债同期对比(单位：只、亿元)</w:t>
      </w:r>
    </w:p>
    <w:p>
      <w:pPr>
        <w:spacing w:line="47" w:lineRule="auto"/>
        <w:rPr>
          <w:rFonts w:ascii="Arial"/>
          <w:sz w:val="2"/>
        </w:rPr>
      </w:pPr>
    </w:p>
    <w:tbl>
      <w:tblPr>
        <w:tblStyle w:val="TableNormal0"/>
        <w:tblW w:w="905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14"/>
        <w:gridCol w:w="1848"/>
        <w:gridCol w:w="1448"/>
        <w:gridCol w:w="1438"/>
        <w:gridCol w:w="1458"/>
        <w:gridCol w:w="1453"/>
      </w:tblGrid>
      <w:tr>
        <w:tblPrEx>
          <w:tblW w:w="905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5"/>
        </w:trPr>
        <w:tc>
          <w:tcPr>
            <w:tcW w:w="3262" w:type="dxa"/>
            <w:gridSpan w:val="2"/>
            <w:vMerge w:val="restart"/>
            <w:tcBorders>
              <w:bottom w:val="nil"/>
            </w:tcBorders>
            <w:shd w:val="clear" w:color="auto" w:fill="5B9BD5"/>
            <w:vAlign w:val="top"/>
          </w:tcPr>
          <w:p>
            <w:pPr>
              <w:pStyle w:val="TableText"/>
              <w:spacing w:before="230" w:line="220" w:lineRule="auto"/>
              <w:ind w:left="1437"/>
            </w:pPr>
            <w:r>
              <w:rPr>
                <w:b/>
                <w:bCs/>
                <w:color w:val="FFFFFF"/>
                <w:spacing w:val="13"/>
              </w:rPr>
              <w:t>项目</w:t>
            </w:r>
          </w:p>
        </w:tc>
        <w:tc>
          <w:tcPr>
            <w:tcW w:w="2886" w:type="dxa"/>
            <w:gridSpan w:val="2"/>
            <w:shd w:val="clear" w:color="auto" w:fill="5B9BD5"/>
            <w:vAlign w:val="top"/>
          </w:tcPr>
          <w:p>
            <w:pPr>
              <w:pStyle w:val="TableText"/>
              <w:spacing w:before="60" w:line="219" w:lineRule="auto"/>
              <w:ind w:left="795"/>
            </w:pPr>
            <w:r>
              <w:rPr>
                <w:b/>
                <w:bCs/>
                <w:color w:val="FFFFFF"/>
                <w:spacing w:val="1"/>
              </w:rPr>
              <w:t>2022年1-11月</w:t>
            </w:r>
          </w:p>
        </w:tc>
        <w:tc>
          <w:tcPr>
            <w:tcW w:w="2911" w:type="dxa"/>
            <w:gridSpan w:val="2"/>
            <w:shd w:val="clear" w:color="auto" w:fill="5B9BD5"/>
            <w:vAlign w:val="top"/>
          </w:tcPr>
          <w:p>
            <w:pPr>
              <w:pStyle w:val="TableText"/>
              <w:spacing w:before="60" w:line="219" w:lineRule="auto"/>
              <w:ind w:left="819"/>
            </w:pPr>
            <w:r>
              <w:rPr>
                <w:b/>
                <w:bCs/>
                <w:color w:val="FFFFFF"/>
                <w:spacing w:val="1"/>
              </w:rPr>
              <w:t>2023年1-11月</w:t>
            </w:r>
          </w:p>
        </w:tc>
      </w:tr>
      <w:tr>
        <w:tblPrEx>
          <w:tblW w:w="9059" w:type="dxa"/>
          <w:tblInd w:w="20" w:type="dxa"/>
          <w:tblLayout w:type="fixed"/>
        </w:tblPrEx>
        <w:trPr>
          <w:trHeight w:val="319"/>
        </w:trPr>
        <w:tc>
          <w:tcPr>
            <w:tcW w:w="3262" w:type="dxa"/>
            <w:gridSpan w:val="2"/>
            <w:vMerge/>
            <w:tcBorders>
              <w:top w:val="nil"/>
            </w:tcBorders>
            <w:vAlign w:val="top"/>
          </w:tcPr>
          <w:p>
            <w:pPr>
              <w:rPr>
                <w:rFonts w:ascii="Arial"/>
                <w:sz w:val="21"/>
              </w:rPr>
            </w:pPr>
          </w:p>
        </w:tc>
        <w:tc>
          <w:tcPr>
            <w:tcW w:w="1448" w:type="dxa"/>
            <w:shd w:val="clear" w:color="auto" w:fill="5B9BD5"/>
            <w:vAlign w:val="top"/>
          </w:tcPr>
          <w:p>
            <w:pPr>
              <w:pStyle w:val="TableText"/>
              <w:spacing w:before="65" w:line="219" w:lineRule="auto"/>
              <w:ind w:left="545"/>
            </w:pPr>
            <w:r>
              <w:rPr>
                <w:b/>
                <w:bCs/>
                <w:color w:val="FFFFFF"/>
                <w:spacing w:val="-1"/>
              </w:rPr>
              <w:t>只数</w:t>
            </w:r>
          </w:p>
        </w:tc>
        <w:tc>
          <w:tcPr>
            <w:tcW w:w="1438" w:type="dxa"/>
            <w:shd w:val="clear" w:color="auto" w:fill="5B9BD5"/>
            <w:vAlign w:val="top"/>
          </w:tcPr>
          <w:p>
            <w:pPr>
              <w:pStyle w:val="TableText"/>
              <w:spacing w:before="65" w:line="219" w:lineRule="auto"/>
              <w:ind w:left="367"/>
            </w:pPr>
            <w:r>
              <w:rPr>
                <w:b/>
                <w:bCs/>
                <w:color w:val="FFFFFF"/>
                <w:spacing w:val="-4"/>
              </w:rPr>
              <w:t>发行规模</w:t>
            </w:r>
          </w:p>
        </w:tc>
        <w:tc>
          <w:tcPr>
            <w:tcW w:w="1458" w:type="dxa"/>
            <w:shd w:val="clear" w:color="auto" w:fill="5B9BD5"/>
            <w:vAlign w:val="top"/>
          </w:tcPr>
          <w:p>
            <w:pPr>
              <w:pStyle w:val="TableText"/>
              <w:spacing w:before="65" w:line="219" w:lineRule="auto"/>
              <w:ind w:left="579"/>
            </w:pPr>
            <w:r>
              <w:rPr>
                <w:b/>
                <w:bCs/>
                <w:color w:val="FFFFFF"/>
                <w:spacing w:val="-1"/>
              </w:rPr>
              <w:t>只数</w:t>
            </w:r>
          </w:p>
        </w:tc>
        <w:tc>
          <w:tcPr>
            <w:tcW w:w="1453" w:type="dxa"/>
            <w:shd w:val="clear" w:color="auto" w:fill="5B9BD5"/>
            <w:vAlign w:val="top"/>
          </w:tcPr>
          <w:p>
            <w:pPr>
              <w:pStyle w:val="TableText"/>
              <w:spacing w:before="65" w:line="219" w:lineRule="auto"/>
              <w:ind w:left="371"/>
            </w:pPr>
            <w:r>
              <w:rPr>
                <w:b/>
                <w:bCs/>
                <w:color w:val="FFFFFF"/>
                <w:spacing w:val="-4"/>
              </w:rPr>
              <w:t>发行规模</w:t>
            </w:r>
          </w:p>
        </w:tc>
      </w:tr>
      <w:tr>
        <w:tblPrEx>
          <w:tblW w:w="9059" w:type="dxa"/>
          <w:tblInd w:w="20" w:type="dxa"/>
          <w:tblLayout w:type="fixed"/>
        </w:tblPrEx>
        <w:trPr>
          <w:trHeight w:val="299"/>
        </w:trPr>
        <w:tc>
          <w:tcPr>
            <w:tcW w:w="1414" w:type="dxa"/>
            <w:vMerge w:val="restart"/>
            <w:tcBorders>
              <w:bottom w:val="nil"/>
            </w:tcBorders>
            <w:vAlign w:val="top"/>
          </w:tcPr>
          <w:p>
            <w:pPr>
              <w:spacing w:line="474" w:lineRule="auto"/>
              <w:rPr>
                <w:rFonts w:ascii="Arial"/>
                <w:sz w:val="21"/>
              </w:rPr>
            </w:pPr>
          </w:p>
          <w:p>
            <w:pPr>
              <w:pStyle w:val="TableText"/>
              <w:spacing w:before="62" w:line="219" w:lineRule="auto"/>
              <w:ind w:left="224"/>
            </w:pPr>
            <w:r>
              <w:rPr>
                <w:spacing w:val="-2"/>
              </w:rPr>
              <w:t>银行间市场</w:t>
            </w:r>
          </w:p>
        </w:tc>
        <w:tc>
          <w:tcPr>
            <w:tcW w:w="1848" w:type="dxa"/>
            <w:vAlign w:val="top"/>
          </w:tcPr>
          <w:p>
            <w:pPr>
              <w:pStyle w:val="TableText"/>
              <w:spacing w:before="59" w:line="220" w:lineRule="auto"/>
              <w:ind w:left="440"/>
            </w:pPr>
            <w:r>
              <w:rPr>
                <w:spacing w:val="-2"/>
              </w:rPr>
              <w:t>短期融资券</w:t>
            </w:r>
          </w:p>
        </w:tc>
        <w:tc>
          <w:tcPr>
            <w:tcW w:w="1448" w:type="dxa"/>
            <w:vAlign w:val="top"/>
          </w:tcPr>
          <w:p>
            <w:pPr>
              <w:pStyle w:val="TableText"/>
              <w:spacing w:before="106" w:line="177" w:lineRule="auto"/>
              <w:ind w:left="1093"/>
            </w:pPr>
            <w:r>
              <w:rPr>
                <w:spacing w:val="-5"/>
              </w:rPr>
              <w:t>177</w:t>
            </w:r>
          </w:p>
        </w:tc>
        <w:tc>
          <w:tcPr>
            <w:tcW w:w="1438" w:type="dxa"/>
            <w:vAlign w:val="top"/>
          </w:tcPr>
          <w:p>
            <w:pPr>
              <w:pStyle w:val="TableText"/>
              <w:spacing w:before="106" w:line="177" w:lineRule="auto"/>
              <w:ind w:left="995"/>
            </w:pPr>
            <w:r>
              <w:rPr>
                <w:spacing w:val="-5"/>
              </w:rPr>
              <w:t>1349</w:t>
            </w:r>
          </w:p>
        </w:tc>
        <w:tc>
          <w:tcPr>
            <w:tcW w:w="1458" w:type="dxa"/>
            <w:vAlign w:val="top"/>
          </w:tcPr>
          <w:p>
            <w:pPr>
              <w:pStyle w:val="TableText"/>
              <w:spacing w:before="106" w:line="177" w:lineRule="auto"/>
              <w:ind w:left="1116"/>
            </w:pPr>
            <w:r>
              <w:rPr>
                <w:spacing w:val="-3"/>
              </w:rPr>
              <w:t>251</w:t>
            </w:r>
          </w:p>
        </w:tc>
        <w:tc>
          <w:tcPr>
            <w:tcW w:w="1453" w:type="dxa"/>
            <w:vAlign w:val="top"/>
          </w:tcPr>
          <w:p>
            <w:pPr>
              <w:pStyle w:val="TableText"/>
              <w:spacing w:before="106" w:line="177" w:lineRule="auto"/>
              <w:ind w:left="1008"/>
            </w:pPr>
            <w:r>
              <w:rPr>
                <w:spacing w:val="-5"/>
              </w:rPr>
              <w:t>1814</w:t>
            </w:r>
          </w:p>
        </w:tc>
      </w:tr>
      <w:tr>
        <w:tblPrEx>
          <w:tblW w:w="9059" w:type="dxa"/>
          <w:tblInd w:w="20" w:type="dxa"/>
          <w:tblLayout w:type="fixed"/>
        </w:tblPrEx>
        <w:trPr>
          <w:trHeight w:val="319"/>
        </w:trPr>
        <w:tc>
          <w:tcPr>
            <w:tcW w:w="1414" w:type="dxa"/>
            <w:vMerge/>
            <w:tcBorders>
              <w:top w:val="nil"/>
              <w:bottom w:val="nil"/>
            </w:tcBorders>
            <w:vAlign w:val="top"/>
          </w:tcPr>
          <w:p>
            <w:pPr>
              <w:rPr>
                <w:rFonts w:ascii="Arial"/>
                <w:sz w:val="21"/>
              </w:rPr>
            </w:pPr>
          </w:p>
        </w:tc>
        <w:tc>
          <w:tcPr>
            <w:tcW w:w="1848" w:type="dxa"/>
            <w:vAlign w:val="top"/>
          </w:tcPr>
          <w:p>
            <w:pPr>
              <w:pStyle w:val="TableText"/>
              <w:spacing w:before="70" w:line="219" w:lineRule="auto"/>
              <w:ind w:left="531"/>
            </w:pPr>
            <w:r>
              <w:rPr>
                <w:color w:val="8C4600"/>
                <w:spacing w:val="2"/>
              </w:rPr>
              <w:t>中期票据</w:t>
            </w:r>
          </w:p>
        </w:tc>
        <w:tc>
          <w:tcPr>
            <w:tcW w:w="1448" w:type="dxa"/>
            <w:vAlign w:val="top"/>
          </w:tcPr>
          <w:p>
            <w:pPr>
              <w:pStyle w:val="TableText"/>
              <w:spacing w:before="118" w:line="183" w:lineRule="auto"/>
              <w:ind w:left="1192"/>
            </w:pPr>
            <w:r>
              <w:rPr>
                <w:spacing w:val="-3"/>
              </w:rPr>
              <w:t>58</w:t>
            </w:r>
          </w:p>
        </w:tc>
        <w:tc>
          <w:tcPr>
            <w:tcW w:w="1438" w:type="dxa"/>
            <w:vAlign w:val="top"/>
          </w:tcPr>
          <w:p>
            <w:pPr>
              <w:pStyle w:val="TableText"/>
              <w:spacing w:before="118" w:line="183" w:lineRule="auto"/>
              <w:ind w:left="1084"/>
            </w:pPr>
            <w:r>
              <w:rPr>
                <w:spacing w:val="-3"/>
              </w:rPr>
              <w:t>526</w:t>
            </w:r>
          </w:p>
        </w:tc>
        <w:tc>
          <w:tcPr>
            <w:tcW w:w="1458" w:type="dxa"/>
            <w:vAlign w:val="top"/>
          </w:tcPr>
          <w:p>
            <w:pPr>
              <w:pStyle w:val="TableText"/>
              <w:spacing w:before="119" w:line="182" w:lineRule="auto"/>
              <w:ind w:left="1217"/>
            </w:pPr>
            <w:r>
              <w:rPr>
                <w:spacing w:val="-3"/>
              </w:rPr>
              <w:t>55</w:t>
            </w:r>
          </w:p>
        </w:tc>
        <w:tc>
          <w:tcPr>
            <w:tcW w:w="1453" w:type="dxa"/>
            <w:vAlign w:val="top"/>
          </w:tcPr>
          <w:p>
            <w:pPr>
              <w:pStyle w:val="TableText"/>
              <w:spacing w:before="118" w:line="183" w:lineRule="auto"/>
              <w:ind w:left="1099"/>
            </w:pPr>
            <w:r>
              <w:rPr>
                <w:spacing w:val="-2"/>
              </w:rPr>
              <w:t>437</w:t>
            </w:r>
          </w:p>
        </w:tc>
      </w:tr>
      <w:tr>
        <w:tblPrEx>
          <w:tblW w:w="9059" w:type="dxa"/>
          <w:tblInd w:w="20" w:type="dxa"/>
          <w:tblLayout w:type="fixed"/>
        </w:tblPrEx>
        <w:trPr>
          <w:trHeight w:val="299"/>
        </w:trPr>
        <w:tc>
          <w:tcPr>
            <w:tcW w:w="1414" w:type="dxa"/>
            <w:vMerge/>
            <w:tcBorders>
              <w:top w:val="nil"/>
              <w:bottom w:val="nil"/>
            </w:tcBorders>
            <w:vAlign w:val="top"/>
          </w:tcPr>
          <w:p>
            <w:pPr>
              <w:rPr>
                <w:rFonts w:ascii="Arial"/>
                <w:sz w:val="21"/>
              </w:rPr>
            </w:pPr>
          </w:p>
        </w:tc>
        <w:tc>
          <w:tcPr>
            <w:tcW w:w="1848" w:type="dxa"/>
            <w:vAlign w:val="top"/>
          </w:tcPr>
          <w:p>
            <w:pPr>
              <w:pStyle w:val="TableText"/>
              <w:spacing w:before="61" w:line="220" w:lineRule="auto"/>
              <w:ind w:left="531"/>
            </w:pPr>
            <w:r>
              <w:rPr>
                <w:spacing w:val="2"/>
              </w:rPr>
              <w:t>定向工具</w:t>
            </w:r>
          </w:p>
        </w:tc>
        <w:tc>
          <w:tcPr>
            <w:tcW w:w="1448" w:type="dxa"/>
            <w:vAlign w:val="top"/>
          </w:tcPr>
          <w:p>
            <w:pPr>
              <w:pStyle w:val="TableText"/>
              <w:spacing w:before="109" w:line="174" w:lineRule="auto"/>
              <w:ind w:left="1282"/>
            </w:pPr>
            <w:r>
              <w:t>9</w:t>
            </w:r>
          </w:p>
        </w:tc>
        <w:tc>
          <w:tcPr>
            <w:tcW w:w="1438" w:type="dxa"/>
            <w:vAlign w:val="top"/>
          </w:tcPr>
          <w:p>
            <w:pPr>
              <w:pStyle w:val="TableText"/>
              <w:spacing w:before="109" w:line="174" w:lineRule="auto"/>
              <w:ind w:left="1184"/>
            </w:pPr>
            <w:r>
              <w:rPr>
                <w:spacing w:val="-2"/>
              </w:rPr>
              <w:t>44</w:t>
            </w:r>
          </w:p>
        </w:tc>
        <w:tc>
          <w:tcPr>
            <w:tcW w:w="1458" w:type="dxa"/>
            <w:vAlign w:val="top"/>
          </w:tcPr>
          <w:p>
            <w:pPr>
              <w:pStyle w:val="TableText"/>
              <w:spacing w:before="108" w:line="175" w:lineRule="auto"/>
              <w:ind w:left="1217"/>
            </w:pPr>
            <w:r>
              <w:rPr>
                <w:spacing w:val="-6"/>
              </w:rPr>
              <w:t>12</w:t>
            </w:r>
          </w:p>
        </w:tc>
        <w:tc>
          <w:tcPr>
            <w:tcW w:w="1453" w:type="dxa"/>
            <w:vAlign w:val="top"/>
          </w:tcPr>
          <w:p>
            <w:pPr>
              <w:pStyle w:val="TableText"/>
              <w:spacing w:before="109" w:line="174" w:lineRule="auto"/>
              <w:ind w:left="1198"/>
            </w:pPr>
            <w:r>
              <w:rPr>
                <w:spacing w:val="-3"/>
              </w:rPr>
              <w:t>73</w:t>
            </w:r>
          </w:p>
        </w:tc>
      </w:tr>
      <w:tr>
        <w:tblPrEx>
          <w:tblW w:w="9059" w:type="dxa"/>
          <w:tblInd w:w="20" w:type="dxa"/>
          <w:tblLayout w:type="fixed"/>
        </w:tblPrEx>
        <w:trPr>
          <w:trHeight w:val="319"/>
        </w:trPr>
        <w:tc>
          <w:tcPr>
            <w:tcW w:w="1414" w:type="dxa"/>
            <w:vMerge/>
            <w:tcBorders>
              <w:top w:val="nil"/>
            </w:tcBorders>
            <w:vAlign w:val="top"/>
          </w:tcPr>
          <w:p>
            <w:pPr>
              <w:rPr>
                <w:rFonts w:ascii="Arial"/>
                <w:sz w:val="21"/>
              </w:rPr>
            </w:pPr>
          </w:p>
        </w:tc>
        <w:tc>
          <w:tcPr>
            <w:tcW w:w="1848" w:type="dxa"/>
            <w:vAlign w:val="top"/>
          </w:tcPr>
          <w:p>
            <w:pPr>
              <w:pStyle w:val="TableText"/>
              <w:spacing w:before="70" w:line="221" w:lineRule="auto"/>
              <w:ind w:left="723"/>
            </w:pPr>
            <w:r>
              <w:rPr>
                <w:b/>
                <w:bCs/>
                <w:spacing w:val="-6"/>
              </w:rPr>
              <w:t>小计</w:t>
            </w:r>
          </w:p>
        </w:tc>
        <w:tc>
          <w:tcPr>
            <w:tcW w:w="1448" w:type="dxa"/>
            <w:vAlign w:val="top"/>
          </w:tcPr>
          <w:p>
            <w:pPr>
              <w:pStyle w:val="TableText"/>
              <w:spacing w:before="120" w:line="183" w:lineRule="auto"/>
              <w:ind w:left="1095"/>
            </w:pPr>
            <w:r>
              <w:rPr>
                <w:b/>
                <w:bCs/>
                <w:spacing w:val="-5"/>
              </w:rPr>
              <w:t>244</w:t>
            </w:r>
          </w:p>
        </w:tc>
        <w:tc>
          <w:tcPr>
            <w:tcW w:w="1438" w:type="dxa"/>
            <w:vAlign w:val="top"/>
          </w:tcPr>
          <w:p>
            <w:pPr>
              <w:pStyle w:val="TableText"/>
              <w:spacing w:before="118" w:line="184" w:lineRule="auto"/>
              <w:ind w:left="997"/>
            </w:pPr>
            <w:r>
              <w:rPr>
                <w:b/>
                <w:bCs/>
                <w:spacing w:val="-7"/>
              </w:rPr>
              <w:t>1919</w:t>
            </w:r>
          </w:p>
        </w:tc>
        <w:tc>
          <w:tcPr>
            <w:tcW w:w="1458" w:type="dxa"/>
            <w:vAlign w:val="top"/>
          </w:tcPr>
          <w:p>
            <w:pPr>
              <w:pStyle w:val="TableText"/>
              <w:spacing w:before="118" w:line="184" w:lineRule="auto"/>
              <w:ind w:left="1119"/>
            </w:pPr>
            <w:r>
              <w:rPr>
                <w:b/>
                <w:bCs/>
                <w:spacing w:val="-5"/>
              </w:rPr>
              <w:t>318</w:t>
            </w:r>
          </w:p>
        </w:tc>
        <w:tc>
          <w:tcPr>
            <w:tcW w:w="1453" w:type="dxa"/>
            <w:vAlign w:val="top"/>
          </w:tcPr>
          <w:p>
            <w:pPr>
              <w:pStyle w:val="TableText"/>
              <w:spacing w:before="119" w:line="183" w:lineRule="auto"/>
              <w:ind w:left="1011"/>
            </w:pPr>
            <w:r>
              <w:rPr>
                <w:b/>
                <w:bCs/>
                <w:spacing w:val="-4"/>
              </w:rPr>
              <w:t>2323</w:t>
            </w:r>
          </w:p>
        </w:tc>
      </w:tr>
      <w:tr>
        <w:tblPrEx>
          <w:tblW w:w="9059" w:type="dxa"/>
          <w:tblInd w:w="20" w:type="dxa"/>
          <w:tblLayout w:type="fixed"/>
        </w:tblPrEx>
        <w:trPr>
          <w:trHeight w:val="319"/>
        </w:trPr>
        <w:tc>
          <w:tcPr>
            <w:tcW w:w="1414" w:type="dxa"/>
            <w:vMerge w:val="restart"/>
            <w:tcBorders>
              <w:bottom w:val="nil"/>
            </w:tcBorders>
            <w:shd w:val="clear" w:color="auto" w:fill="BDD6EE"/>
            <w:vAlign w:val="top"/>
          </w:tcPr>
          <w:p>
            <w:pPr>
              <w:spacing w:line="329" w:lineRule="auto"/>
              <w:rPr>
                <w:rFonts w:ascii="Arial"/>
                <w:sz w:val="21"/>
              </w:rPr>
            </w:pPr>
          </w:p>
          <w:p>
            <w:pPr>
              <w:pStyle w:val="TableText"/>
              <w:spacing w:before="61" w:line="219" w:lineRule="auto"/>
              <w:ind w:left="224"/>
            </w:pPr>
            <w:r>
              <w:rPr>
                <w:color w:val="00297A"/>
                <w:spacing w:val="2"/>
              </w:rPr>
              <w:t>交易所市场</w:t>
            </w:r>
          </w:p>
        </w:tc>
        <w:tc>
          <w:tcPr>
            <w:tcW w:w="1848" w:type="dxa"/>
            <w:shd w:val="clear" w:color="auto" w:fill="BDD6EE"/>
            <w:vAlign w:val="top"/>
          </w:tcPr>
          <w:p>
            <w:pPr>
              <w:pStyle w:val="TableText"/>
              <w:spacing w:before="72" w:line="219" w:lineRule="auto"/>
              <w:ind w:left="440"/>
            </w:pPr>
            <w:r>
              <w:rPr>
                <w:spacing w:val="2"/>
              </w:rPr>
              <w:t>一般公司债</w:t>
            </w:r>
          </w:p>
        </w:tc>
        <w:tc>
          <w:tcPr>
            <w:tcW w:w="1448" w:type="dxa"/>
            <w:shd w:val="clear" w:color="auto" w:fill="BDD6EE"/>
            <w:vAlign w:val="top"/>
          </w:tcPr>
          <w:p>
            <w:pPr>
              <w:pStyle w:val="TableText"/>
              <w:spacing w:before="121" w:line="182" w:lineRule="auto"/>
              <w:ind w:left="1192"/>
            </w:pPr>
            <w:r>
              <w:rPr>
                <w:spacing w:val="-3"/>
              </w:rPr>
              <w:t>90</w:t>
            </w:r>
          </w:p>
        </w:tc>
        <w:tc>
          <w:tcPr>
            <w:tcW w:w="1438" w:type="dxa"/>
            <w:shd w:val="clear" w:color="auto" w:fill="BDD6EE"/>
            <w:vAlign w:val="top"/>
          </w:tcPr>
          <w:p>
            <w:pPr>
              <w:pStyle w:val="TableText"/>
              <w:spacing w:before="122" w:line="181" w:lineRule="auto"/>
              <w:ind w:left="1084"/>
            </w:pPr>
            <w:r>
              <w:rPr>
                <w:spacing w:val="-3"/>
              </w:rPr>
              <w:t>757</w:t>
            </w:r>
          </w:p>
        </w:tc>
        <w:tc>
          <w:tcPr>
            <w:tcW w:w="1458" w:type="dxa"/>
            <w:shd w:val="clear" w:color="auto" w:fill="BDD6EE"/>
            <w:vAlign w:val="top"/>
          </w:tcPr>
          <w:p>
            <w:pPr>
              <w:pStyle w:val="TableText"/>
              <w:spacing w:before="121" w:line="182" w:lineRule="auto"/>
              <w:ind w:left="1217"/>
            </w:pPr>
            <w:r>
              <w:rPr>
                <w:spacing w:val="-3"/>
              </w:rPr>
              <w:t>90</w:t>
            </w:r>
          </w:p>
        </w:tc>
        <w:tc>
          <w:tcPr>
            <w:tcW w:w="1453" w:type="dxa"/>
            <w:shd w:val="clear" w:color="auto" w:fill="BDD6EE"/>
            <w:vAlign w:val="top"/>
          </w:tcPr>
          <w:p>
            <w:pPr>
              <w:pStyle w:val="TableText"/>
              <w:spacing w:before="121" w:line="182" w:lineRule="auto"/>
              <w:ind w:left="1099"/>
            </w:pPr>
            <w:r>
              <w:rPr>
                <w:spacing w:val="-2"/>
              </w:rPr>
              <w:t>689</w:t>
            </w:r>
          </w:p>
        </w:tc>
      </w:tr>
      <w:tr>
        <w:tblPrEx>
          <w:tblW w:w="9059" w:type="dxa"/>
          <w:tblInd w:w="20" w:type="dxa"/>
          <w:tblLayout w:type="fixed"/>
        </w:tblPrEx>
        <w:trPr>
          <w:trHeight w:val="319"/>
        </w:trPr>
        <w:tc>
          <w:tcPr>
            <w:tcW w:w="1414" w:type="dxa"/>
            <w:vMerge/>
            <w:tcBorders>
              <w:top w:val="nil"/>
              <w:bottom w:val="nil"/>
            </w:tcBorders>
            <w:vAlign w:val="top"/>
          </w:tcPr>
          <w:p>
            <w:pPr>
              <w:rPr>
                <w:rFonts w:ascii="Arial"/>
                <w:sz w:val="21"/>
              </w:rPr>
            </w:pPr>
          </w:p>
        </w:tc>
        <w:tc>
          <w:tcPr>
            <w:tcW w:w="1848" w:type="dxa"/>
            <w:shd w:val="clear" w:color="auto" w:fill="BDD6EE"/>
            <w:vAlign w:val="top"/>
          </w:tcPr>
          <w:p>
            <w:pPr>
              <w:pStyle w:val="TableText"/>
              <w:spacing w:before="74" w:line="219" w:lineRule="auto"/>
              <w:ind w:left="630"/>
            </w:pPr>
            <w:r>
              <w:rPr>
                <w:spacing w:val="-2"/>
              </w:rPr>
              <w:t>私募债</w:t>
            </w:r>
          </w:p>
        </w:tc>
        <w:tc>
          <w:tcPr>
            <w:tcW w:w="1448" w:type="dxa"/>
            <w:shd w:val="clear" w:color="auto" w:fill="BDD6EE"/>
            <w:vAlign w:val="top"/>
          </w:tcPr>
          <w:p>
            <w:pPr>
              <w:pStyle w:val="TableText"/>
              <w:spacing w:before="122" w:line="181" w:lineRule="auto"/>
              <w:ind w:left="1282"/>
            </w:pPr>
            <w:r>
              <w:t>6</w:t>
            </w:r>
          </w:p>
        </w:tc>
        <w:tc>
          <w:tcPr>
            <w:tcW w:w="1438" w:type="dxa"/>
            <w:shd w:val="clear" w:color="auto" w:fill="BDD6EE"/>
            <w:vAlign w:val="top"/>
          </w:tcPr>
          <w:p>
            <w:pPr>
              <w:pStyle w:val="TableText"/>
              <w:spacing w:before="122" w:line="181" w:lineRule="auto"/>
              <w:ind w:left="1184"/>
            </w:pPr>
            <w:r>
              <w:rPr>
                <w:spacing w:val="-2"/>
              </w:rPr>
              <w:t>48</w:t>
            </w:r>
          </w:p>
        </w:tc>
        <w:tc>
          <w:tcPr>
            <w:tcW w:w="1458" w:type="dxa"/>
            <w:shd w:val="clear" w:color="auto" w:fill="BDD6EE"/>
            <w:vAlign w:val="top"/>
          </w:tcPr>
          <w:p>
            <w:pPr>
              <w:pStyle w:val="TableText"/>
              <w:spacing w:before="121" w:line="182" w:lineRule="auto"/>
              <w:ind w:left="1217"/>
            </w:pPr>
            <w:r>
              <w:rPr>
                <w:spacing w:val="-6"/>
              </w:rPr>
              <w:t>12</w:t>
            </w:r>
          </w:p>
        </w:tc>
        <w:tc>
          <w:tcPr>
            <w:tcW w:w="1453" w:type="dxa"/>
            <w:shd w:val="clear" w:color="auto" w:fill="BDD6EE"/>
            <w:vAlign w:val="top"/>
          </w:tcPr>
          <w:p>
            <w:pPr>
              <w:pStyle w:val="TableText"/>
              <w:spacing w:before="122" w:line="181" w:lineRule="auto"/>
              <w:ind w:left="1198"/>
            </w:pPr>
            <w:r>
              <w:rPr>
                <w:spacing w:val="-3"/>
              </w:rPr>
              <w:t>67</w:t>
            </w:r>
          </w:p>
        </w:tc>
      </w:tr>
      <w:tr>
        <w:tblPrEx>
          <w:tblW w:w="9059" w:type="dxa"/>
          <w:tblInd w:w="20" w:type="dxa"/>
          <w:tblLayout w:type="fixed"/>
        </w:tblPrEx>
        <w:trPr>
          <w:trHeight w:val="300"/>
        </w:trPr>
        <w:tc>
          <w:tcPr>
            <w:tcW w:w="1414" w:type="dxa"/>
            <w:vMerge/>
            <w:tcBorders>
              <w:top w:val="nil"/>
            </w:tcBorders>
            <w:vAlign w:val="top"/>
          </w:tcPr>
          <w:p>
            <w:pPr>
              <w:rPr>
                <w:rFonts w:ascii="Arial"/>
                <w:sz w:val="21"/>
              </w:rPr>
            </w:pPr>
          </w:p>
        </w:tc>
        <w:tc>
          <w:tcPr>
            <w:tcW w:w="1848" w:type="dxa"/>
            <w:shd w:val="clear" w:color="auto" w:fill="BDD6EE"/>
            <w:vAlign w:val="top"/>
          </w:tcPr>
          <w:p>
            <w:pPr>
              <w:pStyle w:val="TableText"/>
              <w:spacing w:before="63" w:line="220" w:lineRule="auto"/>
              <w:ind w:left="723"/>
            </w:pPr>
            <w:r>
              <w:rPr>
                <w:b/>
                <w:bCs/>
                <w:spacing w:val="-6"/>
              </w:rPr>
              <w:t>小计</w:t>
            </w:r>
          </w:p>
        </w:tc>
        <w:tc>
          <w:tcPr>
            <w:tcW w:w="1448" w:type="dxa"/>
            <w:shd w:val="clear" w:color="auto" w:fill="BDD6EE"/>
            <w:vAlign w:val="top"/>
          </w:tcPr>
          <w:p>
            <w:pPr>
              <w:pStyle w:val="TableText"/>
              <w:spacing w:before="112" w:line="172" w:lineRule="auto"/>
              <w:ind w:left="1195"/>
            </w:pPr>
            <w:r>
              <w:rPr>
                <w:b/>
                <w:bCs/>
                <w:spacing w:val="-5"/>
              </w:rPr>
              <w:t>96</w:t>
            </w:r>
          </w:p>
        </w:tc>
        <w:tc>
          <w:tcPr>
            <w:tcW w:w="1438" w:type="dxa"/>
            <w:shd w:val="clear" w:color="auto" w:fill="BDD6EE"/>
            <w:vAlign w:val="top"/>
          </w:tcPr>
          <w:p>
            <w:pPr>
              <w:pStyle w:val="TableText"/>
              <w:spacing w:before="112" w:line="172" w:lineRule="auto"/>
              <w:ind w:left="1087"/>
            </w:pPr>
            <w:r>
              <w:rPr>
                <w:b/>
                <w:bCs/>
                <w:spacing w:val="-4"/>
              </w:rPr>
              <w:t>805</w:t>
            </w:r>
          </w:p>
        </w:tc>
        <w:tc>
          <w:tcPr>
            <w:tcW w:w="1458" w:type="dxa"/>
            <w:shd w:val="clear" w:color="auto" w:fill="BDD6EE"/>
            <w:vAlign w:val="top"/>
          </w:tcPr>
          <w:p>
            <w:pPr>
              <w:pStyle w:val="TableText"/>
              <w:spacing w:before="111" w:line="173" w:lineRule="auto"/>
              <w:ind w:left="1119"/>
            </w:pPr>
            <w:r>
              <w:rPr>
                <w:b/>
                <w:bCs/>
                <w:spacing w:val="-7"/>
              </w:rPr>
              <w:t>102</w:t>
            </w:r>
          </w:p>
        </w:tc>
        <w:tc>
          <w:tcPr>
            <w:tcW w:w="1453" w:type="dxa"/>
            <w:shd w:val="clear" w:color="auto" w:fill="BDD6EE"/>
            <w:vAlign w:val="top"/>
          </w:tcPr>
          <w:p>
            <w:pPr>
              <w:pStyle w:val="TableText"/>
              <w:spacing w:before="112" w:line="172" w:lineRule="auto"/>
              <w:ind w:left="1101"/>
            </w:pPr>
            <w:r>
              <w:rPr>
                <w:b/>
                <w:bCs/>
                <w:spacing w:val="-5"/>
              </w:rPr>
              <w:t>756</w:t>
            </w:r>
          </w:p>
        </w:tc>
      </w:tr>
      <w:tr>
        <w:tblPrEx>
          <w:tblW w:w="9059" w:type="dxa"/>
          <w:tblInd w:w="20" w:type="dxa"/>
          <w:tblLayout w:type="fixed"/>
        </w:tblPrEx>
        <w:trPr>
          <w:trHeight w:val="319"/>
        </w:trPr>
        <w:tc>
          <w:tcPr>
            <w:tcW w:w="3262" w:type="dxa"/>
            <w:gridSpan w:val="2"/>
            <w:vAlign w:val="top"/>
          </w:tcPr>
          <w:p>
            <w:pPr>
              <w:pStyle w:val="TableText"/>
              <w:spacing w:before="72" w:line="219" w:lineRule="auto"/>
              <w:ind w:left="1147"/>
            </w:pPr>
            <w:r>
              <w:rPr>
                <w:b/>
                <w:bCs/>
                <w:spacing w:val="-4"/>
              </w:rPr>
              <w:t>信用债合计</w:t>
            </w:r>
          </w:p>
        </w:tc>
        <w:tc>
          <w:tcPr>
            <w:tcW w:w="1448" w:type="dxa"/>
            <w:vAlign w:val="top"/>
          </w:tcPr>
          <w:p>
            <w:pPr>
              <w:pStyle w:val="TableText"/>
              <w:spacing w:before="122" w:line="181" w:lineRule="auto"/>
              <w:ind w:left="1095"/>
            </w:pPr>
            <w:r>
              <w:rPr>
                <w:b/>
                <w:bCs/>
                <w:spacing w:val="-5"/>
              </w:rPr>
              <w:t>340</w:t>
            </w:r>
          </w:p>
        </w:tc>
        <w:tc>
          <w:tcPr>
            <w:tcW w:w="1438" w:type="dxa"/>
            <w:vAlign w:val="top"/>
          </w:tcPr>
          <w:p>
            <w:pPr>
              <w:pStyle w:val="TableText"/>
              <w:spacing w:before="122" w:line="181" w:lineRule="auto"/>
              <w:ind w:left="997"/>
            </w:pPr>
            <w:r>
              <w:rPr>
                <w:b/>
                <w:bCs/>
                <w:spacing w:val="-4"/>
              </w:rPr>
              <w:t>2723</w:t>
            </w:r>
          </w:p>
        </w:tc>
        <w:tc>
          <w:tcPr>
            <w:tcW w:w="1458" w:type="dxa"/>
            <w:vAlign w:val="top"/>
          </w:tcPr>
          <w:p>
            <w:pPr>
              <w:pStyle w:val="TableText"/>
              <w:spacing w:before="122" w:line="181" w:lineRule="auto"/>
              <w:ind w:left="1119"/>
            </w:pPr>
            <w:r>
              <w:rPr>
                <w:b/>
                <w:bCs/>
                <w:spacing w:val="-4"/>
              </w:rPr>
              <w:t>420</w:t>
            </w:r>
          </w:p>
        </w:tc>
        <w:tc>
          <w:tcPr>
            <w:tcW w:w="1453" w:type="dxa"/>
            <w:vAlign w:val="top"/>
          </w:tcPr>
          <w:p>
            <w:pPr>
              <w:pStyle w:val="TableText"/>
              <w:spacing w:before="122" w:line="181" w:lineRule="auto"/>
              <w:ind w:left="1011"/>
            </w:pPr>
            <w:r>
              <w:rPr>
                <w:b/>
                <w:bCs/>
                <w:spacing w:val="-5"/>
              </w:rPr>
              <w:t>3080</w:t>
            </w:r>
          </w:p>
        </w:tc>
      </w:tr>
      <w:tr>
        <w:tblPrEx>
          <w:tblW w:w="9059" w:type="dxa"/>
          <w:tblInd w:w="20" w:type="dxa"/>
          <w:tblLayout w:type="fixed"/>
        </w:tblPrEx>
        <w:trPr>
          <w:trHeight w:val="300"/>
        </w:trPr>
        <w:tc>
          <w:tcPr>
            <w:tcW w:w="3262" w:type="dxa"/>
            <w:gridSpan w:val="2"/>
            <w:shd w:val="clear" w:color="auto" w:fill="BDD6EE"/>
            <w:vAlign w:val="top"/>
          </w:tcPr>
          <w:p>
            <w:pPr>
              <w:pStyle w:val="TableText"/>
              <w:spacing w:before="112" w:line="172" w:lineRule="auto"/>
              <w:ind w:left="1474"/>
            </w:pPr>
            <w:r>
              <w:rPr>
                <w:spacing w:val="-1"/>
              </w:rPr>
              <w:t>ABN</w:t>
            </w:r>
          </w:p>
        </w:tc>
        <w:tc>
          <w:tcPr>
            <w:tcW w:w="1448" w:type="dxa"/>
            <w:shd w:val="clear" w:color="auto" w:fill="BDD6EE"/>
            <w:vAlign w:val="top"/>
          </w:tcPr>
          <w:p>
            <w:pPr>
              <w:pStyle w:val="TableText"/>
              <w:spacing w:before="114" w:line="171" w:lineRule="auto"/>
              <w:ind w:left="1093"/>
            </w:pPr>
            <w:r>
              <w:rPr>
                <w:spacing w:val="-3"/>
              </w:rPr>
              <w:t>281</w:t>
            </w:r>
          </w:p>
        </w:tc>
        <w:tc>
          <w:tcPr>
            <w:tcW w:w="1438" w:type="dxa"/>
            <w:shd w:val="clear" w:color="auto" w:fill="BDD6EE"/>
            <w:vAlign w:val="top"/>
          </w:tcPr>
          <w:p>
            <w:pPr>
              <w:pStyle w:val="TableText"/>
              <w:spacing w:before="114" w:line="171" w:lineRule="auto"/>
              <w:ind w:left="995"/>
            </w:pPr>
            <w:r>
              <w:rPr>
                <w:spacing w:val="-5"/>
              </w:rPr>
              <w:t>1320</w:t>
            </w:r>
          </w:p>
        </w:tc>
        <w:tc>
          <w:tcPr>
            <w:tcW w:w="1458" w:type="dxa"/>
            <w:shd w:val="clear" w:color="auto" w:fill="BDD6EE"/>
            <w:vAlign w:val="top"/>
          </w:tcPr>
          <w:p>
            <w:pPr>
              <w:pStyle w:val="TableText"/>
              <w:spacing w:before="114" w:line="171" w:lineRule="auto"/>
              <w:ind w:left="1116"/>
            </w:pPr>
            <w:r>
              <w:rPr>
                <w:spacing w:val="-5"/>
              </w:rPr>
              <w:t>169</w:t>
            </w:r>
          </w:p>
        </w:tc>
        <w:tc>
          <w:tcPr>
            <w:tcW w:w="1453" w:type="dxa"/>
            <w:shd w:val="clear" w:color="auto" w:fill="BDD6EE"/>
            <w:vAlign w:val="top"/>
          </w:tcPr>
          <w:p>
            <w:pPr>
              <w:pStyle w:val="TableText"/>
              <w:spacing w:before="115" w:line="170" w:lineRule="auto"/>
              <w:ind w:left="1099"/>
            </w:pPr>
            <w:r>
              <w:rPr>
                <w:spacing w:val="-2"/>
              </w:rPr>
              <w:t>889</w:t>
            </w:r>
          </w:p>
        </w:tc>
      </w:tr>
      <w:tr>
        <w:tblPrEx>
          <w:tblW w:w="9059" w:type="dxa"/>
          <w:tblInd w:w="20" w:type="dxa"/>
          <w:tblLayout w:type="fixed"/>
        </w:tblPrEx>
        <w:trPr>
          <w:trHeight w:val="309"/>
        </w:trPr>
        <w:tc>
          <w:tcPr>
            <w:tcW w:w="3262" w:type="dxa"/>
            <w:gridSpan w:val="2"/>
            <w:vAlign w:val="top"/>
          </w:tcPr>
          <w:p>
            <w:pPr>
              <w:pStyle w:val="TableText"/>
              <w:spacing w:before="111" w:line="182" w:lineRule="auto"/>
              <w:ind w:left="1477"/>
            </w:pPr>
            <w:r>
              <w:rPr>
                <w:b/>
                <w:bCs/>
                <w:spacing w:val="-3"/>
              </w:rPr>
              <w:t>ABS</w:t>
            </w:r>
          </w:p>
        </w:tc>
        <w:tc>
          <w:tcPr>
            <w:tcW w:w="1448" w:type="dxa"/>
            <w:vAlign w:val="top"/>
          </w:tcPr>
          <w:p>
            <w:pPr>
              <w:pStyle w:val="TableText"/>
              <w:spacing w:before="114" w:line="179" w:lineRule="auto"/>
              <w:ind w:left="1093"/>
            </w:pPr>
            <w:r>
              <w:rPr>
                <w:spacing w:val="-3"/>
              </w:rPr>
              <w:t>790</w:t>
            </w:r>
          </w:p>
        </w:tc>
        <w:tc>
          <w:tcPr>
            <w:tcW w:w="1438" w:type="dxa"/>
            <w:vAlign w:val="top"/>
          </w:tcPr>
          <w:p>
            <w:pPr>
              <w:pStyle w:val="TableText"/>
              <w:spacing w:before="113" w:line="180" w:lineRule="auto"/>
              <w:ind w:left="995"/>
            </w:pPr>
            <w:r>
              <w:rPr>
                <w:spacing w:val="-2"/>
              </w:rPr>
              <w:t>2418</w:t>
            </w:r>
          </w:p>
        </w:tc>
        <w:tc>
          <w:tcPr>
            <w:tcW w:w="1458" w:type="dxa"/>
            <w:vAlign w:val="top"/>
          </w:tcPr>
          <w:p>
            <w:pPr>
              <w:pStyle w:val="TableText"/>
              <w:spacing w:before="114" w:line="179" w:lineRule="auto"/>
              <w:ind w:left="1116"/>
            </w:pPr>
            <w:r>
              <w:rPr>
                <w:spacing w:val="-3"/>
              </w:rPr>
              <w:t>799</w:t>
            </w:r>
          </w:p>
        </w:tc>
        <w:tc>
          <w:tcPr>
            <w:tcW w:w="1453" w:type="dxa"/>
            <w:vAlign w:val="top"/>
          </w:tcPr>
          <w:p>
            <w:pPr>
              <w:pStyle w:val="TableText"/>
              <w:spacing w:before="114" w:line="179" w:lineRule="auto"/>
              <w:ind w:left="1008"/>
            </w:pPr>
            <w:r>
              <w:rPr>
                <w:spacing w:val="-2"/>
              </w:rPr>
              <w:t>2646</w:t>
            </w:r>
          </w:p>
        </w:tc>
      </w:tr>
      <w:tr>
        <w:tblPrEx>
          <w:tblW w:w="9059" w:type="dxa"/>
          <w:tblInd w:w="20" w:type="dxa"/>
          <w:tblLayout w:type="fixed"/>
        </w:tblPrEx>
        <w:trPr>
          <w:trHeight w:val="319"/>
        </w:trPr>
        <w:tc>
          <w:tcPr>
            <w:tcW w:w="3262" w:type="dxa"/>
            <w:gridSpan w:val="2"/>
            <w:shd w:val="clear" w:color="auto" w:fill="BDD6EE"/>
            <w:vAlign w:val="top"/>
          </w:tcPr>
          <w:p>
            <w:pPr>
              <w:pStyle w:val="TableText"/>
              <w:spacing w:before="74" w:line="219" w:lineRule="auto"/>
              <w:ind w:left="867"/>
            </w:pPr>
            <w:r>
              <w:rPr>
                <w:b/>
                <w:bCs/>
                <w:spacing w:val="-4"/>
              </w:rPr>
              <w:t>资产支持证券合计</w:t>
            </w:r>
          </w:p>
        </w:tc>
        <w:tc>
          <w:tcPr>
            <w:tcW w:w="1448" w:type="dxa"/>
            <w:shd w:val="clear" w:color="auto" w:fill="BDD6EE"/>
            <w:vAlign w:val="top"/>
          </w:tcPr>
          <w:p>
            <w:pPr>
              <w:pStyle w:val="TableText"/>
              <w:spacing w:before="123" w:line="180" w:lineRule="auto"/>
              <w:ind w:left="1005"/>
            </w:pPr>
            <w:r>
              <w:rPr>
                <w:b/>
                <w:bCs/>
                <w:spacing w:val="-7"/>
              </w:rPr>
              <w:t>1071</w:t>
            </w:r>
          </w:p>
        </w:tc>
        <w:tc>
          <w:tcPr>
            <w:tcW w:w="1438" w:type="dxa"/>
            <w:shd w:val="clear" w:color="auto" w:fill="BDD6EE"/>
            <w:vAlign w:val="top"/>
          </w:tcPr>
          <w:p>
            <w:pPr>
              <w:pStyle w:val="TableText"/>
              <w:spacing w:before="124" w:line="179" w:lineRule="auto"/>
              <w:ind w:left="997"/>
            </w:pPr>
            <w:r>
              <w:rPr>
                <w:b/>
                <w:bCs/>
                <w:spacing w:val="-5"/>
              </w:rPr>
              <w:t>3738</w:t>
            </w:r>
          </w:p>
        </w:tc>
        <w:tc>
          <w:tcPr>
            <w:tcW w:w="1458" w:type="dxa"/>
            <w:shd w:val="clear" w:color="auto" w:fill="BDD6EE"/>
            <w:vAlign w:val="top"/>
          </w:tcPr>
          <w:p>
            <w:pPr>
              <w:pStyle w:val="TableText"/>
              <w:spacing w:before="124" w:line="179" w:lineRule="auto"/>
              <w:ind w:left="1119"/>
            </w:pPr>
            <w:r>
              <w:rPr>
                <w:b/>
                <w:bCs/>
                <w:spacing w:val="-4"/>
              </w:rPr>
              <w:t>968</w:t>
            </w:r>
          </w:p>
        </w:tc>
        <w:tc>
          <w:tcPr>
            <w:tcW w:w="1453" w:type="dxa"/>
            <w:shd w:val="clear" w:color="auto" w:fill="BDD6EE"/>
            <w:vAlign w:val="top"/>
          </w:tcPr>
          <w:p>
            <w:pPr>
              <w:pStyle w:val="TableText"/>
              <w:spacing w:before="124" w:line="179" w:lineRule="auto"/>
              <w:ind w:left="1011"/>
            </w:pPr>
            <w:r>
              <w:rPr>
                <w:b/>
                <w:bCs/>
                <w:spacing w:val="-5"/>
              </w:rPr>
              <w:t>3534</w:t>
            </w:r>
          </w:p>
        </w:tc>
      </w:tr>
      <w:tr>
        <w:tblPrEx>
          <w:tblW w:w="9059" w:type="dxa"/>
          <w:tblInd w:w="20" w:type="dxa"/>
          <w:tblLayout w:type="fixed"/>
        </w:tblPrEx>
        <w:trPr>
          <w:trHeight w:val="304"/>
        </w:trPr>
        <w:tc>
          <w:tcPr>
            <w:tcW w:w="3262" w:type="dxa"/>
            <w:gridSpan w:val="2"/>
            <w:vAlign w:val="top"/>
          </w:tcPr>
          <w:p>
            <w:pPr>
              <w:pStyle w:val="TableText"/>
              <w:spacing w:before="66" w:line="221" w:lineRule="auto"/>
              <w:ind w:left="1437"/>
            </w:pPr>
            <w:r>
              <w:rPr>
                <w:b/>
                <w:bCs/>
                <w:spacing w:val="-5"/>
              </w:rPr>
              <w:t>合计</w:t>
            </w:r>
          </w:p>
        </w:tc>
        <w:tc>
          <w:tcPr>
            <w:tcW w:w="1448" w:type="dxa"/>
            <w:vAlign w:val="top"/>
          </w:tcPr>
          <w:p>
            <w:pPr>
              <w:pStyle w:val="TableText"/>
              <w:spacing w:before="115" w:line="173" w:lineRule="auto"/>
              <w:ind w:left="1005"/>
            </w:pPr>
            <w:r>
              <w:rPr>
                <w:b/>
                <w:bCs/>
                <w:spacing w:val="-7"/>
              </w:rPr>
              <w:t>1411</w:t>
            </w:r>
          </w:p>
        </w:tc>
        <w:tc>
          <w:tcPr>
            <w:tcW w:w="1438" w:type="dxa"/>
            <w:vAlign w:val="top"/>
          </w:tcPr>
          <w:p>
            <w:pPr>
              <w:pStyle w:val="TableText"/>
              <w:spacing w:before="115" w:line="173" w:lineRule="auto"/>
              <w:ind w:left="997"/>
            </w:pPr>
            <w:r>
              <w:rPr>
                <w:b/>
                <w:bCs/>
                <w:spacing w:val="-4"/>
              </w:rPr>
              <w:t>6462</w:t>
            </w:r>
          </w:p>
        </w:tc>
        <w:tc>
          <w:tcPr>
            <w:tcW w:w="1458" w:type="dxa"/>
            <w:vAlign w:val="top"/>
          </w:tcPr>
          <w:p>
            <w:pPr>
              <w:pStyle w:val="TableText"/>
              <w:spacing w:before="114" w:line="174" w:lineRule="auto"/>
              <w:ind w:left="1029"/>
            </w:pPr>
            <w:r>
              <w:rPr>
                <w:b/>
                <w:bCs/>
                <w:spacing w:val="-7"/>
              </w:rPr>
              <w:t>1388</w:t>
            </w:r>
          </w:p>
        </w:tc>
        <w:tc>
          <w:tcPr>
            <w:tcW w:w="1453" w:type="dxa"/>
            <w:vAlign w:val="top"/>
          </w:tcPr>
          <w:p>
            <w:pPr>
              <w:pStyle w:val="TableText"/>
              <w:spacing w:before="114" w:line="174" w:lineRule="auto"/>
              <w:ind w:left="1011"/>
            </w:pPr>
            <w:r>
              <w:rPr>
                <w:b/>
                <w:bCs/>
                <w:spacing w:val="-4"/>
              </w:rPr>
              <w:t>6614</w:t>
            </w:r>
          </w:p>
        </w:tc>
      </w:tr>
    </w:tbl>
    <w:p>
      <w:pPr>
        <w:pStyle w:val="BodyText"/>
        <w:spacing w:before="42" w:line="219" w:lineRule="auto"/>
        <w:ind w:left="20"/>
        <w:rPr>
          <w:sz w:val="18"/>
          <w:szCs w:val="18"/>
        </w:rPr>
      </w:pPr>
      <w:r>
        <w:rPr>
          <w:spacing w:val="-1"/>
          <w:sz w:val="18"/>
          <w:szCs w:val="18"/>
        </w:rPr>
        <w:t>注：时间按照“起息日”统计</w:t>
      </w:r>
    </w:p>
    <w:p>
      <w:pPr>
        <w:spacing w:before="15" w:line="215" w:lineRule="auto"/>
        <w:rPr>
          <w:rFonts w:ascii="KaiTi" w:eastAsia="KaiTi" w:hAnsi="KaiTi" w:cs="KaiTi"/>
          <w:sz w:val="19"/>
          <w:szCs w:val="19"/>
        </w:rPr>
      </w:pPr>
      <w:r>
        <w:rPr>
          <w:rFonts w:ascii="KaiTi" w:eastAsia="KaiTi" w:hAnsi="KaiTi" w:cs="KaiTi"/>
          <w:spacing w:val="-12"/>
          <w:sz w:val="19"/>
          <w:szCs w:val="19"/>
        </w:rPr>
        <w:t>资料来源：</w:t>
      </w:r>
      <w:r>
        <w:rPr>
          <w:rFonts w:ascii="KaiTi" w:eastAsia="KaiTi" w:hAnsi="KaiTi" w:cs="KaiTi"/>
          <w:spacing w:val="-43"/>
          <w:sz w:val="19"/>
          <w:szCs w:val="19"/>
        </w:rPr>
        <w:t xml:space="preserve"> </w:t>
      </w:r>
      <w:r>
        <w:rPr>
          <w:rFonts w:ascii="Times New Roman" w:eastAsia="Times New Roman" w:hAnsi="Times New Roman" w:cs="Times New Roman"/>
          <w:spacing w:val="-12"/>
          <w:sz w:val="19"/>
          <w:szCs w:val="19"/>
        </w:rPr>
        <w:t>Wind,</w:t>
      </w:r>
      <w:r>
        <w:rPr>
          <w:rFonts w:ascii="Times New Roman" w:eastAsia="Times New Roman" w:hAnsi="Times New Roman" w:cs="Times New Roman"/>
          <w:spacing w:val="14"/>
          <w:sz w:val="19"/>
          <w:szCs w:val="19"/>
        </w:rPr>
        <w:t xml:space="preserve">  </w:t>
      </w:r>
      <w:r>
        <w:rPr>
          <w:rFonts w:ascii="KaiTi" w:eastAsia="KaiTi" w:hAnsi="KaiTi" w:cs="KaiTi"/>
          <w:spacing w:val="-12"/>
          <w:sz w:val="19"/>
          <w:szCs w:val="19"/>
        </w:rPr>
        <w:t>联合资信整理</w:t>
      </w:r>
    </w:p>
    <w:p>
      <w:pPr>
        <w:spacing w:before="191" w:line="284" w:lineRule="auto"/>
        <w:ind w:left="2" w:right="140" w:firstLine="449"/>
        <w:rPr>
          <w:rFonts w:ascii="KaiTi" w:eastAsia="KaiTi" w:hAnsi="KaiTi" w:cs="KaiTi"/>
          <w:sz w:val="19"/>
          <w:szCs w:val="19"/>
        </w:rPr>
      </w:pPr>
      <w:r>
        <w:rPr>
          <w:rFonts w:ascii="KaiTi" w:eastAsia="KaiTi" w:hAnsi="KaiTi" w:cs="KaiTi"/>
          <w:b/>
          <w:bCs/>
          <w:spacing w:val="19"/>
          <w:sz w:val="19"/>
          <w:szCs w:val="19"/>
        </w:rPr>
        <w:t>主体信用等级高的主体资本市场融资渠道较丰富，是资本市场的主要参</w:t>
      </w:r>
      <w:r>
        <w:rPr>
          <w:rFonts w:ascii="KaiTi" w:eastAsia="KaiTi" w:hAnsi="KaiTi" w:cs="KaiTi"/>
          <w:b/>
          <w:bCs/>
          <w:spacing w:val="18"/>
          <w:sz w:val="19"/>
          <w:szCs w:val="19"/>
        </w:rPr>
        <w:t>与者，资产支持证券为</w:t>
      </w:r>
      <w:r>
        <w:rPr>
          <w:rFonts w:ascii="KaiTi" w:eastAsia="KaiTi" w:hAnsi="KaiTi" w:cs="KaiTi"/>
          <w:sz w:val="19"/>
          <w:szCs w:val="19"/>
        </w:rPr>
        <w:t xml:space="preserve"> </w:t>
      </w:r>
      <w:r>
        <w:rPr>
          <w:rFonts w:ascii="KaiTi" w:eastAsia="KaiTi" w:hAnsi="KaiTi" w:cs="KaiTi"/>
          <w:b/>
          <w:bCs/>
          <w:spacing w:val="17"/>
          <w:sz w:val="19"/>
          <w:szCs w:val="19"/>
        </w:rPr>
        <w:t>信用等级较低的融资租赁公司提供了一条债券市场融资渠道</w:t>
      </w:r>
      <w:r>
        <w:rPr>
          <w:rFonts w:ascii="KaiTi" w:eastAsia="KaiTi" w:hAnsi="KaiTi" w:cs="KaiTi"/>
          <w:spacing w:val="17"/>
          <w:sz w:val="19"/>
          <w:szCs w:val="19"/>
        </w:rPr>
        <w:t>。</w:t>
      </w:r>
    </w:p>
    <w:p>
      <w:pPr>
        <w:pStyle w:val="BodyText"/>
        <w:spacing w:before="115" w:line="270" w:lineRule="auto"/>
        <w:ind w:right="153" w:firstLine="469"/>
      </w:pPr>
      <w:r>
        <w:rPr>
          <w:spacing w:val="20"/>
        </w:rPr>
        <w:t>从主体级别看，发行信用债的融资租赁公司主体级别整体高于发行资产支持证券的融资租赁公</w:t>
      </w:r>
      <w:r>
        <w:t xml:space="preserve"> </w:t>
      </w:r>
      <w:r>
        <w:rPr>
          <w:spacing w:val="18"/>
        </w:rPr>
        <w:t>司。2023年1-</w:t>
      </w:r>
      <w:r>
        <w:rPr>
          <w:spacing w:val="-34"/>
        </w:rPr>
        <w:t xml:space="preserve"> </w:t>
      </w:r>
      <w:r>
        <w:rPr>
          <w:spacing w:val="18"/>
        </w:rPr>
        <w:t xml:space="preserve">11月，发行信用债的主体中，主体级别为 </w:t>
      </w:r>
      <w:r>
        <w:rPr>
          <w:rFonts w:ascii="Times New Roman" w:eastAsia="Times New Roman" w:hAnsi="Times New Roman" w:cs="Times New Roman"/>
        </w:rPr>
        <w:t>AAA</w:t>
      </w:r>
      <w:r>
        <w:rPr>
          <w:rFonts w:ascii="Times New Roman" w:eastAsia="Times New Roman" w:hAnsi="Times New Roman" w:cs="Times New Roman"/>
          <w:spacing w:val="18"/>
        </w:rPr>
        <w:t xml:space="preserve">  </w:t>
      </w:r>
      <w:r>
        <w:rPr>
          <w:spacing w:val="18"/>
        </w:rPr>
        <w:t>占比54</w:t>
      </w:r>
      <w:r>
        <w:rPr>
          <w:spacing w:val="-51"/>
        </w:rPr>
        <w:t xml:space="preserve"> </w:t>
      </w:r>
      <w:r>
        <w:rPr>
          <w:spacing w:val="18"/>
        </w:rPr>
        <w:t>.</w:t>
      </w:r>
      <w:r>
        <w:rPr>
          <w:spacing w:val="-53"/>
        </w:rPr>
        <w:t xml:space="preserve"> </w:t>
      </w:r>
      <w:r>
        <w:rPr>
          <w:spacing w:val="18"/>
        </w:rPr>
        <w:t>55%、</w:t>
      </w:r>
      <w:r>
        <w:rPr>
          <w:rFonts w:ascii="Times New Roman" w:eastAsia="Times New Roman" w:hAnsi="Times New Roman" w:cs="Times New Roman"/>
        </w:rPr>
        <w:t>AA</w:t>
      </w:r>
      <w:r>
        <w:rPr>
          <w:rFonts w:ascii="Times New Roman" w:eastAsia="Times New Roman" w:hAnsi="Times New Roman" w:cs="Times New Roman"/>
          <w:spacing w:val="18"/>
        </w:rPr>
        <w:t xml:space="preserve">   </w:t>
      </w:r>
      <w:r>
        <w:rPr>
          <w:spacing w:val="18"/>
        </w:rPr>
        <w:t>占比34</w:t>
      </w:r>
      <w:r>
        <w:rPr>
          <w:spacing w:val="-53"/>
        </w:rPr>
        <w:t xml:space="preserve"> </w:t>
      </w:r>
      <w:r>
        <w:rPr>
          <w:spacing w:val="18"/>
        </w:rPr>
        <w:t>.</w:t>
      </w:r>
      <w:r>
        <w:rPr>
          <w:spacing w:val="-55"/>
        </w:rPr>
        <w:t xml:space="preserve"> </w:t>
      </w:r>
      <w:r>
        <w:rPr>
          <w:spacing w:val="18"/>
        </w:rPr>
        <w:t>55%、</w:t>
      </w:r>
    </w:p>
    <w:p>
      <w:pPr>
        <w:pStyle w:val="BodyText"/>
        <w:spacing w:before="155" w:line="219" w:lineRule="auto"/>
      </w:pPr>
      <w:r>
        <w:rPr>
          <w:rFonts w:ascii="Times New Roman" w:eastAsia="Times New Roman" w:hAnsi="Times New Roman" w:cs="Times New Roman"/>
        </w:rPr>
        <w:t>AA</w:t>
      </w:r>
      <w:r>
        <w:rPr>
          <w:rFonts w:ascii="Times New Roman" w:eastAsia="Times New Roman" w:hAnsi="Times New Roman" w:cs="Times New Roman"/>
          <w:spacing w:val="30"/>
          <w:w w:val="101"/>
        </w:rPr>
        <w:t xml:space="preserve"> </w:t>
      </w:r>
      <w:r>
        <w:rPr>
          <w:spacing w:val="22"/>
        </w:rPr>
        <w:t>占比9.09%、无级别占比1.82%;发行资产支持证券的主体中，</w:t>
      </w:r>
      <w:r>
        <w:rPr>
          <w:spacing w:val="21"/>
        </w:rPr>
        <w:t>主体级别为</w:t>
      </w:r>
      <w:r>
        <w:rPr>
          <w:rFonts w:ascii="Times New Roman" w:eastAsia="Times New Roman" w:hAnsi="Times New Roman" w:cs="Times New Roman"/>
        </w:rPr>
        <w:t>AAA</w:t>
      </w:r>
      <w:r>
        <w:rPr>
          <w:rFonts w:ascii="Times New Roman" w:eastAsia="Times New Roman" w:hAnsi="Times New Roman" w:cs="Times New Roman"/>
          <w:spacing w:val="21"/>
        </w:rPr>
        <w:t xml:space="preserve">  </w:t>
      </w:r>
      <w:r>
        <w:rPr>
          <w:spacing w:val="21"/>
        </w:rPr>
        <w:t>占比14.68%、</w:t>
      </w:r>
    </w:p>
    <w:p>
      <w:pPr>
        <w:pStyle w:val="BodyText"/>
        <w:spacing w:before="105" w:line="323" w:lineRule="auto"/>
        <w:ind w:right="20"/>
        <w:sectPr>
          <w:pgSz w:w="11910" w:h="16840"/>
          <w:pgMar w:top="863" w:right="1285" w:bottom="0" w:left="1390" w:header="0" w:footer="0" w:gutter="0"/>
          <w:pgNumType w:start="5"/>
          <w:cols w:space="708"/>
        </w:sectPr>
      </w:pPr>
      <w:r>
        <w:rPr>
          <w:rFonts w:ascii="Times New Roman" w:eastAsia="Times New Roman" w:hAnsi="Times New Roman" w:cs="Times New Roman"/>
        </w:rPr>
        <w:t>AA</w:t>
      </w:r>
      <w:r>
        <w:rPr>
          <w:rFonts w:ascii="Times New Roman" w:eastAsia="Times New Roman" w:hAnsi="Times New Roman" w:cs="Times New Roman"/>
          <w:spacing w:val="19"/>
        </w:rPr>
        <w:t>+</w:t>
      </w:r>
      <w:r>
        <w:rPr>
          <w:spacing w:val="19"/>
        </w:rPr>
        <w:t>占比15</w:t>
      </w:r>
      <w:r>
        <w:rPr>
          <w:spacing w:val="-44"/>
        </w:rPr>
        <w:t xml:space="preserve"> </w:t>
      </w:r>
      <w:r>
        <w:rPr>
          <w:spacing w:val="19"/>
        </w:rPr>
        <w:t>.60%、</w:t>
      </w:r>
      <w:r>
        <w:rPr>
          <w:rFonts w:ascii="Times New Roman" w:eastAsia="Times New Roman" w:hAnsi="Times New Roman" w:cs="Times New Roman"/>
        </w:rPr>
        <w:t>AA</w:t>
      </w:r>
      <w:r>
        <w:rPr>
          <w:rFonts w:ascii="Times New Roman" w:eastAsia="Times New Roman" w:hAnsi="Times New Roman" w:cs="Times New Roman"/>
          <w:spacing w:val="19"/>
        </w:rPr>
        <w:t xml:space="preserve">  </w:t>
      </w:r>
      <w:r>
        <w:rPr>
          <w:spacing w:val="19"/>
        </w:rPr>
        <w:t>占比8</w:t>
      </w:r>
      <w:r>
        <w:rPr>
          <w:spacing w:val="-56"/>
        </w:rPr>
        <w:t xml:space="preserve"> </w:t>
      </w:r>
      <w:r>
        <w:rPr>
          <w:spacing w:val="19"/>
        </w:rPr>
        <w:t>.26%、无级别占比61</w:t>
      </w:r>
      <w:r>
        <w:rPr>
          <w:spacing w:val="-57"/>
        </w:rPr>
        <w:t xml:space="preserve"> </w:t>
      </w:r>
      <w:r>
        <w:rPr>
          <w:spacing w:val="19"/>
        </w:rPr>
        <w:t>.47%。从发行规模看，2023年1-</w:t>
      </w:r>
      <w:r>
        <w:rPr>
          <w:spacing w:val="-48"/>
        </w:rPr>
        <w:t xml:space="preserve"> </w:t>
      </w:r>
      <w:r>
        <w:rPr>
          <w:spacing w:val="19"/>
        </w:rPr>
        <w:t>11月，信用债</w:t>
      </w:r>
      <w:r>
        <w:t xml:space="preserve">  </w:t>
      </w:r>
      <w:r>
        <w:rPr>
          <w:spacing w:val="15"/>
        </w:rPr>
        <w:t>中</w:t>
      </w:r>
      <w:r>
        <w:rPr>
          <w:spacing w:val="-32"/>
        </w:rPr>
        <w:t xml:space="preserve"> </w:t>
      </w:r>
      <w:r>
        <w:rPr>
          <w:spacing w:val="15"/>
        </w:rPr>
        <w:t>，</w:t>
      </w:r>
      <w:r>
        <w:t>AAA</w:t>
      </w:r>
      <w:r>
        <w:rPr>
          <w:spacing w:val="15"/>
        </w:rPr>
        <w:t xml:space="preserve">  主体发行规模占比90</w:t>
      </w:r>
      <w:r>
        <w:rPr>
          <w:spacing w:val="-52"/>
        </w:rPr>
        <w:t xml:space="preserve"> </w:t>
      </w:r>
      <w:r>
        <w:rPr>
          <w:spacing w:val="15"/>
        </w:rPr>
        <w:t>.</w:t>
      </w:r>
      <w:r>
        <w:rPr>
          <w:spacing w:val="-53"/>
        </w:rPr>
        <w:t xml:space="preserve"> </w:t>
      </w:r>
      <w:r>
        <w:rPr>
          <w:spacing w:val="15"/>
        </w:rPr>
        <w:t>78%、</w:t>
      </w:r>
      <w:r>
        <w:t>AA</w:t>
      </w:r>
      <w:r>
        <w:rPr>
          <w:spacing w:val="15"/>
        </w:rPr>
        <w:t>+</w:t>
      </w:r>
      <w:r>
        <w:rPr>
          <w:spacing w:val="41"/>
        </w:rPr>
        <w:t xml:space="preserve"> </w:t>
      </w:r>
      <w:r>
        <w:rPr>
          <w:spacing w:val="15"/>
        </w:rPr>
        <w:t>主体发行规模占比8</w:t>
      </w:r>
      <w:r>
        <w:rPr>
          <w:spacing w:val="-51"/>
        </w:rPr>
        <w:t xml:space="preserve"> </w:t>
      </w:r>
      <w:r>
        <w:rPr>
          <w:spacing w:val="15"/>
        </w:rPr>
        <w:t>.</w:t>
      </w:r>
      <w:r>
        <w:rPr>
          <w:spacing w:val="-42"/>
        </w:rPr>
        <w:t xml:space="preserve"> </w:t>
      </w:r>
      <w:r>
        <w:rPr>
          <w:spacing w:val="15"/>
        </w:rPr>
        <w:t>16%,</w:t>
      </w:r>
      <w:r>
        <w:t>AA</w:t>
      </w:r>
      <w:r>
        <w:rPr>
          <w:spacing w:val="15"/>
        </w:rPr>
        <w:t xml:space="preserve">  和无级别主体发行规</w:t>
      </w:r>
      <w:r>
        <w:rPr>
          <w:spacing w:val="14"/>
        </w:rPr>
        <w:t>模占</w:t>
      </w:r>
      <w:r>
        <w:t xml:space="preserve">  </w:t>
      </w:r>
      <w:r>
        <w:rPr>
          <w:spacing w:val="15"/>
        </w:rPr>
        <w:t>比极低且基本含有</w:t>
      </w:r>
      <w:r>
        <w:rPr>
          <w:spacing w:val="-25"/>
        </w:rPr>
        <w:t xml:space="preserve"> </w:t>
      </w:r>
      <w:r>
        <w:t>AAA</w:t>
      </w:r>
      <w:r>
        <w:rPr>
          <w:spacing w:val="15"/>
        </w:rPr>
        <w:t xml:space="preserve">  增信；资产支持证券中， </w:t>
      </w:r>
      <w:r>
        <w:t>AAA</w:t>
      </w:r>
      <w:r>
        <w:rPr>
          <w:spacing w:val="15"/>
        </w:rPr>
        <w:t xml:space="preserve">  主体发行规模占比56.7</w:t>
      </w:r>
      <w:r>
        <w:rPr>
          <w:spacing w:val="14"/>
        </w:rPr>
        <w:t>1%、</w:t>
      </w:r>
      <w:r>
        <w:t>AA</w:t>
      </w:r>
      <w:r>
        <w:rPr>
          <w:spacing w:val="14"/>
        </w:rPr>
        <w:t xml:space="preserve">* 主体发行规  </w:t>
      </w:r>
      <w:r>
        <w:rPr>
          <w:spacing w:val="20"/>
        </w:rPr>
        <w:t>模占比13.91%、</w:t>
      </w:r>
      <w:r>
        <w:rPr>
          <w:rFonts w:ascii="Times New Roman" w:eastAsia="Times New Roman" w:hAnsi="Times New Roman" w:cs="Times New Roman"/>
        </w:rPr>
        <w:t>AA</w:t>
      </w:r>
      <w:r>
        <w:rPr>
          <w:rFonts w:ascii="Times New Roman" w:eastAsia="Times New Roman" w:hAnsi="Times New Roman" w:cs="Times New Roman"/>
          <w:spacing w:val="19"/>
          <w:w w:val="101"/>
        </w:rPr>
        <w:t xml:space="preserve"> </w:t>
      </w:r>
      <w:r>
        <w:rPr>
          <w:spacing w:val="20"/>
        </w:rPr>
        <w:t>主体发行规模占比3.36%、无级别主体发行规模占比26</w:t>
      </w:r>
      <w:r>
        <w:rPr>
          <w:spacing w:val="19"/>
        </w:rPr>
        <w:t>.02%。在信用债市场中，</w:t>
      </w:r>
      <w:r>
        <w:t xml:space="preserve"> </w:t>
      </w:r>
    </w:p>
    <w:p>
      <w:pPr>
        <w:pStyle w:val="BodyText"/>
        <w:spacing w:before="105" w:line="323" w:lineRule="auto"/>
        <w:ind w:right="20"/>
      </w:pPr>
      <w:r>
        <w:rPr>
          <w:rFonts w:ascii="Times New Roman" w:eastAsia="Times New Roman" w:hAnsi="Times New Roman" w:cs="Times New Roman"/>
        </w:rPr>
        <w:t>AAA</w:t>
      </w:r>
      <w:r>
        <w:rPr>
          <w:rFonts w:ascii="Times New Roman" w:eastAsia="Times New Roman" w:hAnsi="Times New Roman" w:cs="Times New Roman"/>
          <w:spacing w:val="16"/>
        </w:rPr>
        <w:t xml:space="preserve">  </w:t>
      </w:r>
      <w:r>
        <w:rPr>
          <w:spacing w:val="16"/>
        </w:rPr>
        <w:t xml:space="preserve">主体是主要参与者；在资产支持证券市场中， </w:t>
      </w:r>
      <w:r>
        <w:rPr>
          <w:rFonts w:ascii="Times New Roman" w:eastAsia="Times New Roman" w:hAnsi="Times New Roman" w:cs="Times New Roman"/>
        </w:rPr>
        <w:t>AAA</w:t>
      </w:r>
      <w:r>
        <w:rPr>
          <w:rFonts w:ascii="Times New Roman" w:eastAsia="Times New Roman" w:hAnsi="Times New Roman" w:cs="Times New Roman"/>
          <w:spacing w:val="16"/>
        </w:rPr>
        <w:t xml:space="preserve">   </w:t>
      </w:r>
      <w:r>
        <w:rPr>
          <w:spacing w:val="16"/>
        </w:rPr>
        <w:t>主体</w:t>
      </w:r>
      <w:r>
        <w:rPr>
          <w:spacing w:val="15"/>
        </w:rPr>
        <w:t>发行规模仍占半壁江山，但其他级别</w:t>
      </w:r>
      <w:r>
        <w:t xml:space="preserve">  </w:t>
      </w:r>
      <w:r>
        <w:rPr>
          <w:spacing w:val="19"/>
        </w:rPr>
        <w:t>主体发行规模占比相对提升。值得注意的是，信用债和资产支持证券高级别发行主体的重合度高，</w:t>
      </w:r>
    </w:p>
    <w:p>
      <w:pPr>
        <w:pStyle w:val="BodyText"/>
        <w:spacing w:before="114" w:line="293" w:lineRule="auto"/>
        <w:ind w:right="176"/>
      </w:pPr>
      <w:r>
        <w:rPr>
          <w:spacing w:val="18"/>
        </w:rPr>
        <w:t>发行资产支持证券的</w:t>
      </w:r>
      <w:r>
        <w:rPr>
          <w:spacing w:val="-38"/>
        </w:rPr>
        <w:t xml:space="preserve"> </w:t>
      </w:r>
      <w:r>
        <w:rPr>
          <w:rFonts w:ascii="Times New Roman" w:eastAsia="Times New Roman" w:hAnsi="Times New Roman" w:cs="Times New Roman"/>
        </w:rPr>
        <w:t>AAA</w:t>
      </w:r>
      <w:r>
        <w:rPr>
          <w:rFonts w:ascii="Times New Roman" w:eastAsia="Times New Roman" w:hAnsi="Times New Roman" w:cs="Times New Roman"/>
          <w:spacing w:val="18"/>
        </w:rPr>
        <w:t xml:space="preserve">  </w:t>
      </w:r>
      <w:r>
        <w:rPr>
          <w:spacing w:val="18"/>
        </w:rPr>
        <w:t>主体全部发行了信用债，82.35%的</w:t>
      </w:r>
      <w:r>
        <w:rPr>
          <w:spacing w:val="-40"/>
        </w:rPr>
        <w:t xml:space="preserve"> </w:t>
      </w:r>
      <w:r>
        <w:rPr>
          <w:rFonts w:ascii="Times New Roman" w:eastAsia="Times New Roman" w:hAnsi="Times New Roman" w:cs="Times New Roman"/>
        </w:rPr>
        <w:t>AA</w:t>
      </w:r>
      <w:r>
        <w:rPr>
          <w:rFonts w:ascii="Times New Roman" w:eastAsia="Times New Roman" w:hAnsi="Times New Roman" w:cs="Times New Roman"/>
          <w:spacing w:val="18"/>
        </w:rPr>
        <w:t>*</w:t>
      </w:r>
      <w:r>
        <w:rPr>
          <w:rFonts w:ascii="Times New Roman" w:eastAsia="Times New Roman" w:hAnsi="Times New Roman" w:cs="Times New Roman"/>
          <w:spacing w:val="-6"/>
        </w:rPr>
        <w:t xml:space="preserve"> </w:t>
      </w:r>
      <w:r>
        <w:rPr>
          <w:spacing w:val="18"/>
        </w:rPr>
        <w:t>主体也发行了信用债。综上，信</w:t>
      </w:r>
      <w:r>
        <w:t xml:space="preserve"> </w:t>
      </w:r>
      <w:r>
        <w:rPr>
          <w:spacing w:val="21"/>
        </w:rPr>
        <w:t>用等级高的主体债券市场融资渠道较丰富，可根据自身融资需</w:t>
      </w:r>
      <w:r>
        <w:rPr>
          <w:spacing w:val="20"/>
        </w:rPr>
        <w:t>求选择不同的债券品种；资产支持证</w:t>
      </w:r>
      <w:r>
        <w:t xml:space="preserve"> </w:t>
      </w:r>
      <w:r>
        <w:rPr>
          <w:spacing w:val="18"/>
        </w:rPr>
        <w:t>券为信用等级较低的融资租赁公司提供了一条债券市场融资渠道。</w:t>
      </w:r>
    </w:p>
    <w:p>
      <w:pPr>
        <w:rPr>
          <w:rFonts w:ascii="Arial"/>
          <w:sz w:val="21"/>
        </w:rPr>
      </w:pPr>
    </w:p>
    <w:p>
      <w:pPr>
        <w:pStyle w:val="BodyText"/>
        <w:spacing w:before="63" w:line="212" w:lineRule="auto"/>
        <w:rPr>
          <w:sz w:val="13"/>
          <w:szCs w:val="13"/>
        </w:rPr>
      </w:pPr>
      <w:r>
        <w:rPr>
          <w:rFonts w:ascii="Times New Roman" w:eastAsia="Times New Roman" w:hAnsi="Times New Roman" w:cs="Times New Roman"/>
          <w:spacing w:val="-7"/>
        </w:rPr>
        <w:t xml:space="preserve">www.Ihratings.com  </w:t>
      </w:r>
      <w:r>
        <w:rPr>
          <w:spacing w:val="-7"/>
        </w:rPr>
        <w:t>研究报告</w:t>
      </w:r>
      <w:r>
        <w:rPr>
          <w:spacing w:val="1"/>
        </w:rPr>
        <w:t xml:space="preserve">                                         </w:t>
      </w:r>
      <w:r>
        <w:t xml:space="preserve">                             </w:t>
      </w:r>
      <w:r>
        <w:rPr>
          <w:spacing w:val="-7"/>
          <w:position w:val="-1"/>
          <w:sz w:val="13"/>
          <w:szCs w:val="13"/>
        </w:rPr>
        <w:t>4</w:t>
      </w:r>
    </w:p>
    <w:p>
      <w:pPr>
        <w:spacing w:line="212" w:lineRule="auto"/>
        <w:rPr>
          <w:sz w:val="13"/>
          <w:szCs w:val="13"/>
        </w:rPr>
      </w:pPr>
      <w:r>
        <w:rPr>
          <w:sz w:val="13"/>
          <w:szCs w:val="13"/>
        </w:rPr>
        <w:br/>
      </w:r>
      <w:r>
        <w:rPr>
          <w:sz w:val="13"/>
          <w:szCs w:val="1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 w:history="1">
        <w:r>
          <w:rPr>
            <w:rFonts w:ascii="SimSun" w:eastAsia="SimSun" w:hAnsi="SimSun" w:cs="SimSun"/>
            <w:b/>
            <w:bCs/>
            <w:noProof w:val="0"/>
            <w:snapToGrid/>
            <w:color w:val="0000EE"/>
            <w:kern w:val="0"/>
            <w:sz w:val="30"/>
            <w:szCs w:val="30"/>
            <w:u w:val="single" w:color="0000EE"/>
          </w:rPr>
          <w:t>https://d.book118.com/036233113041010031</w:t>
        </w:r>
      </w:hyperlink>
    </w:p>
    <w:p>
      <w:pPr>
        <w:spacing w:line="212" w:lineRule="auto"/>
        <w:rPr>
          <w:sz w:val="13"/>
          <w:szCs w:val="13"/>
        </w:rPr>
      </w:pPr>
    </w:p>
    <w:sectPr>
      <w:type w:val="nextPage"/>
      <w:pgSz w:w="11910" w:h="16840"/>
      <w:pgMar w:top="863" w:right="1285" w:bottom="0" w:left="1390" w:header="0" w:footer="0" w:gutter="0"/>
      <w:pgNumType w:start="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19"/>
      <w:szCs w:val="19"/>
      <w:lang w:val="en-US" w:eastAsia="en-US" w:bidi="ar-SA"/>
    </w:rPr>
  </w:style>
  <w:style w:type="paragraph" w:customStyle="1" w:styleId="TableText">
    <w:name w:val="Table Text"/>
    <w:basedOn w:val="Normal"/>
    <w:semiHidden/>
    <w:qFormat/>
    <w:rPr>
      <w:rFonts w:ascii="SimSun" w:eastAsia="SimSun" w:hAnsi="SimSun" w:cs="SimSun"/>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03623311304101003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2024-01-03T22:02:37Z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2024-01-03T22:02:40Z</vt:filetime>
  </property>
  <property fmtid="{D5CDD505-2E9C-101B-9397-08002B2CF9AE}" pid="3" name="CRO">
    <vt:lpwstr>wqlLaW5nc29mdCBQREYgdG8gV1BTIDkw</vt:lpwstr>
  </property>
  <property fmtid="{D5CDD505-2E9C-101B-9397-08002B2CF9AE}" pid="4" name="UsrData">
    <vt:lpwstr>659568fa98caa6001fcc97d8wl</vt:lpwstr>
  </property>
</Properties>
</file>