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0" w:line="1565" w:lineRule="exact"/>
      </w:pPr>
      <w:r>
        <w:rPr>
          <w:position w:val="-31"/>
        </w:rPr>
        <w:pict>
          <v:group id="_x0000_i1025" style="width:522.85pt;height:78.3pt;mso-position-horizontal-relative:char;mso-position-vertical-relative:line" coordorigin="0,0" coordsize="10456,1566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0456;height:1566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0280;height:1285;left:88;position:absolute;top:167" filled="f" stroked="f">
              <o:lock v:ext="edit" aspectratio="f"/>
              <v:textbox inset="0,0,0,0">
                <w:txbxContent>
                  <w:p>
                    <w:pPr>
                      <w:spacing w:before="19" w:line="228" w:lineRule="auto"/>
                      <w:ind w:left="20"/>
                      <w:rPr>
                        <w:rFonts w:ascii="KaiTi" w:eastAsia="KaiTi" w:hAnsi="KaiTi" w:cs="KaiTi"/>
                        <w:sz w:val="27"/>
                        <w:szCs w:val="27"/>
                      </w:rPr>
                    </w:pPr>
                    <w:r>
                      <w:rPr>
                        <w:rFonts w:ascii="KaiTi" w:eastAsia="KaiTi" w:hAnsi="KaiTi" w:cs="KaiTi"/>
                        <w:spacing w:val="9"/>
                        <w:sz w:val="27"/>
                        <w:szCs w:val="27"/>
                      </w:rPr>
                      <w:t>金融工程深度</w:t>
                    </w:r>
                  </w:p>
                  <w:p>
                    <w:pPr>
                      <w:spacing w:before="73" w:line="204" w:lineRule="auto"/>
                      <w:ind w:left="65"/>
                      <w:outlineLvl w:val="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16"/>
                        <w:sz w:val="36"/>
                        <w:szCs w:val="36"/>
                        <w14:textOutline w14:w="6531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出口链：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16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FFFFFF"/>
                        <w:spacing w:val="-16"/>
                        <w:sz w:val="36"/>
                        <w:szCs w:val="36"/>
                      </w:rPr>
                      <w:t>2024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FFFFFF"/>
                        <w:spacing w:val="46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16"/>
                        <w:sz w:val="36"/>
                        <w:szCs w:val="36"/>
                        <w14:textOutline w14:w="6531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需求改善的方向</w:t>
                    </w:r>
                  </w:p>
                  <w:p>
                    <w:pPr>
                      <w:spacing w:line="49" w:lineRule="exact"/>
                      <w:ind w:firstLine="20"/>
                    </w:pPr>
                    <w:r>
                      <w:drawing>
                        <wp:inline distT="0" distB="0" distL="0" distR="0">
                          <wp:extent cx="6502907" cy="31241"/>
                          <wp:effectExtent l="0" t="0" r="0" b="0"/>
                          <wp:docPr id="4" name="IM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 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502907" cy="3124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111" w:line="226" w:lineRule="auto"/>
                      <w:ind w:left="28"/>
                      <w:rPr>
                        <w:rFonts w:ascii="SimSun" w:eastAsia="SimSun" w:hAnsi="SimSun" w:cs="SimSun"/>
                        <w:sz w:val="27"/>
                        <w:szCs w:val="27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9"/>
                        <w:sz w:val="27"/>
                        <w:szCs w:val="27"/>
                        <w14:textOutline w14:w="5072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——泛事件驱动系列</w:t>
                    </w:r>
                  </w:p>
                </w:txbxContent>
              </v:textbox>
            </v:shape>
            <v:shape id="_x0000_s1028" type="#_x0000_t202" style="width:2605;height:241;left:7765;position:absolute;top:239" filled="f" stroked="f">
              <o:lock v:ext="edit" aspectratio="f"/>
              <v:textbox inset="0,0,0,0">
                <w:txbxContent>
                  <w:p>
                    <w:pPr>
                      <w:spacing w:before="20" w:line="217" w:lineRule="auto"/>
                      <w:jc w:val="right"/>
                      <w:rPr>
                        <w:rFonts w:ascii="KaiTi" w:eastAsia="KaiTi" w:hAnsi="KaiTi" w:cs="KaiTi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spacing w:val="-6"/>
                        <w:sz w:val="20"/>
                        <w:szCs w:val="20"/>
                      </w:rPr>
                      <w:t>报告日期：</w:t>
                    </w:r>
                    <w:r>
                      <w:rPr>
                        <w:rFonts w:ascii="Arial" w:eastAsia="Arial" w:hAnsi="Arial" w:cs="Arial"/>
                        <w:spacing w:val="-6"/>
                        <w:sz w:val="18"/>
                        <w:szCs w:val="18"/>
                      </w:rPr>
                      <w:t xml:space="preserve">2024 </w:t>
                    </w:r>
                    <w:r>
                      <w:rPr>
                        <w:rFonts w:ascii="KaiTi" w:eastAsia="KaiTi" w:hAnsi="KaiTi" w:cs="KaiTi"/>
                        <w:spacing w:val="-6"/>
                        <w:sz w:val="18"/>
                        <w:szCs w:val="18"/>
                      </w:rPr>
                      <w:t>年</w:t>
                    </w:r>
                    <w:r>
                      <w:rPr>
                        <w:rFonts w:ascii="KaiTi" w:eastAsia="KaiTi" w:hAnsi="KaiTi" w:cs="KaiTi"/>
                        <w:spacing w:val="-3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6"/>
                        <w:sz w:val="18"/>
                        <w:szCs w:val="18"/>
                      </w:rPr>
                      <w:t>01</w:t>
                    </w:r>
                    <w:r>
                      <w:rPr>
                        <w:rFonts w:ascii="Arial" w:eastAsia="Arial" w:hAnsi="Arial" w:cs="Arial"/>
                        <w:spacing w:val="1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6"/>
                        <w:sz w:val="18"/>
                        <w:szCs w:val="18"/>
                      </w:rPr>
                      <w:t>月</w:t>
                    </w:r>
                    <w:r>
                      <w:rPr>
                        <w:rFonts w:ascii="KaiTi" w:eastAsia="KaiTi" w:hAnsi="KaiTi" w:cs="KaiTi"/>
                        <w:spacing w:val="-2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6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Arial" w:eastAsia="Arial" w:hAnsi="Arial" w:cs="Arial"/>
                        <w:spacing w:val="38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6"/>
                        <w:sz w:val="18"/>
                        <w:szCs w:val="18"/>
                      </w:rPr>
                      <w:t>日</w:t>
                    </w:r>
                  </w:p>
                </w:txbxContent>
              </v:textbox>
            </v:shape>
            <v:shape id="_x0000_s1029" style="width:10240;height:15;left:108;position:absolute;top:1550" coordorigin="0,0" coordsize="10240,15" path="m,14l10240,14l10240,l,l,14xe" filled="t" fillcolor="#b60004" stroked="f"/>
            <v:shape id="_x0000_s1030" style="width:5013;height:15;left:108;position:absolute" coordorigin="0,0" coordsize="5013,15" path="m,14l5013,14l5013,l,l,14xe" filled="t" fillcolor="#f2f2f2" stroked="f"/>
            <w10:wrap type="none"/>
          </v:group>
        </w:pict>
      </w:r>
    </w:p>
    <w:p>
      <w:pPr>
        <w:spacing w:line="185" w:lineRule="exact"/>
      </w:pPr>
    </w:p>
    <w:p>
      <w:pPr>
        <w:spacing w:line="185" w:lineRule="exact"/>
        <w:sectPr>
          <w:headerReference w:type="default" r:id="rId6"/>
          <w:footerReference w:type="default" r:id="rId7"/>
          <w:pgSz w:w="11907" w:h="16839"/>
          <w:pgMar w:top="1327" w:right="729" w:bottom="1027" w:left="720" w:header="851" w:footer="800" w:gutter="0"/>
          <w:cols w:num="1" w:space="708" w:equalWidth="0">
            <w:col w:w="10457" w:space="0"/>
          </w:cols>
        </w:sectPr>
      </w:pPr>
    </w:p>
    <w:p>
      <w:pPr>
        <w:pStyle w:val="BodyText"/>
        <w:spacing w:line="227" w:lineRule="auto"/>
        <w:ind w:left="110"/>
        <w:rPr>
          <w:sz w:val="27"/>
          <w:szCs w:val="27"/>
        </w:rPr>
      </w:pPr>
      <w:r>
        <w:rPr>
          <w:color w:val="B70004"/>
          <w:spacing w:val="9"/>
          <w:sz w:val="27"/>
          <w:szCs w:val="27"/>
          <w14:textOutline w14:w="5072">
            <w14:solidFill>
              <w14:srgbClr w14:val="B70004"/>
            </w14:solidFill>
            <w14:prstDash w14:val="solid"/>
            <w14:miter w14:lim="10"/>
          </w14:textOutline>
        </w:rPr>
        <w:t>核心观点</w:t>
      </w:r>
    </w:p>
    <w:p>
      <w:pPr>
        <w:pStyle w:val="BodyText"/>
        <w:spacing w:before="174" w:line="263" w:lineRule="auto"/>
        <w:ind w:left="120" w:right="111" w:firstLine="3"/>
        <w:jc w:val="both"/>
      </w:pPr>
      <w:r>
        <w:rPr>
          <w:color w:val="B70004"/>
          <w:spacing w:val="-2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美联储降息预期下，</w:t>
      </w:r>
      <w:r>
        <w:rPr>
          <w:color w:val="B70004"/>
          <w:spacing w:val="-2"/>
        </w:rPr>
        <w:t xml:space="preserve"> </w:t>
      </w:r>
      <w:r>
        <w:rPr>
          <w:color w:val="B70004"/>
          <w:spacing w:val="-2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房地产、制造业、医药研发等对投融</w:t>
      </w:r>
      <w:r>
        <w:rPr>
          <w:color w:val="B70004"/>
          <w:spacing w:val="-3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资依赖性较强的方向均有望</w:t>
      </w:r>
      <w:r>
        <w:rPr>
          <w:color w:val="B70004"/>
        </w:rPr>
        <w:t xml:space="preserve"> </w:t>
      </w:r>
      <w:r>
        <w:rPr>
          <w:color w:val="B70004"/>
          <w:spacing w:val="-2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受益，利好国内对应出口链的需求扩张。向后看，</w:t>
      </w:r>
      <w:r>
        <w:rPr>
          <w:color w:val="B70004"/>
          <w:spacing w:val="-2"/>
        </w:rPr>
        <w:t xml:space="preserve"> </w:t>
      </w:r>
      <w:r>
        <w:rPr>
          <w:color w:val="B70004"/>
          <w:spacing w:val="-2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我们判断地</w:t>
      </w:r>
      <w:r>
        <w:rPr>
          <w:color w:val="B70004"/>
          <w:spacing w:val="-3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产后周期出口链有望持</w:t>
      </w:r>
      <w:r>
        <w:rPr>
          <w:color w:val="B70004"/>
        </w:rPr>
        <w:t xml:space="preserve"> </w:t>
      </w:r>
      <w:r>
        <w:rPr>
          <w:color w:val="B70004"/>
          <w:spacing w:val="-4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续走强，</w:t>
      </w:r>
      <w:r>
        <w:rPr>
          <w:color w:val="B70004"/>
          <w:spacing w:val="-4"/>
        </w:rPr>
        <w:t xml:space="preserve"> </w:t>
      </w:r>
      <w:r>
        <w:rPr>
          <w:color w:val="B70004"/>
          <w:spacing w:val="-4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而制造业及医药出口链尚需等待数据验</w:t>
      </w:r>
      <w:r>
        <w:rPr>
          <w:color w:val="B70004"/>
          <w:spacing w:val="-5"/>
          <w14:textOutline w14:w="3635">
            <w14:solidFill>
              <w14:srgbClr w14:val="B70004"/>
            </w14:solidFill>
            <w14:prstDash w14:val="solid"/>
            <w14:miter w14:lim="10"/>
          </w14:textOutline>
        </w:rPr>
        <w:t>证。</w:t>
      </w:r>
    </w:p>
    <w:p>
      <w:pPr>
        <w:pStyle w:val="BodyText"/>
        <w:spacing w:before="142" w:line="212" w:lineRule="auto"/>
        <w:ind w:left="124"/>
      </w:pPr>
      <w:r>
        <w:drawing>
          <wp:inline distT="0" distB="0" distL="0" distR="0">
            <wp:extent cx="102694" cy="93404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9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</w:rPr>
        <w:t xml:space="preserve">  </w:t>
      </w:r>
      <w:r>
        <w:rPr>
          <w:spacing w:val="-4"/>
          <w14:textOutline w14:w="3635">
            <w14:solidFill>
              <w14:srgbClr w14:val="000000"/>
            </w14:solidFill>
            <w14:prstDash w14:val="solid"/>
            <w14:miter w14:lim="10"/>
          </w14:textOutline>
        </w:rPr>
        <w:t>美联储降息预期下，哪些方向可能受益？</w:t>
      </w:r>
    </w:p>
    <w:p>
      <w:pPr>
        <w:pStyle w:val="BodyText"/>
        <w:spacing w:before="85" w:line="275" w:lineRule="auto"/>
        <w:ind w:left="534" w:right="55" w:firstLine="17"/>
        <w:jc w:val="both"/>
      </w:pPr>
      <w:r>
        <w:rPr>
          <w:spacing w:val="-5"/>
        </w:rPr>
        <w:t>降息直接带来的是社会融资成本的下降，</w:t>
      </w:r>
      <w:r>
        <w:rPr>
          <w:spacing w:val="61"/>
        </w:rPr>
        <w:t xml:space="preserve"> </w:t>
      </w:r>
      <w:r>
        <w:rPr>
          <w:spacing w:val="-5"/>
        </w:rPr>
        <w:t>有助于扩大投融资需求，对房地产、制</w:t>
      </w:r>
      <w:r>
        <w:t xml:space="preserve"> </w:t>
      </w:r>
      <w:r>
        <w:t>造业、医药研发等对投融资依赖性较强的方向而言，均具备明显利好。从历史数</w:t>
      </w:r>
      <w:r>
        <w:rPr>
          <w:spacing w:val="5"/>
        </w:rPr>
        <w:t xml:space="preserve"> </w:t>
      </w:r>
      <w:r>
        <w:t>据上看，美联储降息周期开启前后，美国地产周期有望趋于复苏、药企研发投入</w:t>
      </w:r>
      <w:r>
        <w:rPr>
          <w:spacing w:val="4"/>
        </w:rPr>
        <w:t xml:space="preserve"> </w:t>
      </w:r>
      <w:r>
        <w:rPr>
          <w:spacing w:val="-8"/>
        </w:rPr>
        <w:t>有望趋于上行，而在降息周期中后段，</w:t>
      </w:r>
      <w:r>
        <w:rPr>
          <w:spacing w:val="46"/>
        </w:rPr>
        <w:t xml:space="preserve"> </w:t>
      </w:r>
      <w:r>
        <w:rPr>
          <w:spacing w:val="-8"/>
        </w:rPr>
        <w:t>美国制造业景气有望趋于回升。与之对应，</w:t>
      </w:r>
      <w:r>
        <w:t xml:space="preserve"> </w:t>
      </w:r>
      <w:r>
        <w:rPr>
          <w:spacing w:val="-6"/>
        </w:rPr>
        <w:t>利好标的主要为以下行业中欧美出口占比较高的公司：地产后周期（家具、家电</w:t>
      </w:r>
      <w:r>
        <w:rPr>
          <w:spacing w:val="-37"/>
          <w:w w:val="85"/>
        </w:rPr>
        <w:t>），</w:t>
      </w:r>
      <w:r>
        <w:rPr>
          <w:spacing w:val="2"/>
        </w:rPr>
        <w:t xml:space="preserve"> </w:t>
      </w:r>
      <w:r>
        <w:rPr>
          <w:spacing w:val="-4"/>
        </w:rPr>
        <w:t>制造业（基础化工、机械设备、汽车零部件、工业金属等</w:t>
      </w:r>
      <w:r>
        <w:rPr>
          <w:spacing w:val="-1"/>
        </w:rPr>
        <w:t>），</w:t>
      </w:r>
      <w:r>
        <w:rPr>
          <w:spacing w:val="-4"/>
        </w:rPr>
        <w:t>医药研发。</w:t>
      </w:r>
    </w:p>
    <w:p>
      <w:pPr>
        <w:spacing w:line="334" w:lineRule="auto"/>
        <w:rPr>
          <w:rFonts w:ascii="Arial"/>
          <w:sz w:val="21"/>
        </w:rPr>
      </w:pPr>
    </w:p>
    <w:p>
      <w:pPr>
        <w:pStyle w:val="BodyText"/>
        <w:spacing w:before="65" w:line="213" w:lineRule="auto"/>
        <w:ind w:left="124"/>
      </w:pPr>
      <w:r>
        <w:drawing>
          <wp:inline distT="0" distB="0" distL="0" distR="0">
            <wp:extent cx="102694" cy="9340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9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7"/>
        </w:rPr>
        <w:t xml:space="preserve">  </w:t>
      </w:r>
      <w:r>
        <w:rPr>
          <w:spacing w:val="-5"/>
          <w14:textOutline w14:w="3635">
            <w14:solidFill>
              <w14:srgbClr w14:val="000000"/>
            </w14:solidFill>
            <w14:prstDash w14:val="solid"/>
            <w14:miter w14:lim="10"/>
          </w14:textOutline>
        </w:rPr>
        <w:t>以史为鉴，降息周期中行情节奏如何演绎？</w:t>
      </w:r>
    </w:p>
    <w:p>
      <w:pPr>
        <w:pStyle w:val="BodyText"/>
        <w:spacing w:before="79" w:line="276" w:lineRule="auto"/>
        <w:ind w:left="535" w:right="109" w:firstLine="3"/>
      </w:pPr>
      <w:r>
        <w:t>我们基于上市公司欧美收入占比构建了出口链股票组合，根据对上一轮美联储降</w:t>
      </w:r>
      <w:r>
        <w:t xml:space="preserve"> </w:t>
      </w:r>
      <w:r>
        <w:rPr>
          <w:spacing w:val="-5"/>
        </w:rPr>
        <w:t>息周期期间行情节奏的复盘，我们发现，</w:t>
      </w:r>
      <w:r>
        <w:rPr>
          <w:spacing w:val="79"/>
        </w:rPr>
        <w:t xml:space="preserve"> </w:t>
      </w:r>
      <w:r>
        <w:rPr>
          <w:spacing w:val="-5"/>
        </w:rPr>
        <w:t>虽然制造业、房地产等方向均受益于美</w:t>
      </w:r>
      <w:r>
        <w:t xml:space="preserve"> </w:t>
      </w:r>
      <w:r>
        <w:t>联储降息周期，但各细分方向的行情节奏并非与美联储实际降息时点直接相关，</w:t>
      </w:r>
      <w:r>
        <w:rPr>
          <w:spacing w:val="4"/>
        </w:rPr>
        <w:t xml:space="preserve"> </w:t>
      </w:r>
      <w:r>
        <w:t>而是更多与地产销量、</w:t>
      </w:r>
      <w:r>
        <w:rPr>
          <w:rFonts w:ascii="Times New Roman" w:eastAsia="Times New Roman" w:hAnsi="Times New Roman" w:cs="Times New Roman"/>
        </w:rPr>
        <w:t xml:space="preserve">PMI </w:t>
      </w:r>
      <w:r>
        <w:t>等基本面数据挂钩。此外，中美之间的景气</w:t>
      </w:r>
      <w:r>
        <w:rPr>
          <w:spacing w:val="-1"/>
        </w:rPr>
        <w:t>强弱关系</w:t>
      </w:r>
      <w:r>
        <w:t xml:space="preserve"> </w:t>
      </w:r>
      <w:r>
        <w:t>也会影响出口链的收益表现，若国内景气表现更强，那么出口链的景气优势将相</w:t>
      </w:r>
      <w:r>
        <w:rPr>
          <w:spacing w:val="4"/>
        </w:rPr>
        <w:t xml:space="preserve"> </w:t>
      </w:r>
      <w:r>
        <w:rPr>
          <w:spacing w:val="-2"/>
        </w:rPr>
        <w:t>应被削弱，对应非出口链超额收益更为突出。</w:t>
      </w:r>
    </w:p>
    <w:p>
      <w:pPr>
        <w:spacing w:line="333" w:lineRule="auto"/>
        <w:rPr>
          <w:rFonts w:ascii="Arial"/>
          <w:sz w:val="21"/>
        </w:rPr>
      </w:pPr>
    </w:p>
    <w:p>
      <w:pPr>
        <w:pStyle w:val="BodyText"/>
        <w:spacing w:before="66" w:line="217" w:lineRule="auto"/>
        <w:ind w:left="124"/>
      </w:pPr>
      <w:r>
        <w:drawing>
          <wp:inline distT="0" distB="0" distL="0" distR="0">
            <wp:extent cx="102694" cy="9340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9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7"/>
        </w:rPr>
        <w:t xml:space="preserve">  </w:t>
      </w:r>
      <w:r>
        <w:rPr>
          <w14:textOutline w14:w="3635">
            <w14:solidFill>
              <w14:srgbClr w14:val="000000"/>
            </w14:solidFill>
            <w14:prstDash w14:val="solid"/>
            <w14:miter w14:lim="10"/>
          </w14:textOutline>
        </w:rPr>
        <w:t>如何交易本轮美联储降息周期？</w:t>
      </w:r>
    </w:p>
    <w:p>
      <w:pPr>
        <w:pStyle w:val="BodyText"/>
        <w:spacing w:before="54" w:line="237" w:lineRule="auto"/>
        <w:ind w:left="510" w:right="78" w:hanging="4"/>
        <w:jc w:val="both"/>
      </w:pPr>
      <w:r>
        <w:rPr>
          <w:spacing w:val="-1"/>
        </w:rPr>
        <w:t>展望后市，地产后周期出口链有望持续走强，制造业及医药出口链尚需等待：</w:t>
      </w:r>
      <w:r>
        <w:rPr>
          <w:rFonts w:ascii="Times New Roman" w:eastAsia="Times New Roman" w:hAnsi="Times New Roman" w:cs="Times New Roman"/>
          <w:spacing w:val="-1"/>
        </w:rPr>
        <w:t>1</w:t>
      </w:r>
      <w:r>
        <w:rPr>
          <w:spacing w:val="-1"/>
        </w:rPr>
        <w:t>、</w:t>
      </w:r>
      <w:r>
        <w:t xml:space="preserve"> </w:t>
      </w:r>
      <w:r>
        <w:rPr>
          <w:spacing w:val="-3"/>
        </w:rPr>
        <w:t>地产后周期：受低库存影响，</w:t>
      </w:r>
      <w:r>
        <w:rPr>
          <w:spacing w:val="27"/>
        </w:rPr>
        <w:t xml:space="preserve"> </w:t>
      </w:r>
      <w:r>
        <w:rPr>
          <w:spacing w:val="-3"/>
        </w:rPr>
        <w:t>美国地产周期在利率下行前就已企稳复苏，随着后</w:t>
      </w:r>
      <w:r>
        <w:t xml:space="preserve"> </w:t>
      </w:r>
      <w:r>
        <w:rPr>
          <w:spacing w:val="1"/>
        </w:rPr>
        <w:t>续降息周期开启，美国地产景气复苏趋势有望延续</w:t>
      </w:r>
      <w:r>
        <w:t>，地产后周期出口链有望持续</w:t>
      </w:r>
      <w:r>
        <w:t xml:space="preserve"> </w:t>
      </w:r>
      <w:r>
        <w:rPr>
          <w:spacing w:val="-13"/>
        </w:rPr>
        <w:t>走强；</w:t>
      </w:r>
      <w:r>
        <w:rPr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3"/>
        </w:rPr>
        <w:t>2</w:t>
      </w:r>
      <w:r>
        <w:rPr>
          <w:spacing w:val="-13"/>
        </w:rPr>
        <w:t>、制造业：</w:t>
      </w:r>
      <w:r>
        <w:rPr>
          <w:spacing w:val="-13"/>
        </w:rPr>
        <w:t xml:space="preserve"> </w:t>
      </w:r>
      <w:r>
        <w:rPr>
          <w:spacing w:val="-13"/>
        </w:rPr>
        <w:t>美国制造业景气周期基本触底，</w:t>
      </w:r>
      <w:r>
        <w:rPr>
          <w:spacing w:val="32"/>
        </w:rPr>
        <w:t xml:space="preserve"> </w:t>
      </w:r>
      <w:r>
        <w:rPr>
          <w:spacing w:val="-13"/>
        </w:rPr>
        <w:t>但尚未形成上行趋势，</w:t>
      </w:r>
      <w:r>
        <w:rPr>
          <w:spacing w:val="-13"/>
        </w:rPr>
        <w:t xml:space="preserve"> </w:t>
      </w:r>
      <w:r>
        <w:rPr>
          <w:spacing w:val="-13"/>
        </w:rPr>
        <w:t>在监测</w:t>
      </w:r>
      <w:r>
        <w:t xml:space="preserve"> </w:t>
      </w:r>
      <w:r>
        <w:rPr>
          <w:spacing w:val="1"/>
        </w:rPr>
        <w:t>美国制造业景气复苏态势之外，由于国内制造业景</w:t>
      </w:r>
      <w:r>
        <w:t>气亦有望回升，需同时关注国</w:t>
      </w:r>
      <w:r>
        <w:t xml:space="preserve"> </w:t>
      </w:r>
      <w:r>
        <w:rPr>
          <w:spacing w:val="-11"/>
        </w:rPr>
        <w:t>内制造业景气复苏表现，</w:t>
      </w:r>
      <w:r>
        <w:rPr>
          <w:spacing w:val="44"/>
        </w:rPr>
        <w:t xml:space="preserve"> </w:t>
      </w:r>
      <w:r>
        <w:rPr>
          <w:spacing w:val="-11"/>
        </w:rPr>
        <w:t>综合判断出口链及非出口链的相对景气；</w:t>
      </w:r>
      <w:r>
        <w:rPr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11"/>
        </w:rPr>
        <w:t>3</w:t>
      </w:r>
      <w:r>
        <w:rPr>
          <w:spacing w:val="-11"/>
        </w:rPr>
        <w:t>、医药：</w:t>
      </w:r>
      <w:r>
        <w:rPr>
          <w:spacing w:val="-11"/>
        </w:rPr>
        <w:t xml:space="preserve"> </w:t>
      </w:r>
      <w:r>
        <w:rPr>
          <w:spacing w:val="-11"/>
        </w:rPr>
        <w:t>或尚</w:t>
      </w:r>
      <w:r>
        <w:t xml:space="preserve"> </w:t>
      </w:r>
      <w:r>
        <w:rPr>
          <w:spacing w:val="-1"/>
        </w:rPr>
        <w:t>需等待美联储降息的实际落地。</w:t>
      </w:r>
    </w:p>
    <w:p>
      <w:pPr>
        <w:spacing w:line="349" w:lineRule="auto"/>
        <w:rPr>
          <w:rFonts w:ascii="Arial"/>
          <w:sz w:val="21"/>
        </w:rPr>
      </w:pPr>
    </w:p>
    <w:p>
      <w:pPr>
        <w:pStyle w:val="BodyText"/>
        <w:spacing w:before="66" w:line="223" w:lineRule="auto"/>
        <w:ind w:left="124"/>
      </w:pPr>
      <w:r>
        <w:drawing>
          <wp:inline distT="0" distB="0" distL="0" distR="0">
            <wp:extent cx="102694" cy="93404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694" cy="9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</w:rPr>
        <w:t xml:space="preserve">  </w:t>
      </w:r>
      <w:r>
        <w:rPr>
          <w:spacing w:val="-1"/>
          <w14:textOutline w14:w="3635">
            <w14:solidFill>
              <w14:srgbClr w14:val="000000"/>
            </w14:solidFill>
            <w14:prstDash w14:val="solid"/>
            <w14:miter w14:lim="10"/>
          </w14:textOutline>
        </w:rPr>
        <w:t>风险提示</w:t>
      </w:r>
    </w:p>
    <w:p>
      <w:pPr>
        <w:pStyle w:val="BodyText"/>
        <w:spacing w:before="51" w:line="213" w:lineRule="auto"/>
        <w:ind w:left="521" w:right="247" w:firstLine="8"/>
      </w:pPr>
      <w:r>
        <w:rPr>
          <w:rFonts w:ascii="Times New Roman" w:eastAsia="Times New Roman" w:hAnsi="Times New Roman" w:cs="Times New Roman"/>
          <w:spacing w:val="-4"/>
        </w:rPr>
        <w:t>1</w:t>
      </w:r>
      <w:r>
        <w:rPr>
          <w:spacing w:val="-4"/>
        </w:rPr>
        <w:t>、本文结论根据历史数据总结归纳得到，历史不能代表未来，</w:t>
      </w:r>
      <w:r>
        <w:rPr>
          <w:spacing w:val="-4"/>
        </w:rPr>
        <w:t xml:space="preserve"> </w:t>
      </w:r>
      <w:r>
        <w:rPr>
          <w:spacing w:val="-4"/>
        </w:rPr>
        <w:t>结论存在失效风</w:t>
      </w:r>
      <w:r>
        <w:rPr>
          <w:spacing w:val="15"/>
        </w:rPr>
        <w:t xml:space="preserve"> </w:t>
      </w:r>
      <w:r>
        <w:rPr>
          <w:spacing w:val="-5"/>
        </w:rPr>
        <w:t>险。</w:t>
      </w:r>
      <w:r>
        <w:rPr>
          <w:spacing w:val="-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2</w:t>
      </w:r>
      <w:r>
        <w:rPr>
          <w:spacing w:val="-5"/>
        </w:rPr>
        <w:t>、美联储降息时点超预期延后风险。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57" w:lineRule="exact"/>
      </w:pPr>
    </w:p>
    <w:tbl>
      <w:tblPr>
        <w:tblStyle w:val="TableNormal"/>
        <w:tblW w:w="25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80"/>
      </w:tblGrid>
      <w:tr>
        <w:tblPrEx>
          <w:tblW w:w="258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954"/>
        </w:trPr>
        <w:tc>
          <w:tcPr>
            <w:tcW w:w="2580" w:type="dxa"/>
            <w:tcBorders>
              <w:bottom w:val="single" w:sz="2" w:space="0" w:color="C00000"/>
            </w:tcBorders>
            <w:vAlign w:val="top"/>
          </w:tcPr>
          <w:p>
            <w:pPr>
              <w:pStyle w:val="TableText"/>
              <w:spacing w:line="205" w:lineRule="auto"/>
              <w:ind w:left="20"/>
            </w:pPr>
            <w:r>
              <w:rPr>
                <w:spacing w:val="-11"/>
                <w14:textOutline w14:w="326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分析师：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  <w14:textOutline w14:w="326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陈奥林</w:t>
            </w:r>
          </w:p>
          <w:p>
            <w:pPr>
              <w:pStyle w:val="TableText"/>
              <w:spacing w:before="1" w:line="226" w:lineRule="auto"/>
              <w:ind w:left="19" w:right="215" w:hanging="3"/>
              <w:rPr>
                <w:rFonts w:ascii="Times New Roman" w:eastAsia="Times New Roman" w:hAnsi="Times New Roman" w:cs="Times New Roman"/>
              </w:rPr>
            </w:pPr>
            <w:r>
              <w:rPr>
                <w:spacing w:val="-8"/>
              </w:rPr>
              <w:t>执业证书号：</w:t>
            </w:r>
            <w:r>
              <w:rPr>
                <w:spacing w:val="6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S1230523040002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chenaolin@stocke.com.cn</w:t>
            </w:r>
          </w:p>
          <w:p>
            <w:pPr>
              <w:pStyle w:val="TableText"/>
              <w:spacing w:before="205" w:line="206" w:lineRule="auto"/>
              <w:ind w:left="20"/>
            </w:pPr>
            <w:r>
              <w:rPr>
                <w:spacing w:val="-11"/>
                <w14:textOutline w14:w="326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分析师：</w:t>
            </w:r>
            <w:r>
              <w:rPr>
                <w:spacing w:val="-17"/>
              </w:rPr>
              <w:t xml:space="preserve"> </w:t>
            </w:r>
            <w:r>
              <w:rPr>
                <w:spacing w:val="-11"/>
                <w14:textOutline w14:w="326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徐浩天</w:t>
            </w:r>
          </w:p>
          <w:p>
            <w:pPr>
              <w:pStyle w:val="TableText"/>
              <w:spacing w:before="1" w:line="226" w:lineRule="auto"/>
              <w:ind w:left="16" w:right="215"/>
              <w:rPr>
                <w:rFonts w:ascii="Times New Roman" w:eastAsia="Times New Roman" w:hAnsi="Times New Roman" w:cs="Times New Roman"/>
              </w:rPr>
            </w:pPr>
            <w:r>
              <w:rPr>
                <w:spacing w:val="-8"/>
              </w:rPr>
              <w:t>执业证书号：</w:t>
            </w:r>
            <w:r>
              <w:rPr>
                <w:spacing w:val="6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S1230523090002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xuhaotian@stocke.co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m.cn</w:t>
            </w:r>
          </w:p>
          <w:p>
            <w:pPr>
              <w:pStyle w:val="TableText"/>
              <w:spacing w:before="263" w:line="222" w:lineRule="auto"/>
              <w:ind w:left="15"/>
            </w:pPr>
            <w:r>
              <w:rPr>
                <w14:textOutline w14:w="326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相关报告</w:t>
            </w:r>
          </w:p>
        </w:tc>
      </w:tr>
      <w:tr>
        <w:tblPrEx>
          <w:tblW w:w="2580" w:type="dxa"/>
          <w:tblInd w:w="0" w:type="dxa"/>
          <w:tblLayout w:type="fixed"/>
        </w:tblPrEx>
        <w:trPr>
          <w:trHeight w:val="1806"/>
        </w:trPr>
        <w:tc>
          <w:tcPr>
            <w:tcW w:w="2580" w:type="dxa"/>
            <w:tcBorders>
              <w:top w:val="single" w:sz="2" w:space="0" w:color="C00000"/>
            </w:tcBorders>
            <w:vAlign w:val="top"/>
          </w:tcPr>
          <w:p>
            <w:pPr>
              <w:pStyle w:val="TableText"/>
              <w:spacing w:before="67" w:line="269" w:lineRule="auto"/>
              <w:ind w:left="51" w:right="30" w:firstLine="1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7"/>
              </w:rPr>
              <w:t xml:space="preserve">1    </w:t>
            </w:r>
            <w:r>
              <w:rPr>
                <w:spacing w:val="-7"/>
              </w:rPr>
              <w:t>《美债利率的影响或将边际减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弱》</w:t>
            </w:r>
            <w:r>
              <w:rPr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2024.01.07</w:t>
            </w:r>
          </w:p>
          <w:p>
            <w:pPr>
              <w:pStyle w:val="TableText"/>
              <w:spacing w:before="98" w:line="268" w:lineRule="auto"/>
              <w:ind w:left="60" w:right="210" w:hanging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7"/>
              </w:rPr>
              <w:t xml:space="preserve">2    </w:t>
            </w:r>
            <w:r>
              <w:rPr>
                <w:spacing w:val="-7"/>
              </w:rPr>
              <w:t>《重视基建链的景气改善线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索》</w:t>
            </w:r>
            <w:r>
              <w:rPr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2024.01.07</w:t>
            </w:r>
          </w:p>
          <w:p>
            <w:pPr>
              <w:pStyle w:val="TableText"/>
              <w:spacing w:before="101" w:line="247" w:lineRule="auto"/>
              <w:ind w:left="52" w:right="153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3  </w:t>
            </w:r>
            <w:r>
              <w:rPr>
                <w:spacing w:val="-1"/>
              </w:rPr>
              <w:t>《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2024 </w:t>
            </w:r>
            <w:r>
              <w:rPr>
                <w:spacing w:val="-1"/>
              </w:rPr>
              <w:t>春季躁动的内核是需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求改善》</w:t>
            </w:r>
            <w:r>
              <w:rPr>
                <w:spacing w:val="5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2024.01.01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9"/>
          <w:footerReference w:type="default" r:id="rId10"/>
          <w:type w:val="continuous"/>
          <w:pgSz w:w="11907" w:h="16839"/>
          <w:pgMar w:top="1327" w:right="729" w:bottom="1027" w:left="720" w:header="851" w:footer="800" w:gutter="0"/>
          <w:pgNumType w:start="2"/>
          <w:cols w:num="2" w:space="708" w:equalWidth="0">
            <w:col w:w="7650" w:space="100"/>
            <w:col w:w="2708" w:space="0"/>
          </w:cols>
        </w:sectPr>
      </w:pPr>
    </w:p>
    <w:p>
      <w:pPr>
        <w:pStyle w:val="BodyText"/>
        <w:spacing w:before="265" w:line="219" w:lineRule="auto"/>
        <w:ind w:left="4600"/>
        <w:rPr>
          <w:sz w:val="32"/>
          <w:szCs w:val="32"/>
        </w:rPr>
      </w:pPr>
      <w:r>
        <w:rPr>
          <w:color w:val="B70004"/>
          <w:spacing w:val="-2"/>
          <w:sz w:val="32"/>
          <w:szCs w:val="32"/>
          <w14:textOutline w14:w="5812">
            <w14:solidFill>
              <w14:srgbClr w14:val="B70004"/>
            </w14:solidFill>
            <w14:prstDash w14:val="solid"/>
            <w14:miter w14:lim="10"/>
          </w14:textOutline>
        </w:rPr>
        <w:t>正文目录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94283530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>
          <w:pPr>
            <w:pStyle w:val="BodyText"/>
            <w:tabs>
              <w:tab w:val="right" w:leader="dot" w:pos="10455"/>
            </w:tabs>
            <w:spacing w:before="128" w:line="238" w:lineRule="auto"/>
            <w:ind w:left="15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16"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spacing w:val="16"/>
              <w:sz w:val="24"/>
              <w:szCs w:val="24"/>
            </w:rPr>
            <w:t xml:space="preserve">  </w:t>
          </w:r>
          <w:r>
            <w:rPr>
              <w:spacing w:val="-16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引言</w:t>
          </w:r>
          <w:r>
            <w:rPr>
              <w:spacing w:val="-5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hyperlink w:anchor="bookmark1" w:history="1"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24"/>
                <w:szCs w:val="24"/>
              </w:rPr>
              <w:t>4</w:t>
            </w:r>
          </w:hyperlink>
        </w:p>
        <w:p>
          <w:pPr>
            <w:pStyle w:val="BodyText"/>
            <w:tabs>
              <w:tab w:val="right" w:leader="dot" w:pos="10455"/>
            </w:tabs>
            <w:spacing w:before="63" w:line="230" w:lineRule="auto"/>
            <w:ind w:left="5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7"/>
              <w:sz w:val="24"/>
              <w:szCs w:val="24"/>
            </w:rPr>
            <w:t xml:space="preserve">2  </w:t>
          </w:r>
          <w:r>
            <w:rPr>
              <w:spacing w:val="-7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逻辑梳理：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pacing w:val="-7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降息周期中的受益方向</w:t>
          </w:r>
          <w:r>
            <w:rPr>
              <w:spacing w:val="-4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24"/>
                <w:szCs w:val="24"/>
              </w:rPr>
              <w:t>4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91" w:line="216" w:lineRule="auto"/>
            <w:ind w:left="424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2"/>
            </w:rPr>
            <w:t>2.1</w:t>
          </w:r>
          <w:r>
            <w:rPr>
              <w:rFonts w:ascii="Times New Roman" w:eastAsia="Times New Roman" w:hAnsi="Times New Roman" w:cs="Times New Roman"/>
              <w:spacing w:val="4"/>
            </w:rPr>
            <w:t xml:space="preserve">  </w:t>
          </w:r>
          <w:r>
            <w:rPr>
              <w:spacing w:val="-2"/>
            </w:rPr>
            <w:t>房地产</w:t>
          </w:r>
          <w:r>
            <w:rPr>
              <w:spacing w:val="-60"/>
            </w:rPr>
            <w:t xml:space="preserve"> </w:t>
          </w:r>
          <w:r>
            <w:tab/>
          </w:r>
          <w:r>
            <w:rPr>
              <w:spacing w:val="-58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</w:rPr>
              <w:t>4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8" w:line="222" w:lineRule="auto"/>
            <w:ind w:left="424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3"/>
            </w:rPr>
            <w:t>2.2</w:t>
          </w:r>
          <w:r>
            <w:rPr>
              <w:rFonts w:ascii="Times New Roman" w:eastAsia="Times New Roman" w:hAnsi="Times New Roman" w:cs="Times New Roman"/>
              <w:spacing w:val="7"/>
            </w:rPr>
            <w:t xml:space="preserve">  </w:t>
          </w:r>
          <w:r>
            <w:rPr>
              <w:spacing w:val="-3"/>
            </w:rPr>
            <w:t>制造业</w:t>
          </w:r>
          <w:r>
            <w:rPr>
              <w:spacing w:val="-60"/>
            </w:rPr>
            <w:t xml:space="preserve"> </w:t>
          </w:r>
          <w:r>
            <w:tab/>
          </w:r>
          <w:r>
            <w:rPr>
              <w:spacing w:val="-53"/>
            </w:rPr>
            <w:t xml:space="preserve"> </w:t>
          </w:r>
          <w:hyperlink w:anchor="bookmark4" w:history="1">
            <w:r>
              <w:rPr>
                <w:rFonts w:ascii="Times New Roman" w:eastAsia="Times New Roman" w:hAnsi="Times New Roman" w:cs="Times New Roman"/>
                <w:spacing w:val="-9"/>
              </w:rPr>
              <w:t>6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2" w:line="218" w:lineRule="auto"/>
            <w:ind w:left="424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1"/>
            </w:rPr>
            <w:t xml:space="preserve">2.3  </w:t>
          </w:r>
          <w:r>
            <w:rPr>
              <w:spacing w:val="-1"/>
            </w:rPr>
            <w:t>投融资驱动的细分方向</w:t>
          </w:r>
          <w:r>
            <w:rPr>
              <w:spacing w:val="-38"/>
            </w:rPr>
            <w:t xml:space="preserve"> </w:t>
          </w:r>
          <w:r>
            <w:tab/>
          </w:r>
          <w:r>
            <w:rPr>
              <w:spacing w:val="-54"/>
            </w:rPr>
            <w:t xml:space="preserve"> </w:t>
          </w:r>
          <w:hyperlink w:anchor="bookmark5" w:history="1">
            <w:r>
              <w:rPr>
                <w:rFonts w:ascii="Times New Roman" w:eastAsia="Times New Roman" w:hAnsi="Times New Roman" w:cs="Times New Roman"/>
                <w:spacing w:val="-8"/>
              </w:rPr>
              <w:t>7</w:t>
            </w:r>
          </w:hyperlink>
        </w:p>
        <w:p>
          <w:pPr>
            <w:pStyle w:val="BodyText"/>
            <w:tabs>
              <w:tab w:val="right" w:leader="dot" w:pos="10455"/>
            </w:tabs>
            <w:spacing w:before="57" w:line="230" w:lineRule="auto"/>
            <w:ind w:left="3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7"/>
              <w:sz w:val="24"/>
              <w:szCs w:val="24"/>
            </w:rPr>
            <w:t xml:space="preserve">3  </w:t>
          </w:r>
          <w:r>
            <w:rPr>
              <w:spacing w:val="-7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以史鉴今：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pacing w:val="-7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降息周期的交易节奏</w:t>
          </w:r>
          <w:r>
            <w:rPr>
              <w:spacing w:val="-4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24"/>
                <w:szCs w:val="24"/>
              </w:rPr>
              <w:t>8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92" w:line="217" w:lineRule="auto"/>
            <w:ind w:left="42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1"/>
            </w:rPr>
            <w:t>3.1 2019-2020</w:t>
          </w:r>
          <w:r>
            <w:rPr>
              <w:rFonts w:ascii="Times New Roman" w:eastAsia="Times New Roman" w:hAnsi="Times New Roman" w:cs="Times New Roman"/>
              <w:spacing w:val="18"/>
            </w:rPr>
            <w:t xml:space="preserve"> </w:t>
          </w:r>
          <w:r>
            <w:rPr>
              <w:spacing w:val="-1"/>
            </w:rPr>
            <w:t>降息周期：行情演绎</w:t>
          </w:r>
          <w:r>
            <w:rPr>
              <w:spacing w:val="-2"/>
            </w:rPr>
            <w:t>节奏</w:t>
          </w:r>
          <w:r>
            <w:rPr>
              <w:spacing w:val="-57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7" w:history="1">
            <w:r>
              <w:rPr>
                <w:rFonts w:ascii="Times New Roman" w:eastAsia="Times New Roman" w:hAnsi="Times New Roman" w:cs="Times New Roman"/>
                <w:spacing w:val="-1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0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6" w:line="216" w:lineRule="auto"/>
            <w:ind w:left="84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1"/>
            </w:rPr>
            <w:t xml:space="preserve">3.1.1  </w:t>
          </w:r>
          <w:r>
            <w:rPr>
              <w:spacing w:val="-1"/>
            </w:rPr>
            <w:t>地产后周期</w:t>
          </w:r>
          <w:r>
            <w:rPr>
              <w:spacing w:val="-69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-1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0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9" w:line="222" w:lineRule="auto"/>
            <w:ind w:left="84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3"/>
            </w:rPr>
            <w:t>3.1.2</w:t>
          </w:r>
          <w:r>
            <w:rPr>
              <w:rFonts w:ascii="Times New Roman" w:eastAsia="Times New Roman" w:hAnsi="Times New Roman" w:cs="Times New Roman"/>
              <w:spacing w:val="8"/>
            </w:rPr>
            <w:t xml:space="preserve">  </w:t>
          </w:r>
          <w:r>
            <w:rPr>
              <w:spacing w:val="-3"/>
            </w:rPr>
            <w:t>制造业</w:t>
          </w:r>
          <w:r>
            <w:rPr>
              <w:spacing w:val="-76"/>
            </w:rPr>
            <w:t xml:space="preserve"> </w:t>
          </w:r>
          <w:r>
            <w:tab/>
          </w:r>
          <w:r>
            <w:rPr>
              <w:spacing w:val="-29"/>
            </w:rPr>
            <w:t xml:space="preserve"> </w:t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-16"/>
              </w:rPr>
              <w:t>11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1" w:line="221" w:lineRule="auto"/>
            <w:ind w:left="84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6"/>
            </w:rPr>
            <w:t>3.1.3</w:t>
          </w:r>
          <w:r>
            <w:rPr>
              <w:rFonts w:ascii="Times New Roman" w:eastAsia="Times New Roman" w:hAnsi="Times New Roman" w:cs="Times New Roman"/>
              <w:spacing w:val="16"/>
              <w:w w:val="101"/>
            </w:rPr>
            <w:t xml:space="preserve">  </w:t>
          </w:r>
          <w:r>
            <w:rPr>
              <w:spacing w:val="-6"/>
            </w:rPr>
            <w:t>医药</w:t>
          </w:r>
          <w:r>
            <w:rPr>
              <w:spacing w:val="-77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10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3" w:line="229" w:lineRule="auto"/>
            <w:ind w:left="84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4"/>
            </w:rPr>
            <w:t>3.1.4</w:t>
          </w:r>
          <w:r>
            <w:rPr>
              <w:rFonts w:ascii="Times New Roman" w:eastAsia="Times New Roman" w:hAnsi="Times New Roman" w:cs="Times New Roman"/>
              <w:spacing w:val="10"/>
            </w:rPr>
            <w:t xml:space="preserve">  </w:t>
          </w:r>
          <w:r>
            <w:rPr>
              <w:spacing w:val="-4"/>
            </w:rPr>
            <w:t>小结</w:t>
          </w:r>
          <w:r>
            <w:rPr>
              <w:spacing w:val="-78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11" w:history="1">
            <w:r>
              <w:rPr>
                <w:rFonts w:ascii="Times New Roman" w:eastAsia="Times New Roman" w:hAnsi="Times New Roman" w:cs="Times New Roman"/>
                <w:spacing w:val="-12"/>
              </w:rPr>
              <w:t>13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64" w:line="217" w:lineRule="auto"/>
            <w:ind w:left="42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1"/>
            </w:rPr>
            <w:t xml:space="preserve">3.2  </w:t>
          </w:r>
          <w:r>
            <w:rPr>
              <w:spacing w:val="-1"/>
            </w:rPr>
            <w:t>如何交易本轮美联储降息周期</w:t>
          </w:r>
          <w:r>
            <w:rPr>
              <w:spacing w:val="-34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12" w:history="1">
            <w:r>
              <w:rPr>
                <w:rFonts w:ascii="Times New Roman" w:eastAsia="Times New Roman" w:hAnsi="Times New Roman" w:cs="Times New Roman"/>
                <w:spacing w:val="-12"/>
              </w:rPr>
              <w:t>13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6" w:line="216" w:lineRule="auto"/>
            <w:ind w:left="84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1"/>
            </w:rPr>
            <w:t xml:space="preserve">3.2.1  </w:t>
          </w:r>
          <w:r>
            <w:rPr>
              <w:spacing w:val="-1"/>
            </w:rPr>
            <w:t>地产后周期</w:t>
          </w:r>
          <w:r>
            <w:rPr>
              <w:spacing w:val="-69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13" w:history="1">
            <w:r>
              <w:rPr>
                <w:rFonts w:ascii="Times New Roman" w:eastAsia="Times New Roman" w:hAnsi="Times New Roman" w:cs="Times New Roman"/>
                <w:spacing w:val="-12"/>
              </w:rPr>
              <w:t>13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9" w:line="222" w:lineRule="auto"/>
            <w:ind w:left="84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3"/>
            </w:rPr>
            <w:t>3.2.2</w:t>
          </w:r>
          <w:r>
            <w:rPr>
              <w:rFonts w:ascii="Times New Roman" w:eastAsia="Times New Roman" w:hAnsi="Times New Roman" w:cs="Times New Roman"/>
              <w:spacing w:val="8"/>
            </w:rPr>
            <w:t xml:space="preserve">  </w:t>
          </w:r>
          <w:r>
            <w:rPr>
              <w:spacing w:val="-3"/>
            </w:rPr>
            <w:t>制造业</w:t>
          </w:r>
          <w:r>
            <w:rPr>
              <w:spacing w:val="-76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-12"/>
              </w:rPr>
              <w:t>15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71" w:line="221" w:lineRule="auto"/>
            <w:ind w:left="84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spacing w:val="-6"/>
            </w:rPr>
            <w:t>3.2.3</w:t>
          </w:r>
          <w:r>
            <w:rPr>
              <w:rFonts w:ascii="Times New Roman" w:eastAsia="Times New Roman" w:hAnsi="Times New Roman" w:cs="Times New Roman"/>
              <w:spacing w:val="16"/>
              <w:w w:val="101"/>
            </w:rPr>
            <w:t xml:space="preserve">  </w:t>
          </w:r>
          <w:r>
            <w:rPr>
              <w:spacing w:val="-6"/>
            </w:rPr>
            <w:t>医药</w:t>
          </w:r>
          <w:r>
            <w:rPr>
              <w:spacing w:val="-77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7</w:t>
            </w:r>
          </w:hyperlink>
        </w:p>
        <w:p>
          <w:pPr>
            <w:pStyle w:val="BodyText"/>
            <w:tabs>
              <w:tab w:val="right" w:leader="dot" w:pos="10455"/>
            </w:tabs>
            <w:spacing w:before="53" w:line="318" w:lineRule="exact"/>
            <w:ind w:left="5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8"/>
              <w:position w:val="1"/>
              <w:sz w:val="24"/>
              <w:szCs w:val="24"/>
            </w:rPr>
            <w:t>4</w:t>
          </w:r>
          <w:r>
            <w:rPr>
              <w:rFonts w:ascii="Times New Roman" w:eastAsia="Times New Roman" w:hAnsi="Times New Roman" w:cs="Times New Roman"/>
              <w:b/>
              <w:bCs/>
              <w:spacing w:val="9"/>
              <w:position w:val="1"/>
              <w:sz w:val="24"/>
              <w:szCs w:val="24"/>
            </w:rPr>
            <w:t xml:space="preserve">  </w:t>
          </w:r>
          <w:r>
            <w:rPr>
              <w:spacing w:val="-8"/>
              <w:position w:val="1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总结</w:t>
          </w:r>
          <w:r>
            <w:rPr>
              <w:spacing w:val="-51"/>
              <w:position w:val="1"/>
              <w:sz w:val="24"/>
              <w:szCs w:val="24"/>
            </w:rPr>
            <w:t xml:space="preserve"> </w:t>
          </w:r>
          <w:r>
            <w:rPr>
              <w:position w:val="1"/>
              <w:sz w:val="24"/>
              <w:szCs w:val="24"/>
            </w:rPr>
            <w:tab/>
          </w:r>
          <w:r>
            <w:rPr>
              <w:spacing w:val="-89"/>
              <w:position w:val="1"/>
              <w:sz w:val="24"/>
              <w:szCs w:val="24"/>
            </w:rPr>
            <w:t xml:space="preserve"> </w:t>
          </w:r>
          <w:hyperlink w:anchor="bookmark16" w:history="1"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position w:val="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position w:val="1"/>
                <w:sz w:val="24"/>
                <w:szCs w:val="24"/>
              </w:rPr>
              <w:t>7</w:t>
            </w:r>
          </w:hyperlink>
        </w:p>
        <w:p>
          <w:pPr>
            <w:pStyle w:val="BodyText"/>
            <w:tabs>
              <w:tab w:val="right" w:leader="dot" w:pos="10455"/>
            </w:tabs>
            <w:spacing w:before="54" w:line="233" w:lineRule="auto"/>
            <w:ind w:left="8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10"/>
              <w:sz w:val="24"/>
              <w:szCs w:val="24"/>
            </w:rPr>
            <w:t>5</w:t>
          </w:r>
          <w:r>
            <w:rPr>
              <w:rFonts w:ascii="Times New Roman" w:eastAsia="Times New Roman" w:hAnsi="Times New Roman" w:cs="Times New Roman"/>
              <w:b/>
              <w:bCs/>
              <w:spacing w:val="11"/>
              <w:sz w:val="24"/>
              <w:szCs w:val="24"/>
            </w:rPr>
            <w:t xml:space="preserve">  </w:t>
          </w:r>
          <w:r>
            <w:rPr>
              <w:spacing w:val="-10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附录</w:t>
          </w:r>
          <w:r>
            <w:rPr>
              <w:spacing w:val="-5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89"/>
              <w:sz w:val="24"/>
              <w:szCs w:val="24"/>
            </w:rPr>
            <w:t xml:space="preserve"> </w:t>
          </w:r>
          <w:hyperlink w:anchor="bookmark17" w:history="1"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>18</w:t>
            </w:r>
          </w:hyperlink>
        </w:p>
        <w:p>
          <w:pPr>
            <w:pStyle w:val="BodyText"/>
            <w:tabs>
              <w:tab w:val="right" w:leader="dot" w:pos="10455"/>
            </w:tabs>
            <w:spacing w:before="69" w:line="236" w:lineRule="auto"/>
            <w:ind w:left="8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1"/>
              <w:sz w:val="24"/>
              <w:szCs w:val="24"/>
            </w:rPr>
            <w:t xml:space="preserve">6  </w:t>
          </w:r>
          <w:r>
            <w:rPr>
              <w:spacing w:val="-1"/>
              <w:sz w:val="24"/>
              <w:szCs w:val="24"/>
              <w14:textOutline w14:w="4354">
                <w14:solidFill>
                  <w14:srgbClr w14:val="000000"/>
                </w14:solidFill>
                <w14:prstDash w14:val="solid"/>
                <w14:miter w14:lim="10"/>
              </w14:textOutline>
            </w:rPr>
            <w:t>风险提示</w:t>
          </w:r>
          <w:r>
            <w:rPr>
              <w:spacing w:val="-5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89"/>
              <w:sz w:val="24"/>
              <w:szCs w:val="24"/>
            </w:rPr>
            <w:t xml:space="preserve"> </w:t>
          </w:r>
          <w:hyperlink w:anchor="bookmark18" w:history="1"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>19</w:t>
            </w:r>
          </w:hyperlink>
        </w:p>
      </w:sdtContent>
    </w:sdt>
    <w:p>
      <w:pPr>
        <w:spacing w:line="236" w:lineRule="auto"/>
        <w:rPr>
          <w:rFonts w:ascii="Times New Roman" w:eastAsia="Times New Roman" w:hAnsi="Times New Roman" w:cs="Times New Roman"/>
          <w:sz w:val="24"/>
          <w:szCs w:val="24"/>
        </w:rPr>
        <w:sectPr>
          <w:headerReference w:type="default" r:id="rId11"/>
          <w:footerReference w:type="default" r:id="rId12"/>
          <w:pgSz w:w="11907" w:h="16839"/>
          <w:pgMar w:top="1264" w:right="725" w:bottom="1027" w:left="720" w:header="788" w:footer="800" w:gutter="0"/>
          <w:pgNumType w:start="3"/>
          <w:cols w:space="708"/>
        </w:sectPr>
      </w:pPr>
    </w:p>
    <w:p>
      <w:pPr>
        <w:pStyle w:val="BodyText"/>
        <w:spacing w:before="265" w:line="219" w:lineRule="auto"/>
        <w:ind w:left="4635"/>
        <w:rPr>
          <w:sz w:val="32"/>
          <w:szCs w:val="32"/>
        </w:rPr>
      </w:pPr>
      <w:r>
        <w:rPr>
          <w:color w:val="B70004"/>
          <w:spacing w:val="-11"/>
          <w:sz w:val="32"/>
          <w:szCs w:val="32"/>
          <w14:textOutline w14:w="5812">
            <w14:solidFill>
              <w14:srgbClr w14:val="B70004"/>
            </w14:solidFill>
            <w14:prstDash w14:val="solid"/>
            <w14:miter w14:lim="10"/>
          </w14:textOutline>
        </w:rPr>
        <w:t>图表目录</w:t>
      </w:r>
    </w:p>
    <w:p>
      <w:pPr>
        <w:spacing w:line="266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0"/>
          <w:szCs w:val="20"/>
        </w:rPr>
        <w:id w:val="9494067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tabs>
              <w:tab w:val="right" w:leader="dot" w:pos="10456"/>
            </w:tabs>
            <w:spacing w:before="65" w:line="217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4"/>
            </w:rPr>
            <w:t>图</w:t>
          </w:r>
          <w:r>
            <w:rPr>
              <w:spacing w:val="-18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1</w:t>
          </w:r>
          <w:r>
            <w:rPr>
              <w:spacing w:val="-4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4"/>
            </w:rPr>
            <w:t>市场预期美联储有超过</w:t>
          </w:r>
          <w:r>
            <w:rPr>
              <w:spacing w:val="-38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80%</w:t>
          </w:r>
          <w:r>
            <w:rPr>
              <w:spacing w:val="-4"/>
            </w:rPr>
            <w:t>的概率在</w:t>
          </w:r>
          <w:r>
            <w:rPr>
              <w:spacing w:val="-4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 xml:space="preserve">2024 </w:t>
          </w:r>
          <w:r>
            <w:rPr>
              <w:spacing w:val="-4"/>
            </w:rPr>
            <w:t>年</w:t>
          </w:r>
          <w:r>
            <w:rPr>
              <w:spacing w:val="-43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3</w:t>
          </w:r>
          <w:r>
            <w:rPr>
              <w:rFonts w:ascii="Times New Roman" w:eastAsia="Times New Roman" w:hAnsi="Times New Roman" w:cs="Times New Roman"/>
              <w:spacing w:val="20"/>
              <w:w w:val="101"/>
            </w:rPr>
            <w:t xml:space="preserve"> </w:t>
          </w:r>
          <w:r>
            <w:rPr>
              <w:spacing w:val="-4"/>
            </w:rPr>
            <w:t>月开启降息周期</w:t>
          </w:r>
          <w:r>
            <w:rPr>
              <w:spacing w:val="-68"/>
            </w:rPr>
            <w:t xml:space="preserve"> </w:t>
          </w:r>
          <w:r>
            <w:tab/>
          </w:r>
          <w:r>
            <w:rPr>
              <w:spacing w:val="-58"/>
            </w:rPr>
            <w:t xml:space="preserve"> </w:t>
          </w:r>
          <w:hyperlink w:anchor="bookmark19" w:history="1">
            <w:r>
              <w:rPr>
                <w:rFonts w:ascii="Times New Roman" w:eastAsia="Times New Roman" w:hAnsi="Times New Roman" w:cs="Times New Roman"/>
              </w:rPr>
              <w:t>4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2</w:t>
          </w:r>
          <w:r>
            <w:rPr>
              <w:spacing w:val="-3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3"/>
            </w:rPr>
            <w:t>美债利率变动对住房贷款利率存在显著影响</w:t>
          </w:r>
          <w:r>
            <w:rPr>
              <w:spacing w:val="-65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hyperlink w:anchor="bookmark20" w:history="1">
            <w:r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3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3</w:t>
          </w:r>
          <w:r>
            <w:rPr>
              <w:spacing w:val="-3"/>
            </w:rPr>
            <w:t>：</w:t>
          </w:r>
          <w:r>
            <w:rPr>
              <w:spacing w:val="24"/>
            </w:rPr>
            <w:t xml:space="preserve"> </w:t>
          </w:r>
          <w:r>
            <w:rPr>
              <w:spacing w:val="-3"/>
            </w:rPr>
            <w:t>房贷利率下行有助于提升居民住房购买力</w:t>
          </w:r>
          <w:r>
            <w:rPr>
              <w:spacing w:val="-67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hyperlink w:anchor="bookmark21" w:history="1">
            <w:r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10"/>
            </w:rPr>
            <w:t>图</w:t>
          </w:r>
          <w:r>
            <w:rPr>
              <w:spacing w:val="-38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0"/>
            </w:rPr>
            <w:t>4</w:t>
          </w:r>
          <w:r>
            <w:rPr>
              <w:spacing w:val="-10"/>
            </w:rPr>
            <w:t>：</w:t>
          </w:r>
          <w:r>
            <w:rPr>
              <w:spacing w:val="35"/>
            </w:rPr>
            <w:t xml:space="preserve"> </w:t>
          </w:r>
          <w:r>
            <w:rPr>
              <w:spacing w:val="-10"/>
            </w:rPr>
            <w:t>降息周期中，</w:t>
          </w:r>
          <w:r>
            <w:rPr>
              <w:spacing w:val="24"/>
            </w:rPr>
            <w:t xml:space="preserve"> </w:t>
          </w:r>
          <w:r>
            <w:rPr>
              <w:spacing w:val="-10"/>
            </w:rPr>
            <w:t>美地产销售往往显著扩张</w:t>
          </w:r>
          <w:r>
            <w:rPr>
              <w:spacing w:val="-68"/>
            </w:rPr>
            <w:t xml:space="preserve"> </w:t>
          </w:r>
          <w:r>
            <w:tab/>
          </w:r>
          <w:r>
            <w:rPr>
              <w:spacing w:val="-53"/>
            </w:rPr>
            <w:t xml:space="preserve"> </w:t>
          </w:r>
          <w:hyperlink w:anchor="bookmark22" w:history="1">
            <w:r>
              <w:rPr>
                <w:rFonts w:ascii="Times New Roman" w:eastAsia="Times New Roman" w:hAnsi="Times New Roman" w:cs="Times New Roman"/>
                <w:spacing w:val="-9"/>
              </w:rPr>
              <w:t>6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90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33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5</w:t>
          </w:r>
          <w:r>
            <w:rPr>
              <w:spacing w:val="-3"/>
            </w:rPr>
            <w:t>：</w:t>
          </w:r>
          <w:r>
            <w:rPr>
              <w:spacing w:val="32"/>
            </w:rPr>
            <w:t xml:space="preserve"> </w:t>
          </w:r>
          <w:r>
            <w:rPr>
              <w:spacing w:val="-3"/>
            </w:rPr>
            <w:t>美国成屋销售周期领先国内对美家具类产品出口周期</w:t>
          </w:r>
          <w:r>
            <w:rPr>
              <w:spacing w:val="-58"/>
            </w:rPr>
            <w:t xml:space="preserve"> </w:t>
          </w:r>
          <w:r>
            <w:tab/>
          </w:r>
          <w:r>
            <w:rPr>
              <w:spacing w:val="-53"/>
            </w:rPr>
            <w:t xml:space="preserve"> </w:t>
          </w:r>
          <w:hyperlink w:anchor="bookmark4" w:history="1">
            <w:r>
              <w:rPr>
                <w:rFonts w:ascii="Times New Roman" w:eastAsia="Times New Roman" w:hAnsi="Times New Roman" w:cs="Times New Roman"/>
                <w:spacing w:val="-9"/>
              </w:rPr>
              <w:t>6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8"/>
            </w:rPr>
            <w:t>图</w:t>
          </w:r>
          <w:r>
            <w:rPr>
              <w:spacing w:val="-3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8"/>
            </w:rPr>
            <w:t>6</w:t>
          </w:r>
          <w:r>
            <w:rPr>
              <w:spacing w:val="-8"/>
            </w:rPr>
            <w:t>：</w:t>
          </w:r>
          <w:r>
            <w:rPr>
              <w:spacing w:val="35"/>
            </w:rPr>
            <w:t xml:space="preserve"> </w:t>
          </w:r>
          <w:r>
            <w:rPr>
              <w:spacing w:val="-8"/>
            </w:rPr>
            <w:t>降息周期中后段，</w:t>
          </w:r>
          <w:r>
            <w:rPr>
              <w:spacing w:val="-8"/>
            </w:rPr>
            <w:t xml:space="preserve"> </w:t>
          </w:r>
          <w:r>
            <w:rPr>
              <w:spacing w:val="-8"/>
            </w:rPr>
            <w:t>制造业景气度往往复苏</w:t>
          </w:r>
          <w:r>
            <w:rPr>
              <w:spacing w:val="-67"/>
            </w:rPr>
            <w:t xml:space="preserve"> </w:t>
          </w:r>
          <w:r>
            <w:tab/>
          </w:r>
          <w:r>
            <w:rPr>
              <w:spacing w:val="-54"/>
            </w:rPr>
            <w:t xml:space="preserve"> </w:t>
          </w:r>
          <w:hyperlink w:anchor="bookmark5" w:history="1">
            <w:r>
              <w:rPr>
                <w:rFonts w:ascii="Times New Roman" w:eastAsia="Times New Roman" w:hAnsi="Times New Roman" w:cs="Times New Roman"/>
                <w:spacing w:val="-8"/>
              </w:rPr>
              <w:t>7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90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2"/>
            </w:rPr>
            <w:t>图</w:t>
          </w:r>
          <w:r>
            <w:rPr>
              <w:spacing w:val="-42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>7</w:t>
          </w:r>
          <w:r>
            <w:rPr>
              <w:spacing w:val="-2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2"/>
            </w:rPr>
            <w:t>美国制造业景气度与中国制造业相关产品对美</w:t>
          </w:r>
          <w:r>
            <w:rPr>
              <w:spacing w:val="-3"/>
            </w:rPr>
            <w:t>出口增速高度相关</w:t>
          </w:r>
          <w:r>
            <w:rPr>
              <w:spacing w:val="-50"/>
            </w:rPr>
            <w:t xml:space="preserve"> </w:t>
          </w:r>
          <w:r>
            <w:tab/>
          </w:r>
          <w:r>
            <w:rPr>
              <w:spacing w:val="-54"/>
            </w:rPr>
            <w:t xml:space="preserve"> </w:t>
          </w:r>
          <w:hyperlink w:anchor="bookmark23" w:history="1">
            <w:r>
              <w:rPr>
                <w:rFonts w:ascii="Times New Roman" w:eastAsia="Times New Roman" w:hAnsi="Times New Roman" w:cs="Times New Roman"/>
                <w:spacing w:val="-8"/>
              </w:rPr>
              <w:t>7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6" w:line="218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5"/>
            </w:rPr>
            <w:t>图</w:t>
          </w:r>
          <w:r>
            <w:rPr>
              <w:spacing w:val="-2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</w:rPr>
            <w:t>8</w:t>
          </w:r>
          <w:r>
            <w:rPr>
              <w:spacing w:val="-5"/>
            </w:rPr>
            <w:t>：</w:t>
          </w:r>
          <w:r>
            <w:rPr>
              <w:spacing w:val="32"/>
            </w:rPr>
            <w:t xml:space="preserve"> </w:t>
          </w:r>
          <w:r>
            <w:rPr>
              <w:spacing w:val="-5"/>
            </w:rPr>
            <w:t>美股主要制药公司研发费用增速</w:t>
          </w:r>
          <w:r>
            <w:rPr>
              <w:spacing w:val="-73"/>
            </w:rPr>
            <w:t xml:space="preserve"> </w:t>
          </w:r>
          <w:r>
            <w:tab/>
          </w:r>
          <w:r>
            <w:rPr>
              <w:spacing w:val="-49"/>
            </w:rPr>
            <w:t xml:space="preserve"> </w:t>
          </w:r>
          <w:hyperlink w:anchor="bookmark24" w:history="1">
            <w:r>
              <w:rPr>
                <w:rFonts w:ascii="Times New Roman" w:eastAsia="Times New Roman" w:hAnsi="Times New Roman" w:cs="Times New Roman"/>
                <w:spacing w:val="-13"/>
              </w:rPr>
              <w:t>8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3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5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</w:rPr>
            <w:t>9</w:t>
          </w:r>
          <w:r>
            <w:rPr>
              <w:spacing w:val="-5"/>
            </w:rPr>
            <w:t>：</w:t>
          </w:r>
          <w:r>
            <w:rPr>
              <w:spacing w:val="29"/>
            </w:rPr>
            <w:t xml:space="preserve"> </w:t>
          </w:r>
          <w:r>
            <w:rPr>
              <w:spacing w:val="-5"/>
            </w:rPr>
            <w:t>欧美经济周期表现基本同步</w:t>
          </w:r>
          <w:r>
            <w:rPr>
              <w:spacing w:val="-77"/>
            </w:rPr>
            <w:t xml:space="preserve"> </w:t>
          </w:r>
          <w:r>
            <w:tab/>
          </w:r>
          <w:r>
            <w:rPr>
              <w:spacing w:val="-53"/>
            </w:rPr>
            <w:t xml:space="preserve"> </w:t>
          </w:r>
          <w:hyperlink w:anchor="bookmark25" w:history="1">
            <w:r>
              <w:rPr>
                <w:rFonts w:ascii="Times New Roman" w:eastAsia="Times New Roman" w:hAnsi="Times New Roman" w:cs="Times New Roman"/>
                <w:spacing w:val="-8"/>
              </w:rPr>
              <w:t>9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7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6"/>
            </w:rPr>
            <w:t>图</w:t>
          </w:r>
          <w:r>
            <w:rPr>
              <w:spacing w:val="-25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</w:rPr>
            <w:t>10</w:t>
          </w:r>
          <w:r>
            <w:rPr>
              <w:spacing w:val="-6"/>
            </w:rPr>
            <w:t>：</w:t>
          </w:r>
          <w:r>
            <w:rPr>
              <w:spacing w:val="46"/>
            </w:rPr>
            <w:t xml:space="preserve"> </w:t>
          </w:r>
          <w:r>
            <w:rPr>
              <w:spacing w:val="-6"/>
            </w:rPr>
            <w:t>中国对欧美出口增速基本一致，</w:t>
          </w:r>
          <w:r>
            <w:rPr>
              <w:spacing w:val="-26"/>
            </w:rPr>
            <w:t xml:space="preserve"> </w:t>
          </w:r>
          <w:r>
            <w:rPr>
              <w:spacing w:val="-6"/>
            </w:rPr>
            <w:t>领先于对其他区域的出口</w:t>
          </w:r>
          <w:r>
            <w:rPr>
              <w:spacing w:val="-54"/>
            </w:rPr>
            <w:t xml:space="preserve"> </w:t>
          </w:r>
          <w:r>
            <w:tab/>
          </w:r>
          <w:r>
            <w:rPr>
              <w:spacing w:val="-53"/>
            </w:rPr>
            <w:t xml:space="preserve"> </w:t>
          </w:r>
          <w:hyperlink w:anchor="bookmark26" w:history="1">
            <w:r>
              <w:rPr>
                <w:rFonts w:ascii="Times New Roman" w:eastAsia="Times New Roman" w:hAnsi="Times New Roman" w:cs="Times New Roman"/>
                <w:spacing w:val="-8"/>
              </w:rPr>
              <w:t>9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9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2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11</w:t>
          </w:r>
          <w:r>
            <w:rPr>
              <w:spacing w:val="-3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3"/>
            </w:rPr>
            <w:t>不同欧美收入占比的地产后周期股票组合相对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Wind</w:t>
          </w:r>
          <w:r>
            <w:rPr>
              <w:rFonts w:ascii="Times New Roman" w:eastAsia="Times New Roman" w:hAnsi="Times New Roman" w:cs="Times New Roman"/>
              <w:spacing w:val="-4"/>
            </w:rPr>
            <w:t xml:space="preserve"> </w:t>
          </w:r>
          <w:r>
            <w:rPr>
              <w:spacing w:val="-4"/>
            </w:rPr>
            <w:t>全</w:t>
          </w:r>
          <w:r>
            <w:rPr>
              <w:spacing w:val="-4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A</w:t>
          </w:r>
          <w:r>
            <w:rPr>
              <w:rFonts w:ascii="Times New Roman" w:eastAsia="Times New Roman" w:hAnsi="Times New Roman" w:cs="Times New Roman"/>
              <w:spacing w:val="18"/>
              <w:w w:val="101"/>
            </w:rPr>
            <w:t xml:space="preserve"> </w:t>
          </w:r>
          <w:r>
            <w:rPr>
              <w:spacing w:val="-4"/>
            </w:rPr>
            <w:t>的相对净值表现</w:t>
          </w:r>
          <w:r>
            <w:rPr>
              <w:spacing w:val="-67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-1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0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6" w:line="217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5"/>
            </w:rPr>
            <w:t>图</w:t>
          </w:r>
          <w:r>
            <w:rPr>
              <w:spacing w:val="-2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</w:rPr>
            <w:t>12</w:t>
          </w:r>
          <w:r>
            <w:rPr>
              <w:spacing w:val="-5"/>
            </w:rPr>
            <w:t>：</w:t>
          </w:r>
          <w:r>
            <w:rPr>
              <w:spacing w:val="38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</w:rPr>
            <w:t xml:space="preserve">10 </w:t>
          </w:r>
          <w:r>
            <w:rPr>
              <w:spacing w:val="-5"/>
            </w:rPr>
            <w:t>年期美债收益率区间走势</w:t>
          </w:r>
          <w:r>
            <w:rPr>
              <w:spacing w:val="-76"/>
            </w:rPr>
            <w:t xml:space="preserve"> </w:t>
          </w:r>
          <w:r>
            <w:tab/>
          </w:r>
          <w:r>
            <w:rPr>
              <w:spacing w:val="-29"/>
            </w:rPr>
            <w:t xml:space="preserve"> </w:t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16"/>
              </w:rPr>
              <w:t>11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2"/>
            </w:rPr>
            <w:t>图</w:t>
          </w:r>
          <w:r>
            <w:rPr>
              <w:spacing w:val="-14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>13</w:t>
          </w:r>
          <w:r>
            <w:rPr>
              <w:spacing w:val="-2"/>
            </w:rPr>
            <w:t>：</w:t>
          </w:r>
          <w:r>
            <w:rPr>
              <w:spacing w:val="-2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>2019.4-2020.10</w:t>
          </w:r>
          <w:r>
            <w:rPr>
              <w:spacing w:val="-2"/>
            </w:rPr>
            <w:t>，美国成屋销量增速持续扩张</w:t>
          </w:r>
          <w:r>
            <w:rPr>
              <w:spacing w:val="-81"/>
            </w:rPr>
            <w:t xml:space="preserve"> </w:t>
          </w:r>
          <w:r>
            <w:tab/>
          </w:r>
          <w:r>
            <w:rPr>
              <w:spacing w:val="-29"/>
            </w:rPr>
            <w:t xml:space="preserve"> </w:t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16"/>
              </w:rPr>
              <w:t>11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90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2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14</w:t>
          </w:r>
          <w:r>
            <w:rPr>
              <w:spacing w:val="-3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3"/>
            </w:rPr>
            <w:t>不同欧美收入占比的制造业股票组合相对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Wind </w:t>
          </w:r>
          <w:r>
            <w:rPr>
              <w:spacing w:val="-4"/>
            </w:rPr>
            <w:t>全</w:t>
          </w:r>
          <w:r>
            <w:rPr>
              <w:spacing w:val="-4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A</w:t>
          </w:r>
          <w:r>
            <w:rPr>
              <w:rFonts w:ascii="Times New Roman" w:eastAsia="Times New Roman" w:hAnsi="Times New Roman" w:cs="Times New Roman"/>
              <w:spacing w:val="19"/>
              <w:w w:val="101"/>
            </w:rPr>
            <w:t xml:space="preserve"> </w:t>
          </w:r>
          <w:r>
            <w:rPr>
              <w:spacing w:val="-4"/>
            </w:rPr>
            <w:t>的相对净值表现</w:t>
          </w:r>
          <w:r>
            <w:rPr>
              <w:spacing w:val="-79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8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9"/>
            </w:rPr>
            <w:t>图</w:t>
          </w:r>
          <w:r>
            <w:rPr>
              <w:spacing w:val="-13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9"/>
            </w:rPr>
            <w:t>15</w:t>
          </w:r>
          <w:r>
            <w:rPr>
              <w:spacing w:val="-9"/>
            </w:rPr>
            <w:t>：</w:t>
          </w:r>
          <w:r>
            <w:rPr>
              <w:spacing w:val="46"/>
            </w:rPr>
            <w:t xml:space="preserve"> </w:t>
          </w:r>
          <w:r>
            <w:rPr>
              <w:spacing w:val="-9"/>
            </w:rPr>
            <w:t>中美制造业</w:t>
          </w:r>
          <w:r>
            <w:rPr>
              <w:spacing w:val="-4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9"/>
            </w:rPr>
            <w:t>PMI</w:t>
          </w:r>
          <w:r>
            <w:rPr>
              <w:rFonts w:ascii="Times New Roman" w:eastAsia="Times New Roman" w:hAnsi="Times New Roman" w:cs="Times New Roman"/>
              <w:spacing w:val="30"/>
              <w:w w:val="101"/>
            </w:rPr>
            <w:t xml:space="preserve"> </w:t>
          </w:r>
          <w:r>
            <w:rPr>
              <w:spacing w:val="-9"/>
            </w:rPr>
            <w:t>区间表现</w:t>
          </w:r>
          <w:r>
            <w:rPr>
              <w:spacing w:val="-84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4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2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16</w:t>
          </w:r>
          <w:r>
            <w:rPr>
              <w:spacing w:val="-3"/>
            </w:rPr>
            <w:t>：</w:t>
          </w:r>
          <w:r>
            <w:rPr>
              <w:spacing w:val="32"/>
            </w:rPr>
            <w:t xml:space="preserve"> </w:t>
          </w:r>
          <w:r>
            <w:rPr>
              <w:spacing w:val="-3"/>
            </w:rPr>
            <w:t>不同欧美收入占比的医药行业股票组合相对</w:t>
          </w:r>
          <w:r>
            <w:rPr>
              <w:spacing w:val="-4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Wind </w:t>
          </w:r>
          <w:r>
            <w:rPr>
              <w:spacing w:val="-3"/>
            </w:rPr>
            <w:t>全</w:t>
          </w:r>
          <w:r>
            <w:rPr>
              <w:spacing w:val="-4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A</w:t>
          </w:r>
          <w:r>
            <w:rPr>
              <w:rFonts w:ascii="Times New Roman" w:eastAsia="Times New Roman" w:hAnsi="Times New Roman" w:cs="Times New Roman"/>
              <w:spacing w:val="18"/>
              <w:w w:val="101"/>
            </w:rPr>
            <w:t xml:space="preserve"> </w:t>
          </w:r>
          <w:r>
            <w:rPr>
              <w:spacing w:val="-3"/>
            </w:rPr>
            <w:t>的相对</w:t>
          </w:r>
          <w:r>
            <w:rPr>
              <w:spacing w:val="-4"/>
            </w:rPr>
            <w:t>净值表现</w:t>
          </w:r>
          <w:r>
            <w:rPr>
              <w:spacing w:val="-76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12"/>
              </w:rPr>
              <w:t>13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7" w:line="217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6"/>
            </w:rPr>
            <w:t>图</w:t>
          </w:r>
          <w:r>
            <w:rPr>
              <w:spacing w:val="-21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</w:rPr>
            <w:t>17</w:t>
          </w:r>
          <w:r>
            <w:rPr>
              <w:spacing w:val="-6"/>
            </w:rPr>
            <w:t>：</w:t>
          </w:r>
          <w:r>
            <w:rPr>
              <w:spacing w:val="38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</w:rPr>
            <w:t xml:space="preserve">10 </w:t>
          </w:r>
          <w:r>
            <w:rPr>
              <w:spacing w:val="-6"/>
            </w:rPr>
            <w:t>年期美债收益率走势</w:t>
          </w:r>
          <w:r>
            <w:rPr>
              <w:spacing w:val="-78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12"/>
              </w:rPr>
              <w:t>13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4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6"/>
            </w:rPr>
            <w:t>图</w:t>
          </w:r>
          <w:r>
            <w:rPr>
              <w:spacing w:val="-24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</w:rPr>
            <w:t>18</w:t>
          </w:r>
          <w:r>
            <w:rPr>
              <w:spacing w:val="-6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6"/>
            </w:rPr>
            <w:t>美国成屋库存量位于历史低位（单位：万套）</w:t>
          </w:r>
          <w:r>
            <w:rPr>
              <w:spacing w:val="-6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4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9" w:line="218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24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19</w:t>
          </w:r>
          <w:r>
            <w:rPr>
              <w:spacing w:val="-3"/>
            </w:rPr>
            <w:t>：</w:t>
          </w:r>
          <w:r>
            <w:rPr>
              <w:spacing w:val="32"/>
            </w:rPr>
            <w:t xml:space="preserve"> </w:t>
          </w:r>
          <w:r>
            <w:rPr>
              <w:spacing w:val="-3"/>
            </w:rPr>
            <w:t>美国新屋销量、营建许可等数据持续反弹（单位：万套）</w:t>
          </w:r>
          <w:r>
            <w:rPr>
              <w:spacing w:val="-54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4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20</w:t>
          </w:r>
          <w:r>
            <w:rPr>
              <w:spacing w:val="-3"/>
            </w:rPr>
            <w:t>：</w:t>
          </w:r>
          <w:r>
            <w:rPr>
              <w:spacing w:val="32"/>
            </w:rPr>
            <w:t xml:space="preserve"> </w:t>
          </w:r>
          <w:r>
            <w:rPr>
              <w:spacing w:val="-3"/>
            </w:rPr>
            <w:t>不同欧美收入占比的地产后周期股票组合相对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Wind </w:t>
          </w:r>
          <w:r>
            <w:rPr>
              <w:spacing w:val="-3"/>
            </w:rPr>
            <w:t>全</w:t>
          </w:r>
          <w:r>
            <w:rPr>
              <w:spacing w:val="-4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A</w:t>
          </w:r>
          <w:r>
            <w:rPr>
              <w:rFonts w:ascii="Times New Roman" w:eastAsia="Times New Roman" w:hAnsi="Times New Roman" w:cs="Times New Roman"/>
              <w:spacing w:val="19"/>
            </w:rPr>
            <w:t xml:space="preserve"> </w:t>
          </w:r>
          <w:r>
            <w:rPr>
              <w:spacing w:val="-3"/>
            </w:rPr>
            <w:t>的相对净值表现</w:t>
          </w:r>
          <w:r>
            <w:rPr>
              <w:spacing w:val="-74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-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4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4"/>
            </w:rPr>
            <w:t>图</w:t>
          </w:r>
          <w:r>
            <w:rPr>
              <w:spacing w:val="-45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21</w:t>
          </w:r>
          <w:r>
            <w:rPr>
              <w:spacing w:val="-4"/>
            </w:rPr>
            <w:t>：</w:t>
          </w:r>
          <w:r>
            <w:rPr>
              <w:spacing w:val="-4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 xml:space="preserve">2023 </w:t>
          </w:r>
          <w:r>
            <w:rPr>
              <w:spacing w:val="-4"/>
            </w:rPr>
            <w:t>年</w:t>
          </w:r>
          <w:r>
            <w:rPr>
              <w:spacing w:val="-48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4</w:t>
          </w:r>
          <w:r>
            <w:rPr>
              <w:rFonts w:ascii="Times New Roman" w:eastAsia="Times New Roman" w:hAnsi="Times New Roman" w:cs="Times New Roman"/>
              <w:spacing w:val="20"/>
            </w:rPr>
            <w:t xml:space="preserve"> </w:t>
          </w:r>
          <w:r>
            <w:rPr>
              <w:spacing w:val="-4"/>
            </w:rPr>
            <w:t>月前后，</w:t>
          </w:r>
          <w:r>
            <w:rPr>
              <w:spacing w:val="-4"/>
            </w:rPr>
            <w:t xml:space="preserve"> </w:t>
          </w:r>
          <w:r>
            <w:rPr>
              <w:spacing w:val="-4"/>
            </w:rPr>
            <w:t>美国制造业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 xml:space="preserve">PMI </w:t>
          </w:r>
          <w:r>
            <w:rPr>
              <w:spacing w:val="-5"/>
            </w:rPr>
            <w:t>等重要景气数据触底反弹（指标经标准化）</w:t>
          </w:r>
          <w:r>
            <w:rPr>
              <w:spacing w:val="-5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7" w:history="1">
            <w:r>
              <w:rPr>
                <w:rFonts w:ascii="Times New Roman" w:eastAsia="Times New Roman" w:hAnsi="Times New Roman" w:cs="Times New Roman"/>
                <w:spacing w:val="-12"/>
              </w:rPr>
              <w:t>15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90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44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22</w:t>
          </w:r>
          <w:r>
            <w:rPr>
              <w:spacing w:val="-3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3"/>
            </w:rPr>
            <w:t>美制造业景气度下行周期平均持续</w:t>
          </w:r>
          <w:r>
            <w:rPr>
              <w:spacing w:val="-45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21 </w:t>
          </w:r>
          <w:r>
            <w:rPr>
              <w:spacing w:val="-3"/>
            </w:rPr>
            <w:t>个月</w:t>
          </w:r>
          <w:r>
            <w:rPr>
              <w:spacing w:val="-66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8" w:history="1">
            <w:r>
              <w:rPr>
                <w:rFonts w:ascii="Times New Roman" w:eastAsia="Times New Roman" w:hAnsi="Times New Roman" w:cs="Times New Roman"/>
                <w:spacing w:val="-12"/>
              </w:rPr>
              <w:t>15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7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4"/>
            </w:rPr>
            <w:t>图</w:t>
          </w:r>
          <w:r>
            <w:rPr>
              <w:spacing w:val="-3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23</w:t>
          </w:r>
          <w:r>
            <w:rPr>
              <w:spacing w:val="-4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4"/>
            </w:rPr>
            <w:t>美制造业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 xml:space="preserve">PMI </w:t>
          </w:r>
          <w:r>
            <w:rPr>
              <w:spacing w:val="-4"/>
            </w:rPr>
            <w:t>领先于库存增速</w:t>
          </w:r>
          <w:r>
            <w:rPr>
              <w:spacing w:val="-80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9" w:history="1">
            <w:r>
              <w:rPr>
                <w:rFonts w:ascii="Times New Roman" w:eastAsia="Times New Roman" w:hAnsi="Times New Roman" w:cs="Times New Roman"/>
                <w:spacing w:val="-1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6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7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35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24</w:t>
          </w:r>
          <w:r>
            <w:rPr>
              <w:spacing w:val="-3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3"/>
            </w:rPr>
            <w:t>不同欧美收入占比的制造业股票组合相对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Wind </w:t>
          </w:r>
          <w:r>
            <w:rPr>
              <w:spacing w:val="-3"/>
            </w:rPr>
            <w:t>全</w:t>
          </w:r>
          <w:r>
            <w:rPr>
              <w:spacing w:val="-4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A</w:t>
          </w:r>
          <w:r>
            <w:rPr>
              <w:rFonts w:ascii="Times New Roman" w:eastAsia="Times New Roman" w:hAnsi="Times New Roman" w:cs="Times New Roman"/>
              <w:spacing w:val="19"/>
              <w:w w:val="101"/>
            </w:rPr>
            <w:t xml:space="preserve"> </w:t>
          </w:r>
          <w:r>
            <w:rPr>
              <w:spacing w:val="-3"/>
            </w:rPr>
            <w:t>的相对净值表现</w:t>
          </w:r>
          <w:r>
            <w:rPr>
              <w:spacing w:val="-79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40" w:history="1">
            <w:r>
              <w:rPr>
                <w:rFonts w:ascii="Times New Roman" w:eastAsia="Times New Roman" w:hAnsi="Times New Roman" w:cs="Times New Roman"/>
                <w:spacing w:val="-1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6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8" w:line="213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4"/>
            </w:rPr>
            <w:t>图</w:t>
          </w:r>
          <w:r>
            <w:rPr>
              <w:spacing w:val="-4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>25</w:t>
          </w:r>
          <w:r>
            <w:rPr>
              <w:spacing w:val="-4"/>
            </w:rPr>
            <w:t>：</w:t>
          </w:r>
          <w:r>
            <w:rPr>
              <w:spacing w:val="45"/>
            </w:rPr>
            <w:t xml:space="preserve"> </w:t>
          </w:r>
          <w:r>
            <w:rPr>
              <w:spacing w:val="-4"/>
            </w:rPr>
            <w:t>中国制造业后续有望进入主动补库周期</w:t>
          </w:r>
          <w:r>
            <w:rPr>
              <w:spacing w:val="-67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41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7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8" w:line="216" w:lineRule="auto"/>
            <w:ind w:left="28"/>
            <w:rPr>
              <w:rFonts w:ascii="Times New Roman" w:eastAsia="Times New Roman" w:hAnsi="Times New Roman" w:cs="Times New Roman"/>
            </w:rPr>
          </w:pPr>
          <w:r>
            <w:rPr>
              <w:spacing w:val="-3"/>
            </w:rPr>
            <w:t>图</w:t>
          </w:r>
          <w:r>
            <w:rPr>
              <w:spacing w:val="-3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26</w:t>
          </w:r>
          <w:r>
            <w:rPr>
              <w:spacing w:val="-3"/>
            </w:rPr>
            <w:t>：</w:t>
          </w:r>
          <w:r>
            <w:rPr>
              <w:spacing w:val="33"/>
            </w:rPr>
            <w:t xml:space="preserve"> </w:t>
          </w:r>
          <w:r>
            <w:rPr>
              <w:spacing w:val="-3"/>
            </w:rPr>
            <w:t>不同欧美收入占比的医药股票组合相对</w:t>
          </w:r>
          <w:r>
            <w:rPr>
              <w:spacing w:val="-48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Wind </w:t>
          </w:r>
          <w:r>
            <w:rPr>
              <w:spacing w:val="-3"/>
            </w:rPr>
            <w:t>全</w:t>
          </w:r>
          <w:r>
            <w:rPr>
              <w:spacing w:val="-4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</w:rPr>
            <w:t>A</w:t>
          </w:r>
          <w:r>
            <w:rPr>
              <w:rFonts w:ascii="Times New Roman" w:eastAsia="Times New Roman" w:hAnsi="Times New Roman" w:cs="Times New Roman"/>
              <w:spacing w:val="20"/>
            </w:rPr>
            <w:t xml:space="preserve"> </w:t>
          </w:r>
          <w:r>
            <w:rPr>
              <w:spacing w:val="-3"/>
            </w:rPr>
            <w:t>的相对净值表现</w:t>
          </w:r>
          <w:r>
            <w:rPr>
              <w:spacing w:val="-80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42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7</w:t>
            </w:r>
          </w:hyperlink>
        </w:p>
        <w:p>
          <w:pPr>
            <w:spacing w:line="338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10456"/>
            </w:tabs>
            <w:spacing w:before="66" w:line="220" w:lineRule="auto"/>
            <w:ind w:left="3"/>
            <w:rPr>
              <w:rFonts w:ascii="Times New Roman" w:eastAsia="Times New Roman" w:hAnsi="Times New Roman" w:cs="Times New Roman"/>
            </w:rPr>
          </w:pPr>
          <w:r>
            <w:rPr>
              <w:spacing w:val="-2"/>
            </w:rPr>
            <w:t>表</w:t>
          </w:r>
          <w:r>
            <w:rPr>
              <w:spacing w:val="-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>1</w:t>
          </w:r>
          <w:r>
            <w:rPr>
              <w:spacing w:val="-2"/>
            </w:rPr>
            <w:t>：</w:t>
          </w:r>
          <w:r>
            <w:rPr>
              <w:spacing w:val="-2"/>
            </w:rPr>
            <w:t xml:space="preserve"> </w:t>
          </w:r>
          <w:r>
            <w:rPr>
              <w:spacing w:val="-2"/>
            </w:rPr>
            <w:t>各利好方向对应的细分申万二级行业列表</w:t>
          </w:r>
          <w:r>
            <w:rPr>
              <w:spacing w:val="-67"/>
            </w:rPr>
            <w:t xml:space="preserve"> </w:t>
          </w:r>
          <w:r>
            <w:tab/>
          </w:r>
          <w:r>
            <w:rPr>
              <w:spacing w:val="-49"/>
            </w:rPr>
            <w:t xml:space="preserve"> </w:t>
          </w:r>
          <w:hyperlink w:anchor="bookmark43" w:history="1">
            <w:r>
              <w:rPr>
                <w:rFonts w:ascii="Times New Roman" w:eastAsia="Times New Roman" w:hAnsi="Times New Roman" w:cs="Times New Roman"/>
                <w:spacing w:val="-13"/>
              </w:rPr>
              <w:t>8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2" w:line="216" w:lineRule="auto"/>
            <w:ind w:left="3"/>
            <w:rPr>
              <w:rFonts w:ascii="Times New Roman" w:eastAsia="Times New Roman" w:hAnsi="Times New Roman" w:cs="Times New Roman"/>
            </w:rPr>
          </w:pPr>
          <w:r>
            <w:t>表</w:t>
          </w:r>
          <w:r>
            <w:rPr>
              <w:spacing w:val="-45"/>
            </w:rPr>
            <w:t xml:space="preserve"> </w:t>
          </w:r>
          <w:r>
            <w:rPr>
              <w:rFonts w:ascii="Times New Roman" w:eastAsia="Times New Roman" w:hAnsi="Times New Roman" w:cs="Times New Roman"/>
            </w:rPr>
            <w:t>2</w:t>
          </w:r>
          <w:r>
            <w:t>：</w:t>
          </w:r>
          <w:r>
            <w:t xml:space="preserve"> </w:t>
          </w:r>
          <w:r>
            <w:t>地产后周期出口链股票组合</w:t>
          </w:r>
          <w:r>
            <w:rPr>
              <w:rFonts w:ascii="Times New Roman" w:eastAsia="Times New Roman" w:hAnsi="Times New Roman" w:cs="Times New Roman"/>
            </w:rPr>
            <w:t>-</w:t>
          </w:r>
          <w:r>
            <w:t>截至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</w:rPr>
            <w:t>2023/1</w:t>
          </w:r>
          <w:r>
            <w:rPr>
              <w:rFonts w:ascii="Times New Roman" w:eastAsia="Times New Roman" w:hAnsi="Times New Roman" w:cs="Times New Roman"/>
              <w:spacing w:val="-1"/>
            </w:rPr>
            <w:t xml:space="preserve">2/31 </w:t>
          </w:r>
          <w:r>
            <w:rPr>
              <w:rFonts w:ascii="Times New Roman" w:eastAsia="Times New Roman" w:hAnsi="Times New Roman" w:cs="Times New Roman"/>
            </w:rPr>
            <w:tab/>
          </w:r>
          <w:r>
            <w:rPr>
              <w:rFonts w:ascii="Times New Roman" w:eastAsia="Times New Roman" w:hAnsi="Times New Roman" w:cs="Times New Roman"/>
              <w:spacing w:val="13"/>
            </w:rPr>
            <w:t xml:space="preserve"> </w:t>
          </w:r>
          <w:hyperlink w:anchor="bookmark44" w:history="1">
            <w:r>
              <w:rPr>
                <w:rFonts w:ascii="Times New Roman" w:eastAsia="Times New Roman" w:hAnsi="Times New Roman" w:cs="Times New Roman"/>
                <w:spacing w:val="-12"/>
              </w:rPr>
              <w:t>18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5" w:line="216" w:lineRule="auto"/>
            <w:ind w:left="3"/>
            <w:rPr>
              <w:rFonts w:ascii="Times New Roman" w:eastAsia="Times New Roman" w:hAnsi="Times New Roman" w:cs="Times New Roman"/>
            </w:rPr>
          </w:pPr>
          <w:r>
            <w:rPr>
              <w:spacing w:val="-2"/>
            </w:rPr>
            <w:t>表</w:t>
          </w:r>
          <w:r>
            <w:rPr>
              <w:spacing w:val="-25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>3</w:t>
          </w:r>
          <w:r>
            <w:rPr>
              <w:spacing w:val="-2"/>
            </w:rPr>
            <w:t>：</w:t>
          </w:r>
          <w:r>
            <w:rPr>
              <w:spacing w:val="27"/>
            </w:rPr>
            <w:t xml:space="preserve"> </w:t>
          </w:r>
          <w:r>
            <w:rPr>
              <w:spacing w:val="-2"/>
            </w:rPr>
            <w:t>制造业出口链股票组合</w:t>
          </w:r>
          <w:r>
            <w:rPr>
              <w:rFonts w:ascii="Times New Roman" w:eastAsia="Times New Roman" w:hAnsi="Times New Roman" w:cs="Times New Roman"/>
              <w:spacing w:val="-2"/>
            </w:rPr>
            <w:t>-</w:t>
          </w:r>
          <w:r>
            <w:rPr>
              <w:spacing w:val="-2"/>
            </w:rPr>
            <w:t>截至</w:t>
          </w:r>
          <w:r>
            <w:rPr>
              <w:spacing w:val="-4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 xml:space="preserve">2023/12/31 </w:t>
          </w:r>
          <w:r>
            <w:rPr>
              <w:rFonts w:ascii="Times New Roman" w:eastAsia="Times New Roman" w:hAnsi="Times New Roman" w:cs="Times New Roman"/>
            </w:rPr>
            <w:tab/>
          </w:r>
          <w:r>
            <w:rPr>
              <w:rFonts w:ascii="Times New Roman" w:eastAsia="Times New Roman" w:hAnsi="Times New Roman" w:cs="Times New Roman"/>
              <w:spacing w:val="13"/>
            </w:rPr>
            <w:t xml:space="preserve"> </w:t>
          </w:r>
          <w:hyperlink w:anchor="bookmark45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9</w:t>
            </w:r>
          </w:hyperlink>
        </w:p>
        <w:p>
          <w:pPr>
            <w:pStyle w:val="BodyText"/>
            <w:tabs>
              <w:tab w:val="right" w:leader="dot" w:pos="10456"/>
            </w:tabs>
            <w:spacing w:before="87" w:line="216" w:lineRule="auto"/>
            <w:ind w:left="3"/>
            <w:rPr>
              <w:rFonts w:ascii="Times New Roman" w:eastAsia="Times New Roman" w:hAnsi="Times New Roman" w:cs="Times New Roman"/>
            </w:rPr>
          </w:pPr>
          <w:r>
            <w:rPr>
              <w:spacing w:val="-2"/>
            </w:rPr>
            <w:t>表</w:t>
          </w:r>
          <w:r>
            <w:rPr>
              <w:spacing w:val="-46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>4</w:t>
          </w:r>
          <w:r>
            <w:rPr>
              <w:spacing w:val="-2"/>
            </w:rPr>
            <w:t>：</w:t>
          </w:r>
          <w:r>
            <w:rPr>
              <w:spacing w:val="48"/>
            </w:rPr>
            <w:t xml:space="preserve"> </w:t>
          </w:r>
          <w:r>
            <w:rPr>
              <w:spacing w:val="-2"/>
            </w:rPr>
            <w:t>医药出口链股票组合</w:t>
          </w:r>
          <w:r>
            <w:rPr>
              <w:rFonts w:ascii="Times New Roman" w:eastAsia="Times New Roman" w:hAnsi="Times New Roman" w:cs="Times New Roman"/>
              <w:spacing w:val="-2"/>
            </w:rPr>
            <w:t>-</w:t>
          </w:r>
          <w:r>
            <w:rPr>
              <w:spacing w:val="-2"/>
            </w:rPr>
            <w:t>截至</w:t>
          </w:r>
          <w:r>
            <w:rPr>
              <w:spacing w:val="-47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</w:rPr>
            <w:t>2023/12</w:t>
          </w:r>
          <w:r>
            <w:rPr>
              <w:rFonts w:ascii="Times New Roman" w:eastAsia="Times New Roman" w:hAnsi="Times New Roman" w:cs="Times New Roman"/>
              <w:spacing w:val="-3"/>
            </w:rPr>
            <w:t xml:space="preserve">/31 </w:t>
          </w:r>
          <w:r>
            <w:rPr>
              <w:rFonts w:ascii="Times New Roman" w:eastAsia="Times New Roman" w:hAnsi="Times New Roman" w:cs="Times New Roman"/>
            </w:rPr>
            <w:tab/>
          </w:r>
          <w:r>
            <w:rPr>
              <w:rFonts w:ascii="Times New Roman" w:eastAsia="Times New Roman" w:hAnsi="Times New Roman" w:cs="Times New Roman"/>
              <w:spacing w:val="13"/>
            </w:rPr>
            <w:t xml:space="preserve"> </w:t>
          </w:r>
          <w:hyperlink w:anchor="bookmark46" w:history="1">
            <w:r>
              <w:rPr>
                <w:rFonts w:ascii="Times New Roman" w:eastAsia="Times New Roman" w:hAnsi="Times New Roman" w:cs="Times New Roman"/>
                <w:spacing w:val="-1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9</w:t>
            </w:r>
          </w:hyperlink>
        </w:p>
      </w:sdtContent>
    </w:sdt>
    <w:p>
      <w:pPr>
        <w:spacing w:line="216" w:lineRule="auto"/>
        <w:rPr>
          <w:rFonts w:ascii="Times New Roman" w:eastAsia="Times New Roman" w:hAnsi="Times New Roman" w:cs="Times New Roman"/>
        </w:rPr>
        <w:sectPr>
          <w:headerReference w:type="default" r:id="rId13"/>
          <w:footerReference w:type="default" r:id="rId14"/>
          <w:pgSz w:w="11907" w:h="16839"/>
          <w:pgMar w:top="1264" w:right="725" w:bottom="1027" w:left="720" w:header="788" w:footer="800" w:gutter="0"/>
          <w:pgNumType w:start="4"/>
          <w:cols w:space="708"/>
        </w:sectPr>
      </w:pPr>
    </w:p>
    <w:p>
      <w:pPr>
        <w:pStyle w:val="BodyText"/>
        <w:spacing w:before="286" w:line="230" w:lineRule="auto"/>
        <w:ind w:left="2538"/>
        <w:rPr>
          <w:sz w:val="27"/>
          <w:szCs w:val="27"/>
        </w:rPr>
      </w:pP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2077974</wp:posOffset>
            </wp:positionH>
            <wp:positionV relativeFrom="page">
              <wp:posOffset>2468119</wp:posOffset>
            </wp:positionV>
            <wp:extent cx="5025770" cy="2945129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5770" cy="2945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19"/>
      <w:bookmarkEnd w:id="0"/>
      <w:bookmarkStart w:id="1" w:name="bookmark1"/>
      <w:bookmarkEnd w:id="1"/>
      <w:bookmarkStart w:id="2" w:name="bookmark2"/>
      <w:bookmarkEnd w:id="2"/>
      <w:bookmarkStart w:id="3" w:name="bookmark3"/>
      <w:bookmarkEnd w:id="3"/>
      <w:r>
        <w:rPr>
          <w:rFonts w:ascii="Times New Roman" w:eastAsia="Times New Roman" w:hAnsi="Times New Roman" w:cs="Times New Roman"/>
          <w:b/>
          <w:bCs/>
          <w:color w:val="B70004"/>
          <w:spacing w:val="-8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B70004"/>
          <w:spacing w:val="48"/>
          <w:sz w:val="27"/>
          <w:szCs w:val="27"/>
        </w:rPr>
        <w:t xml:space="preserve"> </w:t>
      </w:r>
      <w:r>
        <w:rPr>
          <w:color w:val="B70004"/>
          <w:spacing w:val="-8"/>
          <w:sz w:val="27"/>
          <w:szCs w:val="27"/>
          <w14:textOutline w14:w="5072">
            <w14:solidFill>
              <w14:srgbClr w14:val="B70004"/>
            </w14:solidFill>
            <w14:prstDash w14:val="solid"/>
            <w14:miter w14:lim="10"/>
          </w14:textOutline>
        </w:rPr>
        <w:t>引言</w:t>
      </w: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65" w:line="276" w:lineRule="auto"/>
        <w:ind w:left="2557" w:right="101" w:firstLine="414"/>
      </w:pPr>
      <w:r>
        <w:rPr>
          <w:spacing w:val="-8"/>
          <w14:textOutline w14:w="3635">
            <w14:solidFill>
              <w14:srgbClr w14:val="000000"/>
            </w14:solidFill>
            <w14:prstDash w14:val="solid"/>
            <w14:miter w14:lim="10"/>
          </w14:textOutline>
        </w:rPr>
        <w:t>美联储意外转鸽，</w:t>
      </w:r>
      <w:r>
        <w:rPr>
          <w:spacing w:val="-8"/>
        </w:rPr>
        <w:t xml:space="preserve"> </w:t>
      </w:r>
      <w:r>
        <w:rPr>
          <w:spacing w:val="-8"/>
          <w14:textOutline w14:w="3635">
            <w14:solidFill>
              <w14:srgbClr w14:val="000000"/>
            </w14:solidFill>
            <w14:prstDash w14:val="solid"/>
            <w14:miter w14:lim="10"/>
          </w14:textOutline>
        </w:rPr>
        <w:t>降息预期开始发酵。</w:t>
      </w:r>
      <w:r>
        <w:rPr>
          <w:spacing w:val="-8"/>
        </w:rPr>
        <w:t>在</w:t>
      </w:r>
      <w:r>
        <w:rPr>
          <w:spacing w:val="-46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 xml:space="preserve">2023 </w:t>
      </w:r>
      <w:r>
        <w:rPr>
          <w:spacing w:val="-8"/>
        </w:rPr>
        <w:t>年</w:t>
      </w:r>
      <w:r>
        <w:rPr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>12</w:t>
      </w:r>
      <w:r>
        <w:rPr>
          <w:rFonts w:ascii="Times New Roman" w:eastAsia="Times New Roman" w:hAnsi="Times New Roman" w:cs="Times New Roman"/>
          <w:spacing w:val="19"/>
          <w:w w:val="101"/>
        </w:rPr>
        <w:t xml:space="preserve"> </w:t>
      </w:r>
      <w:r>
        <w:rPr>
          <w:spacing w:val="-8"/>
        </w:rPr>
        <w:t>月</w:t>
      </w:r>
      <w:r>
        <w:rPr>
          <w:spacing w:val="-9"/>
        </w:rPr>
        <w:t>议息会议上，</w:t>
      </w:r>
      <w:r>
        <w:rPr>
          <w:spacing w:val="-46"/>
        </w:rPr>
        <w:t xml:space="preserve"> </w:t>
      </w:r>
      <w:r>
        <w:rPr>
          <w:spacing w:val="-9"/>
        </w:rPr>
        <w:t>美联储意外转鸽，</w:t>
      </w:r>
      <w:r>
        <w:t xml:space="preserve">  </w:t>
      </w:r>
      <w:r>
        <w:rPr>
          <w:spacing w:val="-6"/>
        </w:rPr>
        <w:t>鲍威尔讲话中提及美联储已开始讨论降息时机的问题。随后，市场迅速定价美联储降息预期，</w:t>
      </w:r>
      <w:r>
        <w:rPr>
          <w:spacing w:val="8"/>
        </w:rPr>
        <w:t xml:space="preserve"> </w:t>
      </w:r>
      <w:r>
        <w:rPr>
          <w:spacing w:val="6"/>
        </w:rPr>
        <w:t>芝商所联邦基金利率期货隐含的投资者预期显示，市场预期美联储有</w:t>
      </w:r>
      <w:r>
        <w:rPr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80%</w:t>
      </w:r>
      <w:r>
        <w:rPr>
          <w:spacing w:val="6"/>
        </w:rPr>
        <w:t>以上的概率在</w:t>
      </w:r>
      <w:r>
        <w:rPr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 xml:space="preserve">2024 </w:t>
      </w:r>
      <w:r>
        <w:rPr>
          <w:spacing w:val="-3"/>
        </w:rPr>
        <w:t>年</w:t>
      </w:r>
      <w:r>
        <w:rPr>
          <w:spacing w:val="-3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3</w:t>
      </w:r>
      <w:r>
        <w:rPr>
          <w:rFonts w:ascii="Times New Roman" w:eastAsia="Times New Roman" w:hAnsi="Times New Roman" w:cs="Times New Roman"/>
          <w:spacing w:val="20"/>
          <w:w w:val="101"/>
        </w:rPr>
        <w:t xml:space="preserve"> </w:t>
      </w:r>
      <w:r>
        <w:rPr>
          <w:spacing w:val="-3"/>
        </w:rPr>
        <w:t>月议息会议上开启降息周期。</w:t>
      </w:r>
    </w:p>
    <w:p>
      <w:pPr>
        <w:pStyle w:val="BodyText"/>
        <w:spacing w:before="200" w:line="217" w:lineRule="auto"/>
        <w:ind w:left="2578"/>
        <w:rPr>
          <w:sz w:val="18"/>
          <w:szCs w:val="18"/>
        </w:rPr>
      </w:pPr>
      <w:r>
        <w:rPr>
          <w:color w:val="B70004"/>
          <w:spacing w:val="-3"/>
          <w:sz w:val="18"/>
          <w:szCs w:val="18"/>
        </w:rPr>
        <w:t>图</w:t>
      </w:r>
      <w:r>
        <w:rPr>
          <w:rFonts w:ascii="Times New Roman" w:eastAsia="Times New Roman" w:hAnsi="Times New Roman" w:cs="Times New Roman"/>
          <w:color w:val="B70004"/>
          <w:spacing w:val="-3"/>
          <w:sz w:val="18"/>
          <w:szCs w:val="18"/>
        </w:rPr>
        <w:t>1</w:t>
      </w:r>
      <w:r>
        <w:rPr>
          <w:color w:val="B70004"/>
          <w:spacing w:val="-3"/>
          <w:sz w:val="18"/>
          <w:szCs w:val="18"/>
        </w:rPr>
        <w:t>：</w:t>
      </w:r>
      <w:r>
        <w:rPr>
          <w:color w:val="B70004"/>
          <w:spacing w:val="-3"/>
          <w:sz w:val="18"/>
          <w:szCs w:val="18"/>
        </w:rPr>
        <w:t xml:space="preserve"> </w:t>
      </w:r>
      <w:r>
        <w:rPr>
          <w:color w:val="B70004"/>
          <w:spacing w:val="-3"/>
          <w:sz w:val="18"/>
          <w:szCs w:val="18"/>
        </w:rPr>
        <w:t>市场预期美联储有超过</w:t>
      </w:r>
      <w:r>
        <w:rPr>
          <w:color w:val="B70004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B70004"/>
          <w:spacing w:val="-3"/>
          <w:sz w:val="18"/>
          <w:szCs w:val="18"/>
        </w:rPr>
        <w:t>80%</w:t>
      </w:r>
      <w:r>
        <w:rPr>
          <w:color w:val="B70004"/>
          <w:spacing w:val="-3"/>
          <w:sz w:val="18"/>
          <w:szCs w:val="18"/>
        </w:rPr>
        <w:t>的概率在</w:t>
      </w:r>
      <w:r>
        <w:rPr>
          <w:color w:val="B70004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B70004"/>
          <w:spacing w:val="-3"/>
          <w:sz w:val="18"/>
          <w:szCs w:val="18"/>
        </w:rPr>
        <w:t xml:space="preserve">2024 </w:t>
      </w:r>
      <w:r>
        <w:rPr>
          <w:color w:val="B70004"/>
          <w:spacing w:val="-3"/>
          <w:sz w:val="18"/>
          <w:szCs w:val="18"/>
        </w:rPr>
        <w:t>年</w:t>
      </w:r>
      <w:r>
        <w:rPr>
          <w:color w:val="B70004"/>
          <w:spacing w:val="-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B70004"/>
          <w:spacing w:val="-3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B70004"/>
          <w:spacing w:val="16"/>
          <w:w w:val="101"/>
          <w:sz w:val="18"/>
          <w:szCs w:val="18"/>
        </w:rPr>
        <w:t xml:space="preserve"> </w:t>
      </w:r>
      <w:r>
        <w:rPr>
          <w:color w:val="B70004"/>
          <w:spacing w:val="-3"/>
          <w:sz w:val="18"/>
          <w:szCs w:val="18"/>
        </w:rPr>
        <w:t>月开启降息周期</w:t>
      </w:r>
    </w:p>
    <w:p>
      <w:pPr>
        <w:spacing w:before="48" w:line="4700" w:lineRule="exact"/>
        <w:ind w:firstLine="2552"/>
      </w:pPr>
      <w:r>
        <w:rPr>
          <w:position w:val="-93"/>
        </w:rPr>
        <w:pict>
          <v:group id="_x0000_i1031" style="width:395.8pt;height:235pt;mso-position-horizontal-relative:char;mso-position-vertical-relative:line" coordorigin="0,0" coordsize="7915,4700" filled="f" stroked="f">
            <v:rect id="_x0000_s1032" style="width:7915;height:10;position:absolute;top:4689" filled="t" fillcolor="#b70004" stroked="f"/>
            <v:rect id="_x0000_s1033" style="width:7915;height:10;position:absolute" filled="t" fillcolor="#b70004" stroked="f"/>
            <w10:wrap type="none"/>
          </v:group>
        </w:pict>
      </w:r>
    </w:p>
    <w:p>
      <w:pPr>
        <w:pStyle w:val="BodyText"/>
        <w:spacing w:before="90" w:line="239" w:lineRule="auto"/>
        <w:ind w:left="2567"/>
        <w:rPr>
          <w:sz w:val="15"/>
          <w:szCs w:val="15"/>
        </w:rPr>
      </w:pPr>
      <w:r>
        <w:rPr>
          <w:spacing w:val="6"/>
          <w:sz w:val="15"/>
          <w:szCs w:val="15"/>
        </w:rPr>
        <w:t>资料来源：</w:t>
      </w:r>
      <w:r>
        <w:rPr>
          <w:rFonts w:ascii="Times New Roman" w:eastAsia="Times New Roman" w:hAnsi="Times New Roman" w:cs="Times New Roman"/>
          <w:sz w:val="15"/>
          <w:szCs w:val="15"/>
        </w:rPr>
        <w:t>CME</w:t>
      </w:r>
      <w:r>
        <w:rPr>
          <w:rFonts w:ascii="Times New Roman" w:eastAsia="Times New Roman" w:hAnsi="Times New Roman" w:cs="Times New Roman"/>
          <w:spacing w:val="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sz w:val="15"/>
          <w:szCs w:val="15"/>
        </w:rPr>
        <w:t>FedWatch</w:t>
      </w:r>
      <w:r>
        <w:rPr>
          <w:rFonts w:ascii="Times New Roman" w:eastAsia="Times New Roman" w:hAnsi="Times New Roman" w:cs="Times New Roman"/>
          <w:spacing w:val="-15"/>
          <w:sz w:val="15"/>
          <w:szCs w:val="15"/>
        </w:rPr>
        <w:t xml:space="preserve"> </w:t>
      </w:r>
      <w:r>
        <w:rPr>
          <w:spacing w:val="6"/>
          <w:sz w:val="15"/>
          <w:szCs w:val="15"/>
        </w:rPr>
        <w:t>，浙商证券研究所。数据截至</w:t>
      </w:r>
      <w:r>
        <w:rPr>
          <w:spacing w:val="-3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5"/>
          <w:szCs w:val="15"/>
        </w:rPr>
        <w:t>202</w:t>
      </w:r>
      <w:r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3 </w:t>
      </w:r>
      <w:r>
        <w:rPr>
          <w:spacing w:val="5"/>
          <w:sz w:val="15"/>
          <w:szCs w:val="15"/>
        </w:rPr>
        <w:t>年</w:t>
      </w:r>
      <w:r>
        <w:rPr>
          <w:spacing w:val="-1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5"/>
          <w:szCs w:val="15"/>
        </w:rPr>
        <w:t>12</w:t>
      </w:r>
      <w:r>
        <w:rPr>
          <w:rFonts w:ascii="Times New Roman" w:eastAsia="Times New Roman" w:hAnsi="Times New Roman" w:cs="Times New Roman"/>
          <w:spacing w:val="17"/>
          <w:w w:val="101"/>
          <w:sz w:val="15"/>
          <w:szCs w:val="15"/>
        </w:rPr>
        <w:t xml:space="preserve"> </w:t>
      </w:r>
      <w:r>
        <w:rPr>
          <w:spacing w:val="5"/>
          <w:sz w:val="15"/>
          <w:szCs w:val="15"/>
        </w:rPr>
        <w:t>月</w:t>
      </w:r>
      <w:r>
        <w:rPr>
          <w:spacing w:val="-3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5"/>
          <w:szCs w:val="15"/>
        </w:rPr>
        <w:t xml:space="preserve">27  </w:t>
      </w:r>
      <w:r>
        <w:rPr>
          <w:spacing w:val="5"/>
          <w:sz w:val="15"/>
          <w:szCs w:val="15"/>
        </w:rPr>
        <w:t>日。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66" w:line="270" w:lineRule="auto"/>
        <w:ind w:left="2556" w:right="154" w:firstLine="412"/>
        <w:jc w:val="both"/>
      </w:pPr>
      <w:r>
        <w:rPr>
          <w:spacing w:val="-6"/>
        </w:rPr>
        <w:t>美联储降息意味着全球流动性环境的系统性改善，</w:t>
      </w:r>
      <w:r>
        <w:rPr>
          <w:spacing w:val="-32"/>
        </w:rPr>
        <w:t xml:space="preserve"> </w:t>
      </w:r>
      <w:r>
        <w:rPr>
          <w:spacing w:val="-6"/>
        </w:rPr>
        <w:t>是较为重要的宏观事件，</w:t>
      </w:r>
      <w:r>
        <w:rPr>
          <w:spacing w:val="-44"/>
        </w:rPr>
        <w:t xml:space="preserve"> </w:t>
      </w:r>
      <w:r>
        <w:rPr>
          <w:spacing w:val="-6"/>
        </w:rPr>
        <w:t>对经济运行</w:t>
      </w:r>
      <w:r>
        <w:t xml:space="preserve"> </w:t>
      </w:r>
      <w:r>
        <w:rPr>
          <w:spacing w:val="-4"/>
        </w:rPr>
        <w:t>及资本市场表现均存在重大影响。本文中，我们主要聚焦美联储降息周期逻辑下，</w:t>
      </w:r>
      <w:r>
        <w:rPr>
          <w:spacing w:val="-31"/>
        </w:rPr>
        <w:t xml:space="preserve"> </w:t>
      </w:r>
      <w:r>
        <w:rPr>
          <w:spacing w:val="-4"/>
        </w:rPr>
        <w:t>最为受益</w:t>
      </w:r>
      <w:r>
        <w:t xml:space="preserve"> </w:t>
      </w:r>
      <w:r>
        <w:rPr>
          <w:spacing w:val="-1"/>
        </w:rPr>
        <w:t>的行业方向及个股组合。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spacing w:before="88" w:line="223" w:lineRule="auto"/>
        <w:ind w:left="252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B70004"/>
          <w:spacing w:val="6"/>
          <w:sz w:val="27"/>
          <w:szCs w:val="27"/>
        </w:rPr>
        <w:t xml:space="preserve">2 </w:t>
      </w:r>
      <w:r>
        <w:rPr>
          <w:color w:val="B70004"/>
          <w:spacing w:val="6"/>
          <w:sz w:val="27"/>
          <w:szCs w:val="27"/>
          <w14:textOutline w14:w="5072">
            <w14:solidFill>
              <w14:srgbClr w14:val="B70004"/>
            </w14:solidFill>
            <w14:prstDash w14:val="solid"/>
            <w14:miter w14:lim="10"/>
          </w14:textOutline>
        </w:rPr>
        <w:t>逻辑梳理：</w:t>
      </w:r>
      <w:r>
        <w:rPr>
          <w:color w:val="B70004"/>
          <w:spacing w:val="-69"/>
          <w:sz w:val="27"/>
          <w:szCs w:val="27"/>
        </w:rPr>
        <w:t xml:space="preserve"> </w:t>
      </w:r>
      <w:r>
        <w:rPr>
          <w:color w:val="B70004"/>
          <w:spacing w:val="6"/>
          <w:sz w:val="27"/>
          <w:szCs w:val="27"/>
          <w14:textOutline w14:w="5072">
            <w14:solidFill>
              <w14:srgbClr w14:val="B70004"/>
            </w14:solidFill>
            <w14:prstDash w14:val="solid"/>
            <w14:miter w14:lim="10"/>
          </w14:textOutline>
        </w:rPr>
        <w:t>降息周期中的受益方向</w:t>
      </w:r>
    </w:p>
    <w:p>
      <w:pPr>
        <w:spacing w:line="263" w:lineRule="auto"/>
        <w:rPr>
          <w:rFonts w:ascii="Arial"/>
          <w:sz w:val="21"/>
        </w:rPr>
      </w:pPr>
    </w:p>
    <w:p>
      <w:pPr>
        <w:pStyle w:val="BodyText"/>
        <w:spacing w:before="66" w:line="254" w:lineRule="auto"/>
        <w:ind w:left="2584" w:right="90" w:firstLine="387"/>
      </w:pPr>
      <w:r>
        <w:rPr>
          <w:spacing w:val="-5"/>
        </w:rPr>
        <w:t>降息直接带来的是社会融资成本的下降，有助于扩大投融资需求，</w:t>
      </w:r>
      <w:r>
        <w:rPr>
          <w:spacing w:val="49"/>
        </w:rPr>
        <w:t xml:space="preserve"> </w:t>
      </w:r>
      <w:r>
        <w:rPr>
          <w:spacing w:val="-5"/>
        </w:rPr>
        <w:t>对房地产、制造业、</w:t>
      </w:r>
      <w:r>
        <w:t xml:space="preserve"> </w:t>
      </w:r>
      <w:r>
        <w:rPr>
          <w:spacing w:val="-2"/>
        </w:rPr>
        <w:t>医药研发等对投融资依赖性较强的方向而言，均具</w:t>
      </w:r>
      <w:r>
        <w:rPr>
          <w:spacing w:val="-3"/>
        </w:rPr>
        <w:t>备明显利好。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BodyText"/>
        <w:spacing w:before="78" w:line="215" w:lineRule="auto"/>
        <w:ind w:left="2526"/>
        <w:outlineLvl w:val="0"/>
        <w:rPr>
          <w:sz w:val="24"/>
          <w:szCs w:val="24"/>
        </w:rPr>
        <w:sectPr>
          <w:headerReference w:type="default" r:id="rId16"/>
          <w:footerReference w:type="default" r:id="rId17"/>
          <w:pgSz w:w="11907" w:h="16839"/>
          <w:pgMar w:top="1264" w:right="564" w:bottom="1027" w:left="720" w:header="788" w:footer="800" w:gutter="0"/>
          <w:pgNumType w:start="5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B70004"/>
          <w:spacing w:val="-2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b/>
          <w:bCs/>
          <w:color w:val="B70004"/>
          <w:spacing w:val="17"/>
          <w:sz w:val="24"/>
          <w:szCs w:val="24"/>
        </w:rPr>
        <w:t xml:space="preserve"> </w:t>
      </w:r>
      <w:r>
        <w:rPr>
          <w:color w:val="B70004"/>
          <w:spacing w:val="-2"/>
          <w:sz w:val="24"/>
          <w:szCs w:val="24"/>
          <w14:textOutline w14:w="4354">
            <w14:solidFill>
              <w14:srgbClr w14:val="B70004"/>
            </w14:solidFill>
            <w14:prstDash w14:val="solid"/>
            <w14:miter w14:lim="10"/>
          </w14:textOutline>
        </w:rPr>
        <w:t>房地产</w:t>
      </w:r>
    </w:p>
    <w:p>
      <w:pPr>
        <w:pStyle w:val="BodyText"/>
        <w:spacing w:before="200" w:line="275" w:lineRule="auto"/>
        <w:ind w:left="2561" w:firstLine="410"/>
        <w:jc w:val="both"/>
      </w:pPr>
      <w:r>
        <w:rPr>
          <w:spacing w:val="-4"/>
          <w14:textOutline w14:w="3635">
            <w14:solidFill>
              <w14:srgbClr w14:val="000000"/>
            </w14:solidFill>
            <w14:prstDash w14:val="solid"/>
            <w14:miter w14:lim="10"/>
          </w14:textOutline>
        </w:rPr>
        <w:t>美联储降息周期中，美地产销售往往显著扩张。</w:t>
      </w:r>
      <w:r>
        <w:rPr>
          <w:spacing w:val="-4"/>
        </w:rPr>
        <w:t>美债收益率直接影响到房贷利率的高低，</w:t>
      </w:r>
      <w:r>
        <w:rPr>
          <w:spacing w:val="6"/>
        </w:rPr>
        <w:t xml:space="preserve"> </w:t>
      </w:r>
      <w:r>
        <w:rPr>
          <w:spacing w:val="-5"/>
        </w:rPr>
        <w:t>而房贷利率下行意味着同等收入水平下，</w:t>
      </w:r>
      <w:r>
        <w:rPr>
          <w:spacing w:val="-44"/>
        </w:rPr>
        <w:t xml:space="preserve"> </w:t>
      </w:r>
      <w:r>
        <w:rPr>
          <w:spacing w:val="-5"/>
        </w:rPr>
        <w:t>对房贷</w:t>
      </w:r>
      <w:r>
        <w:rPr>
          <w:spacing w:val="-6"/>
        </w:rPr>
        <w:t>的负担能力提升。在</w:t>
      </w:r>
      <w:r>
        <w:rPr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 xml:space="preserve">1981-2023 </w:t>
      </w:r>
      <w:r>
        <w:rPr>
          <w:spacing w:val="-6"/>
        </w:rPr>
        <w:t>年间，</w:t>
      </w:r>
      <w:r>
        <w:rPr>
          <w:spacing w:val="-6"/>
        </w:rPr>
        <w:t xml:space="preserve"> </w:t>
      </w:r>
      <w:r>
        <w:rPr>
          <w:spacing w:val="-6"/>
        </w:rPr>
        <w:t>美国</w:t>
      </w:r>
      <w:r>
        <w:rPr>
          <w:spacing w:val="-6"/>
        </w:rPr>
        <w:t xml:space="preserve">  </w:t>
      </w:r>
      <w:r>
        <w:rPr>
          <w:rFonts w:ascii="Times New Roman" w:eastAsia="Times New Roman" w:hAnsi="Times New Roman" w:cs="Times New Roman"/>
          <w:spacing w:val="-3"/>
        </w:rPr>
        <w:t xml:space="preserve">30  </w:t>
      </w:r>
      <w:r>
        <w:rPr>
          <w:spacing w:val="-3"/>
        </w:rPr>
        <w:t>年期抵押贷款固定利率与住房购买力指数呈显著负相关性，</w:t>
      </w:r>
      <w:r>
        <w:rPr>
          <w:spacing w:val="-3"/>
        </w:rPr>
        <w:t xml:space="preserve"> </w:t>
      </w:r>
      <w:r>
        <w:rPr>
          <w:spacing w:val="-3"/>
        </w:rPr>
        <w:t>相关系数达</w:t>
      </w:r>
      <w:r>
        <w:rPr>
          <w:rFonts w:ascii="Times New Roman" w:eastAsia="Times New Roman" w:hAnsi="Times New Roman" w:cs="Times New Roman"/>
          <w:spacing w:val="-3"/>
        </w:rPr>
        <w:t>-0.86</w:t>
      </w:r>
      <w:r>
        <w:rPr>
          <w:spacing w:val="-3"/>
        </w:rPr>
        <w:t>。因此，伴</w:t>
      </w:r>
      <w:r>
        <w:rPr>
          <w:spacing w:val="-3"/>
        </w:rPr>
        <w:t xml:space="preserve">  </w:t>
      </w:r>
      <w:r>
        <w:rPr>
          <w:spacing w:val="-1"/>
        </w:rPr>
        <w:t>随着美联储降息周期的开启，美国地产销售往往显著扩张，景气度</w:t>
      </w:r>
      <w:r>
        <w:rPr>
          <w:spacing w:val="-2"/>
        </w:rPr>
        <w:t>明显改善。</w:t>
      </w:r>
    </w:p>
    <w:p>
      <w:pPr>
        <w:pStyle w:val="BodyText"/>
        <w:spacing w:before="211" w:line="254" w:lineRule="auto"/>
        <w:ind w:left="2561" w:right="154" w:firstLine="399"/>
      </w:pPr>
      <w:r>
        <w:rPr>
          <w:spacing w:val="-3"/>
        </w:rPr>
        <w:t>此外，值得注意的是，</w:t>
      </w:r>
      <w:r>
        <w:rPr>
          <w:spacing w:val="-3"/>
        </w:rPr>
        <w:t xml:space="preserve"> </w:t>
      </w:r>
      <w:r>
        <w:rPr>
          <w:spacing w:val="-3"/>
        </w:rPr>
        <w:t>地产销售的改善多数情况下较为领先，在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2000</w:t>
      </w:r>
      <w:r>
        <w:rPr>
          <w:rFonts w:ascii="Times New Roman" w:eastAsia="Times New Roman" w:hAnsi="Times New Roman" w:cs="Times New Roman"/>
          <w:spacing w:val="13"/>
          <w:w w:val="101"/>
        </w:rPr>
        <w:t xml:space="preserve"> </w:t>
      </w:r>
      <w:r>
        <w:rPr>
          <w:spacing w:val="-3"/>
        </w:rPr>
        <w:t>年以来的四轮周</w:t>
      </w:r>
      <w:r>
        <w:t xml:space="preserve"> </w:t>
      </w:r>
      <w:r>
        <w:t>期中，有三轮均是在美联储末次加息前后，地产销售增速就</w:t>
      </w:r>
      <w:r>
        <w:rPr>
          <w:spacing w:val="-1"/>
        </w:rPr>
        <w:t>已经开始触底反弹。</w:t>
      </w:r>
    </w:p>
    <w:p>
      <w:pPr>
        <w:spacing w:line="254" w:lineRule="auto"/>
        <w:sectPr>
          <w:headerReference w:type="default" r:id="rId18"/>
          <w:footerReference w:type="default" r:id="rId19"/>
          <w:type w:val="nextPage"/>
          <w:pgSz w:w="11907" w:h="16839"/>
          <w:pgMar w:top="1264" w:right="564" w:bottom="1027" w:left="720" w:header="788" w:footer="800" w:gutter="0"/>
          <w:pgNumType w:start="6"/>
          <w:cols w:space="708"/>
          <w:titlePg w:val="0"/>
        </w:sectPr>
      </w:pPr>
    </w:p>
    <w:p>
      <w:pPr>
        <w:pStyle w:val="BodyText"/>
        <w:spacing w:before="194" w:line="215" w:lineRule="auto"/>
        <w:ind w:left="2578"/>
        <w:rPr>
          <w:sz w:val="18"/>
          <w:szCs w:val="18"/>
        </w:rPr>
      </w:pPr>
      <w:r>
        <mc:AlternateContent>
          <mc:Choice Requires="wps">
            <w:drawing>
              <wp:anchor distT="0" distB="0" distL="0" distR="0" simplePos="0" relativeHeight="251703296" behindDoc="0" locked="0" layoutInCell="0" allowOverlap="1">
                <wp:simplePos x="0" y="0"/>
                <wp:positionH relativeFrom="page">
                  <wp:posOffset>2398128</wp:posOffset>
                </wp:positionH>
                <wp:positionV relativeFrom="page">
                  <wp:posOffset>3202168</wp:posOffset>
                </wp:positionV>
                <wp:extent cx="340995" cy="153035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398128" y="3202168"/>
                          <a:ext cx="34099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2000/1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" o:spid="_x0000_s1034" type="#_x0000_t202" style="width:26.85pt;height:12.05pt;margin-top:252.14pt;margin-left:188.83pt;mso-position-horizontal-relative:page;mso-position-vertical-relative:page;mso-wrap-distance-bottom:0;mso-wrap-distance-left:0;mso-wrap-distance-right:0;mso-wrap-distance-top:0;position:absolute;rotation:270;v-text-anchor:top;z-index:251702272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2000/1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2816" behindDoc="0" locked="0" layoutInCell="0" allowOverlap="1">
                <wp:simplePos x="0" y="0"/>
                <wp:positionH relativeFrom="page">
                  <wp:posOffset>2613773</wp:posOffset>
                </wp:positionH>
                <wp:positionV relativeFrom="page">
                  <wp:posOffset>3149337</wp:posOffset>
                </wp:positionV>
                <wp:extent cx="398145" cy="315595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613773" y="3149337"/>
                          <a:ext cx="398145" cy="31559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2000/12</w:t>
                            </w:r>
                          </w:p>
                          <w:p>
                            <w:pPr>
                              <w:spacing w:before="12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2001/11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4" o:spid="_x0000_s1035" type="#_x0000_t202" style="width:31.35pt;height:24.85pt;margin-top:247.98pt;margin-left:205.81pt;mso-position-horizontal-relative:page;mso-position-vertical-relative:page;mso-wrap-distance-bottom:0;mso-wrap-distance-left:0;mso-wrap-distance-right:0;mso-wrap-distance-top:0;position:absolute;rotation:270;v-text-anchor:top;z-index:251681792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2000/12</w:t>
                      </w:r>
                    </w:p>
                    <w:p>
                      <w:pPr>
                        <w:spacing w:before="12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2001/11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5104" behindDoc="0" locked="0" layoutInCell="0" allowOverlap="1">
                <wp:simplePos x="0" y="0"/>
                <wp:positionH relativeFrom="page">
                  <wp:posOffset>2858248</wp:posOffset>
                </wp:positionH>
                <wp:positionV relativeFrom="page">
                  <wp:posOffset>3230743</wp:posOffset>
                </wp:positionV>
                <wp:extent cx="398145" cy="153035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858248" y="3230743"/>
                          <a:ext cx="39814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2002/10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" o:spid="_x0000_s1036" type="#_x0000_t202" style="width:31.35pt;height:12.05pt;margin-top:254.39pt;margin-left:225.06pt;mso-position-horizontal-relative:page;mso-position-vertical-relative:page;mso-wrap-distance-bottom:0;mso-wrap-distance-left:0;mso-wrap-distance-right:0;mso-wrap-distance-top:0;position:absolute;rotation:270;v-text-anchor:top;z-index:251694080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2002/10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3456927</wp:posOffset>
                </wp:positionH>
                <wp:positionV relativeFrom="page">
                  <wp:posOffset>2794879</wp:posOffset>
                </wp:positionV>
                <wp:extent cx="340995" cy="967739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456927" y="2794879"/>
                          <a:ext cx="340995" cy="96773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2003/9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2004/8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2005/7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2006/6</w:t>
                            </w:r>
                          </w:p>
                          <w:p>
                            <w:pPr>
                              <w:spacing w:before="93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2007/5</w:t>
                            </w:r>
                          </w:p>
                          <w:p>
                            <w:pPr>
                              <w:spacing w:before="12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2008/4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" o:spid="_x0000_s1037" type="#_x0000_t202" style="width:26.85pt;height:76.2pt;margin-top:220.07pt;margin-left:272.2pt;mso-position-horizontal-relative:page;mso-position-vertical-relative:page;mso-wrap-distance-bottom:0;mso-wrap-distance-left:0;mso-wrap-distance-right:0;mso-wrap-distance-top:0;position:absolute;rotation:270;v-text-anchor:top;z-index:251661312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2003/9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2004/8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2005/7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2006/6</w:t>
                      </w:r>
                    </w:p>
                    <w:p>
                      <w:pPr>
                        <w:spacing w:before="93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2007/5</w:t>
                      </w:r>
                    </w:p>
                    <w:p>
                      <w:pPr>
                        <w:spacing w:before="12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2008/4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page">
                  <wp:posOffset>4190098</wp:posOffset>
                </wp:positionH>
                <wp:positionV relativeFrom="page">
                  <wp:posOffset>3039354</wp:posOffset>
                </wp:positionV>
                <wp:extent cx="340995" cy="478790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190098" y="3039354"/>
                          <a:ext cx="340995" cy="4787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2009/3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2010/2</w:t>
                            </w:r>
                          </w:p>
                          <w:p>
                            <w:pPr>
                              <w:spacing w:before="12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" o:spid="_x0000_s1038" type="#_x0000_t202" style="width:26.85pt;height:37.7pt;margin-top:239.32pt;margin-left:329.93pt;mso-position-horizontal-relative:page;mso-position-vertical-relative:page;mso-wrap-distance-bottom:0;mso-wrap-distance-left:0;mso-wrap-distance-right:0;mso-wrap-distance-top:0;position:absolute;rotation:270;v-text-anchor:top;z-index:251665408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2009/3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2010/2</w:t>
                      </w:r>
                    </w:p>
                    <w:p>
                      <w:pPr>
                        <w:spacing w:before="12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2011/1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4649975</wp:posOffset>
                </wp:positionH>
                <wp:positionV relativeFrom="page">
                  <wp:posOffset>3067683</wp:posOffset>
                </wp:positionV>
                <wp:extent cx="398779" cy="478790"/>
                <wp:effectExtent l="0" t="0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649975" y="3067683"/>
                          <a:ext cx="398779" cy="4787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2011/12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2012/11</w:t>
                            </w:r>
                          </w:p>
                          <w:p>
                            <w:pPr>
                              <w:spacing w:before="12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2013/10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" o:spid="_x0000_s1039" type="#_x0000_t202" style="width:31.4pt;height:37.7pt;margin-top:241.55pt;margin-left:366.14pt;mso-position-horizontal-relative:page;mso-position-vertical-relative:page;mso-wrap-distance-bottom:0;mso-wrap-distance-left:0;mso-wrap-distance-right:0;mso-wrap-distance-top:0;position:absolute;rotation:270;v-text-anchor:top;z-index:251663360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2011/12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2012/11</w:t>
                      </w:r>
                    </w:p>
                    <w:p>
                      <w:pPr>
                        <w:spacing w:before="12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2013/10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5656131</wp:posOffset>
                </wp:positionH>
                <wp:positionV relativeFrom="page">
                  <wp:posOffset>2550350</wp:posOffset>
                </wp:positionV>
                <wp:extent cx="340995" cy="1456055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656131" y="2550350"/>
                          <a:ext cx="340995" cy="14560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2014/9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2015/8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2016/7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2017/6</w:t>
                            </w:r>
                          </w:p>
                          <w:p>
                            <w:pPr>
                              <w:spacing w:before="93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2018/5</w:t>
                            </w:r>
                          </w:p>
                          <w:p>
                            <w:pPr>
                              <w:spacing w:before="93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2019/4</w:t>
                            </w:r>
                          </w:p>
                          <w:p>
                            <w:pPr>
                              <w:spacing w:before="92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2020/3</w:t>
                            </w:r>
                          </w:p>
                          <w:p>
                            <w:pPr>
                              <w:spacing w:before="93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2021/2</w:t>
                            </w:r>
                          </w:p>
                          <w:p>
                            <w:pPr>
                              <w:spacing w:before="12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2022/1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" o:spid="_x0000_s1040" type="#_x0000_t202" style="width:26.85pt;height:114.65pt;margin-top:200.81pt;margin-left:445.36pt;mso-position-horizontal-relative:page;mso-position-vertical-relative:page;mso-wrap-distance-bottom:0;mso-wrap-distance-left:0;mso-wrap-distance-right:0;mso-wrap-distance-top:0;position:absolute;rotation:270;v-text-anchor:top;z-index:251659264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2014/9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2015/8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2016/7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2017/6</w:t>
                      </w:r>
                    </w:p>
                    <w:p>
                      <w:pPr>
                        <w:spacing w:before="93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2018/5</w:t>
                      </w:r>
                    </w:p>
                    <w:p>
                      <w:pPr>
                        <w:spacing w:before="93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2019/4</w:t>
                      </w:r>
                    </w:p>
                    <w:p>
                      <w:pPr>
                        <w:spacing w:before="92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2020/3</w:t>
                      </w:r>
                    </w:p>
                    <w:p>
                      <w:pPr>
                        <w:spacing w:before="93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2021/2</w:t>
                      </w:r>
                    </w:p>
                    <w:p>
                      <w:pPr>
                        <w:spacing w:before="12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2022/1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0768" behindDoc="0" locked="0" layoutInCell="0" allowOverlap="1">
                <wp:simplePos x="0" y="0"/>
                <wp:positionH relativeFrom="page">
                  <wp:posOffset>6523724</wp:posOffset>
                </wp:positionH>
                <wp:positionV relativeFrom="page">
                  <wp:posOffset>3149209</wp:posOffset>
                </wp:positionV>
                <wp:extent cx="398145" cy="316229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523724" y="3149209"/>
                          <a:ext cx="398145" cy="3162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2022/12</w:t>
                            </w:r>
                          </w:p>
                          <w:p>
                            <w:pPr>
                              <w:spacing w:before="12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2023/11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6" o:spid="_x0000_s1041" type="#_x0000_t202" style="width:31.35pt;height:24.9pt;margin-top:247.97pt;margin-left:513.68pt;mso-position-horizontal-relative:page;mso-position-vertical-relative:page;mso-wrap-distance-bottom:0;mso-wrap-distance-left:0;mso-wrap-distance-right:0;mso-wrap-distance-top:0;position:absolute;rotation:270;v-text-anchor:top;z-index:251679744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2022/12</w:t>
                      </w:r>
                    </w:p>
                    <w:p>
                      <w:pPr>
                        <w:spacing w:before="12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2023/11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42" style="width:334.65pt;height:0.75pt;margin-top:98.22pt;margin-left:201.63pt;mso-position-horizontal-relative:page;mso-position-vertical-relative:page;position:absolute;z-index:251707392" o:allowincell="f" filled="t" fillcolor="#d9d9d9" stroked="f"/>
        </w:pict>
      </w:r>
      <w:r>
        <mc:AlternateContent>
          <mc:Choice Requires="wps">
            <w:drawing>
              <wp:anchor distT="0" distB="0" distL="0" distR="0" simplePos="0" relativeHeight="251705344" behindDoc="0" locked="0" layoutInCell="0" allowOverlap="1">
                <wp:simplePos x="0" y="0"/>
                <wp:positionH relativeFrom="page">
                  <wp:posOffset>2447556</wp:posOffset>
                </wp:positionH>
                <wp:positionV relativeFrom="page">
                  <wp:posOffset>6694516</wp:posOffset>
                </wp:positionV>
                <wp:extent cx="329565" cy="153035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447556" y="6694516"/>
                          <a:ext cx="32956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1981/1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8" o:spid="_x0000_s1043" type="#_x0000_t202" style="width:25.95pt;height:12.05pt;margin-top:527.13pt;margin-left:192.72pt;mso-position-horizontal-relative:page;mso-position-vertical-relative:page;mso-wrap-distance-bottom:0;mso-wrap-distance-left:0;mso-wrap-distance-right:0;mso-wrap-distance-top:0;position:absolute;rotation:270;v-text-anchor:top;z-index:251704320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1981/1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7152" behindDoc="0" locked="0" layoutInCell="0" allowOverlap="1">
                <wp:simplePos x="0" y="0"/>
                <wp:positionH relativeFrom="page">
                  <wp:posOffset>2579001</wp:posOffset>
                </wp:positionH>
                <wp:positionV relativeFrom="page">
                  <wp:posOffset>6723091</wp:posOffset>
                </wp:positionV>
                <wp:extent cx="386715" cy="153035"/>
                <wp:effectExtent l="0" t="0" r="0" b="0"/>
                <wp:wrapNone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579001" y="6723091"/>
                          <a:ext cx="38671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1982/10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" o:spid="_x0000_s1044" type="#_x0000_t202" style="width:30.45pt;height:12.05pt;margin-top:529.38pt;margin-left:203.07pt;mso-position-horizontal-relative:page;mso-position-vertical-relative:page;mso-wrap-distance-bottom:0;mso-wrap-distance-left:0;mso-wrap-distance-right:0;mso-wrap-distance-top:0;position:absolute;rotation:270;v-text-anchor:top;z-index:251696128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1982/10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2927616</wp:posOffset>
                </wp:positionH>
                <wp:positionV relativeFrom="page">
                  <wp:posOffset>6534496</wp:posOffset>
                </wp:positionV>
                <wp:extent cx="329565" cy="473075"/>
                <wp:effectExtent l="0" t="0" r="0" b="0"/>
                <wp:wrapNone/>
                <wp:docPr id="42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927616" y="6534496"/>
                          <a:ext cx="329565" cy="4730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1984/7</w:t>
                            </w:r>
                          </w:p>
                          <w:p>
                            <w:pPr>
                              <w:spacing w:before="88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1986/4</w:t>
                            </w:r>
                          </w:p>
                          <w:p>
                            <w:pPr>
                              <w:spacing w:before="124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1988/1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" o:spid="_x0000_s1045" type="#_x0000_t202" style="width:25.95pt;height:37.25pt;margin-top:514.53pt;margin-left:230.52pt;mso-position-horizontal-relative:page;mso-position-vertical-relative:page;mso-wrap-distance-bottom:0;mso-wrap-distance-left:0;mso-wrap-distance-right:0;mso-wrap-distance-top:0;position:absolute;rotation:270;v-text-anchor:top;z-index:251675648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1984/7</w:t>
                      </w:r>
                    </w:p>
                    <w:p>
                      <w:pPr>
                        <w:spacing w:before="88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1986/4</w:t>
                      </w:r>
                    </w:p>
                    <w:p>
                      <w:pPr>
                        <w:spacing w:before="124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1988/1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1248" behindDoc="0" locked="0" layoutInCell="0" allowOverlap="1">
                <wp:simplePos x="0" y="0"/>
                <wp:positionH relativeFrom="page">
                  <wp:posOffset>3219081</wp:posOffset>
                </wp:positionH>
                <wp:positionV relativeFrom="page">
                  <wp:posOffset>6723091</wp:posOffset>
                </wp:positionV>
                <wp:extent cx="386715" cy="153035"/>
                <wp:effectExtent l="0" t="0" r="0" b="0"/>
                <wp:wrapNone/>
                <wp:docPr id="44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219081" y="6723091"/>
                          <a:ext cx="38671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1989/10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" o:spid="_x0000_s1046" type="#_x0000_t202" style="width:30.45pt;height:12.05pt;margin-top:529.38pt;margin-left:253.47pt;mso-position-horizontal-relative:page;mso-position-vertical-relative:page;mso-wrap-distance-bottom:0;mso-wrap-distance-left:0;mso-wrap-distance-right:0;mso-wrap-distance-top:0;position:absolute;rotation:270;v-text-anchor:top;z-index:251700224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1989/10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8720" behindDoc="0" locked="0" layoutInCell="0" allowOverlap="1">
                <wp:simplePos x="0" y="0"/>
                <wp:positionH relativeFrom="page">
                  <wp:posOffset>3567696</wp:posOffset>
                </wp:positionH>
                <wp:positionV relativeFrom="page">
                  <wp:posOffset>6534495</wp:posOffset>
                </wp:positionV>
                <wp:extent cx="329565" cy="473075"/>
                <wp:effectExtent l="0" t="0" r="0" b="0"/>
                <wp:wrapNone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567696" y="6534495"/>
                          <a:ext cx="329565" cy="4730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1991/7</w:t>
                            </w:r>
                          </w:p>
                          <w:p>
                            <w:pPr>
                              <w:spacing w:before="88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1993/4</w:t>
                            </w:r>
                          </w:p>
                          <w:p>
                            <w:pPr>
                              <w:spacing w:before="124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1995/1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" o:spid="_x0000_s1047" type="#_x0000_t202" style="width:25.95pt;height:37.25pt;margin-top:514.53pt;margin-left:280.92pt;mso-position-horizontal-relative:page;mso-position-vertical-relative:page;mso-wrap-distance-bottom:0;mso-wrap-distance-left:0;mso-wrap-distance-right:0;mso-wrap-distance-top:0;position:absolute;rotation:270;v-text-anchor:top;z-index:251677696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1991/7</w:t>
                      </w:r>
                    </w:p>
                    <w:p>
                      <w:pPr>
                        <w:spacing w:before="88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1993/4</w:t>
                      </w:r>
                    </w:p>
                    <w:p>
                      <w:pPr>
                        <w:spacing w:before="124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1995/1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9200" behindDoc="0" locked="0" layoutInCell="0" allowOverlap="1">
                <wp:simplePos x="0" y="0"/>
                <wp:positionH relativeFrom="page">
                  <wp:posOffset>3859161</wp:posOffset>
                </wp:positionH>
                <wp:positionV relativeFrom="page">
                  <wp:posOffset>6723091</wp:posOffset>
                </wp:positionV>
                <wp:extent cx="386715" cy="153035"/>
                <wp:effectExtent l="0" t="0" r="0" b="0"/>
                <wp:wrapNone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859161" y="6723091"/>
                          <a:ext cx="38671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1996/10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8" o:spid="_x0000_s1048" type="#_x0000_t202" style="width:30.45pt;height:12.05pt;margin-top:529.38pt;margin-left:303.87pt;mso-position-horizontal-relative:page;mso-position-vertical-relative:page;mso-wrap-distance-bottom:0;mso-wrap-distance-left:0;mso-wrap-distance-right:0;mso-wrap-distance-top:0;position:absolute;rotation:270;v-text-anchor:top;z-index:251698176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1996/10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2576" behindDoc="0" locked="0" layoutInCell="0" allowOverlap="1">
                <wp:simplePos x="0" y="0"/>
                <wp:positionH relativeFrom="page">
                  <wp:posOffset>4202290</wp:posOffset>
                </wp:positionH>
                <wp:positionV relativeFrom="page">
                  <wp:posOffset>6539982</wp:posOffset>
                </wp:positionV>
                <wp:extent cx="340995" cy="473075"/>
                <wp:effectExtent l="0" t="0" r="0" b="0"/>
                <wp:wrapNone/>
                <wp:docPr id="5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202290" y="6539982"/>
                          <a:ext cx="340995" cy="4730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37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3"/>
                                <w:sz w:val="18"/>
                                <w:szCs w:val="18"/>
                              </w:rPr>
                              <w:t>1998/7</w:t>
                            </w:r>
                          </w:p>
                          <w:p>
                            <w:pPr>
                              <w:spacing w:before="88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2000/4</w:t>
                            </w:r>
                          </w:p>
                          <w:p>
                            <w:pPr>
                              <w:spacing w:before="124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0" o:spid="_x0000_s1049" type="#_x0000_t202" style="width:26.85pt;height:37.25pt;margin-top:514.96pt;margin-left:330.89pt;mso-position-horizontal-relative:page;mso-position-vertical-relative:page;mso-wrap-distance-bottom:0;mso-wrap-distance-left:0;mso-wrap-distance-right:0;mso-wrap-distance-top:0;position:absolute;rotation:270;v-text-anchor:top;z-index:251671552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37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3"/>
                          <w:sz w:val="18"/>
                          <w:szCs w:val="18"/>
                        </w:rPr>
                        <w:t>1998/7</w:t>
                      </w:r>
                    </w:p>
                    <w:p>
                      <w:pPr>
                        <w:spacing w:before="88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2000/4</w:t>
                      </w:r>
                    </w:p>
                    <w:p>
                      <w:pPr>
                        <w:spacing w:before="124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2002/1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8960" behindDoc="0" locked="0" layoutInCell="0" allowOverlap="1">
                <wp:simplePos x="0" y="0"/>
                <wp:positionH relativeFrom="page">
                  <wp:posOffset>4493754</wp:posOffset>
                </wp:positionH>
                <wp:positionV relativeFrom="page">
                  <wp:posOffset>6728578</wp:posOffset>
                </wp:positionV>
                <wp:extent cx="398145" cy="153035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493754" y="6728578"/>
                          <a:ext cx="39814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2003/10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2" o:spid="_x0000_s1050" type="#_x0000_t202" style="width:31.35pt;height:12.05pt;margin-top:529.81pt;margin-left:353.84pt;mso-position-horizontal-relative:page;mso-position-vertical-relative:page;mso-wrap-distance-bottom:0;mso-wrap-distance-left:0;mso-wrap-distance-right:0;mso-wrap-distance-top:0;position:absolute;rotation:270;v-text-anchor:top;z-index:251687936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2003/10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4624" behindDoc="0" locked="0" layoutInCell="0" allowOverlap="1">
                <wp:simplePos x="0" y="0"/>
                <wp:positionH relativeFrom="page">
                  <wp:posOffset>4842369</wp:posOffset>
                </wp:positionH>
                <wp:positionV relativeFrom="page">
                  <wp:posOffset>6539982</wp:posOffset>
                </wp:positionV>
                <wp:extent cx="340995" cy="473075"/>
                <wp:effectExtent l="0" t="0" r="0" b="0"/>
                <wp:wrapNone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842369" y="6539982"/>
                          <a:ext cx="340995" cy="4730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2005/7</w:t>
                            </w:r>
                          </w:p>
                          <w:p>
                            <w:pPr>
                              <w:spacing w:before="88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2007/4</w:t>
                            </w:r>
                          </w:p>
                          <w:p>
                            <w:pPr>
                              <w:spacing w:before="124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2009/1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4" o:spid="_x0000_s1051" type="#_x0000_t202" style="width:26.85pt;height:37.25pt;margin-top:514.96pt;margin-left:381.29pt;mso-position-horizontal-relative:page;mso-position-vertical-relative:page;mso-wrap-distance-bottom:0;mso-wrap-distance-left:0;mso-wrap-distance-right:0;mso-wrap-distance-top:0;position:absolute;rotation:270;v-text-anchor:top;z-index:251673600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2005/7</w:t>
                      </w:r>
                    </w:p>
                    <w:p>
                      <w:pPr>
                        <w:spacing w:before="88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2007/4</w:t>
                      </w:r>
                    </w:p>
                    <w:p>
                      <w:pPr>
                        <w:spacing w:before="124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2009/1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3056" behindDoc="0" locked="0" layoutInCell="0" allowOverlap="1">
                <wp:simplePos x="0" y="0"/>
                <wp:positionH relativeFrom="page">
                  <wp:posOffset>5133835</wp:posOffset>
                </wp:positionH>
                <wp:positionV relativeFrom="page">
                  <wp:posOffset>6728577</wp:posOffset>
                </wp:positionV>
                <wp:extent cx="398145" cy="153035"/>
                <wp:effectExtent l="0" t="0" r="0" b="0"/>
                <wp:wrapNone/>
                <wp:docPr id="56" name="TextBox 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133835" y="6728577"/>
                          <a:ext cx="39814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2010/10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6" o:spid="_x0000_s1052" type="#_x0000_t202" style="width:31.35pt;height:12.05pt;margin-top:529.81pt;margin-left:404.24pt;mso-position-horizontal-relative:page;mso-position-vertical-relative:page;mso-wrap-distance-bottom:0;mso-wrap-distance-left:0;mso-wrap-distance-right:0;mso-wrap-distance-top:0;position:absolute;rotation:270;v-text-anchor:top;z-index:251692032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2010/10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5482144</wp:posOffset>
                </wp:positionH>
                <wp:positionV relativeFrom="page">
                  <wp:posOffset>6539927</wp:posOffset>
                </wp:positionV>
                <wp:extent cx="340995" cy="472440"/>
                <wp:effectExtent l="0" t="0" r="0" b="0"/>
                <wp:wrapNone/>
                <wp:docPr id="58" name="TextBox 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482144" y="6539927"/>
                          <a:ext cx="340995" cy="472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2012/7</w:t>
                            </w:r>
                          </w:p>
                          <w:p>
                            <w:pPr>
                              <w:spacing w:before="88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2014/4</w:t>
                            </w:r>
                          </w:p>
                          <w:p>
                            <w:pPr>
                              <w:spacing w:before="124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2016/1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8" o:spid="_x0000_s1053" type="#_x0000_t202" style="width:26.85pt;height:37.2pt;margin-top:514.95pt;margin-left:431.66pt;mso-position-horizontal-relative:page;mso-position-vertical-relative:page;mso-wrap-distance-bottom:0;mso-wrap-distance-left:0;mso-wrap-distance-right:0;mso-wrap-distance-top:0;position:absolute;rotation:270;v-text-anchor:top;z-index:251667456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2012/7</w:t>
                      </w:r>
                    </w:p>
                    <w:p>
                      <w:pPr>
                        <w:spacing w:before="88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2014/4</w:t>
                      </w:r>
                    </w:p>
                    <w:p>
                      <w:pPr>
                        <w:spacing w:before="124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2016/1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1008" behindDoc="0" locked="0" layoutInCell="0" allowOverlap="1">
                <wp:simplePos x="0" y="0"/>
                <wp:positionH relativeFrom="page">
                  <wp:posOffset>5773661</wp:posOffset>
                </wp:positionH>
                <wp:positionV relativeFrom="page">
                  <wp:posOffset>6728577</wp:posOffset>
                </wp:positionV>
                <wp:extent cx="398145" cy="153035"/>
                <wp:effectExtent l="0" t="0" r="0" b="0"/>
                <wp:wrapNone/>
                <wp:docPr id="60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773661" y="6728577"/>
                          <a:ext cx="398145" cy="1530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6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2017/10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0" o:spid="_x0000_s1054" type="#_x0000_t202" style="width:31.35pt;height:12.05pt;margin-top:529.81pt;margin-left:454.62pt;mso-position-horizontal-relative:page;mso-position-vertical-relative:page;mso-wrap-distance-bottom:0;mso-wrap-distance-left:0;mso-wrap-distance-right:0;mso-wrap-distance-top:0;position:absolute;rotation:270;v-text-anchor:top;z-index:251689984" o:allowincell="f" filled="f" fillcolor="this" stroked="f">
                <v:textbox inset="0,0,0,0">
                  <w:txbxContent>
                    <w:p>
                      <w:pPr>
                        <w:spacing w:before="56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2017/10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page">
                  <wp:posOffset>6122276</wp:posOffset>
                </wp:positionH>
                <wp:positionV relativeFrom="page">
                  <wp:posOffset>6539982</wp:posOffset>
                </wp:positionV>
                <wp:extent cx="340995" cy="473075"/>
                <wp:effectExtent l="0" t="0" r="0" b="0"/>
                <wp:wrapNone/>
                <wp:docPr id="62" name="TextBox 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122276" y="6539982"/>
                          <a:ext cx="340995" cy="4730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2019/7</w:t>
                            </w:r>
                          </w:p>
                          <w:p>
                            <w:pPr>
                              <w:spacing w:before="88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2021/4</w:t>
                            </w:r>
                          </w:p>
                          <w:p>
                            <w:pPr>
                              <w:spacing w:before="124" w:line="190" w:lineRule="auto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2023/1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2" o:spid="_x0000_s1055" type="#_x0000_t202" style="width:26.85pt;height:37.25pt;margin-top:514.96pt;margin-left:482.07pt;mso-position-horizontal-relative:page;mso-position-vertical-relative:page;mso-wrap-distance-bottom:0;mso-wrap-distance-left:0;mso-wrap-distance-right:0;mso-wrap-distance-top:0;position:absolute;rotation:270;v-text-anchor:top;z-index:251669504" o:allowincell="f" filled="f" fillcolor="this" stroked="f">
                <v:textbox inset="0,0,0,0">
                  <w:txbxContent>
                    <w:p>
                      <w:pPr>
                        <w:spacing w:before="19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2019/7</w:t>
                      </w:r>
                    </w:p>
                    <w:p>
                      <w:pPr>
                        <w:spacing w:before="88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2021/4</w:t>
                      </w:r>
                    </w:p>
                    <w:p>
                      <w:pPr>
                        <w:spacing w:before="124" w:line="190" w:lineRule="auto"/>
                        <w:ind w:left="2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595959"/>
                          <w:spacing w:val="-1"/>
                          <w:sz w:val="18"/>
                          <w:szCs w:val="18"/>
                        </w:rPr>
                        <w:t>2023/1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56" style="width:308.95pt;height:0.75pt;margin-top:373.62pt;margin-left:205.38pt;mso-position-horizontal-relative:page;mso-position-vertical-relative:page;position:absolute;z-index:251706368" o:allowincell="f" filled="t" fillcolor="#d9d9d9" stroked="f"/>
        </w:pict>
      </w:r>
      <w:r>
        <w:pict>
          <v:shape id="_x0000_s1057" style="width:395.8pt;height:0.5pt;margin-top:85.92pt;margin-left:163.64pt;mso-position-horizontal-relative:page;mso-position-vertical-relative:page;position:absolute;z-index:251683840" coordorigin="0,0" coordsize="7915,10" o:allowincell="f" path="m,9l7915,9l7915,l,l,9xe" filled="t" fillcolor="#b70004" stroked="f"/>
        </w:pict>
      </w:r>
      <w:r>
        <w:pict>
          <v:shape id="_x0000_s1058" style="width:395.8pt;height:0.5pt;margin-top:304.82pt;margin-left:163.64pt;mso-position-horizontal-relative:page;mso-position-vertical-relative:page;position:absolute;z-index:251685888" coordorigin="0,0" coordsize="7915,10" o:allowincell="f" path="m,9l7915,9l7915,l,l,9xe" filled="t" fillcolor="#b70004" stroked="f"/>
        </w:pict>
      </w:r>
      <w:r>
        <w:pict>
          <v:shape id="_x0000_s1059" style="width:395.8pt;height:0.5pt;margin-top:361.28pt;margin-left:163.64pt;mso-position-horizontal-relative:page;mso-position-vertical-relative:page;position:absolute;z-index:251684864" coordorigin="0,0" coordsize="7915,10" o:allowincell="f" path="m,9l7915,9l7915,l,l,9xe" filled="t" fillcolor="#b70004" stroked="f"/>
        </w:pict>
      </w:r>
      <w:r>
        <w:pict>
          <v:shape id="_x0000_s1060" style="width:395.8pt;height:0.5pt;margin-top:580.24pt;margin-left:163.64pt;mso-position-horizontal-relative:page;mso-position-vertical-relative:page;position:absolute;z-index:251686912" coordorigin="0,0" coordsize="7915,10" o:allowincell="f" path="m,9l7915,9l7915,l,l,9xe" filled="t" fillcolor="#b70004" stroked="f"/>
        </w:pict>
      </w:r>
      <w:bookmarkStart w:id="4" w:name="bookmark20"/>
      <w:bookmarkEnd w:id="4"/>
      <w:bookmarkStart w:id="5" w:name="bookmark21"/>
      <w:bookmarkEnd w:id="5"/>
      <w:r>
        <w:rPr>
          <w:color w:val="B70004"/>
          <w:spacing w:val="-3"/>
          <w:sz w:val="18"/>
          <w:szCs w:val="18"/>
        </w:rPr>
        <w:t>图</w:t>
      </w:r>
      <w:r>
        <w:rPr>
          <w:rFonts w:ascii="Times New Roman" w:eastAsia="Times New Roman" w:hAnsi="Times New Roman" w:cs="Times New Roman"/>
          <w:color w:val="B70004"/>
          <w:spacing w:val="-3"/>
          <w:sz w:val="18"/>
          <w:szCs w:val="18"/>
        </w:rPr>
        <w:t>2</w:t>
      </w:r>
      <w:r>
        <w:rPr>
          <w:color w:val="B70004"/>
          <w:spacing w:val="-3"/>
          <w:sz w:val="18"/>
          <w:szCs w:val="18"/>
        </w:rPr>
        <w:t>：</w:t>
      </w:r>
      <w:r>
        <w:rPr>
          <w:color w:val="B70004"/>
          <w:spacing w:val="-3"/>
          <w:sz w:val="18"/>
          <w:szCs w:val="18"/>
        </w:rPr>
        <w:t xml:space="preserve"> </w:t>
      </w:r>
      <w:r>
        <w:rPr>
          <w:color w:val="B70004"/>
          <w:spacing w:val="-3"/>
          <w:sz w:val="18"/>
          <w:szCs w:val="18"/>
        </w:rPr>
        <w:t>美债利率变动对住房贷款利率存在显著影响</w:t>
      </w:r>
    </w:p>
    <w:p>
      <w:pPr>
        <w:spacing w:line="238" w:lineRule="exact"/>
      </w:pPr>
    </w:p>
    <w:p>
      <w:pPr>
        <w:spacing w:line="238" w:lineRule="exact"/>
        <w:sectPr>
          <w:headerReference w:type="default" r:id="rId20"/>
          <w:footerReference w:type="default" r:id="rId21"/>
          <w:pgSz w:w="11907" w:h="16839"/>
          <w:pgMar w:top="1264" w:right="717" w:bottom="1027" w:left="720" w:header="788" w:footer="800" w:gutter="0"/>
          <w:pgNumType w:start="7"/>
          <w:cols w:num="1" w:space="708" w:equalWidth="0">
            <w:col w:w="10469" w:space="0"/>
          </w:cols>
        </w:sectPr>
      </w:pPr>
    </w:p>
    <w:p>
      <w:pPr>
        <w:spacing w:before="2" w:line="365" w:lineRule="auto"/>
        <w:ind w:left="2922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4"/>
          <w:sz w:val="18"/>
          <w:szCs w:val="18"/>
        </w:rPr>
        <w:t>9%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8%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7%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6%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5%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4%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3%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2%</w:t>
      </w:r>
      <w:r>
        <w:rPr>
          <w:rFonts w:ascii="Times New Roman" w:eastAsia="Times New Roman" w:hAnsi="Times New Roman" w:cs="Times New Roman"/>
          <w:color w:val="59595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1%</w:t>
      </w:r>
    </w:p>
    <w:p>
      <w:pPr>
        <w:spacing w:line="18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4"/>
          <w:sz w:val="18"/>
          <w:szCs w:val="18"/>
        </w:rPr>
        <w:t>0%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94" w:line="2531" w:lineRule="exact"/>
        <w:ind w:firstLine="50"/>
      </w:pPr>
      <w:r>
        <w:rPr>
          <w:position w:val="-50"/>
        </w:rPr>
        <w:drawing>
          <wp:inline distT="0" distB="0" distL="0" distR="0">
            <wp:extent cx="4257230" cy="1607439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57230" cy="160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6" w:line="61" w:lineRule="exact"/>
        <w:ind w:firstLine="44"/>
      </w:pPr>
      <w:r>
        <w:rPr>
          <w:position w:val="-1"/>
        </w:rPr>
        <w:pict>
          <v:shape id="_x0000_i1061" style="width:335.05pt;height:3.05pt;mso-position-horizontal-relative:char;mso-position-vertical-relative:line" coordorigin="0,0" coordsize="6700,60" path="m7,7l6700,7m7,7l7,60m263,7l263,60m520,7l520,60m777,7l777,60m1034,7l1034,60m1289,7l1289,60m1546,7l1546,60m1803,7l1803,60m2060,7l2060,60m2315,7l2315,60m2572,7l2572,60m2829,7l2829,60m3086,7l3086,60m3341,7l3341,60m3598,7l3598,60m3855,7l3855,60m4112,7l4112,60m4368,7l4368,60m4624,7l4624,60m4881,7l4881,60m5138,7l5138,60m5394,7l5394,60m5650,7l5650,60m5907,7l5907,60m6164,7l6164,60m6420,7l6420,60m6677,7l6677,60e" filled="f" strokecolor="#d9d9d9" strokeweight="0.75pt">
            <w10:wrap type="none"/>
          </v:shape>
        </w:pic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58" w:line="198" w:lineRule="auto"/>
        <w:ind w:left="582"/>
        <w:rPr>
          <w:sz w:val="18"/>
          <w:szCs w:val="18"/>
        </w:rPr>
      </w:pPr>
      <w:r>
        <w:rPr>
          <w:color w:val="595959"/>
          <w:position w:val="3"/>
          <w:sz w:val="18"/>
          <w:szCs w:val="18"/>
        </w:rPr>
        <w:drawing>
          <wp:inline distT="0" distB="0" distL="0" distR="0">
            <wp:extent cx="272414" cy="2857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2414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95959"/>
          <w:spacing w:val="-45"/>
          <w:sz w:val="18"/>
          <w:szCs w:val="18"/>
        </w:rPr>
        <w:t xml:space="preserve"> </w:t>
      </w:r>
      <w:r>
        <w:rPr>
          <w:color w:val="595959"/>
          <w:spacing w:val="-1"/>
          <w:sz w:val="18"/>
          <w:szCs w:val="18"/>
        </w:rPr>
        <w:t>美国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:30</w:t>
      </w:r>
      <w:r>
        <w:rPr>
          <w:color w:val="595959"/>
          <w:spacing w:val="-1"/>
          <w:sz w:val="18"/>
          <w:szCs w:val="18"/>
        </w:rPr>
        <w:t>年期抵押贷款固定利率</w:t>
      </w:r>
      <w:r>
        <w:rPr>
          <w:color w:val="595959"/>
          <w:spacing w:val="-1"/>
          <w:sz w:val="18"/>
          <w:szCs w:val="18"/>
        </w:rPr>
        <w:t xml:space="preserve">    </w:t>
      </w:r>
      <w:r>
        <w:rPr>
          <w:position w:val="3"/>
          <w:sz w:val="18"/>
          <w:szCs w:val="18"/>
        </w:rPr>
        <w:drawing>
          <wp:inline distT="0" distB="0" distL="0" distR="0">
            <wp:extent cx="272414" cy="2857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2414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95959"/>
          <w:spacing w:val="-56"/>
          <w:sz w:val="18"/>
          <w:szCs w:val="18"/>
        </w:rPr>
        <w:t xml:space="preserve"> </w:t>
      </w:r>
      <w:r>
        <w:rPr>
          <w:color w:val="595959"/>
          <w:spacing w:val="-1"/>
          <w:sz w:val="18"/>
          <w:szCs w:val="18"/>
        </w:rPr>
        <w:t>美国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:</w:t>
      </w:r>
      <w:r>
        <w:rPr>
          <w:color w:val="595959"/>
          <w:spacing w:val="-1"/>
          <w:sz w:val="18"/>
          <w:szCs w:val="18"/>
        </w:rPr>
        <w:t>国债收益率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:10</w:t>
      </w:r>
      <w:r>
        <w:rPr>
          <w:color w:val="595959"/>
          <w:spacing w:val="-1"/>
          <w:sz w:val="18"/>
          <w:szCs w:val="18"/>
        </w:rPr>
        <w:t>年</w:t>
      </w:r>
    </w:p>
    <w:p>
      <w:pPr>
        <w:spacing w:line="198" w:lineRule="auto"/>
        <w:rPr>
          <w:sz w:val="18"/>
          <w:szCs w:val="18"/>
        </w:rPr>
        <w:sectPr>
          <w:headerReference w:type="default" r:id="rId25"/>
          <w:footerReference w:type="default" r:id="rId26"/>
          <w:type w:val="continuous"/>
          <w:pgSz w:w="11907" w:h="16839"/>
          <w:pgMar w:top="1264" w:right="717" w:bottom="1027" w:left="720" w:header="788" w:footer="800" w:gutter="0"/>
          <w:pgNumType w:start="8"/>
          <w:cols w:num="2" w:space="708" w:equalWidth="0">
            <w:col w:w="3162" w:space="100"/>
            <w:col w:w="7208" w:space="0"/>
          </w:cols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49" w:line="239" w:lineRule="auto"/>
        <w:ind w:left="2567"/>
        <w:rPr>
          <w:sz w:val="15"/>
          <w:szCs w:val="15"/>
        </w:rPr>
      </w:pPr>
      <w:r>
        <w:rPr>
          <w:spacing w:val="8"/>
          <w:sz w:val="15"/>
          <w:szCs w:val="15"/>
        </w:rPr>
        <w:t>资料来源：</w:t>
      </w:r>
      <w:r>
        <w:rPr>
          <w:rFonts w:ascii="Times New Roman" w:eastAsia="Times New Roman" w:hAnsi="Times New Roman" w:cs="Times New Roman"/>
          <w:sz w:val="15"/>
          <w:szCs w:val="15"/>
        </w:rPr>
        <w:t>Wind</w:t>
      </w:r>
      <w:r>
        <w:rPr>
          <w:rFonts w:ascii="Times New Roman" w:eastAsia="Times New Roman" w:hAnsi="Times New Roman" w:cs="Times New Roman"/>
          <w:spacing w:val="-12"/>
          <w:sz w:val="15"/>
          <w:szCs w:val="15"/>
        </w:rPr>
        <w:t xml:space="preserve"> </w:t>
      </w:r>
      <w:r>
        <w:rPr>
          <w:spacing w:val="8"/>
          <w:sz w:val="15"/>
          <w:szCs w:val="15"/>
        </w:rPr>
        <w:t>，浙商证券研究所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59" w:line="216" w:lineRule="auto"/>
        <w:ind w:left="2578"/>
        <w:rPr>
          <w:sz w:val="18"/>
          <w:szCs w:val="18"/>
        </w:rPr>
      </w:pPr>
      <w:r>
        <w:rPr>
          <w:color w:val="B70004"/>
          <w:spacing w:val="-3"/>
          <w:sz w:val="18"/>
          <w:szCs w:val="18"/>
        </w:rPr>
        <w:t>图</w:t>
      </w:r>
      <w:r>
        <w:rPr>
          <w:rFonts w:ascii="Times New Roman" w:eastAsia="Times New Roman" w:hAnsi="Times New Roman" w:cs="Times New Roman"/>
          <w:color w:val="B70004"/>
          <w:spacing w:val="-3"/>
          <w:sz w:val="18"/>
          <w:szCs w:val="18"/>
        </w:rPr>
        <w:t>3</w:t>
      </w:r>
      <w:r>
        <w:rPr>
          <w:color w:val="B70004"/>
          <w:spacing w:val="-3"/>
          <w:sz w:val="18"/>
          <w:szCs w:val="18"/>
        </w:rPr>
        <w:t>：</w:t>
      </w:r>
      <w:r>
        <w:rPr>
          <w:color w:val="B70004"/>
          <w:spacing w:val="-3"/>
          <w:sz w:val="18"/>
          <w:szCs w:val="18"/>
        </w:rPr>
        <w:t xml:space="preserve"> </w:t>
      </w:r>
      <w:r>
        <w:rPr>
          <w:color w:val="B70004"/>
          <w:spacing w:val="-3"/>
          <w:sz w:val="18"/>
          <w:szCs w:val="18"/>
        </w:rPr>
        <w:t>房贷利率下行有助于提升居民住房购买力</w:t>
      </w:r>
    </w:p>
    <w:p>
      <w:pPr>
        <w:spacing w:line="238" w:lineRule="exact"/>
      </w:pPr>
    </w:p>
    <w:p>
      <w:pPr>
        <w:spacing w:line="238" w:lineRule="exact"/>
        <w:sectPr>
          <w:headerReference w:type="default" r:id="rId27"/>
          <w:footerReference w:type="default" r:id="rId28"/>
          <w:type w:val="continuous"/>
          <w:pgSz w:w="11907" w:h="16839"/>
          <w:pgMar w:top="1264" w:right="717" w:bottom="1027" w:left="720" w:header="788" w:footer="800" w:gutter="0"/>
          <w:pgNumType w:start="9"/>
          <w:cols w:num="1" w:space="708" w:equalWidth="0">
            <w:col w:w="10469" w:space="0"/>
          </w:cols>
        </w:sectPr>
      </w:pPr>
    </w:p>
    <w:p>
      <w:pPr>
        <w:spacing w:line="18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250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53" w:line="18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200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53" w:line="18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9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595959"/>
          <w:spacing w:val="-8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595959"/>
          <w:spacing w:val="-7"/>
          <w:sz w:val="18"/>
          <w:szCs w:val="18"/>
        </w:rPr>
        <w:t>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52" w:line="18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7"/>
          <w:sz w:val="18"/>
          <w:szCs w:val="18"/>
        </w:rPr>
        <w:t>100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53" w:line="18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5"/>
          <w:sz w:val="18"/>
          <w:szCs w:val="18"/>
        </w:rPr>
        <w:t>50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52" w:line="186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7"/>
          <w:sz w:val="18"/>
          <w:szCs w:val="18"/>
        </w:rPr>
        <w:t>0</w:t>
      </w:r>
    </w:p>
    <w:p>
      <w:pPr>
        <w:spacing w:before="58"/>
      </w:pPr>
    </w:p>
    <w:p>
      <w:pPr>
        <w:spacing w:before="57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1" w:line="2281" w:lineRule="exact"/>
        <w:ind w:firstLine="57"/>
      </w:pPr>
      <w:r>
        <w:rPr>
          <w:position w:val="-45"/>
        </w:rPr>
        <w:drawing>
          <wp:inline distT="0" distB="0" distL="0" distR="0">
            <wp:extent cx="3932682" cy="1448434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32682" cy="1448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8" w:lineRule="auto"/>
        <w:rPr>
          <w:rFonts w:ascii="Arial"/>
          <w:sz w:val="21"/>
        </w:rPr>
      </w:pPr>
    </w:p>
    <w:p>
      <w:pPr>
        <w:spacing w:line="61" w:lineRule="exact"/>
        <w:ind w:firstLine="49"/>
      </w:pPr>
      <w:r>
        <w:rPr>
          <w:position w:val="-1"/>
        </w:rPr>
        <w:pict>
          <v:shape id="_x0000_i1062" style="width:309.35pt;height:3.05pt;mso-position-horizontal-relative:char;mso-position-vertical-relative:line" coordorigin="0,0" coordsize="6187,60" path="m7,7l6186,7m7,7l7,60m259,7l259,60m511,7l511,60m763,7l763,60m1015,7l1015,60m1267,7l1267,60m1519,7l1519,60m1771,7l1771,60m2023,7l2023,60m2275,7l2275,60m2527,7l2527,60m2779,7l2779,60m3031,7l3031,60m3283,7l3283,60m3534,7l3534,60m3786,7l3786,60m4038,7l4038,60m4290,7l4290,60m4542,7l4542,60m4794,7l4794,60m5046,7l5046,60m5298,7l5298,60m5550,7l5550,60m5802,7l5802,60m6054,7l6054,60e" filled="f" strokecolor="#d9d9d9" strokeweight="0.75pt">
            <w10:wrap type="none"/>
          </v:shape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84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1"/>
          <w:position w:val="11"/>
          <w:sz w:val="18"/>
          <w:szCs w:val="18"/>
        </w:rPr>
        <w:t>20%</w:t>
      </w:r>
    </w:p>
    <w:p>
      <w:pPr>
        <w:spacing w:line="186" w:lineRule="auto"/>
        <w:ind w:left="1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4"/>
          <w:sz w:val="18"/>
          <w:szCs w:val="18"/>
        </w:rPr>
        <w:t>18%</w:t>
      </w:r>
    </w:p>
    <w:p>
      <w:pPr>
        <w:spacing w:before="123" w:line="186" w:lineRule="auto"/>
        <w:ind w:left="1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4"/>
          <w:sz w:val="18"/>
          <w:szCs w:val="18"/>
        </w:rPr>
        <w:t>16%</w:t>
      </w:r>
    </w:p>
    <w:p>
      <w:pPr>
        <w:spacing w:before="123" w:line="186" w:lineRule="auto"/>
        <w:ind w:left="1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4"/>
          <w:sz w:val="18"/>
          <w:szCs w:val="18"/>
        </w:rPr>
        <w:t>14%</w:t>
      </w:r>
    </w:p>
    <w:p>
      <w:pPr>
        <w:spacing w:before="123" w:line="186" w:lineRule="auto"/>
        <w:ind w:left="1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4"/>
          <w:sz w:val="18"/>
          <w:szCs w:val="18"/>
        </w:rPr>
        <w:t>12%</w:t>
      </w:r>
    </w:p>
    <w:p>
      <w:pPr>
        <w:spacing w:before="123" w:line="186" w:lineRule="auto"/>
        <w:ind w:left="1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4"/>
          <w:sz w:val="18"/>
          <w:szCs w:val="18"/>
        </w:rPr>
        <w:t>10%</w:t>
      </w:r>
    </w:p>
    <w:p>
      <w:pPr>
        <w:spacing w:before="123" w:line="186" w:lineRule="auto"/>
        <w:ind w:left="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3"/>
          <w:sz w:val="18"/>
          <w:szCs w:val="18"/>
        </w:rPr>
        <w:t>8%</w:t>
      </w:r>
    </w:p>
    <w:p>
      <w:pPr>
        <w:spacing w:before="123" w:line="186" w:lineRule="auto"/>
        <w:ind w:left="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6%</w:t>
      </w:r>
    </w:p>
    <w:p>
      <w:pPr>
        <w:spacing w:before="123" w:line="186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4%</w:t>
      </w:r>
    </w:p>
    <w:p>
      <w:pPr>
        <w:spacing w:before="123" w:line="186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2%</w:t>
      </w:r>
    </w:p>
    <w:p>
      <w:pPr>
        <w:spacing w:before="123" w:line="186" w:lineRule="auto"/>
        <w:ind w:left="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95959"/>
          <w:spacing w:val="-2"/>
          <w:sz w:val="18"/>
          <w:szCs w:val="18"/>
        </w:rPr>
        <w:t>0%</w:t>
      </w:r>
    </w:p>
    <w:p>
      <w:pPr>
        <w:spacing w:line="186" w:lineRule="auto"/>
        <w:rPr>
          <w:rFonts w:ascii="Times New Roman" w:eastAsia="Times New Roman" w:hAnsi="Times New Roman" w:cs="Times New Roman"/>
          <w:sz w:val="18"/>
          <w:szCs w:val="18"/>
        </w:rPr>
        <w:sectPr>
          <w:headerReference w:type="default" r:id="rId30"/>
          <w:footerReference w:type="default" r:id="rId31"/>
          <w:type w:val="continuous"/>
          <w:pgSz w:w="11907" w:h="16839"/>
          <w:pgMar w:top="1264" w:right="717" w:bottom="1027" w:left="720" w:header="788" w:footer="800" w:gutter="0"/>
          <w:pgNumType w:start="10"/>
          <w:cols w:num="3" w:space="708" w:equalWidth="0">
            <w:col w:w="3235" w:space="95"/>
            <w:col w:w="6294" w:space="100"/>
            <w:col w:w="746" w:space="0"/>
          </w:cols>
        </w:sectPr>
      </w:pPr>
    </w:p>
    <w:p>
      <w:pPr>
        <w:pStyle w:val="BodyText"/>
        <w:spacing w:before="197" w:line="213" w:lineRule="auto"/>
        <w:ind w:left="335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color w:val="595959"/>
          <w:position w:val="3"/>
          <w:sz w:val="18"/>
          <w:szCs w:val="18"/>
        </w:rPr>
        <w:drawing>
          <wp:inline distT="0" distB="0" distL="0" distR="0">
            <wp:extent cx="272415" cy="2857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95959"/>
          <w:spacing w:val="-52"/>
          <w:sz w:val="18"/>
          <w:szCs w:val="18"/>
        </w:rPr>
        <w:t xml:space="preserve"> </w:t>
      </w:r>
      <w:r>
        <w:rPr>
          <w:color w:val="595959"/>
          <w:spacing w:val="-1"/>
          <w:sz w:val="18"/>
          <w:szCs w:val="18"/>
        </w:rPr>
        <w:t>美国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:</w:t>
      </w:r>
      <w:r>
        <w:rPr>
          <w:color w:val="595959"/>
          <w:spacing w:val="-1"/>
          <w:sz w:val="18"/>
          <w:szCs w:val="18"/>
        </w:rPr>
        <w:t>住房购买力指数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:</w:t>
      </w:r>
      <w:r>
        <w:rPr>
          <w:color w:val="595959"/>
          <w:spacing w:val="-1"/>
          <w:sz w:val="18"/>
          <w:szCs w:val="18"/>
        </w:rPr>
        <w:t>固定指数</w:t>
      </w:r>
      <w:r>
        <w:rPr>
          <w:color w:val="595959"/>
          <w:spacing w:val="55"/>
          <w:sz w:val="18"/>
          <w:szCs w:val="18"/>
        </w:rPr>
        <w:t xml:space="preserve"> </w:t>
      </w:r>
      <w:r>
        <w:rPr>
          <w:position w:val="3"/>
          <w:sz w:val="18"/>
          <w:szCs w:val="18"/>
        </w:rPr>
        <w:drawing>
          <wp:inline distT="0" distB="0" distL="0" distR="0">
            <wp:extent cx="272415" cy="2857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95959"/>
          <w:spacing w:val="-56"/>
          <w:sz w:val="18"/>
          <w:szCs w:val="18"/>
        </w:rPr>
        <w:t xml:space="preserve"> </w:t>
      </w:r>
      <w:r>
        <w:rPr>
          <w:color w:val="595959"/>
          <w:spacing w:val="-1"/>
          <w:sz w:val="18"/>
          <w:szCs w:val="18"/>
        </w:rPr>
        <w:t>美国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:30</w:t>
      </w:r>
      <w:r>
        <w:rPr>
          <w:color w:val="595959"/>
          <w:spacing w:val="-1"/>
          <w:sz w:val="18"/>
          <w:szCs w:val="18"/>
        </w:rPr>
        <w:t>年期抵押贷款固定利率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(</w:t>
      </w:r>
      <w:r>
        <w:rPr>
          <w:color w:val="595959"/>
          <w:spacing w:val="-1"/>
          <w:sz w:val="18"/>
          <w:szCs w:val="18"/>
        </w:rPr>
        <w:t>右轴</w:t>
      </w:r>
      <w:r>
        <w:rPr>
          <w:rFonts w:ascii="Times New Roman" w:eastAsia="Times New Roman" w:hAnsi="Times New Roman" w:cs="Times New Roman"/>
          <w:color w:val="595959"/>
          <w:spacing w:val="-1"/>
          <w:sz w:val="18"/>
          <w:szCs w:val="18"/>
        </w:rPr>
        <w:t>)</w:t>
      </w:r>
    </w:p>
    <w:p>
      <w:pPr>
        <w:spacing w:line="241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https://d.book118.com/036241145012010033</w:t>
        </w:r>
      </w:hyperlink>
    </w:p>
    <w:p>
      <w:pPr>
        <w:spacing w:line="241" w:lineRule="auto"/>
        <w:rPr>
          <w:rFonts w:ascii="Arial"/>
          <w:sz w:val="21"/>
        </w:rPr>
      </w:pPr>
    </w:p>
    <w:sectPr>
      <w:headerReference w:type="default" r:id="rId35"/>
      <w:footerReference w:type="default" r:id="rId36"/>
      <w:type w:val="continuous"/>
      <w:pgSz w:w="11907" w:h="16839"/>
      <w:pgMar w:top="1264" w:right="717" w:bottom="1027" w:left="720" w:header="788" w:footer="800" w:gutter="0"/>
      <w:pgNumType w:start="11"/>
      <w:cols w:num="1" w:space="708" w:equalWidth="0">
        <w:col w:w="1046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49" style="width:522.85pt;height:0.5pt;margin-top:790.56pt;margin-left:36pt;mso-position-horizontal-relative:page;mso-position-vertical-relative:page;position:absolute;z-index:251659264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85.6pt;height:9.3pt;margin-top:1.97pt;margin-left:4.45pt;position:absolute;z-index:251658240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51" type="#_x0000_t202" style="width:15.35pt;height:10.8pt;margin-top:1.97pt;margin-left:254.19pt;position:absolute;z-index:251660288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-1"/>
                    <w:sz w:val="15"/>
                    <w:szCs w:val="15"/>
                  </w:rPr>
                  <w:t>1/20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52" style="width:522.85pt;height:0.5pt;margin-top:790.56pt;margin-left:36pt;mso-position-horizontal-relative:page;mso-position-vertical-relative:page;position:absolute;z-index:251662336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85.6pt;height:9.3pt;margin-top:1.97pt;margin-left:4.45pt;position:absolute;z-index:251661312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54" type="#_x0000_t202" style="width:15.35pt;height:10.8pt;margin-top:1.97pt;margin-left:254.19pt;position:absolute;z-index:251663360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-1"/>
                    <w:sz w:val="15"/>
                    <w:szCs w:val="15"/>
                  </w:rPr>
                  <w:t>1/20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56" style="width:522.85pt;height:0.5pt;margin-top:790.56pt;margin-left:36pt;mso-position-horizontal-relative:page;mso-position-vertical-relative:page;position:absolute;z-index:251665408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85.6pt;height:9.3pt;margin-top:1.97pt;margin-left:4.45pt;position:absolute;z-index:251664384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58" type="#_x0000_t202" style="width:16.1pt;height:10.8pt;margin-top:1.97pt;margin-left:253.43pt;position:absolute;z-index:251666432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3"/>
                    <w:sz w:val="15"/>
                    <w:szCs w:val="15"/>
                  </w:rPr>
                  <w:t>2/20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59" style="width:522.85pt;height:0.5pt;margin-top:790.56pt;margin-left:36pt;mso-position-horizontal-relative:page;mso-position-vertical-relative:page;position:absolute;z-index:251668480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85.6pt;height:9.3pt;margin-top:1.97pt;margin-left:4.45pt;position:absolute;z-index:251667456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61" type="#_x0000_t202" style="width:15.95pt;height:10.8pt;margin-top:1.97pt;margin-left:253.59pt;position:absolute;z-index:251669504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2"/>
                    <w:sz w:val="15"/>
                    <w:szCs w:val="15"/>
                  </w:rPr>
                  <w:t>3/20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64" style="width:522.85pt;height:0.5pt;margin-top:790.56pt;margin-left:36pt;mso-position-horizontal-relative:page;mso-position-vertical-relative:page;position:absolute;z-index:251671552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85.6pt;height:9.3pt;margin-top:1.97pt;margin-left:4.45pt;position:absolute;z-index:251670528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66" type="#_x0000_t202" style="width:16.15pt;height:10.8pt;margin-top:1.97pt;margin-left:253.39pt;position:absolute;z-index:251672576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3"/>
                    <w:sz w:val="15"/>
                    <w:szCs w:val="15"/>
                  </w:rPr>
                  <w:t>4/20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68" style="width:522.85pt;height:0.5pt;margin-top:790.56pt;margin-left:36pt;mso-position-horizontal-relative:page;mso-position-vertical-relative:page;position:absolute;z-index:251674624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85.6pt;height:9.3pt;margin-top:1.97pt;margin-left:4.45pt;position:absolute;z-index:251673600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70" type="#_x0000_t202" style="width:16.15pt;height:10.8pt;margin-top:1.97pt;margin-left:253.39pt;position:absolute;z-index:251675648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3"/>
                    <w:sz w:val="15"/>
                    <w:szCs w:val="15"/>
                  </w:rPr>
                  <w:t>4/20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72" style="width:522.85pt;height:0.5pt;margin-top:790.56pt;margin-left:36pt;mso-position-horizontal-relative:page;mso-position-vertical-relative:page;position:absolute;z-index:251677696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85.6pt;height:9.3pt;margin-top:1.97pt;margin-left:4.45pt;position:absolute;z-index:251676672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74" type="#_x0000_t202" style="width:15.9pt;height:10.8pt;margin-top:1.97pt;margin-left:253.64pt;position:absolute;z-index:251678720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2"/>
                    <w:sz w:val="15"/>
                    <w:szCs w:val="15"/>
                  </w:rPr>
                  <w:t>5/20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76" style="width:522.85pt;height:0.5pt;margin-top:790.56pt;margin-left:36pt;mso-position-horizontal-relative:page;mso-position-vertical-relative:page;position:absolute;z-index:251680768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85.6pt;height:9.3pt;margin-top:1.97pt;margin-left:4.45pt;position:absolute;z-index:251679744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78" type="#_x0000_t202" style="width:15.9pt;height:10.8pt;margin-top:1.97pt;margin-left:253.64pt;position:absolute;z-index:251681792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2"/>
                    <w:sz w:val="15"/>
                    <w:szCs w:val="15"/>
                  </w:rPr>
                  <w:t>5/20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80" style="width:522.85pt;height:0.5pt;margin-top:790.56pt;margin-left:36pt;mso-position-horizontal-relative:page;mso-position-vertical-relative:page;position:absolute;z-index:251683840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85.6pt;height:9.3pt;margin-top:1.97pt;margin-left:4.45pt;position:absolute;z-index:251682816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82" type="#_x0000_t202" style="width:15.9pt;height:10.8pt;margin-top:1.97pt;margin-left:253.64pt;position:absolute;z-index:251684864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2"/>
                    <w:sz w:val="15"/>
                    <w:szCs w:val="15"/>
                  </w:rPr>
                  <w:t>5/20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84" style="width:522.85pt;height:0.5pt;margin-top:790.56pt;margin-left:36pt;mso-position-horizontal-relative:page;mso-position-vertical-relative:page;position:absolute;z-index:251686912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85.6pt;height:9.3pt;margin-top:1.97pt;margin-left:4.45pt;position:absolute;z-index:251685888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86" type="#_x0000_t202" style="width:15.9pt;height:10.8pt;margin-top:1.97pt;margin-left:253.64pt;position:absolute;z-index:251687936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2"/>
                    <w:sz w:val="15"/>
                    <w:szCs w:val="15"/>
                  </w:rPr>
                  <w:t>5/20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26" w:lineRule="auto"/>
      <w:ind w:left="7791"/>
      <w:rPr>
        <w:sz w:val="15"/>
        <w:szCs w:val="15"/>
      </w:rPr>
    </w:pPr>
    <w:r>
      <w:pict>
        <v:shape id="_x0000_s2088" style="width:522.85pt;height:0.5pt;margin-top:790.56pt;margin-left:36pt;mso-position-horizontal-relative:page;mso-position-vertical-relative:page;position:absolute;z-index:251689984" coordorigin="0,0" coordsize="10456,10" o:allowincell="f" path="m,9l3485,9l3485,l,l,9xem3485,9l3494,9l3494,l3485,l3485,9xem3494,9l6970,9l6970,l3494,l3494,9xem6970,9l6980,9l6980,l6970,l6970,9xem6980,9l10456,9l10456,l6980,l6980,9xe" filled="t" fillcolor="#b70004" stroked="f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85.6pt;height:9.3pt;margin-top:1.97pt;margin-left:4.45pt;position:absolute;z-index:251688960" filled="f" stroked="f">
          <o:lock v:ext="edit" aspectratio="f"/>
          <v:textbox inset="0,0,0,0">
            <w:txbxContent>
              <w:p>
                <w:pPr>
                  <w:spacing w:before="20" w:line="202" w:lineRule="auto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hyperlink r:id="rId1" w:history="1">
                  <w:r>
                    <w:rPr>
                      <w:rFonts w:ascii="Times New Roman" w:eastAsia="Times New Roman" w:hAnsi="Times New Roman" w:cs="Times New Roman"/>
                      <w:spacing w:val="4"/>
                      <w:sz w:val="15"/>
                      <w:szCs w:val="15"/>
                    </w:rPr>
                    <w:t>http://www.stocke.c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5"/>
                      <w:szCs w:val="15"/>
                    </w:rPr>
                    <w:t>om.cn</w:t>
                  </w:r>
                </w:hyperlink>
              </w:p>
            </w:txbxContent>
          </v:textbox>
        </v:shape>
      </w:pict>
    </w:r>
    <w:r>
      <w:pict>
        <v:shape id="_x0000_s2090" type="#_x0000_t202" style="width:15.9pt;height:10.8pt;margin-top:1.97pt;margin-left:253.64pt;position:absolute;z-index:251691008" filled="f" stroked="f">
          <o:lock v:ext="edit" aspectratio="f"/>
          <v:textbox inset="0,0,0,0">
            <w:txbxContent>
              <w:p>
                <w:pPr>
                  <w:spacing w:before="20" w:line="175" w:lineRule="exact"/>
                  <w:ind w:left="20"/>
                  <w:rPr>
                    <w:rFonts w:ascii="Times New Roman" w:eastAsia="Times New Roman" w:hAnsi="Times New Roman" w:cs="Times New Roman"/>
                    <w:sz w:val="15"/>
                    <w:szCs w:val="15"/>
                  </w:rPr>
                </w:pPr>
                <w:r>
                  <w:rPr>
                    <w:rFonts w:ascii="Times New Roman" w:eastAsia="Times New Roman" w:hAnsi="Times New Roman" w:cs="Times New Roman"/>
                    <w:spacing w:val="2"/>
                    <w:sz w:val="15"/>
                    <w:szCs w:val="15"/>
                  </w:rPr>
                  <w:t>5/20</w:t>
                </w:r>
              </w:p>
            </w:txbxContent>
          </v:textbox>
        </v:shape>
      </w:pict>
    </w:r>
    <w:r>
      <w:rPr>
        <w:spacing w:val="9"/>
        <w:sz w:val="15"/>
        <w:szCs w:val="15"/>
      </w:rPr>
      <w:t>请务必阅读正文之后的免责条款部分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14" w:line="212" w:lineRule="auto"/>
      <w:ind w:right="32"/>
      <w:jc w:val="right"/>
      <w:rPr>
        <w:sz w:val="24"/>
        <w:szCs w:val="24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457200</wp:posOffset>
          </wp:positionH>
          <wp:positionV relativeFrom="page">
            <wp:posOffset>540385</wp:posOffset>
          </wp:positionV>
          <wp:extent cx="1079500" cy="30225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B70004"/>
        <w:spacing w:val="-1"/>
        <w:sz w:val="24"/>
        <w:szCs w:val="24"/>
      </w:rPr>
      <w:t>证券研究报告</w:t>
    </w:r>
    <w:r>
      <w:rPr>
        <w:color w:val="B70004"/>
        <w:spacing w:val="-1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color w:val="B70004"/>
        <w:spacing w:val="-1"/>
        <w:sz w:val="24"/>
        <w:szCs w:val="24"/>
      </w:rPr>
      <w:t xml:space="preserve">|  </w:t>
    </w:r>
    <w:r>
      <w:rPr>
        <w:color w:val="B70004"/>
        <w:spacing w:val="-1"/>
        <w:sz w:val="24"/>
        <w:szCs w:val="24"/>
      </w:rPr>
      <w:t>金融工程深度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14" w:line="212" w:lineRule="auto"/>
      <w:ind w:right="32"/>
      <w:jc w:val="right"/>
      <w:rPr>
        <w:sz w:val="24"/>
        <w:szCs w:val="24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457200</wp:posOffset>
          </wp:positionH>
          <wp:positionV relativeFrom="page">
            <wp:posOffset>540385</wp:posOffset>
          </wp:positionV>
          <wp:extent cx="1079500" cy="302259"/>
          <wp:effectExtent l="0" t="0" r="0" b="0"/>
          <wp:wrapNone/>
          <wp:docPr id="1127447595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447595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B70004"/>
        <w:spacing w:val="-1"/>
        <w:sz w:val="24"/>
        <w:szCs w:val="24"/>
      </w:rPr>
      <w:t>证券研究报告</w:t>
    </w:r>
    <w:r>
      <w:rPr>
        <w:color w:val="B70004"/>
        <w:spacing w:val="-1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color w:val="B70004"/>
        <w:spacing w:val="-1"/>
        <w:sz w:val="24"/>
        <w:szCs w:val="24"/>
      </w:rPr>
      <w:t xml:space="preserve">|  </w:t>
    </w:r>
    <w:r>
      <w:rPr>
        <w:color w:val="B70004"/>
        <w:spacing w:val="-1"/>
        <w:sz w:val="24"/>
        <w:szCs w:val="24"/>
      </w:rPr>
      <w:t>金融工程深度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55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663325106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325106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62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63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2083943778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943778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67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71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530808692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808692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75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1680783037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0783037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79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949886543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886543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83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07" w:line="233" w:lineRule="auto"/>
      <w:ind w:left="9466"/>
      <w:rPr>
        <w:sz w:val="15"/>
        <w:szCs w:val="15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467994</wp:posOffset>
          </wp:positionH>
          <wp:positionV relativeFrom="page">
            <wp:posOffset>500380</wp:posOffset>
          </wp:positionV>
          <wp:extent cx="1079500" cy="302259"/>
          <wp:effectExtent l="0" t="0" r="0" b="0"/>
          <wp:wrapNone/>
          <wp:docPr id="1917549583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549583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9"/>
        <w:sz w:val="15"/>
        <w:szCs w:val="15"/>
      </w:rPr>
      <w:t>金融工程深度</w:t>
    </w:r>
  </w:p>
  <w:p>
    <w:pPr>
      <w:spacing w:before="52" w:line="17" w:lineRule="exact"/>
      <w:ind w:firstLine="1793"/>
    </w:pPr>
    <w:r>
      <w:pict>
        <v:shape id="_x0000_i2087" style="width:433.4pt;height:1pt;mso-position-horizontal-relative:char;mso-position-vertical-relative:line" coordorigin="0,0" coordsize="8667,20" path="m,10l8667,10e" filled="f" strokecolor="#b70004" strokeweight="1pt">
          <v:stroke joinstyle="miter"/>
          <w10:wrap type="non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18"/>
      <w:szCs w:val="1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image" Target="media/image5.png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image" Target="media/image6.png" /><Relationship Id="rId23" Type="http://schemas.openxmlformats.org/officeDocument/2006/relationships/image" Target="media/image7.png" /><Relationship Id="rId24" Type="http://schemas.openxmlformats.org/officeDocument/2006/relationships/image" Target="media/image8.png" /><Relationship Id="rId25" Type="http://schemas.openxmlformats.org/officeDocument/2006/relationships/header" Target="header8.xml" /><Relationship Id="rId26" Type="http://schemas.openxmlformats.org/officeDocument/2006/relationships/footer" Target="footer8.xml" /><Relationship Id="rId27" Type="http://schemas.openxmlformats.org/officeDocument/2006/relationships/header" Target="header9.xml" /><Relationship Id="rId28" Type="http://schemas.openxmlformats.org/officeDocument/2006/relationships/footer" Target="footer9.xml" /><Relationship Id="rId29" Type="http://schemas.openxmlformats.org/officeDocument/2006/relationships/image" Target="media/image9.png" /><Relationship Id="rId3" Type="http://schemas.openxmlformats.org/officeDocument/2006/relationships/fontTable" Target="fontTable.xml" /><Relationship Id="rId30" Type="http://schemas.openxmlformats.org/officeDocument/2006/relationships/header" Target="header10.xml" /><Relationship Id="rId31" Type="http://schemas.openxmlformats.org/officeDocument/2006/relationships/footer" Target="footer10.xml" /><Relationship Id="rId32" Type="http://schemas.openxmlformats.org/officeDocument/2006/relationships/image" Target="media/image10.png" /><Relationship Id="rId33" Type="http://schemas.openxmlformats.org/officeDocument/2006/relationships/image" Target="media/image11.png" /><Relationship Id="rId34" Type="http://schemas.openxmlformats.org/officeDocument/2006/relationships/hyperlink" Target="https://d.book118.com/036241145012010033" TargetMode="External" /><Relationship Id="rId35" Type="http://schemas.openxmlformats.org/officeDocument/2006/relationships/header" Target="header11.xml" /><Relationship Id="rId36" Type="http://schemas.openxmlformats.org/officeDocument/2006/relationships/footer" Target="footer11.xm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image" Target="media/image4.png" /><Relationship Id="rId9" Type="http://schemas.openxmlformats.org/officeDocument/2006/relationships/header" Target="head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hyperlink" Target="http://www.stocke.com.cn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2024-01-10T20:57:51Z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2024-01-10T21:02:37Z</vt:filetime>
  </property>
  <property fmtid="{D5CDD505-2E9C-101B-9397-08002B2CF9AE}" pid="3" name="CRO">
    <vt:lpwstr>wqlLaW5nc29mdCBQREYgdG8gV1BTIDkw</vt:lpwstr>
  </property>
</Properties>
</file>