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肾上腺皮质激素类药项目规划设计蓝图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5" w:history="1">
        <w:r>
          <w:rPr>
            <w:rFonts w:ascii="仿宋" w:eastAsia="仿宋" w:hAnsi="仿宋" w:cs="仿宋" w:hint="eastAsia"/>
            <w:lang w:eastAsia="zh-CN"/>
          </w:rPr>
          <w:t>序言</w:t>
        </w:r>
        <w:r>
          <w:tab/>
        </w:r>
        <w:r>
          <w:fldChar w:fldCharType="begin"/>
        </w:r>
        <w:r>
          <w:instrText xml:space="preserve"> PAGEREF _Toc885 \h </w:instrText>
        </w:r>
        <w:r>
          <w:fldChar w:fldCharType="separate"/>
        </w:r>
        <w:r>
          <w:t>3</w:t>
        </w:r>
        <w:r>
          <w:fldChar w:fldCharType="end"/>
        </w:r>
      </w:hyperlink>
    </w:p>
    <w:p>
      <w:pPr>
        <w:pStyle w:val="TOC1"/>
        <w:tabs>
          <w:tab w:val="right" w:leader="dot" w:pos="8306"/>
        </w:tabs>
      </w:pPr>
      <w:hyperlink w:anchor="_Toc27227" w:history="1">
        <w:r>
          <w:rPr>
            <w:rFonts w:ascii="仿宋" w:eastAsia="仿宋" w:hAnsi="仿宋" w:cs="仿宋" w:hint="eastAsia"/>
            <w:lang w:eastAsia="zh-CN"/>
          </w:rPr>
          <w:t>一、肾上腺皮质激素类药项目危机管理</w:t>
        </w:r>
        <w:r>
          <w:tab/>
        </w:r>
        <w:r>
          <w:fldChar w:fldCharType="begin"/>
        </w:r>
        <w:r>
          <w:instrText xml:space="preserve"> PAGEREF _Toc27227 \h </w:instrText>
        </w:r>
        <w:r>
          <w:fldChar w:fldCharType="separate"/>
        </w:r>
        <w:r>
          <w:t>3</w:t>
        </w:r>
        <w:r>
          <w:fldChar w:fldCharType="end"/>
        </w:r>
      </w:hyperlink>
    </w:p>
    <w:p>
      <w:pPr>
        <w:pStyle w:val="TOC2"/>
        <w:tabs>
          <w:tab w:val="right" w:leader="dot" w:pos="8306"/>
        </w:tabs>
      </w:pPr>
      <w:hyperlink w:anchor="_Toc4274" w:history="1">
        <w:r>
          <w:rPr>
            <w:rFonts w:ascii="仿宋" w:eastAsia="仿宋" w:hAnsi="仿宋" w:cs="仿宋" w:hint="eastAsia"/>
            <w:lang w:eastAsia="zh-CN"/>
          </w:rPr>
          <w:t>(一)、危机预警与识别</w:t>
        </w:r>
        <w:r>
          <w:tab/>
        </w:r>
        <w:r>
          <w:fldChar w:fldCharType="begin"/>
        </w:r>
        <w:r>
          <w:instrText xml:space="preserve"> PAGEREF _Toc4274 \h </w:instrText>
        </w:r>
        <w:r>
          <w:fldChar w:fldCharType="separate"/>
        </w:r>
        <w:r>
          <w:t>3</w:t>
        </w:r>
        <w:r>
          <w:fldChar w:fldCharType="end"/>
        </w:r>
      </w:hyperlink>
    </w:p>
    <w:p>
      <w:pPr>
        <w:pStyle w:val="TOC2"/>
        <w:tabs>
          <w:tab w:val="right" w:leader="dot" w:pos="8306"/>
        </w:tabs>
      </w:pPr>
      <w:hyperlink w:anchor="_Toc31492" w:history="1">
        <w:r>
          <w:rPr>
            <w:rFonts w:ascii="仿宋" w:eastAsia="仿宋" w:hAnsi="仿宋" w:cs="仿宋" w:hint="eastAsia"/>
            <w:lang w:eastAsia="zh-CN"/>
          </w:rPr>
          <w:t>(二)、危机应对与恢复</w:t>
        </w:r>
        <w:r>
          <w:tab/>
        </w:r>
        <w:r>
          <w:fldChar w:fldCharType="begin"/>
        </w:r>
        <w:r>
          <w:instrText xml:space="preserve"> PAGEREF _Toc31492 \h </w:instrText>
        </w:r>
        <w:r>
          <w:fldChar w:fldCharType="separate"/>
        </w:r>
        <w:r>
          <w:t>4</w:t>
        </w:r>
        <w:r>
          <w:fldChar w:fldCharType="end"/>
        </w:r>
      </w:hyperlink>
    </w:p>
    <w:p>
      <w:pPr>
        <w:pStyle w:val="TOC1"/>
        <w:tabs>
          <w:tab w:val="right" w:leader="dot" w:pos="8306"/>
        </w:tabs>
      </w:pPr>
      <w:hyperlink w:anchor="_Toc6335" w:history="1">
        <w:r>
          <w:rPr>
            <w:rFonts w:ascii="仿宋" w:eastAsia="仿宋" w:hAnsi="仿宋" w:cs="仿宋" w:hint="eastAsia"/>
            <w:lang w:eastAsia="zh-CN"/>
          </w:rPr>
          <w:t>二、肾上腺皮质激素类药项目建设单位说明</w:t>
        </w:r>
        <w:r>
          <w:tab/>
        </w:r>
        <w:r>
          <w:fldChar w:fldCharType="begin"/>
        </w:r>
        <w:r>
          <w:instrText xml:space="preserve"> PAGEREF _Toc6335 \h </w:instrText>
        </w:r>
        <w:r>
          <w:fldChar w:fldCharType="separate"/>
        </w:r>
        <w:r>
          <w:t>6</w:t>
        </w:r>
        <w:r>
          <w:fldChar w:fldCharType="end"/>
        </w:r>
      </w:hyperlink>
    </w:p>
    <w:p>
      <w:pPr>
        <w:pStyle w:val="TOC2"/>
        <w:tabs>
          <w:tab w:val="right" w:leader="dot" w:pos="8306"/>
        </w:tabs>
      </w:pPr>
      <w:hyperlink w:anchor="_Toc2926" w:history="1">
        <w:r>
          <w:rPr>
            <w:rFonts w:ascii="仿宋" w:eastAsia="仿宋" w:hAnsi="仿宋" w:cs="仿宋" w:hint="eastAsia"/>
            <w:lang w:eastAsia="zh-CN"/>
          </w:rPr>
          <w:t>(一)、肾上腺皮质激素类药项目承办单位基本情况</w:t>
        </w:r>
        <w:r>
          <w:tab/>
        </w:r>
        <w:r>
          <w:fldChar w:fldCharType="begin"/>
        </w:r>
        <w:r>
          <w:instrText xml:space="preserve"> PAGEREF _Toc2926 \h </w:instrText>
        </w:r>
        <w:r>
          <w:fldChar w:fldCharType="separate"/>
        </w:r>
        <w:r>
          <w:t>6</w:t>
        </w:r>
        <w:r>
          <w:fldChar w:fldCharType="end"/>
        </w:r>
      </w:hyperlink>
    </w:p>
    <w:p>
      <w:pPr>
        <w:pStyle w:val="TOC2"/>
        <w:tabs>
          <w:tab w:val="right" w:leader="dot" w:pos="8306"/>
        </w:tabs>
      </w:pPr>
      <w:hyperlink w:anchor="_Toc27117" w:history="1">
        <w:r>
          <w:rPr>
            <w:rFonts w:ascii="仿宋" w:eastAsia="仿宋" w:hAnsi="仿宋" w:cs="仿宋" w:hint="eastAsia"/>
            <w:lang w:eastAsia="zh-CN"/>
          </w:rPr>
          <w:t>(二)、公司经济效益分析</w:t>
        </w:r>
        <w:r>
          <w:tab/>
        </w:r>
        <w:r>
          <w:fldChar w:fldCharType="begin"/>
        </w:r>
        <w:r>
          <w:instrText xml:space="preserve"> PAGEREF _Toc27117 \h </w:instrText>
        </w:r>
        <w:r>
          <w:fldChar w:fldCharType="separate"/>
        </w:r>
        <w:r>
          <w:t>6</w:t>
        </w:r>
        <w:r>
          <w:fldChar w:fldCharType="end"/>
        </w:r>
      </w:hyperlink>
    </w:p>
    <w:p>
      <w:pPr>
        <w:pStyle w:val="TOC1"/>
        <w:tabs>
          <w:tab w:val="right" w:leader="dot" w:pos="8306"/>
        </w:tabs>
      </w:pPr>
      <w:hyperlink w:anchor="_Toc7224" w:history="1">
        <w:r>
          <w:rPr>
            <w:rFonts w:ascii="仿宋" w:eastAsia="仿宋" w:hAnsi="仿宋" w:cs="仿宋" w:hint="eastAsia"/>
            <w:lang w:eastAsia="zh-CN"/>
          </w:rPr>
          <w:t>三、肾上腺皮质激素类药项目建设背景及必要性分析</w:t>
        </w:r>
        <w:r>
          <w:tab/>
        </w:r>
        <w:r>
          <w:fldChar w:fldCharType="begin"/>
        </w:r>
        <w:r>
          <w:instrText xml:space="preserve"> PAGEREF _Toc7224 \h </w:instrText>
        </w:r>
        <w:r>
          <w:fldChar w:fldCharType="separate"/>
        </w:r>
        <w:r>
          <w:t>7</w:t>
        </w:r>
        <w:r>
          <w:fldChar w:fldCharType="end"/>
        </w:r>
      </w:hyperlink>
    </w:p>
    <w:p>
      <w:pPr>
        <w:pStyle w:val="TOC2"/>
        <w:tabs>
          <w:tab w:val="right" w:leader="dot" w:pos="8306"/>
        </w:tabs>
      </w:pPr>
      <w:hyperlink w:anchor="_Toc1968" w:history="1">
        <w:r>
          <w:rPr>
            <w:rFonts w:ascii="仿宋" w:eastAsia="仿宋" w:hAnsi="仿宋" w:cs="仿宋" w:hint="eastAsia"/>
            <w:lang w:eastAsia="zh-CN"/>
          </w:rPr>
          <w:t>(一)、肾上腺皮质激素类药项目背景分析</w:t>
        </w:r>
        <w:r>
          <w:tab/>
        </w:r>
        <w:r>
          <w:fldChar w:fldCharType="begin"/>
        </w:r>
        <w:r>
          <w:instrText xml:space="preserve"> PAGEREF _Toc1968 \h </w:instrText>
        </w:r>
        <w:r>
          <w:fldChar w:fldCharType="separate"/>
        </w:r>
        <w:r>
          <w:t>7</w:t>
        </w:r>
        <w:r>
          <w:fldChar w:fldCharType="end"/>
        </w:r>
      </w:hyperlink>
    </w:p>
    <w:p>
      <w:pPr>
        <w:pStyle w:val="TOC2"/>
        <w:tabs>
          <w:tab w:val="right" w:leader="dot" w:pos="8306"/>
        </w:tabs>
      </w:pPr>
      <w:hyperlink w:anchor="_Toc15145" w:history="1">
        <w:r>
          <w:rPr>
            <w:rFonts w:ascii="仿宋" w:eastAsia="仿宋" w:hAnsi="仿宋" w:cs="仿宋" w:hint="eastAsia"/>
            <w:lang w:eastAsia="zh-CN"/>
          </w:rPr>
          <w:t>(二)、肾上腺皮质激素类药项目建设必要性分析</w:t>
        </w:r>
        <w:r>
          <w:tab/>
        </w:r>
        <w:r>
          <w:fldChar w:fldCharType="begin"/>
        </w:r>
        <w:r>
          <w:instrText xml:space="preserve"> PAGEREF _Toc15145 \h </w:instrText>
        </w:r>
        <w:r>
          <w:fldChar w:fldCharType="separate"/>
        </w:r>
        <w:r>
          <w:t>9</w:t>
        </w:r>
        <w:r>
          <w:fldChar w:fldCharType="end"/>
        </w:r>
      </w:hyperlink>
    </w:p>
    <w:p>
      <w:pPr>
        <w:pStyle w:val="TOC1"/>
        <w:tabs>
          <w:tab w:val="right" w:leader="dot" w:pos="8306"/>
        </w:tabs>
      </w:pPr>
      <w:hyperlink w:anchor="_Toc2126" w:history="1">
        <w:r>
          <w:rPr>
            <w:rFonts w:ascii="仿宋" w:eastAsia="仿宋" w:hAnsi="仿宋" w:cs="仿宋" w:hint="eastAsia"/>
            <w:lang w:eastAsia="zh-CN"/>
          </w:rPr>
          <w:t>四、肾上腺皮质激素类药项目选址可行性分析</w:t>
        </w:r>
        <w:r>
          <w:tab/>
        </w:r>
        <w:r>
          <w:fldChar w:fldCharType="begin"/>
        </w:r>
        <w:r>
          <w:instrText xml:space="preserve"> PAGEREF _Toc2126 \h </w:instrText>
        </w:r>
        <w:r>
          <w:fldChar w:fldCharType="separate"/>
        </w:r>
        <w:r>
          <w:t>11</w:t>
        </w:r>
        <w:r>
          <w:fldChar w:fldCharType="end"/>
        </w:r>
      </w:hyperlink>
    </w:p>
    <w:p>
      <w:pPr>
        <w:pStyle w:val="TOC2"/>
        <w:tabs>
          <w:tab w:val="right" w:leader="dot" w:pos="8306"/>
        </w:tabs>
      </w:pPr>
      <w:hyperlink w:anchor="_Toc20132" w:history="1">
        <w:r>
          <w:rPr>
            <w:rFonts w:ascii="仿宋" w:eastAsia="仿宋" w:hAnsi="仿宋" w:cs="仿宋" w:hint="eastAsia"/>
            <w:lang w:eastAsia="zh-CN"/>
          </w:rPr>
          <w:t>(一)、肾上腺皮质激素类药项目选址</w:t>
        </w:r>
        <w:r>
          <w:tab/>
        </w:r>
        <w:r>
          <w:fldChar w:fldCharType="begin"/>
        </w:r>
        <w:r>
          <w:instrText xml:space="preserve"> PAGEREF _Toc20132 \h </w:instrText>
        </w:r>
        <w:r>
          <w:fldChar w:fldCharType="separate"/>
        </w:r>
        <w:r>
          <w:t>11</w:t>
        </w:r>
        <w:r>
          <w:fldChar w:fldCharType="end"/>
        </w:r>
      </w:hyperlink>
    </w:p>
    <w:p>
      <w:pPr>
        <w:pStyle w:val="TOC2"/>
        <w:tabs>
          <w:tab w:val="right" w:leader="dot" w:pos="8306"/>
        </w:tabs>
      </w:pPr>
      <w:hyperlink w:anchor="_Toc1283" w:history="1">
        <w:r>
          <w:rPr>
            <w:rFonts w:ascii="仿宋" w:eastAsia="仿宋" w:hAnsi="仿宋" w:cs="仿宋" w:hint="eastAsia"/>
            <w:lang w:eastAsia="zh-CN"/>
          </w:rPr>
          <w:t>(二)、用地控制指标</w:t>
        </w:r>
        <w:r>
          <w:tab/>
        </w:r>
        <w:r>
          <w:fldChar w:fldCharType="begin"/>
        </w:r>
        <w:r>
          <w:instrText xml:space="preserve"> PAGEREF _Toc1283 \h </w:instrText>
        </w:r>
        <w:r>
          <w:fldChar w:fldCharType="separate"/>
        </w:r>
        <w:r>
          <w:t>11</w:t>
        </w:r>
        <w:r>
          <w:fldChar w:fldCharType="end"/>
        </w:r>
      </w:hyperlink>
    </w:p>
    <w:p>
      <w:pPr>
        <w:pStyle w:val="TOC2"/>
        <w:tabs>
          <w:tab w:val="right" w:leader="dot" w:pos="8306"/>
        </w:tabs>
      </w:pPr>
      <w:hyperlink w:anchor="_Toc19890" w:history="1">
        <w:r>
          <w:rPr>
            <w:rFonts w:ascii="仿宋" w:eastAsia="仿宋" w:hAnsi="仿宋" w:cs="仿宋" w:hint="eastAsia"/>
            <w:lang w:eastAsia="zh-CN"/>
          </w:rPr>
          <w:t>(三)、节约用地措施</w:t>
        </w:r>
        <w:r>
          <w:tab/>
        </w:r>
        <w:r>
          <w:fldChar w:fldCharType="begin"/>
        </w:r>
        <w:r>
          <w:instrText xml:space="preserve"> PAGEREF _Toc19890 \h </w:instrText>
        </w:r>
        <w:r>
          <w:fldChar w:fldCharType="separate"/>
        </w:r>
        <w:r>
          <w:t>13</w:t>
        </w:r>
        <w:r>
          <w:fldChar w:fldCharType="end"/>
        </w:r>
      </w:hyperlink>
    </w:p>
    <w:p>
      <w:pPr>
        <w:pStyle w:val="TOC2"/>
        <w:tabs>
          <w:tab w:val="right" w:leader="dot" w:pos="8306"/>
        </w:tabs>
      </w:pPr>
      <w:hyperlink w:anchor="_Toc22640" w:history="1">
        <w:r>
          <w:rPr>
            <w:rFonts w:ascii="仿宋" w:eastAsia="仿宋" w:hAnsi="仿宋" w:cs="仿宋" w:hint="eastAsia"/>
            <w:lang w:eastAsia="zh-CN"/>
          </w:rPr>
          <w:t>(四)、总图布置方案</w:t>
        </w:r>
        <w:r>
          <w:tab/>
        </w:r>
        <w:r>
          <w:fldChar w:fldCharType="begin"/>
        </w:r>
        <w:r>
          <w:instrText xml:space="preserve"> PAGEREF _Toc22640 \h </w:instrText>
        </w:r>
        <w:r>
          <w:fldChar w:fldCharType="separate"/>
        </w:r>
        <w:r>
          <w:t>14</w:t>
        </w:r>
        <w:r>
          <w:fldChar w:fldCharType="end"/>
        </w:r>
      </w:hyperlink>
    </w:p>
    <w:p>
      <w:pPr>
        <w:pStyle w:val="TOC2"/>
        <w:tabs>
          <w:tab w:val="right" w:leader="dot" w:pos="8306"/>
        </w:tabs>
      </w:pPr>
      <w:hyperlink w:anchor="_Toc20805" w:history="1">
        <w:r>
          <w:rPr>
            <w:rFonts w:ascii="仿宋" w:eastAsia="仿宋" w:hAnsi="仿宋" w:cs="仿宋" w:hint="eastAsia"/>
            <w:lang w:eastAsia="zh-CN"/>
          </w:rPr>
          <w:t>(五)、选址综合评价</w:t>
        </w:r>
        <w:r>
          <w:tab/>
        </w:r>
        <w:r>
          <w:fldChar w:fldCharType="begin"/>
        </w:r>
        <w:r>
          <w:instrText xml:space="preserve"> PAGEREF _Toc20805 \h </w:instrText>
        </w:r>
        <w:r>
          <w:fldChar w:fldCharType="separate"/>
        </w:r>
        <w:r>
          <w:t>15</w:t>
        </w:r>
        <w:r>
          <w:fldChar w:fldCharType="end"/>
        </w:r>
      </w:hyperlink>
    </w:p>
    <w:p>
      <w:pPr>
        <w:pStyle w:val="TOC1"/>
        <w:tabs>
          <w:tab w:val="right" w:leader="dot" w:pos="8306"/>
        </w:tabs>
      </w:pPr>
      <w:hyperlink w:anchor="_Toc1353" w:history="1">
        <w:r>
          <w:rPr>
            <w:rFonts w:ascii="仿宋" w:eastAsia="仿宋" w:hAnsi="仿宋" w:cs="仿宋" w:hint="eastAsia"/>
            <w:lang w:eastAsia="zh-CN"/>
          </w:rPr>
          <w:t>五、肾上腺皮质激素类药项目可持续发展</w:t>
        </w:r>
        <w:r>
          <w:tab/>
        </w:r>
        <w:r>
          <w:fldChar w:fldCharType="begin"/>
        </w:r>
        <w:r>
          <w:instrText xml:space="preserve"> PAGEREF _Toc1353 \h </w:instrText>
        </w:r>
        <w:r>
          <w:fldChar w:fldCharType="separate"/>
        </w:r>
        <w:r>
          <w:t>16</w:t>
        </w:r>
        <w:r>
          <w:fldChar w:fldCharType="end"/>
        </w:r>
      </w:hyperlink>
    </w:p>
    <w:p>
      <w:pPr>
        <w:pStyle w:val="TOC2"/>
        <w:tabs>
          <w:tab w:val="right" w:leader="dot" w:pos="8306"/>
        </w:tabs>
      </w:pPr>
      <w:hyperlink w:anchor="_Toc4258" w:history="1">
        <w:r>
          <w:rPr>
            <w:rFonts w:ascii="仿宋" w:eastAsia="仿宋" w:hAnsi="仿宋" w:cs="仿宋" w:hint="eastAsia"/>
            <w:lang w:eastAsia="zh-CN"/>
          </w:rPr>
          <w:t>(一)、可持续战略与实践</w:t>
        </w:r>
        <w:r>
          <w:tab/>
        </w:r>
        <w:r>
          <w:fldChar w:fldCharType="begin"/>
        </w:r>
        <w:r>
          <w:instrText xml:space="preserve"> PAGEREF _Toc4258 \h </w:instrText>
        </w:r>
        <w:r>
          <w:fldChar w:fldCharType="separate"/>
        </w:r>
        <w:r>
          <w:t>16</w:t>
        </w:r>
        <w:r>
          <w:fldChar w:fldCharType="end"/>
        </w:r>
      </w:hyperlink>
    </w:p>
    <w:p>
      <w:pPr>
        <w:pStyle w:val="TOC2"/>
        <w:tabs>
          <w:tab w:val="right" w:leader="dot" w:pos="8306"/>
        </w:tabs>
      </w:pPr>
      <w:hyperlink w:anchor="_Toc12186" w:history="1">
        <w:r>
          <w:rPr>
            <w:rFonts w:ascii="仿宋" w:eastAsia="仿宋" w:hAnsi="仿宋" w:cs="仿宋" w:hint="eastAsia"/>
            <w:lang w:eastAsia="zh-CN"/>
          </w:rPr>
          <w:t>(二)、环保与社会责任</w:t>
        </w:r>
        <w:r>
          <w:tab/>
        </w:r>
        <w:r>
          <w:fldChar w:fldCharType="begin"/>
        </w:r>
        <w:r>
          <w:instrText xml:space="preserve"> PAGEREF _Toc12186 \h </w:instrText>
        </w:r>
        <w:r>
          <w:fldChar w:fldCharType="separate"/>
        </w:r>
        <w:r>
          <w:t>17</w:t>
        </w:r>
        <w:r>
          <w:fldChar w:fldCharType="end"/>
        </w:r>
      </w:hyperlink>
    </w:p>
    <w:p>
      <w:pPr>
        <w:pStyle w:val="TOC1"/>
        <w:tabs>
          <w:tab w:val="right" w:leader="dot" w:pos="8306"/>
        </w:tabs>
      </w:pPr>
      <w:hyperlink w:anchor="_Toc10775" w:history="1">
        <w:r>
          <w:rPr>
            <w:rFonts w:ascii="仿宋" w:eastAsia="仿宋" w:hAnsi="仿宋" w:cs="仿宋" w:hint="eastAsia"/>
            <w:lang w:eastAsia="zh-CN"/>
          </w:rPr>
          <w:t>六、肾上腺皮质激素类药项目土建工程</w:t>
        </w:r>
        <w:r>
          <w:tab/>
        </w:r>
        <w:r>
          <w:fldChar w:fldCharType="begin"/>
        </w:r>
        <w:r>
          <w:instrText xml:space="preserve"> PAGEREF _Toc10775 \h </w:instrText>
        </w:r>
        <w:r>
          <w:fldChar w:fldCharType="separate"/>
        </w:r>
        <w:r>
          <w:t>18</w:t>
        </w:r>
        <w:r>
          <w:fldChar w:fldCharType="end"/>
        </w:r>
      </w:hyperlink>
    </w:p>
    <w:p>
      <w:pPr>
        <w:pStyle w:val="TOC2"/>
        <w:tabs>
          <w:tab w:val="right" w:leader="dot" w:pos="8306"/>
        </w:tabs>
      </w:pPr>
      <w:hyperlink w:anchor="_Toc9507" w:history="1">
        <w:r>
          <w:rPr>
            <w:rFonts w:ascii="仿宋" w:eastAsia="仿宋" w:hAnsi="仿宋" w:cs="仿宋" w:hint="eastAsia"/>
            <w:lang w:eastAsia="zh-CN"/>
          </w:rPr>
          <w:t>(一)、建筑工程设计原则</w:t>
        </w:r>
        <w:r>
          <w:tab/>
        </w:r>
        <w:r>
          <w:fldChar w:fldCharType="begin"/>
        </w:r>
        <w:r>
          <w:instrText xml:space="preserve"> PAGEREF _Toc9507 \h </w:instrText>
        </w:r>
        <w:r>
          <w:fldChar w:fldCharType="separate"/>
        </w:r>
        <w:r>
          <w:t>18</w:t>
        </w:r>
        <w:r>
          <w:fldChar w:fldCharType="end"/>
        </w:r>
      </w:hyperlink>
    </w:p>
    <w:p>
      <w:pPr>
        <w:pStyle w:val="TOC2"/>
        <w:tabs>
          <w:tab w:val="right" w:leader="dot" w:pos="8306"/>
        </w:tabs>
      </w:pPr>
      <w:hyperlink w:anchor="_Toc25191" w:history="1">
        <w:r>
          <w:rPr>
            <w:rFonts w:ascii="仿宋" w:eastAsia="仿宋" w:hAnsi="仿宋" w:cs="仿宋" w:hint="eastAsia"/>
            <w:lang w:eastAsia="zh-CN"/>
          </w:rPr>
          <w:t>(二)、土建工程设计年限及安全等级</w:t>
        </w:r>
        <w:r>
          <w:tab/>
        </w:r>
        <w:r>
          <w:fldChar w:fldCharType="begin"/>
        </w:r>
        <w:r>
          <w:instrText xml:space="preserve"> PAGEREF _Toc25191 \h </w:instrText>
        </w:r>
        <w:r>
          <w:fldChar w:fldCharType="separate"/>
        </w:r>
        <w:r>
          <w:t>19</w:t>
        </w:r>
        <w:r>
          <w:fldChar w:fldCharType="end"/>
        </w:r>
      </w:hyperlink>
    </w:p>
    <w:p>
      <w:pPr>
        <w:pStyle w:val="TOC2"/>
        <w:tabs>
          <w:tab w:val="right" w:leader="dot" w:pos="8306"/>
        </w:tabs>
      </w:pPr>
      <w:hyperlink w:anchor="_Toc5524" w:history="1">
        <w:r>
          <w:rPr>
            <w:rFonts w:ascii="仿宋" w:eastAsia="仿宋" w:hAnsi="仿宋" w:cs="仿宋" w:hint="eastAsia"/>
            <w:lang w:eastAsia="zh-CN"/>
          </w:rPr>
          <w:t>(三)、建筑工程设计总体要求</w:t>
        </w:r>
        <w:r>
          <w:tab/>
        </w:r>
        <w:r>
          <w:fldChar w:fldCharType="begin"/>
        </w:r>
        <w:r>
          <w:instrText xml:space="preserve"> PAGEREF _Toc5524 \h </w:instrText>
        </w:r>
        <w:r>
          <w:fldChar w:fldCharType="separate"/>
        </w:r>
        <w:r>
          <w:t>21</w:t>
        </w:r>
        <w:r>
          <w:fldChar w:fldCharType="end"/>
        </w:r>
      </w:hyperlink>
    </w:p>
    <w:p>
      <w:pPr>
        <w:pStyle w:val="TOC2"/>
        <w:tabs>
          <w:tab w:val="right" w:leader="dot" w:pos="8306"/>
        </w:tabs>
      </w:pPr>
      <w:hyperlink w:anchor="_Toc6291" w:history="1">
        <w:r>
          <w:rPr>
            <w:rFonts w:ascii="仿宋" w:eastAsia="仿宋" w:hAnsi="仿宋" w:cs="仿宋" w:hint="eastAsia"/>
            <w:lang w:eastAsia="zh-CN"/>
          </w:rPr>
          <w:t>(四)、土建工程建设指标</w:t>
        </w:r>
        <w:r>
          <w:tab/>
        </w:r>
        <w:r>
          <w:fldChar w:fldCharType="begin"/>
        </w:r>
        <w:r>
          <w:instrText xml:space="preserve"> PAGEREF _Toc6291 \h </w:instrText>
        </w:r>
        <w:r>
          <w:fldChar w:fldCharType="separate"/>
        </w:r>
        <w:r>
          <w:t>21</w:t>
        </w:r>
        <w:r>
          <w:fldChar w:fldCharType="end"/>
        </w:r>
      </w:hyperlink>
    </w:p>
    <w:p>
      <w:pPr>
        <w:pStyle w:val="TOC1"/>
        <w:tabs>
          <w:tab w:val="right" w:leader="dot" w:pos="8306"/>
        </w:tabs>
      </w:pPr>
      <w:hyperlink w:anchor="_Toc25012" w:history="1">
        <w:r>
          <w:rPr>
            <w:rFonts w:ascii="仿宋" w:eastAsia="仿宋" w:hAnsi="仿宋" w:cs="仿宋" w:hint="eastAsia"/>
            <w:lang w:eastAsia="zh-CN"/>
          </w:rPr>
          <w:t>七、肾上腺皮质激素类药项目社会影响</w:t>
        </w:r>
        <w:r>
          <w:tab/>
        </w:r>
        <w:r>
          <w:fldChar w:fldCharType="begin"/>
        </w:r>
        <w:r>
          <w:instrText xml:space="preserve"> PAGEREF _Toc25012 \h </w:instrText>
        </w:r>
        <w:r>
          <w:fldChar w:fldCharType="separate"/>
        </w:r>
        <w:r>
          <w:t>21</w:t>
        </w:r>
        <w:r>
          <w:fldChar w:fldCharType="end"/>
        </w:r>
      </w:hyperlink>
    </w:p>
    <w:p>
      <w:pPr>
        <w:pStyle w:val="TOC2"/>
        <w:tabs>
          <w:tab w:val="right" w:leader="dot" w:pos="8306"/>
        </w:tabs>
      </w:pPr>
      <w:hyperlink w:anchor="_Toc22759" w:history="1">
        <w:r>
          <w:rPr>
            <w:rFonts w:ascii="仿宋" w:eastAsia="仿宋" w:hAnsi="仿宋" w:cs="仿宋" w:hint="eastAsia"/>
            <w:lang w:eastAsia="zh-CN"/>
          </w:rPr>
          <w:t>(一)、社会责任与义务</w:t>
        </w:r>
        <w:r>
          <w:tab/>
        </w:r>
        <w:r>
          <w:fldChar w:fldCharType="begin"/>
        </w:r>
        <w:r>
          <w:instrText xml:space="preserve"> PAGEREF _Toc22759 \h </w:instrText>
        </w:r>
        <w:r>
          <w:fldChar w:fldCharType="separate"/>
        </w:r>
        <w:r>
          <w:t>21</w:t>
        </w:r>
        <w:r>
          <w:fldChar w:fldCharType="end"/>
        </w:r>
      </w:hyperlink>
    </w:p>
    <w:p>
      <w:pPr>
        <w:pStyle w:val="TOC2"/>
        <w:tabs>
          <w:tab w:val="right" w:leader="dot" w:pos="8306"/>
        </w:tabs>
      </w:pPr>
      <w:hyperlink w:anchor="_Toc24761" w:history="1">
        <w:r>
          <w:rPr>
            <w:rFonts w:ascii="仿宋" w:eastAsia="仿宋" w:hAnsi="仿宋" w:cs="仿宋" w:hint="eastAsia"/>
            <w:lang w:eastAsia="zh-CN"/>
          </w:rPr>
          <w:t>(二)、社会参与与沟通</w:t>
        </w:r>
        <w:r>
          <w:tab/>
        </w:r>
        <w:r>
          <w:fldChar w:fldCharType="begin"/>
        </w:r>
        <w:r>
          <w:instrText xml:space="preserve"> PAGEREF _Toc24761 \h </w:instrText>
        </w:r>
        <w:r>
          <w:fldChar w:fldCharType="separate"/>
        </w:r>
        <w:r>
          <w:t>22</w:t>
        </w:r>
        <w:r>
          <w:fldChar w:fldCharType="end"/>
        </w:r>
      </w:hyperlink>
    </w:p>
    <w:p>
      <w:pPr>
        <w:pStyle w:val="TOC1"/>
        <w:tabs>
          <w:tab w:val="right" w:leader="dot" w:pos="8306"/>
        </w:tabs>
      </w:pPr>
      <w:hyperlink w:anchor="_Toc4469" w:history="1">
        <w:r>
          <w:rPr>
            <w:rFonts w:ascii="仿宋" w:eastAsia="仿宋" w:hAnsi="仿宋" w:cs="仿宋" w:hint="eastAsia"/>
            <w:lang w:eastAsia="zh-CN"/>
          </w:rPr>
          <w:t>八、肾上腺皮质激素类药项目创新与研发</w:t>
        </w:r>
        <w:r>
          <w:tab/>
        </w:r>
        <w:r>
          <w:fldChar w:fldCharType="begin"/>
        </w:r>
        <w:r>
          <w:instrText xml:space="preserve"> PAGEREF _Toc4469 \h </w:instrText>
        </w:r>
        <w:r>
          <w:fldChar w:fldCharType="separate"/>
        </w:r>
        <w:r>
          <w:t>23</w:t>
        </w:r>
        <w:r>
          <w:fldChar w:fldCharType="end"/>
        </w:r>
      </w:hyperlink>
    </w:p>
    <w:p>
      <w:pPr>
        <w:pStyle w:val="TOC2"/>
        <w:tabs>
          <w:tab w:val="right" w:leader="dot" w:pos="8306"/>
        </w:tabs>
      </w:pPr>
      <w:hyperlink w:anchor="_Toc13654" w:history="1">
        <w:r>
          <w:rPr>
            <w:rFonts w:ascii="仿宋" w:eastAsia="仿宋" w:hAnsi="仿宋" w:cs="仿宋" w:hint="eastAsia"/>
            <w:lang w:eastAsia="zh-CN"/>
          </w:rPr>
          <w:t>(一)、创新策略与方向</w:t>
        </w:r>
        <w:r>
          <w:tab/>
        </w:r>
        <w:r>
          <w:fldChar w:fldCharType="begin"/>
        </w:r>
        <w:r>
          <w:instrText xml:space="preserve"> PAGEREF _Toc13654 \h </w:instrText>
        </w:r>
        <w:r>
          <w:fldChar w:fldCharType="separate"/>
        </w:r>
        <w:r>
          <w:t>23</w:t>
        </w:r>
        <w:r>
          <w:fldChar w:fldCharType="end"/>
        </w:r>
      </w:hyperlink>
    </w:p>
    <w:p>
      <w:pPr>
        <w:pStyle w:val="TOC2"/>
        <w:tabs>
          <w:tab w:val="right" w:leader="dot" w:pos="8306"/>
        </w:tabs>
      </w:pPr>
      <w:hyperlink w:anchor="_Toc15205" w:history="1">
        <w:r>
          <w:rPr>
            <w:rFonts w:ascii="仿宋" w:eastAsia="仿宋" w:hAnsi="仿宋" w:cs="仿宋" w:hint="eastAsia"/>
            <w:lang w:eastAsia="zh-CN"/>
          </w:rPr>
          <w:t>(二)、研发规划与投入</w:t>
        </w:r>
        <w:r>
          <w:tab/>
        </w:r>
        <w:r>
          <w:fldChar w:fldCharType="begin"/>
        </w:r>
        <w:r>
          <w:instrText xml:space="preserve"> PAGEREF _Toc15205 \h </w:instrText>
        </w:r>
        <w:r>
          <w:fldChar w:fldCharType="separate"/>
        </w:r>
        <w:r>
          <w:t>25</w:t>
        </w:r>
        <w:r>
          <w:fldChar w:fldCharType="end"/>
        </w:r>
      </w:hyperlink>
    </w:p>
    <w:p>
      <w:pPr>
        <w:pStyle w:val="TOC1"/>
        <w:tabs>
          <w:tab w:val="right" w:leader="dot" w:pos="8306"/>
        </w:tabs>
      </w:pPr>
      <w:hyperlink w:anchor="_Toc22606" w:history="1">
        <w:r>
          <w:rPr>
            <w:rFonts w:ascii="仿宋" w:eastAsia="仿宋" w:hAnsi="仿宋" w:cs="仿宋" w:hint="eastAsia"/>
            <w:lang w:eastAsia="zh-CN"/>
          </w:rPr>
          <w:t>九、肾上腺皮质激素类药项目风险管理</w:t>
        </w:r>
        <w:r>
          <w:tab/>
        </w:r>
        <w:r>
          <w:fldChar w:fldCharType="begin"/>
        </w:r>
        <w:r>
          <w:instrText xml:space="preserve"> PAGEREF _Toc22606 \h </w:instrText>
        </w:r>
        <w:r>
          <w:fldChar w:fldCharType="separate"/>
        </w:r>
        <w:r>
          <w:t>26</w:t>
        </w:r>
        <w:r>
          <w:fldChar w:fldCharType="end"/>
        </w:r>
      </w:hyperlink>
    </w:p>
    <w:p>
      <w:pPr>
        <w:pStyle w:val="TOC2"/>
        <w:tabs>
          <w:tab w:val="right" w:leader="dot" w:pos="8306"/>
        </w:tabs>
      </w:pPr>
      <w:hyperlink w:anchor="_Toc10178" w:history="1">
        <w:r>
          <w:rPr>
            <w:rFonts w:ascii="仿宋" w:eastAsia="仿宋" w:hAnsi="仿宋" w:cs="仿宋" w:hint="eastAsia"/>
            <w:lang w:eastAsia="zh-CN"/>
          </w:rPr>
          <w:t>(一)、风险识别与评估</w:t>
        </w:r>
        <w:r>
          <w:tab/>
        </w:r>
        <w:r>
          <w:fldChar w:fldCharType="begin"/>
        </w:r>
        <w:r>
          <w:instrText xml:space="preserve"> PAGEREF _Toc10178 \h </w:instrText>
        </w:r>
        <w:r>
          <w:fldChar w:fldCharType="separate"/>
        </w:r>
        <w:r>
          <w:t>26</w:t>
        </w:r>
        <w:r>
          <w:fldChar w:fldCharType="end"/>
        </w:r>
      </w:hyperlink>
    </w:p>
    <w:p>
      <w:pPr>
        <w:pStyle w:val="TOC2"/>
        <w:tabs>
          <w:tab w:val="right" w:leader="dot" w:pos="8306"/>
        </w:tabs>
      </w:pPr>
      <w:hyperlink w:anchor="_Toc27788" w:history="1">
        <w:r>
          <w:rPr>
            <w:rFonts w:ascii="仿宋" w:eastAsia="仿宋" w:hAnsi="仿宋" w:cs="仿宋" w:hint="eastAsia"/>
            <w:lang w:eastAsia="zh-CN"/>
          </w:rPr>
          <w:t>(二)、风险应对策略</w:t>
        </w:r>
        <w:r>
          <w:tab/>
        </w:r>
        <w:r>
          <w:fldChar w:fldCharType="begin"/>
        </w:r>
        <w:r>
          <w:instrText xml:space="preserve"> PAGEREF _Toc27788 \h </w:instrText>
        </w:r>
        <w:r>
          <w:fldChar w:fldCharType="separate"/>
        </w:r>
        <w:r>
          <w:t>28</w:t>
        </w:r>
        <w:r>
          <w:fldChar w:fldCharType="end"/>
        </w:r>
      </w:hyperlink>
    </w:p>
    <w:p>
      <w:pPr>
        <w:pStyle w:val="TOC2"/>
        <w:tabs>
          <w:tab w:val="right" w:leader="dot" w:pos="8306"/>
        </w:tabs>
      </w:pPr>
      <w:hyperlink w:anchor="_Toc21417" w:history="1">
        <w:r>
          <w:rPr>
            <w:rFonts w:ascii="仿宋" w:eastAsia="仿宋" w:hAnsi="仿宋" w:cs="仿宋" w:hint="eastAsia"/>
            <w:lang w:eastAsia="zh-CN"/>
          </w:rPr>
          <w:t>(三)、风险监控与控制</w:t>
        </w:r>
        <w:r>
          <w:tab/>
        </w:r>
        <w:r>
          <w:fldChar w:fldCharType="begin"/>
        </w:r>
        <w:r>
          <w:instrText xml:space="preserve"> PAGEREF _Toc21417 \h </w:instrText>
        </w:r>
        <w:r>
          <w:fldChar w:fldCharType="separate"/>
        </w:r>
        <w:r>
          <w:t>29</w:t>
        </w:r>
        <w:r>
          <w:fldChar w:fldCharType="end"/>
        </w:r>
      </w:hyperlink>
    </w:p>
    <w:p>
      <w:pPr>
        <w:pStyle w:val="TOC1"/>
        <w:tabs>
          <w:tab w:val="right" w:leader="dot" w:pos="8306"/>
        </w:tabs>
      </w:pPr>
      <w:hyperlink w:anchor="_Toc20754" w:history="1">
        <w:r>
          <w:rPr>
            <w:rFonts w:ascii="仿宋" w:eastAsia="仿宋" w:hAnsi="仿宋" w:cs="仿宋" w:hint="eastAsia"/>
            <w:lang w:eastAsia="zh-CN"/>
          </w:rPr>
          <w:t>十、肾上腺皮质激素类药项目财务管理</w:t>
        </w:r>
        <w:r>
          <w:tab/>
        </w:r>
        <w:r>
          <w:fldChar w:fldCharType="begin"/>
        </w:r>
        <w:r>
          <w:instrText xml:space="preserve"> PAGEREF _Toc20754 \h </w:instrText>
        </w:r>
        <w:r>
          <w:fldChar w:fldCharType="separate"/>
        </w:r>
        <w:r>
          <w:t>30</w:t>
        </w:r>
        <w:r>
          <w:fldChar w:fldCharType="end"/>
        </w:r>
      </w:hyperlink>
    </w:p>
    <w:p>
      <w:pPr>
        <w:pStyle w:val="TOC2"/>
        <w:tabs>
          <w:tab w:val="right" w:leader="dot" w:pos="8306"/>
        </w:tabs>
      </w:pPr>
      <w:hyperlink w:anchor="_Toc1802" w:history="1">
        <w:r>
          <w:rPr>
            <w:rFonts w:ascii="仿宋" w:eastAsia="仿宋" w:hAnsi="仿宋" w:cs="仿宋" w:hint="eastAsia"/>
            <w:lang w:eastAsia="zh-CN"/>
          </w:rPr>
          <w:t>(一)、资金需求大</w:t>
        </w:r>
        <w:r>
          <w:tab/>
        </w:r>
        <w:r>
          <w:fldChar w:fldCharType="begin"/>
        </w:r>
        <w:r>
          <w:instrText xml:space="preserve"> PAGEREF _Toc1802 \h </w:instrText>
        </w:r>
        <w:r>
          <w:fldChar w:fldCharType="separate"/>
        </w:r>
        <w:r>
          <w:t>30</w:t>
        </w:r>
        <w:r>
          <w:fldChar w:fldCharType="end"/>
        </w:r>
      </w:hyperlink>
    </w:p>
    <w:p>
      <w:pPr>
        <w:pStyle w:val="TOC2"/>
        <w:tabs>
          <w:tab w:val="right" w:leader="dot" w:pos="8306"/>
        </w:tabs>
      </w:pPr>
      <w:hyperlink w:anchor="_Toc18233" w:history="1">
        <w:r>
          <w:rPr>
            <w:rFonts w:ascii="仿宋" w:eastAsia="仿宋" w:hAnsi="仿宋" w:cs="仿宋" w:hint="eastAsia"/>
            <w:lang w:eastAsia="zh-CN"/>
          </w:rPr>
          <w:t>(二)、研发周期长</w:t>
        </w:r>
        <w:r>
          <w:tab/>
        </w:r>
        <w:r>
          <w:fldChar w:fldCharType="begin"/>
        </w:r>
        <w:r>
          <w:instrText xml:space="preserve"> PAGEREF _Toc18233 \h </w:instrText>
        </w:r>
        <w:r>
          <w:fldChar w:fldCharType="separate"/>
        </w:r>
        <w:r>
          <w:t>32</w:t>
        </w:r>
        <w:r>
          <w:fldChar w:fldCharType="end"/>
        </w:r>
      </w:hyperlink>
    </w:p>
    <w:p>
      <w:pPr>
        <w:pStyle w:val="TOC2"/>
        <w:tabs>
          <w:tab w:val="right" w:leader="dot" w:pos="8306"/>
        </w:tabs>
      </w:pPr>
      <w:hyperlink w:anchor="_Toc23131" w:history="1">
        <w:r>
          <w:rPr>
            <w:rFonts w:ascii="仿宋" w:eastAsia="仿宋" w:hAnsi="仿宋" w:cs="仿宋" w:hint="eastAsia"/>
            <w:lang w:eastAsia="zh-CN"/>
          </w:rPr>
          <w:t>(三)、市场风险大</w:t>
        </w:r>
        <w:r>
          <w:tab/>
        </w:r>
        <w:r>
          <w:fldChar w:fldCharType="begin"/>
        </w:r>
        <w:r>
          <w:instrText xml:space="preserve"> PAGEREF _Toc23131 \h </w:instrText>
        </w:r>
        <w:r>
          <w:fldChar w:fldCharType="separate"/>
        </w:r>
        <w:r>
          <w:t>33</w:t>
        </w:r>
        <w:r>
          <w:fldChar w:fldCharType="end"/>
        </w:r>
      </w:hyperlink>
    </w:p>
    <w:p>
      <w:pPr>
        <w:pStyle w:val="TOC2"/>
        <w:tabs>
          <w:tab w:val="right" w:leader="dot" w:pos="8306"/>
        </w:tabs>
      </w:pPr>
      <w:hyperlink w:anchor="_Toc30742" w:history="1">
        <w:r>
          <w:rPr>
            <w:rFonts w:ascii="仿宋" w:eastAsia="仿宋" w:hAnsi="仿宋" w:cs="仿宋" w:hint="eastAsia"/>
            <w:lang w:eastAsia="zh-CN"/>
          </w:rPr>
          <w:t>(四)、利润率高</w:t>
        </w:r>
        <w:r>
          <w:tab/>
        </w:r>
        <w:r>
          <w:fldChar w:fldCharType="begin"/>
        </w:r>
        <w:r>
          <w:instrText xml:space="preserve"> PAGEREF _Toc30742 \h </w:instrText>
        </w:r>
        <w:r>
          <w:fldChar w:fldCharType="separate"/>
        </w:r>
        <w:r>
          <w:t>36</w:t>
        </w:r>
        <w:r>
          <w:fldChar w:fldCharType="end"/>
        </w:r>
      </w:hyperlink>
    </w:p>
    <w:p>
      <w:pPr>
        <w:pStyle w:val="TOC1"/>
        <w:tabs>
          <w:tab w:val="right" w:leader="dot" w:pos="8306"/>
        </w:tabs>
      </w:pPr>
      <w:hyperlink w:anchor="_Toc25322" w:history="1">
        <w:r>
          <w:rPr>
            <w:rFonts w:ascii="仿宋" w:eastAsia="仿宋" w:hAnsi="仿宋" w:cs="仿宋" w:hint="eastAsia"/>
            <w:lang w:eastAsia="zh-CN"/>
          </w:rPr>
          <w:t>十一、肾上腺皮质激素类药项目技术管理</w:t>
        </w:r>
        <w:r>
          <w:tab/>
        </w:r>
        <w:r>
          <w:fldChar w:fldCharType="begin"/>
        </w:r>
        <w:r>
          <w:instrText xml:space="preserve"> PAGEREF _Toc25322 \h </w:instrText>
        </w:r>
        <w:r>
          <w:fldChar w:fldCharType="separate"/>
        </w:r>
        <w:r>
          <w:t>38</w:t>
        </w:r>
        <w:r>
          <w:fldChar w:fldCharType="end"/>
        </w:r>
      </w:hyperlink>
    </w:p>
    <w:p>
      <w:pPr>
        <w:pStyle w:val="TOC2"/>
        <w:tabs>
          <w:tab w:val="right" w:leader="dot" w:pos="8306"/>
        </w:tabs>
      </w:pPr>
      <w:hyperlink w:anchor="_Toc14863" w:history="1">
        <w:r>
          <w:rPr>
            <w:rFonts w:ascii="仿宋" w:eastAsia="仿宋" w:hAnsi="仿宋" w:cs="仿宋" w:hint="eastAsia"/>
            <w:lang w:eastAsia="zh-CN"/>
          </w:rPr>
          <w:t>(一)、技术方案选用方向</w:t>
        </w:r>
        <w:r>
          <w:tab/>
        </w:r>
        <w:r>
          <w:fldChar w:fldCharType="begin"/>
        </w:r>
        <w:r>
          <w:instrText xml:space="preserve"> PAGEREF _Toc14863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9" w:history="1">
        <w:r>
          <w:rPr>
            <w:rFonts w:ascii="仿宋" w:eastAsia="仿宋" w:hAnsi="仿宋" w:cs="仿宋" w:hint="eastAsia"/>
            <w:lang w:eastAsia="zh-CN"/>
          </w:rPr>
          <w:t>(二)、工艺技术方案选用原则</w:t>
        </w:r>
        <w:r>
          <w:tab/>
        </w:r>
        <w:r>
          <w:fldChar w:fldCharType="begin"/>
        </w:r>
        <w:r>
          <w:instrText xml:space="preserve"> PAGEREF _Toc689 \h </w:instrText>
        </w:r>
        <w:r>
          <w:fldChar w:fldCharType="separate"/>
        </w:r>
        <w:r>
          <w:t>40</w:t>
        </w:r>
        <w:r>
          <w:fldChar w:fldCharType="end"/>
        </w:r>
      </w:hyperlink>
    </w:p>
    <w:p>
      <w:pPr>
        <w:pStyle w:val="TOC2"/>
        <w:tabs>
          <w:tab w:val="right" w:leader="dot" w:pos="8306"/>
        </w:tabs>
      </w:pPr>
      <w:hyperlink w:anchor="_Toc16335" w:history="1">
        <w:r>
          <w:rPr>
            <w:rFonts w:ascii="仿宋" w:eastAsia="仿宋" w:hAnsi="仿宋" w:cs="仿宋" w:hint="eastAsia"/>
            <w:lang w:eastAsia="zh-CN"/>
          </w:rPr>
          <w:t>(三)、工艺技术方案要求</w:t>
        </w:r>
        <w:r>
          <w:tab/>
        </w:r>
        <w:r>
          <w:fldChar w:fldCharType="begin"/>
        </w:r>
        <w:r>
          <w:instrText xml:space="preserve"> PAGEREF _Toc16335 \h </w:instrText>
        </w:r>
        <w:r>
          <w:fldChar w:fldCharType="separate"/>
        </w:r>
        <w:r>
          <w:t>42</w:t>
        </w:r>
        <w:r>
          <w:fldChar w:fldCharType="end"/>
        </w:r>
      </w:hyperlink>
    </w:p>
    <w:p>
      <w:pPr>
        <w:pStyle w:val="TOC1"/>
        <w:tabs>
          <w:tab w:val="right" w:leader="dot" w:pos="8306"/>
        </w:tabs>
      </w:pPr>
      <w:hyperlink w:anchor="_Toc32726" w:history="1">
        <w:r>
          <w:rPr>
            <w:rFonts w:ascii="仿宋" w:eastAsia="仿宋" w:hAnsi="仿宋" w:cs="仿宋" w:hint="eastAsia"/>
            <w:lang w:eastAsia="zh-CN"/>
          </w:rPr>
          <w:t>十二、肾上腺皮质激素类药项目人力资源管理</w:t>
        </w:r>
        <w:r>
          <w:tab/>
        </w:r>
        <w:r>
          <w:fldChar w:fldCharType="begin"/>
        </w:r>
        <w:r>
          <w:instrText xml:space="preserve"> PAGEREF _Toc32726 \h </w:instrText>
        </w:r>
        <w:r>
          <w:fldChar w:fldCharType="separate"/>
        </w:r>
        <w:r>
          <w:t>44</w:t>
        </w:r>
        <w:r>
          <w:fldChar w:fldCharType="end"/>
        </w:r>
      </w:hyperlink>
    </w:p>
    <w:p>
      <w:pPr>
        <w:pStyle w:val="TOC2"/>
        <w:tabs>
          <w:tab w:val="right" w:leader="dot" w:pos="8306"/>
        </w:tabs>
      </w:pPr>
      <w:hyperlink w:anchor="_Toc25673" w:history="1">
        <w:r>
          <w:rPr>
            <w:rFonts w:ascii="仿宋" w:eastAsia="仿宋" w:hAnsi="仿宋" w:cs="仿宋" w:hint="eastAsia"/>
            <w:lang w:eastAsia="zh-CN"/>
          </w:rPr>
          <w:t>(一)、建立健全的预算管理制度</w:t>
        </w:r>
        <w:r>
          <w:tab/>
        </w:r>
        <w:r>
          <w:fldChar w:fldCharType="begin"/>
        </w:r>
        <w:r>
          <w:instrText xml:space="preserve"> PAGEREF _Toc25673 \h </w:instrText>
        </w:r>
        <w:r>
          <w:fldChar w:fldCharType="separate"/>
        </w:r>
        <w:r>
          <w:t>44</w:t>
        </w:r>
        <w:r>
          <w:fldChar w:fldCharType="end"/>
        </w:r>
      </w:hyperlink>
    </w:p>
    <w:p>
      <w:pPr>
        <w:pStyle w:val="TOC2"/>
        <w:tabs>
          <w:tab w:val="right" w:leader="dot" w:pos="8306"/>
        </w:tabs>
      </w:pPr>
      <w:hyperlink w:anchor="_Toc26954" w:history="1">
        <w:r>
          <w:rPr>
            <w:rFonts w:ascii="仿宋" w:eastAsia="仿宋" w:hAnsi="仿宋" w:cs="仿宋" w:hint="eastAsia"/>
            <w:lang w:eastAsia="zh-CN"/>
          </w:rPr>
          <w:t>(二)、加强资金流动监控</w:t>
        </w:r>
        <w:r>
          <w:tab/>
        </w:r>
        <w:r>
          <w:fldChar w:fldCharType="begin"/>
        </w:r>
        <w:r>
          <w:instrText xml:space="preserve"> PAGEREF _Toc26954 \h </w:instrText>
        </w:r>
        <w:r>
          <w:fldChar w:fldCharType="separate"/>
        </w:r>
        <w:r>
          <w:t>46</w:t>
        </w:r>
        <w:r>
          <w:fldChar w:fldCharType="end"/>
        </w:r>
      </w:hyperlink>
    </w:p>
    <w:p>
      <w:pPr>
        <w:pStyle w:val="TOC2"/>
        <w:tabs>
          <w:tab w:val="right" w:leader="dot" w:pos="8306"/>
        </w:tabs>
      </w:pPr>
      <w:hyperlink w:anchor="_Toc9066" w:history="1">
        <w:r>
          <w:rPr>
            <w:rFonts w:ascii="仿宋" w:eastAsia="仿宋" w:hAnsi="仿宋" w:cs="仿宋" w:hint="eastAsia"/>
            <w:lang w:eastAsia="zh-CN"/>
          </w:rPr>
          <w:t>(三)、制定完善的风险控制机制</w:t>
        </w:r>
        <w:r>
          <w:tab/>
        </w:r>
        <w:r>
          <w:fldChar w:fldCharType="begin"/>
        </w:r>
        <w:r>
          <w:instrText xml:space="preserve"> PAGEREF _Toc9066 \h </w:instrText>
        </w:r>
        <w:r>
          <w:fldChar w:fldCharType="separate"/>
        </w:r>
        <w:r>
          <w:t>47</w:t>
        </w:r>
        <w:r>
          <w:fldChar w:fldCharType="end"/>
        </w:r>
      </w:hyperlink>
    </w:p>
    <w:p>
      <w:pPr>
        <w:pStyle w:val="TOC2"/>
        <w:tabs>
          <w:tab w:val="right" w:leader="dot" w:pos="8306"/>
        </w:tabs>
      </w:pPr>
      <w:hyperlink w:anchor="_Toc14613" w:history="1">
        <w:r>
          <w:rPr>
            <w:rFonts w:ascii="仿宋" w:eastAsia="仿宋" w:hAnsi="仿宋" w:cs="仿宋" w:hint="eastAsia"/>
            <w:lang w:eastAsia="zh-CN"/>
          </w:rPr>
          <w:t>(四)、优化成本管理</w:t>
        </w:r>
        <w:r>
          <w:tab/>
        </w:r>
        <w:r>
          <w:fldChar w:fldCharType="begin"/>
        </w:r>
        <w:r>
          <w:instrText xml:space="preserve"> PAGEREF _Toc14613 \h </w:instrText>
        </w:r>
        <w:r>
          <w:fldChar w:fldCharType="separate"/>
        </w:r>
        <w:r>
          <w:t>49</w:t>
        </w:r>
        <w:r>
          <w:fldChar w:fldCharType="end"/>
        </w:r>
      </w:hyperlink>
    </w:p>
    <w:p>
      <w:pPr>
        <w:pStyle w:val="TOC1"/>
        <w:tabs>
          <w:tab w:val="right" w:leader="dot" w:pos="8306"/>
        </w:tabs>
      </w:pPr>
      <w:hyperlink w:anchor="_Toc3485" w:history="1">
        <w:r>
          <w:rPr>
            <w:rFonts w:ascii="仿宋" w:eastAsia="仿宋" w:hAnsi="仿宋" w:cs="仿宋" w:hint="eastAsia"/>
            <w:lang w:eastAsia="zh-CN"/>
          </w:rPr>
          <w:t>十三、肾上腺皮质激素类药项目实施保障措施</w:t>
        </w:r>
        <w:r>
          <w:tab/>
        </w:r>
        <w:r>
          <w:fldChar w:fldCharType="begin"/>
        </w:r>
        <w:r>
          <w:instrText xml:space="preserve"> PAGEREF _Toc3485 \h </w:instrText>
        </w:r>
        <w:r>
          <w:fldChar w:fldCharType="separate"/>
        </w:r>
        <w:r>
          <w:t>50</w:t>
        </w:r>
        <w:r>
          <w:fldChar w:fldCharType="end"/>
        </w:r>
      </w:hyperlink>
    </w:p>
    <w:p>
      <w:pPr>
        <w:pStyle w:val="TOC2"/>
        <w:tabs>
          <w:tab w:val="right" w:leader="dot" w:pos="8306"/>
        </w:tabs>
      </w:pPr>
      <w:hyperlink w:anchor="_Toc27225" w:history="1">
        <w:r>
          <w:rPr>
            <w:rFonts w:ascii="仿宋" w:eastAsia="仿宋" w:hAnsi="仿宋" w:cs="仿宋" w:hint="eastAsia"/>
            <w:lang w:eastAsia="zh-CN"/>
          </w:rPr>
          <w:t>(一)、肾上腺皮质激素类药项目实施保障机制</w:t>
        </w:r>
        <w:r>
          <w:tab/>
        </w:r>
        <w:r>
          <w:fldChar w:fldCharType="begin"/>
        </w:r>
        <w:r>
          <w:instrText xml:space="preserve"> PAGEREF _Toc27225 \h </w:instrText>
        </w:r>
        <w:r>
          <w:fldChar w:fldCharType="separate"/>
        </w:r>
        <w:r>
          <w:t>50</w:t>
        </w:r>
        <w:r>
          <w:fldChar w:fldCharType="end"/>
        </w:r>
      </w:hyperlink>
    </w:p>
    <w:p>
      <w:pPr>
        <w:pStyle w:val="TOC2"/>
        <w:tabs>
          <w:tab w:val="right" w:leader="dot" w:pos="8306"/>
        </w:tabs>
      </w:pPr>
      <w:hyperlink w:anchor="_Toc13407" w:history="1">
        <w:r>
          <w:rPr>
            <w:rFonts w:ascii="仿宋" w:eastAsia="仿宋" w:hAnsi="仿宋" w:cs="仿宋" w:hint="eastAsia"/>
            <w:lang w:eastAsia="zh-CN"/>
          </w:rPr>
          <w:t>(二)、肾上腺皮质激素类药项目法律合规要求</w:t>
        </w:r>
        <w:r>
          <w:tab/>
        </w:r>
        <w:r>
          <w:fldChar w:fldCharType="begin"/>
        </w:r>
        <w:r>
          <w:instrText xml:space="preserve"> PAGEREF _Toc13407 \h </w:instrText>
        </w:r>
        <w:r>
          <w:fldChar w:fldCharType="separate"/>
        </w:r>
        <w:r>
          <w:t>54</w:t>
        </w:r>
        <w:r>
          <w:fldChar w:fldCharType="end"/>
        </w:r>
      </w:hyperlink>
    </w:p>
    <w:p>
      <w:pPr>
        <w:pStyle w:val="TOC2"/>
        <w:tabs>
          <w:tab w:val="right" w:leader="dot" w:pos="8306"/>
        </w:tabs>
      </w:pPr>
      <w:hyperlink w:anchor="_Toc10253" w:history="1">
        <w:r>
          <w:rPr>
            <w:rFonts w:ascii="仿宋" w:eastAsia="仿宋" w:hAnsi="仿宋" w:cs="仿宋" w:hint="eastAsia"/>
            <w:lang w:eastAsia="zh-CN"/>
          </w:rPr>
          <w:t>(三)、肾上腺皮质激素类药项目合同管理与法律事务</w:t>
        </w:r>
        <w:r>
          <w:tab/>
        </w:r>
        <w:r>
          <w:fldChar w:fldCharType="begin"/>
        </w:r>
        <w:r>
          <w:instrText xml:space="preserve"> PAGEREF _Toc10253 \h </w:instrText>
        </w:r>
        <w:r>
          <w:fldChar w:fldCharType="separate"/>
        </w:r>
        <w:r>
          <w:t>59</w:t>
        </w:r>
        <w:r>
          <w:fldChar w:fldCharType="end"/>
        </w:r>
      </w:hyperlink>
    </w:p>
    <w:p>
      <w:pPr>
        <w:pStyle w:val="TOC2"/>
        <w:tabs>
          <w:tab w:val="right" w:leader="dot" w:pos="8306"/>
        </w:tabs>
      </w:pPr>
      <w:hyperlink w:anchor="_Toc16492" w:history="1">
        <w:r>
          <w:rPr>
            <w:rFonts w:ascii="仿宋" w:eastAsia="仿宋" w:hAnsi="仿宋" w:cs="仿宋" w:hint="eastAsia"/>
            <w:lang w:eastAsia="zh-CN"/>
          </w:rPr>
          <w:t>(四)、肾上腺皮质激素类药项目知识产权保护策略</w:t>
        </w:r>
        <w:r>
          <w:tab/>
        </w:r>
        <w:r>
          <w:fldChar w:fldCharType="begin"/>
        </w:r>
        <w:r>
          <w:instrText xml:space="preserve"> PAGEREF _Toc16492 \h </w:instrText>
        </w:r>
        <w:r>
          <w:fldChar w:fldCharType="separate"/>
        </w:r>
        <w:r>
          <w:t>65</w:t>
        </w:r>
        <w:r>
          <w:fldChar w:fldCharType="end"/>
        </w:r>
      </w:hyperlink>
    </w:p>
    <w:p>
      <w:pPr>
        <w:pStyle w:val="TOC1"/>
        <w:tabs>
          <w:tab w:val="right" w:leader="dot" w:pos="8306"/>
        </w:tabs>
      </w:pPr>
      <w:hyperlink w:anchor="_Toc8965" w:history="1">
        <w:r>
          <w:rPr>
            <w:rFonts w:ascii="仿宋" w:eastAsia="仿宋" w:hAnsi="仿宋" w:cs="仿宋" w:hint="eastAsia"/>
            <w:lang w:eastAsia="zh-CN"/>
          </w:rPr>
          <w:t>十四、风险识别与分类</w:t>
        </w:r>
        <w:r>
          <w:tab/>
        </w:r>
        <w:r>
          <w:fldChar w:fldCharType="begin"/>
        </w:r>
        <w:r>
          <w:instrText xml:space="preserve"> PAGEREF _Toc8965 \h </w:instrText>
        </w:r>
        <w:r>
          <w:fldChar w:fldCharType="separate"/>
        </w:r>
        <w:r>
          <w:t>68</w:t>
        </w:r>
        <w:r>
          <w:fldChar w:fldCharType="end"/>
        </w:r>
      </w:hyperlink>
    </w:p>
    <w:p>
      <w:pPr>
        <w:pStyle w:val="TOC2"/>
        <w:tabs>
          <w:tab w:val="right" w:leader="dot" w:pos="8306"/>
        </w:tabs>
      </w:pPr>
      <w:hyperlink w:anchor="_Toc9801" w:history="1">
        <w:r>
          <w:rPr>
            <w:rFonts w:ascii="仿宋" w:eastAsia="仿宋" w:hAnsi="仿宋" w:cs="仿宋" w:hint="eastAsia"/>
            <w:lang w:eastAsia="zh-CN"/>
          </w:rPr>
          <w:t>(一)、风险识别</w:t>
        </w:r>
        <w:r>
          <w:tab/>
        </w:r>
        <w:r>
          <w:fldChar w:fldCharType="begin"/>
        </w:r>
        <w:r>
          <w:instrText xml:space="preserve"> PAGEREF _Toc9801 \h </w:instrText>
        </w:r>
        <w:r>
          <w:fldChar w:fldCharType="separate"/>
        </w:r>
        <w:r>
          <w:t>68</w:t>
        </w:r>
        <w:r>
          <w:fldChar w:fldCharType="end"/>
        </w:r>
      </w:hyperlink>
    </w:p>
    <w:p>
      <w:pPr>
        <w:pStyle w:val="TOC2"/>
        <w:tabs>
          <w:tab w:val="right" w:leader="dot" w:pos="8306"/>
        </w:tabs>
      </w:pPr>
      <w:hyperlink w:anchor="_Toc20673" w:history="1">
        <w:r>
          <w:rPr>
            <w:rFonts w:ascii="仿宋" w:eastAsia="仿宋" w:hAnsi="仿宋" w:cs="仿宋" w:hint="eastAsia"/>
            <w:lang w:eastAsia="zh-CN"/>
          </w:rPr>
          <w:t>(二)、风险分类</w:t>
        </w:r>
        <w:r>
          <w:tab/>
        </w:r>
        <w:r>
          <w:fldChar w:fldCharType="begin"/>
        </w:r>
        <w:r>
          <w:instrText xml:space="preserve"> PAGEREF _Toc20673 \h </w:instrText>
        </w:r>
        <w:r>
          <w:fldChar w:fldCharType="separate"/>
        </w:r>
        <w:r>
          <w:t>69</w:t>
        </w:r>
        <w:r>
          <w:fldChar w:fldCharType="end"/>
        </w:r>
      </w:hyperlink>
    </w:p>
    <w:p>
      <w:pPr>
        <w:pStyle w:val="TOC1"/>
        <w:tabs>
          <w:tab w:val="right" w:leader="dot" w:pos="8306"/>
        </w:tabs>
      </w:pPr>
      <w:hyperlink w:anchor="_Toc21565" w:history="1">
        <w:r>
          <w:rPr>
            <w:rFonts w:ascii="仿宋" w:eastAsia="仿宋" w:hAnsi="仿宋" w:cs="仿宋" w:hint="eastAsia"/>
            <w:lang w:eastAsia="zh-CN"/>
          </w:rPr>
          <w:t>十五、供应链管理</w:t>
        </w:r>
        <w:r>
          <w:tab/>
        </w:r>
        <w:r>
          <w:fldChar w:fldCharType="begin"/>
        </w:r>
        <w:r>
          <w:instrText xml:space="preserve"> PAGEREF _Toc21565 \h </w:instrText>
        </w:r>
        <w:r>
          <w:fldChar w:fldCharType="separate"/>
        </w:r>
        <w:r>
          <w:t>71</w:t>
        </w:r>
        <w:r>
          <w:fldChar w:fldCharType="end"/>
        </w:r>
      </w:hyperlink>
    </w:p>
    <w:p>
      <w:pPr>
        <w:pStyle w:val="TOC2"/>
        <w:tabs>
          <w:tab w:val="right" w:leader="dot" w:pos="8306"/>
        </w:tabs>
      </w:pPr>
      <w:hyperlink w:anchor="_Toc8720" w:history="1">
        <w:r>
          <w:rPr>
            <w:rFonts w:ascii="仿宋" w:eastAsia="仿宋" w:hAnsi="仿宋" w:cs="仿宋" w:hint="eastAsia"/>
            <w:lang w:eastAsia="zh-CN"/>
          </w:rPr>
          <w:t>(一)、供应链战略规划</w:t>
        </w:r>
        <w:r>
          <w:tab/>
        </w:r>
        <w:r>
          <w:fldChar w:fldCharType="begin"/>
        </w:r>
        <w:r>
          <w:instrText xml:space="preserve"> PAGEREF _Toc8720 \h </w:instrText>
        </w:r>
        <w:r>
          <w:fldChar w:fldCharType="separate"/>
        </w:r>
        <w:r>
          <w:t>71</w:t>
        </w:r>
        <w:r>
          <w:fldChar w:fldCharType="end"/>
        </w:r>
      </w:hyperlink>
    </w:p>
    <w:p>
      <w:pPr>
        <w:pStyle w:val="TOC2"/>
        <w:tabs>
          <w:tab w:val="right" w:leader="dot" w:pos="8306"/>
        </w:tabs>
      </w:pPr>
      <w:hyperlink w:anchor="_Toc19701" w:history="1">
        <w:r>
          <w:rPr>
            <w:rFonts w:ascii="仿宋" w:eastAsia="仿宋" w:hAnsi="仿宋" w:cs="仿宋" w:hint="eastAsia"/>
            <w:lang w:eastAsia="zh-CN"/>
          </w:rPr>
          <w:t>(二)、供应商选择与合作</w:t>
        </w:r>
        <w:r>
          <w:tab/>
        </w:r>
        <w:r>
          <w:fldChar w:fldCharType="begin"/>
        </w:r>
        <w:r>
          <w:instrText xml:space="preserve"> PAGEREF _Toc19701 \h </w:instrText>
        </w:r>
        <w:r>
          <w:fldChar w:fldCharType="separate"/>
        </w:r>
        <w:r>
          <w:t>73</w:t>
        </w:r>
        <w:r>
          <w:fldChar w:fldCharType="end"/>
        </w:r>
      </w:hyperlink>
    </w:p>
    <w:p>
      <w:pPr>
        <w:pStyle w:val="TOC2"/>
        <w:tabs>
          <w:tab w:val="right" w:leader="dot" w:pos="8306"/>
        </w:tabs>
      </w:pPr>
      <w:hyperlink w:anchor="_Toc30616" w:history="1">
        <w:r>
          <w:rPr>
            <w:rFonts w:ascii="仿宋" w:eastAsia="仿宋" w:hAnsi="仿宋" w:cs="仿宋" w:hint="eastAsia"/>
            <w:lang w:eastAsia="zh-CN"/>
          </w:rPr>
          <w:t>(三)、物流与库存管理</w:t>
        </w:r>
        <w:r>
          <w:tab/>
        </w:r>
        <w:r>
          <w:fldChar w:fldCharType="begin"/>
        </w:r>
        <w:r>
          <w:instrText xml:space="preserve"> PAGEREF _Toc30616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227"/>
      <w:r>
        <w:rPr>
          <w:rFonts w:ascii="仿宋" w:eastAsia="仿宋" w:hAnsi="仿宋" w:cs="仿宋" w:hint="eastAsia"/>
          <w:sz w:val="28"/>
          <w:lang w:eastAsia="zh-CN"/>
        </w:rPr>
        <w:t>一、肾上腺皮质激素类药项目危机管理</w:t>
      </w:r>
      <w:bookmarkEnd w:id="2"/>
    </w:p>
    <w:p>
      <w:pPr>
        <w:pStyle w:val="Heading2"/>
        <w:rPr>
          <w:rFonts w:ascii="仿宋" w:eastAsia="仿宋" w:hAnsi="仿宋" w:cs="仿宋" w:hint="eastAsia"/>
          <w:lang w:eastAsia="zh-CN"/>
        </w:rPr>
      </w:pPr>
      <w:bookmarkStart w:id="3" w:name="_Toc427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肾上腺皮质激素类药项目危机管理中，危机预警与识别是确保肾上腺皮质激素类药项目稳健运行的核心步骤。通过建立全面的监测机制，肾上腺皮质激素类药项目团队旨在及时发现和理解潜在的风险和危机因素，以便采取及时的预防和应对措施，确保肾上腺皮质激素类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肾上腺皮质激素类药项目团队全面分析了整个肾上腺皮质激素类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肾上腺皮质激素类药项目团队着重于明确定义肾上腺皮质激素类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肾上腺皮质激素类药项目进展的持续监控，团队能够及时发现潜在问题并作出迅速反应。肾上腺皮质激素类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肾上腺皮质激素类药项目得以更有序、可控地推进。</w:t>
      </w:r>
    </w:p>
    <w:p>
      <w:pPr>
        <w:pStyle w:val="Heading2"/>
        <w:ind w:firstLine="560" w:firstLineChars="200"/>
        <w:rPr>
          <w:rFonts w:ascii="仿宋" w:eastAsia="仿宋" w:hAnsi="仿宋" w:cs="仿宋" w:hint="eastAsia"/>
          <w:sz w:val="28"/>
          <w:lang w:eastAsia="zh-CN"/>
        </w:rPr>
      </w:pPr>
      <w:bookmarkStart w:id="4" w:name="_Toc3149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在危机发生时，肾上腺皮质激素类药项目团队立即行动，成立了应急小组。该小组的任务是迅速制定并实施紧急应对措施，以最小化潜在损失。以下是采取的主要措施：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暂停肾上腺皮质激素类药项目进度：为遏制危机蔓延，肾上腺皮质激素类药项目暂时停止进行，以便全面评估当前状况。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资源重新分配：重新评估肾上腺皮质激素类药项目资源的分配，确保最大限度地减小损失。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实时沟通：与关键利益相关者建立实时沟通机制，向他们传递肾上腺皮质激素类药项目危机的实际状况，保障肾上腺皮质激素类药项目核心利益。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在紧急应对的同时，肾上腺皮质激素类药项目团队强调了团队协作和有效沟通的重要性。以下是团队协作的关键举措：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信息共享机制：建立了信息共享平台，确保团队成员能够及时获取肾上腺皮质激素类药项目危机的实时信息。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领导者沟通：肾上腺皮质激素类药项目领导者通过定期会议和即时沟通工具，指导团队应对危机，保持团队稳定运行。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随着危机得到初步控制，肾上腺皮质激素类药项目团队转向制定恢复计划，以确保肾上腺皮质激素类药项目能够从中迅速恢复。主要恢复计划包括：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修复受损的进度计划：重新评估肾上腺皮质激素类药项目进度，制定修复计划，确保肾上腺皮质激素类药项目尽快回归正常进程。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重新调整资源分配：优化资源分配，确保肾上腺皮质激素类药项目在有限资源下高效运转。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风险管理机制加强：对肾上腺皮质激素类药项目风险进行全面评估，制定更强化的风险管理策略，以预防未来可能的危机。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335"/>
      <w:r>
        <w:rPr>
          <w:rFonts w:ascii="仿宋" w:eastAsia="仿宋" w:hAnsi="仿宋" w:cs="仿宋" w:hint="eastAsia"/>
          <w:sz w:val="28"/>
          <w:lang w:eastAsia="zh-CN"/>
        </w:rPr>
        <w:t>二、肾上腺皮质激素类药项目建设单位说明</w:t>
      </w:r>
      <w:bookmarkEnd w:id="5"/>
    </w:p>
    <w:p>
      <w:pPr>
        <w:pStyle w:val="Heading2"/>
        <w:rPr>
          <w:rFonts w:ascii="仿宋" w:eastAsia="仿宋" w:hAnsi="仿宋" w:cs="仿宋" w:hint="eastAsia"/>
          <w:lang w:eastAsia="zh-CN"/>
        </w:rPr>
      </w:pPr>
      <w:bookmarkStart w:id="6" w:name="_Toc2926"/>
      <w:r>
        <w:rPr>
          <w:rFonts w:ascii="仿宋" w:eastAsia="仿宋" w:hAnsi="仿宋" w:cs="仿宋" w:hint="eastAsia"/>
          <w:lang w:eastAsia="zh-CN"/>
        </w:rPr>
        <w:t>(一)、肾上腺皮质激素类药项目承办单位基本情况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711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作为肾上腺皮质激素类药项目承办单位的XXXX，我们着眼于实现可持续的经济效益。通过技术创新和解决方案的提供，公司预计在肾上腺皮质激素类药项目执行期间将获得可观的收入增长。这一收入来源主要包括肾上腺皮质激素类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同时，我们注重成本控制和效率提升，以确保肾上腺皮质激素类药项目的可持续盈利。透过精细的管理和资源优化，公司期望实现肾上腺皮质激素类药项目利润最大化。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肾上腺皮质激素类药项目实施进行全面的投资评估，包括肾上腺皮质激素类药项目启动阶段的资金投入和后续运营成本。通过对肾上腺皮质激素类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肾上腺皮质激素类药项目实施过程中具备足够的资金流动性，公司将进行详尽的现金流分析。这包括资金需求的合理预测、肾上腺皮质激素类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7224"/>
      <w:r>
        <w:rPr>
          <w:rFonts w:ascii="仿宋" w:eastAsia="仿宋" w:hAnsi="仿宋" w:cs="仿宋" w:hint="eastAsia"/>
          <w:sz w:val="28"/>
          <w:lang w:eastAsia="zh-CN"/>
        </w:rPr>
        <w:t>三、肾上腺皮质激素类药项目建设背景及必要性分析</w:t>
      </w:r>
      <w:bookmarkEnd w:id="8"/>
    </w:p>
    <w:p>
      <w:pPr>
        <w:pStyle w:val="Heading2"/>
        <w:rPr>
          <w:rFonts w:ascii="仿宋" w:eastAsia="仿宋" w:hAnsi="仿宋" w:cs="仿宋" w:hint="eastAsia"/>
          <w:lang w:eastAsia="zh-CN"/>
        </w:rPr>
      </w:pPr>
      <w:bookmarkStart w:id="9" w:name="_Toc1968"/>
      <w:r>
        <w:rPr>
          <w:rFonts w:ascii="仿宋" w:eastAsia="仿宋" w:hAnsi="仿宋" w:cs="仿宋" w:hint="eastAsia"/>
          <w:lang w:eastAsia="zh-CN"/>
        </w:rPr>
        <w:t>(一)、肾上腺皮质激素类药项目背景分析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肾上腺皮质激素类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肾上腺皮质激素类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肾上腺皮质激素类药项目在这个潮流中的定位。同时，我们将关注行业内涌现的新兴机遇，以便肾上腺皮质激素类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肾上腺皮质激素类药项目提供了强大的发展动力。我们将聚焦于行业内最新的技术发展趋势，包括但不限于人工智能、大数据分析、物联网等领域。通过深度的技术研究，我们将确保肾上腺皮质激素类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肾上腺皮质激素类药项目发展的源泉。我们将投入更多的精力对市场需求进行深入剖析，超越表面的需求，深入挖掘潜在的市场痛点和机遇。通过对市场需求的细致了解，肾上腺皮质激素类药项目将更有针对性地设计解决方案，满足市场的多样化需求，从而更好地促进肾上腺皮质激素类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肾上腺皮质激素类药项目战略至关重要。我们将对竞争态势进行更为深入的分析，包括但不限于市场份额、产品特点、客户满意度等多个维度。通过深度的竞争分析，肾上腺皮质激素类药项目将能够更准确地把握市场脉搏，制定具有竞争力的肾上腺皮质激素类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肾上腺皮质激素类药项目的发展具有直接的影响。我们将进行更为全面的法规和政策分析，了解行业发展中的潜在法律风险和合规挑战。通过充分了解和遵守相关法规，肾上腺皮质激素类药项目将确保在法律框架内合法合规运营，为肾上腺皮质激素类药项目的稳健发展提供有力支持。</w:t>
      </w:r>
    </w:p>
    <w:p>
      <w:pPr>
        <w:pStyle w:val="Heading2"/>
        <w:ind w:firstLine="560" w:firstLineChars="200"/>
        <w:rPr>
          <w:rFonts w:ascii="仿宋" w:eastAsia="仿宋" w:hAnsi="仿宋" w:cs="仿宋" w:hint="eastAsia"/>
          <w:sz w:val="28"/>
          <w:lang w:eastAsia="zh-CN"/>
        </w:rPr>
      </w:pPr>
      <w:bookmarkStart w:id="10" w:name="_Toc15145"/>
      <w:r>
        <w:rPr>
          <w:rFonts w:ascii="仿宋" w:eastAsia="仿宋" w:hAnsi="仿宋" w:cs="仿宋" w:hint="eastAsia"/>
          <w:sz w:val="28"/>
          <w:lang w:eastAsia="zh-CN"/>
        </w:rPr>
        <w:t>(二)、肾上腺皮质激素类药项目建设必要性分析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肾上腺皮质激素类药项目建设的迫切性源于对行业发展趋势的深刻洞察。我们正处于一个行业变革的时代，科技创新、数字化转型成为企业发展的关键动力。肾上腺皮质激素类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肾上腺皮质激素类药项目建设不仅仅是为了跟上潮流，更是为了通过技术创新推动企业的持续发展。通过引入先进的技术和解决方案，肾上腺皮质激素类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肾上腺皮质激素类药项目的建设成为必然选择，通过提高产品质量、拓展服务领域，从而在竞争中获得更多的机会。肾上腺皮质激素类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肾上腺皮质激素类药项目建设的必要性体现在对客户需求更精准的满足。通过肾上腺皮质激素类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肾上腺皮质激素类药项目建设的背后是对企业持续创新的追求。只有通过不断创新，企业才能在竞争中立于不败之地。肾上腺皮质激素类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126"/>
      <w:r>
        <w:rPr>
          <w:rFonts w:ascii="仿宋" w:eastAsia="仿宋" w:hAnsi="仿宋" w:cs="仿宋" w:hint="eastAsia"/>
          <w:sz w:val="28"/>
          <w:lang w:eastAsia="zh-CN"/>
        </w:rPr>
        <w:t>四、肾上腺皮质激素类药项目选址可行性分析</w:t>
      </w:r>
      <w:bookmarkEnd w:id="11"/>
    </w:p>
    <w:p>
      <w:pPr>
        <w:pStyle w:val="Heading2"/>
        <w:rPr>
          <w:rFonts w:ascii="仿宋" w:eastAsia="仿宋" w:hAnsi="仿宋" w:cs="仿宋" w:hint="eastAsia"/>
          <w:lang w:eastAsia="zh-CN"/>
        </w:rPr>
      </w:pPr>
      <w:bookmarkStart w:id="12" w:name="_Toc20132"/>
      <w:r>
        <w:rPr>
          <w:rFonts w:ascii="仿宋" w:eastAsia="仿宋" w:hAnsi="仿宋" w:cs="仿宋" w:hint="eastAsia"/>
          <w:lang w:eastAsia="zh-CN"/>
        </w:rPr>
        <w:t>(一)、肾上腺皮质激素类药项目选址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该肾上腺皮质激素类药项目选址位于XX省XX市XX区XXX街道</w:t>
      </w:r>
    </w:p>
    <w:p>
      <w:pPr>
        <w:pStyle w:val="Heading2"/>
        <w:ind w:firstLine="560" w:firstLineChars="200"/>
        <w:rPr>
          <w:rFonts w:ascii="仿宋" w:eastAsia="仿宋" w:hAnsi="仿宋" w:cs="仿宋" w:hint="eastAsia"/>
          <w:sz w:val="28"/>
          <w:lang w:eastAsia="zh-CN"/>
        </w:rPr>
      </w:pPr>
      <w:bookmarkStart w:id="13" w:name="_Toc128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肾上腺皮质激素类药项目的征地面积将根据肾上腺皮质激素类药项目的实际规模和需求进行精确规划。具体面积XXX平方米，旨在确保肾上腺皮质激素类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净用地面积是在征地面积基础上去除不可利用面积后的实际可开发用地。具体面积XXX平方米，考虑到环保、交通、安全等多方面因素，以确保肾上腺皮质激素类药项目在整体利用效率上达到最优。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肾上腺皮质激素类药项目计划建设的建筑总规模具体面积XXX平方米。这一规模的确定综合考虑了肾上腺皮质激素类药项目的性质、规模，以及城市规划的相关要求，确保建筑布局与周边环境协调一致。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绿地率是肾上腺皮质激素类药项目用地中被规划为绿地的比例。具体面积XXX平方米，旨在通过合理规划绿地，改善肾上腺皮质激素类药项目周边环境，提升居民生活质量，并符合城市整体绿化规划。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容积率是用地上可以建设的建筑总体积与用地面积之比。具体面积XXX，通过合理的容积率规划，确保肾上腺皮质激素类药项目建筑规模与周边环境和谐共生。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肾上腺皮质激素类药项目选址与当地城市规划相一致，具体面积XXX平方米。通过与城市规划部门深入沟通，确保肾上腺皮质激素类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肾上腺皮质激素类药项目选址符合当地产业政策，具体面积XXX平方米。这包括肾上腺皮质激素类药项目对当地经济的促进作用，以及对相关产业的带动效应，确保肾上腺皮质激素类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用地总体要求必须符合环保和可持续发展的原则，具体面积XXX平方米。通过采用绿色建筑设计、节能减排等措施，确保肾上腺皮质激素类药项目在建设和运营过程中对环境的影响最小化，达到可持续发展的要求。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确保肾上腺皮质激素类药项目选址具备必要的公共设施配套，具体面积XXX平方米。这包括交通便利性、教育、医疗等基础设施，以提高居民生活品质，使得肾上腺皮质激素类药项目选址更具吸引力。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考虑用地总体要求对当地社会稳定性的影响，具体面积XXX平方米。通过深入了解当地社区反馈，确保肾上腺皮质激素类药项目的选址和建设过程对当地社会和谐稳定产生积极作用。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肾上腺皮质激素类药项目选址不仅符合法规和规划，还在实际操作中具有可行性。这一全面规划将为肾上腺皮质激素类药项目的成功实施提供坚实的基础，确保肾上腺皮质激素类药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989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肾上腺皮质激素类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肾上腺皮质激素类药项目的设备规划和空间设计中，我们将采取灵活设备布局的措施。设备布局将根据实际需求进行灵活设计，避免不必要的浪费。通过合理规划设备摆放位置，我们将提高设备的利用率，减少设备间距，以确保肾上腺皮质激素类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肾上腺皮质激素类药项目内部引入共享设施的概念，例如共享会议室、办公区等。通过这种方式，我们可以减少对资源的重复建设，提高资源共享效率，从而减小肾上腺皮质激素类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264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肾上腺皮质激素类药项目的总图布置中，我们将不同功能区域进行明确的规划，以最大程度满足肾上腺皮质激素类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0805"/>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肾上腺皮质激素类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肾上腺皮质激素类药项目对环境的影响是综合评价的重要因素之一。我们将详细考虑选址周边的自然环境、生态保护区、水源地等情况，确保肾上腺皮质激素类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对选址的评价还需充分考虑当地政府的产业政策和法规。我们将详细了解肾上腺皮质激素类药项目所在地的相关政策，确保肾上腺皮质激素类药项目的规划和运营与当地法规相符，降低不必要的法律风险。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考虑到社会稳定性对企业运营的重要性，我们将评估选址地区的社会安全情况、劳工关系、社区反馈等方面，以确保肾上腺皮质激素类药项目的建设和运营不会受到社会稳定性的负面影响。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最后，我们将综合考虑用地成本，包括土地购置费用、土地开发成本等。通过对用地成本的详细评估，我们能够做出更为精确的经济效益分析，为肾上腺皮质激素类药项目的投资决策提供有力支持。</w:t>
      </w:r>
    </w:p>
    <w:p>
      <w:pPr>
        <w:pStyle w:val="Heading1"/>
        <w:ind w:firstLine="560" w:firstLineChars="200"/>
        <w:rPr>
          <w:rFonts w:ascii="仿宋" w:eastAsia="仿宋" w:hAnsi="仿宋" w:cs="仿宋" w:hint="eastAsia"/>
          <w:sz w:val="28"/>
          <w:lang w:eastAsia="zh-CN"/>
        </w:rPr>
      </w:pPr>
      <w:bookmarkStart w:id="17" w:name="_Toc1353"/>
      <w:r>
        <w:rPr>
          <w:rFonts w:ascii="仿宋" w:eastAsia="仿宋" w:hAnsi="仿宋" w:cs="仿宋" w:hint="eastAsia"/>
          <w:sz w:val="28"/>
          <w:lang w:eastAsia="zh-CN"/>
        </w:rPr>
        <w:t>五、肾上腺皮质激素类药项目可持续发展</w:t>
      </w:r>
      <w:bookmarkEnd w:id="17"/>
    </w:p>
    <w:p>
      <w:pPr>
        <w:pStyle w:val="Heading2"/>
        <w:rPr>
          <w:rFonts w:ascii="仿宋" w:eastAsia="仿宋" w:hAnsi="仿宋" w:cs="仿宋" w:hint="eastAsia"/>
          <w:lang w:eastAsia="zh-CN"/>
        </w:rPr>
      </w:pPr>
      <w:bookmarkStart w:id="18" w:name="_Toc425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https://d.book118.com/036242052213010043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肾上腺皮质激素类药项目规划设计蓝图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A621A2"/>
    <w:rsid w:val="0DA621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242052213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2024-02-03T13:03:00Z</dcterms:created>
  <dcterms:modified xsi:type="dcterms:W3CDTF">2024-02-03T13:04:14Z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FD53A18F81A742EA9EA435691D6CA15F_11</vt:lpwstr>
  </property>
  <property fmtid="{D5CDD505-2E9C-101B-9397-08002B2CF9AE}" pid="3" name="KSOProductBuildVer">
    <vt:lpwstr>2052-12.1.0.16250</vt:lpwstr>
  </property>
</Properties>
</file>