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12026900</wp:posOffset>
            </wp:positionH>
            <wp:positionV relativeFrom="topMargin">
              <wp:posOffset>11074400</wp:posOffset>
            </wp:positionV>
            <wp:extent cx="279400" cy="330200"/>
            <wp:effectExtent l="0" t="0" r="0" b="0"/>
            <wp:wrapNone/>
            <wp:docPr id="100080" name="图片 10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0" name="图片 100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物理试题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本试卷分第Ⅰ卷（选择题，共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46</w:t>
      </w:r>
      <w:r>
        <w:rPr>
          <w:rFonts w:ascii="宋体" w:eastAsia="宋体" w:hAnsi="宋体" w:cs="宋体"/>
          <w:b/>
          <w:color w:val="auto"/>
          <w:sz w:val="24"/>
        </w:rPr>
        <w:t>分）和第Ⅱ卷（非选择题，共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54</w:t>
      </w:r>
      <w:r>
        <w:rPr>
          <w:rFonts w:ascii="宋体" w:eastAsia="宋体" w:hAnsi="宋体" w:cs="宋体"/>
          <w:b/>
          <w:color w:val="auto"/>
          <w:sz w:val="24"/>
        </w:rPr>
        <w:t>分）两部分。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小题。第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1-7</w:t>
      </w:r>
      <w:r>
        <w:rPr>
          <w:rFonts w:ascii="宋体" w:eastAsia="宋体" w:hAnsi="宋体" w:cs="宋体"/>
          <w:b/>
          <w:color w:val="auto"/>
          <w:sz w:val="24"/>
        </w:rPr>
        <w:t>题为单项选择题，每题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28</w:t>
      </w:r>
      <w:r>
        <w:rPr>
          <w:rFonts w:ascii="宋体" w:eastAsia="宋体" w:hAnsi="宋体" w:cs="宋体"/>
          <w:b/>
          <w:color w:val="auto"/>
          <w:sz w:val="24"/>
        </w:rPr>
        <w:t>分；第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8-10</w:t>
      </w:r>
      <w:r>
        <w:rPr>
          <w:rFonts w:ascii="宋体" w:eastAsia="宋体" w:hAnsi="宋体" w:cs="宋体"/>
          <w:b/>
          <w:color w:val="auto"/>
          <w:sz w:val="24"/>
        </w:rPr>
        <w:t>为多选题，每小题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18</w:t>
      </w:r>
      <w:r>
        <w:rPr>
          <w:rFonts w:ascii="宋体" w:eastAsia="宋体" w:hAnsi="宋体" w:cs="宋体"/>
          <w:b/>
          <w:color w:val="auto"/>
          <w:sz w:val="24"/>
        </w:rPr>
        <w:t>分，全部选对得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分，选不全得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分，错选得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如图所示，两段光滑圆弧轨道半径分别为</w:t>
      </w:r>
      <w:r>
        <w:rPr>
          <w:rFonts w:ascii="Times New Roman" w:eastAsia="Times New Roman" w:hAnsi="Times New Roman" w:cs="Times New Roman"/>
          <w:i/>
          <w:color w:val="auto"/>
        </w:rPr>
        <w:t>R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1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i/>
          <w:color w:val="auto"/>
        </w:rPr>
        <w:t>R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2</w:t>
      </w:r>
      <w:r>
        <w:rPr>
          <w:rFonts w:ascii="宋体" w:eastAsia="宋体" w:hAnsi="宋体" w:cs="宋体"/>
          <w:color w:val="auto"/>
        </w:rPr>
        <w:t>，圆心分别为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1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2</w:t>
      </w:r>
      <w:r>
        <w:rPr>
          <w:rFonts w:ascii="宋体" w:eastAsia="宋体" w:hAnsi="宋体" w:cs="宋体"/>
          <w:color w:val="auto"/>
        </w:rPr>
        <w:t>，所对应的圆心角均小于</w:t>
      </w:r>
      <w:r>
        <w:rPr>
          <w:rFonts w:ascii="Times New Roman" w:eastAsia="Times New Roman" w:hAnsi="Times New Roman" w:cs="Times New Roman"/>
          <w:color w:val="auto"/>
        </w:rPr>
        <w:t>5°</w:t>
      </w:r>
      <w:r>
        <w:rPr>
          <w:rFonts w:ascii="宋体" w:eastAsia="宋体" w:hAnsi="宋体" w:cs="宋体"/>
          <w:color w:val="auto"/>
        </w:rPr>
        <w:t>，在最低点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平滑连接。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点和</w:t>
      </w:r>
      <w:r>
        <w:rPr>
          <w:rFonts w:ascii="Times New Roman" w:eastAsia="Times New Roman" w:hAnsi="Times New Roman" w:cs="Times New Roman"/>
          <w:i/>
          <w:color w:val="auto"/>
        </w:rPr>
        <w:t>N</w:t>
      </w:r>
      <w:r>
        <w:rPr>
          <w:rFonts w:ascii="宋体" w:eastAsia="宋体" w:hAnsi="宋体" w:cs="宋体"/>
          <w:color w:val="auto"/>
        </w:rPr>
        <w:t>点分别位于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点左右两侧，距离</w:t>
      </w:r>
      <w:r>
        <w:rPr>
          <w:rFonts w:ascii="Times New Roman" w:eastAsia="Times New Roman" w:hAnsi="Times New Roman" w:cs="Times New Roman"/>
          <w:i/>
          <w:color w:val="auto"/>
        </w:rPr>
        <w:t>MO</w:t>
      </w:r>
      <w:r>
        <w:rPr>
          <w:rFonts w:ascii="宋体" w:eastAsia="宋体" w:hAnsi="宋体" w:cs="宋体"/>
          <w:color w:val="auto"/>
        </w:rPr>
        <w:t>小于</w:t>
      </w:r>
      <w:r>
        <w:rPr>
          <w:rFonts w:ascii="Times New Roman" w:eastAsia="Times New Roman" w:hAnsi="Times New Roman" w:cs="Times New Roman"/>
          <w:i/>
          <w:color w:val="auto"/>
        </w:rPr>
        <w:t>NO</w:t>
      </w:r>
      <w:r>
        <w:rPr>
          <w:rFonts w:ascii="宋体" w:eastAsia="宋体" w:hAnsi="宋体" w:cs="宋体"/>
          <w:color w:val="auto"/>
        </w:rPr>
        <w:t>。现分别将位于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点和</w:t>
      </w:r>
      <w:r>
        <w:rPr>
          <w:rFonts w:ascii="Times New Roman" w:eastAsia="Times New Roman" w:hAnsi="Times New Roman" w:cs="Times New Roman"/>
          <w:i/>
          <w:color w:val="auto"/>
        </w:rPr>
        <w:t>N</w:t>
      </w:r>
      <w:r>
        <w:rPr>
          <w:rFonts w:ascii="宋体" w:eastAsia="宋体" w:hAnsi="宋体" w:cs="宋体"/>
          <w:color w:val="auto"/>
        </w:rPr>
        <w:t>点的两个小球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rFonts w:ascii="宋体" w:eastAsia="宋体" w:hAnsi="宋体" w:cs="宋体"/>
          <w:color w:val="auto"/>
        </w:rPr>
        <w:t>（均可视为质点）同时由静止释放。关于两小球第一次相遇点的位置，下列判断正确的是（</w:t>
      </w:r>
      <w:r>
        <w:rPr>
          <w:rFonts w:ascii="Times New Roman" w:eastAsia="Times New Roman" w:hAnsi="Times New Roman" w:cs="Times New Roman"/>
          <w:color w:val="auto"/>
        </w:rPr>
        <w:t xml:space="preserve">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085850" cy="1628775"/>
            <wp:effectExtent l="0" t="0" r="635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一定在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点的右侧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恰好在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一定在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点的左侧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条件不足，无法确定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北京时间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日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宋体" w:eastAsia="宋体" w:hAnsi="宋体" w:cs="宋体"/>
          <w:color w:val="000000"/>
        </w:rPr>
        <w:t>分，搭载神舟十六号载人飞船的长征二号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遥十六运载火箭在酒泉卫星发射中心点火发射升空，在太空飞行数小时后与空间站组合体径向交会对接，与神舟十五号乘组进行在轨轮换，再现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名航天员“太空会师”名场面。中国空间站的运动可视为绕地心的匀速圆周运动，运动周期为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，地球半径为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，地球表面的重力加速为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，则下列说法正确的是（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95450" cy="952500"/>
            <wp:effectExtent l="0" t="0" r="635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1104900" cy="94297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空间站中的航天员在睡眠区睡眠时，他们相对于地心处于平衡状态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空间站运动的速率为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7pt;height:31.15pt" o:ole="" coordsize="21600,21600" o:preferrelative="t" filled="f" stroked="f">
            <v:stroke joinstyle="miter"/>
            <v:imagedata r:id="rId9" o:title="eqIddca4664e8e2e3022e4084278c367d38d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空间站运动的轨道半径为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6pt;height:36pt" o:ole="" coordsize="21600,21600" o:preferrelative="t" filled="f" stroked="f">
            <v:stroke joinstyle="miter"/>
            <v:imagedata r:id="rId11" o:title="eqIdcf7cea884a206b526e03827fd630d35b"/>
            <o:lock v:ext="edit" aspectratio="t"/>
            <w10:anchorlock/>
          </v:shape>
          <o:OLEObject Type="Embed" ProgID="Equation.DSMT4" ShapeID="_x0000_i1026" DrawAspect="Content" ObjectID="_1468075726" r:id="rId12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空间站运动的加速度大小为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1.85pt;height:36.2pt" o:ole="" coordsize="21600,21600" o:preferrelative="t" filled="f" stroked="f">
            <v:stroke joinstyle="miter"/>
            <v:imagedata r:id="rId13" o:title="eqIdce286ce92d226ce88c9f9d7028e16d5d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如图（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），在均匀介质中有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四点，其中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三点位干同一直线上，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=4m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Times New Roman" w:eastAsia="Times New Roman" w:hAnsi="Times New Roman" w:cs="Times New Roman"/>
          <w:color w:val="000000"/>
        </w:rPr>
        <w:t>=3m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垂直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。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</w:rPr>
        <w:t>=0</w:t>
      </w:r>
      <w:r>
        <w:rPr>
          <w:rFonts w:ascii="宋体" w:eastAsia="宋体" w:hAnsi="宋体" w:cs="宋体"/>
          <w:color w:val="000000"/>
        </w:rPr>
        <w:t>时，位于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处的三个完全相同的横波波源同时开始振动，振动图像均如图（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）所示，振动方向与平面</w:t>
      </w:r>
      <w:r>
        <w:rPr>
          <w:rFonts w:ascii="Times New Roman" w:eastAsia="Times New Roman" w:hAnsi="Times New Roman" w:cs="Times New Roman"/>
          <w:i/>
          <w:color w:val="000000"/>
        </w:rPr>
        <w:t>ABD</w:t>
      </w:r>
      <w:r>
        <w:rPr>
          <w:rFonts w:ascii="宋体" w:eastAsia="宋体" w:hAnsi="宋体" w:cs="宋体"/>
          <w:color w:val="000000"/>
        </w:rPr>
        <w:t>垂直，己知波长为</w:t>
      </w:r>
      <w:r>
        <w:rPr>
          <w:rFonts w:ascii="Times New Roman" w:eastAsia="Times New Roman" w:hAnsi="Times New Roman" w:cs="Times New Roman"/>
          <w:color w:val="000000"/>
        </w:rPr>
        <w:t>4m</w:t>
      </w:r>
      <w:r>
        <w:rPr>
          <w:rFonts w:ascii="宋体" w:eastAsia="宋体" w:hAnsi="宋体" w:cs="宋体"/>
          <w:color w:val="000000"/>
        </w:rPr>
        <w:t>。下列说法正确的是（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771900" cy="1533525"/>
            <wp:effectExtent l="0" t="0" r="0" b="317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这三列波的波速均为</w:t>
      </w:r>
      <w:r>
        <w:rPr>
          <w:rFonts w:ascii="Times New Roman" w:eastAsia="Times New Roman" w:hAnsi="Times New Roman" w:cs="Times New Roman"/>
          <w:color w:val="000000"/>
        </w:rPr>
        <w:t>2m/s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</w:rPr>
        <w:t>=2s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处的质点开始振动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</w:rPr>
        <w:t>=4.5s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处的质点向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轴正方向运动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</w:rPr>
        <w:t>=6s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处的质点与平衡位置的距离是</w:t>
      </w:r>
      <w:r>
        <w:rPr>
          <w:rFonts w:ascii="Times New Roman" w:eastAsia="Times New Roman" w:hAnsi="Times New Roman" w:cs="Times New Roman"/>
          <w:color w:val="000000"/>
        </w:rPr>
        <w:t>2cm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如图所示，长为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的轻绳悬挂一质量为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的小球（可视为质点），轻绳的另一端固定在天花板上的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点，天花板上还固定着一个锋利刀片。在最低点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时，现给小球一个水平向左的初速度，当小球摆到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点时，轻绳被刀片割断，此时</w:t>
      </w:r>
      <w:r>
        <w:rPr>
          <w:rFonts w:ascii="Times New Roman" w:eastAsia="Times New Roman" w:hAnsi="Times New Roman" w:cs="Times New Roman"/>
          <w:i/>
          <w:color w:val="000000"/>
        </w:rPr>
        <w:t>OB</w:t>
      </w:r>
      <w:r>
        <w:rPr>
          <w:rFonts w:ascii="宋体" w:eastAsia="宋体" w:hAnsi="宋体" w:cs="宋体"/>
          <w:color w:val="000000"/>
        </w:rPr>
        <w:t>与竖直方向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的夹角为</w:t>
      </w:r>
      <w:r>
        <w:rPr>
          <w:rFonts w:ascii="Times New Roman" w:eastAsia="Times New Roman" w:hAnsi="Times New Roman" w:cs="Times New Roman"/>
          <w:color w:val="000000"/>
        </w:rPr>
        <w:t>45°</w:t>
      </w:r>
      <w:r>
        <w:rPr>
          <w:rFonts w:ascii="宋体" w:eastAsia="宋体" w:hAnsi="宋体" w:cs="宋体"/>
          <w:color w:val="000000"/>
        </w:rPr>
        <w:t>，轻绳被割断后小球向左运动的最高点为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，此时小球的速度大小为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。重力加速度大小为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，不计空气阻力。则小球在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点开始运动时受到轻绳的拉力大小为（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19325" cy="1476375"/>
            <wp:effectExtent l="0" t="0" r="317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1pt;height:33pt" o:ole="" coordsize="21600,21600" o:preferrelative="t" filled="f" stroked="f">
            <v:stroke joinstyle="miter"/>
            <v:imagedata r:id="rId17" o:title="eqIdec3f554e7c7204d69336527d94166edb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66.45pt;height:34.15pt" o:ole="" coordsize="21600,21600" o:preferrelative="t" filled="f" stroked="f">
            <v:stroke joinstyle="miter"/>
            <v:imagedata r:id="rId19" o:title="eqId262fab878472936accb3b9bb290bcc33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9.25pt;height:32.75pt" o:ole="" coordsize="21600,21600" o:preferrelative="t" filled="f" stroked="f">
            <v:stroke joinstyle="miter"/>
            <v:imagedata r:id="rId21" o:title="eqIdb72aafd6641a7b2151683463cae7df04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2.75pt;height:32.75pt" o:ole="" coordsize="21600,21600" o:preferrelative="t" filled="f" stroked="f">
            <v:stroke joinstyle="miter"/>
            <v:imagedata r:id="rId23" o:title="eqIdaa15578b8ada3b6286404d96fcd5b0ec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如图所示，真空中固定两个等量异种点电荷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，其连线中点为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，其中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带正电。在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所形成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879702332" name="图片 879702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02332" name="图片 8797023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电场中，以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点为圆心、半径为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的圆面垂直于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，以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为几何中心、边长为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的正方形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平面垂直于圆面且与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共面，两平面边线交点分别为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为圆面边缘上一点。下列说法正确的是（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24050" cy="1057275"/>
            <wp:effectExtent l="0" t="0" r="635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三点电势相等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四点电场强度相同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将一负试探电荷沿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边从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移动到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过程中，试探电荷的电势能先增大后减小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将一正试探电荷沿线段</w:t>
      </w:r>
      <w:r>
        <w:rPr>
          <w:rFonts w:ascii="Times New Roman" w:eastAsia="Times New Roman" w:hAnsi="Times New Roman" w:cs="Times New Roman"/>
          <w:i/>
          <w:color w:val="000000"/>
        </w:rPr>
        <w:t>eOf</w:t>
      </w:r>
      <w:r>
        <w:rPr>
          <w:rFonts w:ascii="宋体" w:eastAsia="宋体" w:hAnsi="宋体" w:cs="宋体"/>
          <w:color w:val="000000"/>
        </w:rPr>
        <w:t>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移动到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过程中，试探电荷受到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879702330" name="图片 879702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02330" name="图片 8797023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电场力先减小后增大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如图所示，质量相等的两个静止小球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，中间用轻质弹簧连接，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的上端用轻绳系在足够高的天花板上。现将轻绳剪断开始计时，直至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球速度为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1.25pt;height:18.1pt" o:ole="" coordsize="21600,21600" o:preferrelative="t" filled="f" stroked="f">
            <v:stroke joinstyle="miter"/>
            <v:imagedata r:id="rId27" o:title="eqIdf44c235d8b49207ad3f2d77dc5d6cf20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球速度为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9" o:title="eqId814f55724f7ee57bd395eb3b95393c68"/>
            <o:lock v:ext="edit" aspectratio="t"/>
            <w10:anchorlock/>
          </v:shape>
          <o:OLEObject Type="Embed" ProgID="Equation.DSMT4" ShapeID="_x0000_i1033" DrawAspect="Content" ObjectID="_1468075733" r:id="rId30"/>
        </w:object>
      </w:r>
      <w:r>
        <w:rPr>
          <w:rFonts w:ascii="宋体" w:eastAsia="宋体" w:hAnsi="宋体" w:cs="宋体"/>
          <w:color w:val="000000"/>
        </w:rPr>
        <w:t>，且方向均向下，则该过程所用时间为（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657225" cy="1266825"/>
            <wp:effectExtent l="0" t="0" r="3175" b="317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5.25pt;height:33pt" o:ole="" coordsize="21600,21600" o:preferrelative="t" filled="f" stroked="f">
            <v:stroke joinstyle="miter"/>
            <v:imagedata r:id="rId32" o:title="eqIda6932271a5efd7980cd1487484af0acc"/>
            <o:lock v:ext="edit" aspectratio="t"/>
            <w10:anchorlock/>
          </v:shape>
          <o:OLEObject Type="Embed" ProgID="Equation.DSMT4" ShapeID="_x0000_i1034" DrawAspect="Content" ObjectID="_1468075734" r:id="rId3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4.8pt;height:33pt" o:ole="" coordsize="21600,21600" o:preferrelative="t" filled="f" stroked="f">
            <v:stroke joinstyle="miter"/>
            <v:imagedata r:id="rId34" o:title="eqId7fdd9813da3450e0085f78cce4207d4e"/>
            <o:lock v:ext="edit" aspectratio="t"/>
            <w10:anchorlock/>
          </v:shape>
          <o:OLEObject Type="Embed" ProgID="Equation.DSMT4" ShapeID="_x0000_i1035" DrawAspect="Content" ObjectID="_1468075735" r:id="rId3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5.15pt;height:32.85pt" o:ole="" coordsize="21600,21600" o:preferrelative="t" filled="f" stroked="f">
            <v:stroke joinstyle="miter"/>
            <v:imagedata r:id="rId36" o:title="eqId53c418ade43b4419ef3f49aad32afa82"/>
            <o:lock v:ext="edit" aspectratio="t"/>
            <w10:anchorlock/>
          </v:shape>
          <o:OLEObject Type="Embed" ProgID="Equation.DSMT4" ShapeID="_x0000_i1036" DrawAspect="Content" ObjectID="_1468075736" r:id="rId3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4.8pt;height:33pt" o:ole="" coordsize="21600,21600" o:preferrelative="t" filled="f" stroked="f">
            <v:stroke joinstyle="miter"/>
            <v:imagedata r:id="rId38" o:title="eqId3c00bb966bd0c1238eb94ded34d7139e"/>
            <o:lock v:ext="edit" aspectratio="t"/>
            <w10:anchorlock/>
          </v:shape>
          <o:OLEObject Type="Embed" ProgID="Equation.DSMT4" ShapeID="_x0000_i1037" DrawAspect="Content" ObjectID="_1468075737" r:id="rId3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如图所示，平行板电容器水平放置，开关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断开，电源通过二极管给电容器充电，一带电粒子从上、下极板左侧正中央的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点以一定速度平行于极板射入，恰好从下极板右侧边缘飞出，不计粒子自身重力和空气阻力，极板间电场可视为匀强电场，若粒子打到极板上即被吸收。以下情形，保持入射点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的位置不变，其中说法正确的是（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19275" cy="1390650"/>
            <wp:effectExtent l="0" t="0" r="9525" b="635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将开关保持闭合，若将上极板稍向下移动，要求粒子仍能从下极板右侧边缘飞出，则需要增大入射速度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将开关保持闭合，若将下极板稍向上移动，粒子在极板间运动时电势能减少量不变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https://d.book118.com/037056064160006030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7541254"/>
    <w:rsid w:val="38274566"/>
    <w:rsid w:val="45267EFE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4.wmf" /><Relationship Id="rId26" Type="http://schemas.openxmlformats.org/officeDocument/2006/relationships/image" Target="media/image15.png" /><Relationship Id="rId27" Type="http://schemas.openxmlformats.org/officeDocument/2006/relationships/image" Target="media/image16.wmf" /><Relationship Id="rId28" Type="http://schemas.openxmlformats.org/officeDocument/2006/relationships/oleObject" Target="embeddings/oleObject8.bin" /><Relationship Id="rId29" Type="http://schemas.openxmlformats.org/officeDocument/2006/relationships/image" Target="media/image1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8.png" /><Relationship Id="rId32" Type="http://schemas.openxmlformats.org/officeDocument/2006/relationships/image" Target="media/image19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22.wmf" /><Relationship Id="rId39" Type="http://schemas.openxmlformats.org/officeDocument/2006/relationships/oleObject" Target="embeddings/oleObject13.bin" /><Relationship Id="rId4" Type="http://schemas.openxmlformats.org/officeDocument/2006/relationships/customXml" Target="../customXml/item1.xml" /><Relationship Id="rId40" Type="http://schemas.openxmlformats.org/officeDocument/2006/relationships/image" Target="media/image23.png" /><Relationship Id="rId41" Type="http://schemas.openxmlformats.org/officeDocument/2006/relationships/hyperlink" Target="https://d.book118.com/037056064160006030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2024-01-11T03:21:00Z</dcterms:created>
  <dcterms:modified xsi:type="dcterms:W3CDTF">2024-01-13T13:24:46Z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448EBDD4172E4CEAB00A77CE0513B7B5_12</vt:lpwstr>
  </property>
  <property fmtid="{D5CDD505-2E9C-101B-9397-08002B2CF9AE}" pid="3" name="KSOProductBuildVer">
    <vt:lpwstr>2052-12.1.0.16120</vt:lpwstr>
  </property>
</Properties>
</file>