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4AD" w:rsidRPr="00A26973">
      <w:pPr>
        <w:spacing w:before="340" w:after="330" w:line="560" w:lineRule="exact"/>
        <w:jc w:val="center"/>
        <w:rPr>
          <w:rFonts w:ascii="宋体" w:eastAsia="宋体" w:hAnsi="宋体" w:hint="eastAsia"/>
          <w:b/>
          <w:w w:val="90"/>
          <w:sz w:val="48"/>
          <w:szCs w:val="48"/>
        </w:rPr>
      </w:pPr>
      <w:r w:rsidRPr="00A26973">
        <w:rPr>
          <w:rFonts w:ascii="宋体" w:eastAsia="宋体" w:hAnsi="宋体" w:hint="eastAsia"/>
          <w:b/>
          <w:w w:val="90"/>
          <w:sz w:val="48"/>
          <w:szCs w:val="48"/>
        </w:rPr>
        <w:t>深圳市前海建设投资控股集团有限公司</w:t>
      </w:r>
    </w:p>
    <w:p w:rsidR="006564AD" w:rsidRPr="00A26973">
      <w:pPr>
        <w:spacing w:before="340" w:after="330" w:line="560" w:lineRule="exact"/>
        <w:jc w:val="center"/>
        <w:rPr>
          <w:rFonts w:ascii="宋体" w:eastAsia="宋体" w:hAnsi="宋体" w:hint="eastAsia"/>
          <w:b/>
          <w:w w:val="90"/>
          <w:sz w:val="48"/>
          <w:szCs w:val="48"/>
        </w:rPr>
      </w:pPr>
      <w:r w:rsidRPr="00A26973">
        <w:rPr>
          <w:rFonts w:ascii="宋体" w:eastAsia="宋体" w:hAnsi="宋体" w:hint="eastAsia"/>
          <w:b/>
          <w:w w:val="90"/>
          <w:sz w:val="48"/>
          <w:szCs w:val="48"/>
        </w:rPr>
        <w:t>工程变更管理办法</w:t>
      </w: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rPr>
          <w:rFonts w:ascii="宋体" w:hAnsi="宋体" w:hint="eastAsia"/>
          <w:b/>
          <w:sz w:val="44"/>
          <w:szCs w:val="44"/>
        </w:rPr>
      </w:pPr>
    </w:p>
    <w:p w:rsidR="006564AD" w:rsidRPr="00A26973">
      <w:pPr>
        <w:widowControl/>
        <w:jc w:val="center"/>
        <w:rPr>
          <w:rFonts w:ascii="宋体" w:hAnsi="宋体" w:hint="eastAsia"/>
          <w:b/>
          <w:sz w:val="44"/>
          <w:szCs w:val="44"/>
        </w:rPr>
      </w:pPr>
    </w:p>
    <w:p w:rsidR="006564AD" w:rsidRPr="00A26973">
      <w:pPr>
        <w:widowControl/>
        <w:rPr>
          <w:rFonts w:ascii="宋体" w:hAnsi="宋体" w:hint="eastAsia"/>
          <w:b/>
          <w:sz w:val="44"/>
          <w:szCs w:val="44"/>
        </w:rPr>
      </w:pPr>
    </w:p>
    <w:p w:rsidR="006564AD" w:rsidRPr="00A26973">
      <w:pPr>
        <w:widowControl/>
        <w:spacing w:before="340" w:after="330"/>
        <w:jc w:val="center"/>
        <w:rPr>
          <w:rFonts w:ascii="宋体" w:eastAsia="宋体" w:hAnsi="宋体" w:hint="eastAsia"/>
          <w:b/>
          <w:sz w:val="44"/>
          <w:szCs w:val="44"/>
        </w:rPr>
      </w:pPr>
      <w:r w:rsidRPr="00A26973">
        <w:rPr>
          <w:rFonts w:ascii="宋体" w:eastAsia="宋体" w:hAnsi="宋体" w:hint="eastAsia"/>
          <w:b/>
          <w:sz w:val="44"/>
          <w:szCs w:val="44"/>
        </w:rPr>
        <w:t>深圳市前海建设投资控股集团有限公司</w:t>
      </w:r>
    </w:p>
    <w:p w:rsidR="006564AD" w:rsidRPr="00062406">
      <w:pPr>
        <w:widowControl/>
        <w:spacing w:before="340" w:after="330"/>
        <w:jc w:val="center"/>
        <w:rPr>
          <w:rFonts w:ascii="宋体" w:eastAsia="宋体" w:hAnsi="宋体" w:hint="eastAsia"/>
          <w:b/>
          <w:sz w:val="44"/>
          <w:szCs w:val="44"/>
        </w:rPr>
      </w:pPr>
      <w:r w:rsidRPr="00A26973">
        <w:rPr>
          <w:rFonts w:ascii="宋体" w:eastAsia="宋体" w:hAnsi="宋体" w:hint="eastAsia"/>
          <w:b/>
          <w:sz w:val="44"/>
          <w:szCs w:val="44"/>
        </w:rPr>
        <w:t>202</w:t>
      </w:r>
      <w:r w:rsidRPr="0016720D">
        <w:rPr>
          <w:rFonts w:ascii="宋体" w:eastAsia="宋体" w:hAnsi="宋体" w:hint="eastAsia"/>
          <w:b/>
          <w:sz w:val="44"/>
          <w:szCs w:val="44"/>
        </w:rPr>
        <w:t>2</w:t>
      </w:r>
      <w:r w:rsidRPr="00062406">
        <w:rPr>
          <w:rFonts w:ascii="宋体" w:eastAsia="宋体" w:hAnsi="宋体" w:hint="eastAsia"/>
          <w:b/>
          <w:sz w:val="44"/>
          <w:szCs w:val="44"/>
        </w:rPr>
        <w:t>年</w:t>
      </w:r>
      <w:r w:rsidRPr="00062406" w:rsidR="00062406">
        <w:rPr>
          <w:rFonts w:ascii="宋体" w:eastAsia="宋体" w:hAnsi="宋体" w:hint="eastAsia"/>
          <w:b/>
          <w:sz w:val="44"/>
          <w:szCs w:val="44"/>
        </w:rPr>
        <w:t>0</w:t>
      </w:r>
      <w:r w:rsidR="00062406">
        <w:rPr>
          <w:rFonts w:ascii="宋体" w:eastAsia="宋体" w:hAnsi="宋体"/>
          <w:b/>
          <w:sz w:val="44"/>
          <w:szCs w:val="44"/>
        </w:rPr>
        <w:t>6</w:t>
      </w:r>
      <w:r w:rsidRPr="00062406">
        <w:rPr>
          <w:rFonts w:ascii="宋体" w:eastAsia="宋体" w:hAnsi="宋体" w:hint="eastAsia"/>
          <w:b/>
          <w:sz w:val="44"/>
          <w:szCs w:val="44"/>
        </w:rPr>
        <w:t>月</w:t>
      </w:r>
    </w:p>
    <w:p w:rsidR="006564AD" w:rsidRPr="00062406">
      <w:pPr>
        <w:widowControl/>
        <w:jc w:val="center"/>
        <w:rPr>
          <w:rFonts w:ascii="宋体" w:hAnsi="宋体" w:hint="eastAsia"/>
          <w:b/>
          <w:sz w:val="48"/>
          <w:szCs w:val="48"/>
        </w:rPr>
        <w:sectPr>
          <w:headerReference w:type="default" r:id="rId4"/>
          <w:footerReference w:type="default" r:id="rId5"/>
          <w:headerReference w:type="first" r:id="rId6"/>
          <w:footerReference w:type="first" r:id="rId7"/>
          <w:pgSz w:w="11906" w:h="16838"/>
          <w:pgMar w:top="1440" w:right="1800" w:bottom="1440" w:left="1800" w:header="851" w:footer="992" w:gutter="0"/>
          <w:pgNumType w:start="1"/>
          <w:cols w:space="720"/>
          <w:titlePg/>
          <w:docGrid w:type="lines" w:linePitch="312"/>
        </w:sectPr>
      </w:pPr>
    </w:p>
    <w:tbl>
      <w:tblPr>
        <w:tblStyle w:val="TableNormal"/>
        <w:tblW w:w="4977" w:type="pct"/>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904"/>
        <w:gridCol w:w="1406"/>
        <w:gridCol w:w="888"/>
        <w:gridCol w:w="3425"/>
        <w:gridCol w:w="1326"/>
        <w:gridCol w:w="1013"/>
      </w:tblGrid>
      <w:tr>
        <w:tblPrEx>
          <w:tblW w:w="4977" w:type="pct"/>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Ex>
        <w:trPr>
          <w:trHeight w:val="833"/>
          <w:jc w:val="center"/>
        </w:trPr>
        <w:tc>
          <w:tcPr>
            <w:tcW w:w="504" w:type="pct"/>
            <w:vAlign w:val="center"/>
          </w:tcPr>
          <w:p w:rsidR="006564AD" w:rsidRPr="00062406">
            <w:pPr>
              <w:spacing w:line="360" w:lineRule="auto"/>
              <w:jc w:val="center"/>
              <w:rPr>
                <w:rFonts w:ascii="仿宋_GB2312" w:eastAsia="仿宋_GB2312" w:hAnsi="宋体"/>
                <w:b/>
                <w:szCs w:val="21"/>
              </w:rPr>
            </w:pPr>
            <w:r w:rsidRPr="00062406">
              <w:rPr>
                <w:rFonts w:ascii="仿宋_GB2312" w:eastAsia="仿宋_GB2312" w:hAnsi="宋体" w:hint="eastAsia"/>
                <w:b/>
                <w:szCs w:val="21"/>
              </w:rPr>
              <w:t>版本号</w:t>
            </w:r>
          </w:p>
        </w:tc>
        <w:tc>
          <w:tcPr>
            <w:tcW w:w="784" w:type="pct"/>
            <w:vAlign w:val="center"/>
          </w:tcPr>
          <w:p w:rsidR="006564AD" w:rsidRPr="00062406">
            <w:pPr>
              <w:spacing w:line="360" w:lineRule="auto"/>
              <w:jc w:val="center"/>
              <w:rPr>
                <w:rFonts w:ascii="仿宋_GB2312" w:eastAsia="仿宋_GB2312" w:hAnsi="宋体"/>
                <w:b/>
                <w:szCs w:val="21"/>
              </w:rPr>
            </w:pPr>
            <w:r w:rsidRPr="00062406">
              <w:rPr>
                <w:rFonts w:ascii="仿宋_GB2312" w:eastAsia="仿宋_GB2312" w:hAnsi="宋体"/>
                <w:b/>
                <w:szCs w:val="21"/>
              </w:rPr>
              <w:t>编制</w:t>
            </w:r>
            <w:r w:rsidRPr="00062406">
              <w:rPr>
                <w:rFonts w:ascii="仿宋_GB2312" w:eastAsia="仿宋_GB2312" w:hAnsi="宋体" w:hint="eastAsia"/>
                <w:b/>
                <w:szCs w:val="21"/>
              </w:rPr>
              <w:t>单位</w:t>
            </w:r>
          </w:p>
        </w:tc>
        <w:tc>
          <w:tcPr>
            <w:tcW w:w="495" w:type="pct"/>
            <w:vAlign w:val="center"/>
          </w:tcPr>
          <w:p w:rsidR="006564AD" w:rsidRPr="00062406">
            <w:pPr>
              <w:spacing w:line="360" w:lineRule="auto"/>
              <w:jc w:val="center"/>
              <w:rPr>
                <w:rFonts w:ascii="仿宋_GB2312" w:eastAsia="仿宋_GB2312" w:hAnsi="宋体"/>
                <w:b/>
                <w:szCs w:val="21"/>
              </w:rPr>
            </w:pPr>
            <w:r w:rsidRPr="00062406">
              <w:rPr>
                <w:rFonts w:ascii="仿宋_GB2312" w:eastAsia="仿宋_GB2312" w:hAnsi="宋体"/>
                <w:b/>
                <w:szCs w:val="21"/>
              </w:rPr>
              <w:t>编制</w:t>
            </w:r>
            <w:r w:rsidRPr="00062406">
              <w:rPr>
                <w:rFonts w:ascii="仿宋_GB2312" w:eastAsia="仿宋_GB2312" w:hAnsi="宋体" w:hint="eastAsia"/>
                <w:b/>
                <w:szCs w:val="21"/>
              </w:rPr>
              <w:t>人</w:t>
            </w:r>
          </w:p>
        </w:tc>
        <w:tc>
          <w:tcPr>
            <w:tcW w:w="1910" w:type="pct"/>
            <w:vAlign w:val="center"/>
          </w:tcPr>
          <w:p w:rsidR="006564AD" w:rsidRPr="00062406">
            <w:pPr>
              <w:spacing w:line="360" w:lineRule="auto"/>
              <w:jc w:val="center"/>
              <w:rPr>
                <w:rFonts w:ascii="仿宋_GB2312" w:eastAsia="仿宋_GB2312" w:hAnsi="宋体"/>
                <w:b/>
                <w:szCs w:val="21"/>
              </w:rPr>
            </w:pPr>
            <w:r w:rsidRPr="00062406">
              <w:rPr>
                <w:rFonts w:ascii="仿宋_GB2312" w:eastAsia="仿宋_GB2312" w:hAnsi="宋体"/>
                <w:b/>
                <w:szCs w:val="21"/>
              </w:rPr>
              <w:t>本次</w:t>
            </w:r>
            <w:r w:rsidRPr="00062406">
              <w:rPr>
                <w:rFonts w:ascii="仿宋_GB2312" w:eastAsia="仿宋_GB2312" w:hAnsi="宋体" w:hint="eastAsia"/>
                <w:b/>
                <w:szCs w:val="21"/>
              </w:rPr>
              <w:t>修订</w:t>
            </w:r>
            <w:r w:rsidRPr="00062406">
              <w:rPr>
                <w:rFonts w:ascii="仿宋_GB2312" w:eastAsia="仿宋_GB2312" w:hAnsi="宋体"/>
                <w:b/>
                <w:szCs w:val="21"/>
              </w:rPr>
              <w:t>或升版原因</w:t>
            </w:r>
          </w:p>
          <w:p w:rsidR="006564AD" w:rsidRPr="00062406">
            <w:pPr>
              <w:spacing w:line="360" w:lineRule="auto"/>
              <w:jc w:val="center"/>
              <w:rPr>
                <w:rFonts w:ascii="仿宋_GB2312" w:eastAsia="仿宋_GB2312" w:hAnsi="宋体"/>
                <w:b/>
                <w:szCs w:val="21"/>
              </w:rPr>
            </w:pPr>
            <w:r w:rsidRPr="00062406">
              <w:rPr>
                <w:rFonts w:ascii="仿宋_GB2312" w:eastAsia="仿宋_GB2312" w:hAnsi="宋体"/>
                <w:b/>
                <w:szCs w:val="21"/>
              </w:rPr>
              <w:t>及</w:t>
            </w:r>
            <w:r w:rsidRPr="00062406">
              <w:rPr>
                <w:rFonts w:ascii="仿宋_GB2312" w:eastAsia="仿宋_GB2312" w:hAnsi="宋体" w:hint="eastAsia"/>
                <w:b/>
                <w:szCs w:val="21"/>
              </w:rPr>
              <w:t>主要</w:t>
            </w:r>
            <w:r w:rsidRPr="00062406">
              <w:rPr>
                <w:rFonts w:ascii="仿宋_GB2312" w:eastAsia="仿宋_GB2312" w:hAnsi="宋体"/>
                <w:b/>
                <w:szCs w:val="21"/>
              </w:rPr>
              <w:t>修改</w:t>
            </w:r>
            <w:r w:rsidRPr="00062406">
              <w:rPr>
                <w:rFonts w:ascii="仿宋_GB2312" w:eastAsia="仿宋_GB2312" w:hAnsi="宋体" w:hint="eastAsia"/>
                <w:b/>
                <w:szCs w:val="21"/>
              </w:rPr>
              <w:t>内容</w:t>
            </w:r>
          </w:p>
        </w:tc>
        <w:tc>
          <w:tcPr>
            <w:tcW w:w="740" w:type="pct"/>
            <w:vAlign w:val="center"/>
          </w:tcPr>
          <w:p w:rsidR="006564AD" w:rsidRPr="00062406">
            <w:pPr>
              <w:spacing w:line="360" w:lineRule="auto"/>
              <w:jc w:val="center"/>
              <w:rPr>
                <w:rFonts w:ascii="仿宋_GB2312" w:eastAsia="仿宋_GB2312" w:hAnsi="宋体" w:hint="eastAsia"/>
                <w:b/>
                <w:szCs w:val="21"/>
              </w:rPr>
            </w:pPr>
            <w:r w:rsidRPr="00062406">
              <w:rPr>
                <w:rFonts w:ascii="仿宋_GB2312" w:eastAsia="仿宋_GB2312" w:hAnsi="宋体" w:hint="eastAsia"/>
                <w:b/>
                <w:szCs w:val="21"/>
              </w:rPr>
              <w:t>主要修改</w:t>
            </w:r>
          </w:p>
          <w:p w:rsidR="006564AD" w:rsidRPr="00062406">
            <w:pPr>
              <w:spacing w:line="360" w:lineRule="auto"/>
              <w:jc w:val="center"/>
              <w:rPr>
                <w:rFonts w:ascii="仿宋_GB2312" w:eastAsia="仿宋_GB2312" w:hAnsi="宋体"/>
                <w:b/>
                <w:szCs w:val="21"/>
              </w:rPr>
            </w:pPr>
            <w:r w:rsidRPr="00062406">
              <w:rPr>
                <w:rFonts w:ascii="仿宋_GB2312" w:eastAsia="仿宋_GB2312" w:hAnsi="宋体" w:hint="eastAsia"/>
                <w:b/>
                <w:szCs w:val="21"/>
              </w:rPr>
              <w:t>章节</w:t>
            </w:r>
            <w:r w:rsidRPr="00062406">
              <w:rPr>
                <w:rFonts w:ascii="仿宋_GB2312" w:eastAsia="仿宋_GB2312" w:hAnsi="宋体"/>
                <w:b/>
                <w:szCs w:val="21"/>
              </w:rPr>
              <w:t>及页码</w:t>
            </w:r>
          </w:p>
        </w:tc>
        <w:tc>
          <w:tcPr>
            <w:tcW w:w="565" w:type="pct"/>
            <w:vAlign w:val="center"/>
          </w:tcPr>
          <w:p w:rsidR="006564AD" w:rsidRPr="00062406">
            <w:pPr>
              <w:spacing w:line="360" w:lineRule="auto"/>
              <w:jc w:val="center"/>
              <w:rPr>
                <w:rFonts w:ascii="仿宋_GB2312" w:eastAsia="仿宋_GB2312" w:hAnsi="宋体"/>
                <w:b/>
                <w:szCs w:val="21"/>
              </w:rPr>
            </w:pPr>
            <w:r w:rsidRPr="00062406">
              <w:rPr>
                <w:rFonts w:ascii="仿宋_GB2312" w:eastAsia="仿宋_GB2312" w:hAnsi="宋体"/>
                <w:b/>
                <w:szCs w:val="21"/>
              </w:rPr>
              <w:t>日期</w:t>
            </w:r>
          </w:p>
        </w:tc>
      </w:tr>
      <w:tr>
        <w:tblPrEx>
          <w:tblW w:w="4977" w:type="pct"/>
          <w:jc w:val="center"/>
          <w:tblInd w:w="0" w:type="dxa"/>
          <w:tblLook w:val="0000"/>
        </w:tblPrEx>
        <w:trPr>
          <w:trHeight w:val="1245"/>
          <w:jc w:val="center"/>
        </w:trPr>
        <w:tc>
          <w:tcPr>
            <w:tcW w:w="504"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A/2</w:t>
            </w:r>
          </w:p>
        </w:tc>
        <w:tc>
          <w:tcPr>
            <w:tcW w:w="784"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安全质量部（技术中心）</w:t>
            </w:r>
          </w:p>
        </w:tc>
        <w:tc>
          <w:tcPr>
            <w:tcW w:w="495"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李妍</w:t>
            </w:r>
          </w:p>
        </w:tc>
        <w:tc>
          <w:tcPr>
            <w:tcW w:w="1910" w:type="pct"/>
            <w:vAlign w:val="center"/>
          </w:tcPr>
          <w:p w:rsidR="006564AD" w:rsidRPr="00062406">
            <w:pPr>
              <w:numPr>
                <w:ilvl w:val="0"/>
                <w:numId w:val="2"/>
              </w:numPr>
              <w:tabs>
                <w:tab w:val="left" w:pos="312"/>
              </w:tabs>
              <w:spacing w:line="240" w:lineRule="atLeast"/>
              <w:jc w:val="left"/>
              <w:rPr>
                <w:rFonts w:ascii="仿宋_GB2312" w:eastAsia="仿宋_GB2312" w:hAnsi="仿宋_GB2312" w:cs="仿宋_GB2312" w:hint="eastAsia"/>
                <w:szCs w:val="21"/>
              </w:rPr>
            </w:pPr>
            <w:r w:rsidRPr="00062406">
              <w:rPr>
                <w:rFonts w:ascii="仿宋_GB2312" w:eastAsia="仿宋_GB2312" w:hAnsi="仿宋_GB2312" w:cs="仿宋_GB2312" w:hint="eastAsia"/>
                <w:szCs w:val="21"/>
              </w:rPr>
              <w:t>根据《深圳市前海管理局政府投资项目工程变更管理办法》修订；</w:t>
            </w:r>
          </w:p>
          <w:p w:rsidR="006564AD" w:rsidRPr="00062406">
            <w:pPr>
              <w:numPr>
                <w:ilvl w:val="0"/>
                <w:numId w:val="2"/>
              </w:numPr>
              <w:tabs>
                <w:tab w:val="left" w:pos="312"/>
              </w:tabs>
              <w:spacing w:line="240" w:lineRule="atLeast"/>
              <w:jc w:val="left"/>
              <w:rPr>
                <w:rFonts w:ascii="仿宋_GB2312" w:eastAsia="仿宋_GB2312" w:hAnsi="仿宋_GB2312" w:cs="仿宋_GB2312"/>
                <w:szCs w:val="21"/>
              </w:rPr>
            </w:pPr>
            <w:r w:rsidRPr="00062406">
              <w:rPr>
                <w:rFonts w:ascii="仿宋_GB2312" w:eastAsia="仿宋_GB2312" w:hAnsi="仿宋_GB2312" w:cs="仿宋_GB2312" w:hint="eastAsia"/>
                <w:szCs w:val="21"/>
              </w:rPr>
              <w:t>对适用范围、变更定义、变更等级、审批权限等进行优化调整；</w:t>
            </w:r>
          </w:p>
          <w:p w:rsidR="006564AD" w:rsidRPr="00062406">
            <w:pPr>
              <w:numPr>
                <w:ilvl w:val="0"/>
                <w:numId w:val="2"/>
              </w:numPr>
              <w:tabs>
                <w:tab w:val="left" w:pos="312"/>
              </w:tabs>
              <w:spacing w:line="240" w:lineRule="atLeast"/>
              <w:jc w:val="left"/>
              <w:rPr>
                <w:rFonts w:ascii="仿宋_GB2312" w:eastAsia="仿宋_GB2312" w:hAnsi="仿宋_GB2312" w:cs="仿宋_GB2312"/>
                <w:szCs w:val="21"/>
              </w:rPr>
            </w:pPr>
            <w:r w:rsidRPr="00062406">
              <w:rPr>
                <w:rFonts w:ascii="仿宋_GB2312" w:eastAsia="仿宋_GB2312" w:hAnsi="仿宋_GB2312" w:cs="仿宋_GB2312" w:hint="eastAsia"/>
                <w:szCs w:val="21"/>
              </w:rPr>
              <w:t>文字、附表等优化修订。</w:t>
            </w:r>
          </w:p>
        </w:tc>
        <w:tc>
          <w:tcPr>
            <w:tcW w:w="740"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w:t>
            </w:r>
          </w:p>
        </w:tc>
        <w:tc>
          <w:tcPr>
            <w:tcW w:w="565"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2021.12</w:t>
            </w:r>
          </w:p>
        </w:tc>
      </w:tr>
      <w:tr>
        <w:tblPrEx>
          <w:tblW w:w="4977" w:type="pct"/>
          <w:jc w:val="center"/>
          <w:tblInd w:w="0" w:type="dxa"/>
          <w:tblLook w:val="0000"/>
        </w:tblPrEx>
        <w:trPr>
          <w:trHeight w:val="1245"/>
          <w:jc w:val="center"/>
        </w:trPr>
        <w:tc>
          <w:tcPr>
            <w:tcW w:w="504"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A/3</w:t>
            </w:r>
          </w:p>
        </w:tc>
        <w:tc>
          <w:tcPr>
            <w:tcW w:w="784"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安全质量部（技术中心）</w:t>
            </w:r>
          </w:p>
        </w:tc>
        <w:tc>
          <w:tcPr>
            <w:tcW w:w="495"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李妍</w:t>
            </w:r>
          </w:p>
        </w:tc>
        <w:tc>
          <w:tcPr>
            <w:tcW w:w="1910" w:type="pct"/>
            <w:vAlign w:val="center"/>
          </w:tcPr>
          <w:p w:rsidR="006564AD" w:rsidRPr="00062406" w:rsidP="00062406">
            <w:pPr>
              <w:spacing w:line="240" w:lineRule="atLeast"/>
              <w:jc w:val="left"/>
              <w:rPr>
                <w:rFonts w:ascii="仿宋_GB2312" w:eastAsia="仿宋_GB2312" w:hAnsi="仿宋_GB2312" w:cs="仿宋_GB2312"/>
                <w:szCs w:val="21"/>
              </w:rPr>
            </w:pPr>
            <w:r w:rsidRPr="00062406">
              <w:rPr>
                <w:rFonts w:ascii="仿宋_GB2312" w:eastAsia="仿宋_GB2312" w:hAnsi="仿宋_GB2312" w:cs="仿宋_GB2312" w:hint="eastAsia"/>
                <w:szCs w:val="21"/>
              </w:rPr>
              <w:t>一类工程变更定义及附件九审批权限说明修订</w:t>
            </w:r>
          </w:p>
        </w:tc>
        <w:tc>
          <w:tcPr>
            <w:tcW w:w="740"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w:t>
            </w:r>
          </w:p>
        </w:tc>
        <w:tc>
          <w:tcPr>
            <w:tcW w:w="565" w:type="pct"/>
            <w:vAlign w:val="center"/>
          </w:tcPr>
          <w:p w:rsidR="006564AD" w:rsidRPr="00062406">
            <w:pPr>
              <w:spacing w:line="240" w:lineRule="atLeast"/>
              <w:jc w:val="center"/>
              <w:rPr>
                <w:rFonts w:ascii="仿宋_GB2312" w:eastAsia="仿宋_GB2312" w:hAnsi="仿宋_GB2312" w:cs="仿宋_GB2312" w:hint="eastAsia"/>
                <w:szCs w:val="21"/>
              </w:rPr>
            </w:pPr>
            <w:r w:rsidRPr="00062406">
              <w:rPr>
                <w:rFonts w:ascii="仿宋_GB2312" w:eastAsia="仿宋_GB2312" w:hAnsi="仿宋_GB2312" w:cs="仿宋_GB2312" w:hint="eastAsia"/>
                <w:szCs w:val="21"/>
              </w:rPr>
              <w:t>2022.5</w:t>
            </w:r>
          </w:p>
        </w:tc>
      </w:tr>
    </w:tbl>
    <w:p w:rsidR="006564AD" w:rsidRPr="00062406">
      <w:pPr>
        <w:keepNext/>
        <w:keepLines/>
        <w:spacing w:before="220" w:after="210" w:line="579" w:lineRule="auto"/>
        <w:jc w:val="center"/>
        <w:outlineLvl w:val="0"/>
        <w:rPr>
          <w:rFonts w:ascii="黑体" w:eastAsia="黑体" w:hAnsi="黑体"/>
          <w:bCs/>
          <w:kern w:val="44"/>
          <w:sz w:val="32"/>
          <w:szCs w:val="32"/>
        </w:rPr>
        <w:sectPr>
          <w:headerReference w:type="default" r:id="rId8"/>
          <w:footerReference w:type="default" r:id="rId9"/>
          <w:headerReference w:type="first" r:id="rId10"/>
          <w:footerReference w:type="first" r:id="rId11"/>
          <w:pgSz w:w="11906" w:h="16838"/>
          <w:pgMar w:top="1418" w:right="1531" w:bottom="1418" w:left="1588" w:header="851" w:footer="992" w:gutter="0"/>
          <w:pgNumType w:start="1"/>
          <w:cols w:space="720"/>
          <w:docGrid w:type="lines" w:linePitch="312"/>
        </w:sectPr>
      </w:pPr>
    </w:p>
    <w:p w:rsidR="006564AD" w:rsidRPr="00062406">
      <w:pPr>
        <w:keepNext/>
        <w:keepLines/>
        <w:spacing w:before="220" w:after="210" w:line="579" w:lineRule="auto"/>
        <w:jc w:val="center"/>
        <w:outlineLvl w:val="0"/>
        <w:rPr>
          <w:rFonts w:ascii="黑体" w:eastAsia="黑体" w:hAnsi="黑体"/>
          <w:bCs/>
          <w:kern w:val="44"/>
          <w:sz w:val="32"/>
          <w:szCs w:val="32"/>
        </w:rPr>
      </w:pPr>
      <w:r w:rsidRPr="00062406">
        <w:rPr>
          <w:rFonts w:ascii="黑体" w:eastAsia="黑体" w:hAnsi="黑体" w:hint="eastAsia"/>
          <w:bCs/>
          <w:kern w:val="44"/>
          <w:sz w:val="32"/>
          <w:szCs w:val="32"/>
        </w:rPr>
        <w:br w:type="page"/>
        <w:t>第一章</w:t>
      </w:r>
      <w:r w:rsidRPr="00062406">
        <w:rPr>
          <w:rFonts w:ascii="黑体" w:eastAsia="黑体" w:hAnsi="黑体" w:hint="eastAsia"/>
          <w:bCs/>
          <w:kern w:val="44"/>
          <w:sz w:val="32"/>
          <w:szCs w:val="32"/>
        </w:rPr>
        <w:t xml:space="preserve"> </w:t>
      </w:r>
      <w:r w:rsidRPr="00062406">
        <w:rPr>
          <w:rFonts w:ascii="黑体" w:eastAsia="黑体" w:hAnsi="黑体" w:hint="eastAsia"/>
          <w:bCs/>
          <w:kern w:val="44"/>
          <w:sz w:val="32"/>
          <w:szCs w:val="32"/>
        </w:rPr>
        <w:t xml:space="preserve"> 总</w:t>
      </w:r>
      <w:r w:rsidRPr="00062406">
        <w:rPr>
          <w:rFonts w:ascii="黑体" w:eastAsia="黑体" w:hAnsi="黑体" w:hint="eastAsia"/>
          <w:bCs/>
          <w:kern w:val="44"/>
          <w:sz w:val="32"/>
          <w:szCs w:val="32"/>
        </w:rPr>
        <w:t xml:space="preserve"> 则</w:t>
      </w:r>
    </w:p>
    <w:p w:rsidR="006564AD" w:rsidRPr="00A26973">
      <w:pPr>
        <w:pStyle w:val="a5"/>
        <w:spacing w:line="560" w:lineRule="atLeast"/>
        <w:ind w:firstLine="643"/>
      </w:pPr>
      <w:r w:rsidRPr="00062406">
        <w:rPr>
          <w:rFonts w:hint="eastAsia"/>
          <w:b/>
        </w:rPr>
        <w:t>第一条</w:t>
      </w:r>
      <w:r w:rsidRPr="00062406">
        <w:rPr>
          <w:rFonts w:hint="eastAsia"/>
        </w:rPr>
        <w:t>【目的】为规范</w:t>
      </w:r>
      <w:r w:rsidR="00A26973">
        <w:rPr>
          <w:rFonts w:hint="eastAsia"/>
        </w:rPr>
        <w:t>集团</w:t>
      </w:r>
      <w:r w:rsidRPr="00A26973">
        <w:rPr>
          <w:rFonts w:hint="eastAsia"/>
        </w:rPr>
        <w:t>工程变更管理，合理、有效控制工程造价，实现工程质量、工期和投资目标，依照有关规定，结合</w:t>
      </w:r>
      <w:r w:rsidR="00A26973">
        <w:rPr>
          <w:rFonts w:hint="eastAsia"/>
        </w:rPr>
        <w:t>集团</w:t>
      </w:r>
      <w:r w:rsidRPr="00A26973">
        <w:rPr>
          <w:rFonts w:hint="eastAsia"/>
        </w:rPr>
        <w:t>实际，制定本办法。</w:t>
      </w:r>
    </w:p>
    <w:p w:rsidR="006564AD" w:rsidRPr="00A26973">
      <w:pPr>
        <w:pStyle w:val="a5"/>
        <w:spacing w:line="560" w:lineRule="atLeast"/>
        <w:ind w:firstLine="643"/>
        <w:rPr>
          <w:rFonts w:ascii="仿宋_GB2312" w:hAnsi="仿宋_GB2312" w:hint="eastAsia"/>
        </w:rPr>
      </w:pPr>
      <w:r w:rsidRPr="00A26973">
        <w:rPr>
          <w:rFonts w:ascii="仿宋_GB2312" w:hAnsi="仿宋_GB2312" w:hint="eastAsia"/>
          <w:b/>
        </w:rPr>
        <w:t>第二条</w:t>
      </w:r>
      <w:r w:rsidRPr="00A26973">
        <w:rPr>
          <w:rFonts w:ascii="仿宋_GB2312" w:hAnsi="仿宋_GB2312" w:hint="eastAsia"/>
        </w:rPr>
        <w:t>【适用范围】本办法适用于</w:t>
      </w:r>
      <w:r w:rsidRPr="00062406">
        <w:rPr>
          <w:rFonts w:ascii="仿宋_GB2312" w:hAnsi="仿宋_GB2312" w:hint="eastAsia"/>
        </w:rPr>
        <w:t>集团及其所属各级全资、控股企业工程项目</w:t>
      </w:r>
      <w:r w:rsidRPr="00A26973">
        <w:rPr>
          <w:rFonts w:ascii="仿宋_GB2312" w:hAnsi="仿宋_GB2312" w:hint="eastAsia"/>
        </w:rPr>
        <w:t>在合同签订后，在实施过程中</w:t>
      </w:r>
      <w:r w:rsidRPr="00A26973">
        <w:rPr>
          <w:rFonts w:ascii="仿宋_GB2312" w:hint="eastAsia"/>
        </w:rPr>
        <w:t>所发生的工程变更，包括设计变更、特殊情况下发生的且不是由于施工承包方原因造成的非设计变更及现场签证（现场签证的具体要求详见现场签证管理流程）等。</w:t>
      </w:r>
      <w:r w:rsidRPr="0016720D">
        <w:rPr>
          <w:rFonts w:ascii="仿宋_GB2312" w:hAnsi="仿宋_GB2312" w:hint="eastAsia"/>
        </w:rPr>
        <w:t>其中，</w:t>
      </w:r>
      <w:r w:rsidRPr="00062406">
        <w:rPr>
          <w:rFonts w:ascii="仿宋_GB2312" w:hAnsi="仿宋_GB2312" w:hint="eastAsia"/>
        </w:rPr>
        <w:t>自有投资项目设计变更是对比按权责手册规定流程认定的施工图纸，由设计单位发出的所有施工图纸调整文件；政府投资项目工程变更是</w:t>
      </w:r>
      <w:r w:rsidRPr="00062406">
        <w:rPr>
          <w:rFonts w:hint="eastAsia"/>
        </w:rPr>
        <w:t>指对比招标时发布的设计文件的调整</w:t>
      </w:r>
      <w:r w:rsidRPr="00062406">
        <w:rPr>
          <w:rFonts w:ascii="仿宋_GB2312" w:hAnsi="仿宋_GB2312" w:hint="eastAsia"/>
        </w:rPr>
        <w:t>，特殊情况应报前海管理局批准。政府投资项目还应符合《深圳市前海管理局政府投资项目工程变更管理办法》相关要求。</w:t>
      </w:r>
    </w:p>
    <w:p w:rsidR="006564AD" w:rsidRPr="00062406">
      <w:pPr>
        <w:pStyle w:val="a5"/>
        <w:spacing w:line="560" w:lineRule="atLeast"/>
        <w:ind w:firstLine="643"/>
        <w:rPr>
          <w:rFonts w:ascii="仿宋_GB2312" w:hAnsi="仿宋_GB2312"/>
        </w:rPr>
      </w:pPr>
      <w:r w:rsidRPr="0016720D">
        <w:rPr>
          <w:rFonts w:ascii="仿宋_GB2312" w:hAnsi="仿宋_GB2312" w:hint="eastAsia"/>
          <w:b/>
        </w:rPr>
        <w:t>第三条</w:t>
      </w:r>
      <w:r w:rsidRPr="00062406">
        <w:rPr>
          <w:rFonts w:ascii="仿宋_GB2312" w:hAnsi="仿宋_GB2312" w:hint="eastAsia"/>
        </w:rPr>
        <w:t>【管理原则】工程变更的管理遵循以下原则：</w:t>
      </w:r>
    </w:p>
    <w:p w:rsidR="006564AD" w:rsidRPr="00062406">
      <w:pPr>
        <w:pStyle w:val="a5"/>
        <w:spacing w:line="560" w:lineRule="atLeast"/>
        <w:ind w:firstLine="640"/>
      </w:pPr>
      <w:r w:rsidRPr="00062406">
        <w:rPr>
          <w:rFonts w:ascii="仿宋_GB2312" w:hint="eastAsia"/>
        </w:rPr>
        <w:t>（一）实行事前控制、事后监督的动态管理。</w:t>
      </w:r>
    </w:p>
    <w:p w:rsidR="006564AD" w:rsidRPr="00062406">
      <w:pPr>
        <w:pStyle w:val="a5"/>
        <w:spacing w:line="560" w:lineRule="atLeast"/>
        <w:ind w:firstLine="640"/>
      </w:pPr>
      <w:r w:rsidRPr="00062406">
        <w:rPr>
          <w:rFonts w:ascii="仿宋_GB2312" w:hint="eastAsia"/>
        </w:rPr>
        <w:t>（二）实行审批制，严禁未经批准或无正当理由自行变更并施工的行为；严禁利用工程变更改变原有的设计标准、降低安全储备、延长工期、扩大规模；</w:t>
      </w:r>
    </w:p>
    <w:p w:rsidR="006564AD" w:rsidRPr="00062406">
      <w:pPr>
        <w:pStyle w:val="a5"/>
        <w:spacing w:line="560" w:lineRule="atLeast"/>
        <w:ind w:firstLine="640"/>
        <w:rPr>
          <w:rFonts w:ascii="仿宋_GB2312"/>
        </w:rPr>
        <w:sectPr>
          <w:headerReference w:type="default" r:id="rId12"/>
          <w:footerReference w:type="default" r:id="rId13"/>
          <w:headerReference w:type="first" r:id="rId14"/>
          <w:footerReference w:type="first" r:id="rId15"/>
          <w:type w:val="nextPage"/>
          <w:pgSz w:w="11906" w:h="16838"/>
          <w:pgMar w:top="1418" w:right="1531" w:bottom="1418" w:left="1588" w:header="851" w:footer="992" w:gutter="0"/>
          <w:pgNumType w:start="2"/>
          <w:cols w:space="720"/>
          <w:titlePg w:val="0"/>
          <w:docGrid w:type="lines" w:linePitch="312"/>
        </w:sectPr>
      </w:pPr>
      <w:r w:rsidRPr="00062406">
        <w:rPr>
          <w:rFonts w:ascii="仿宋_GB2312" w:hint="eastAsia"/>
        </w:rPr>
        <w:t>（三）鼓励优化设计、优化施工方案，以提高工程质量、缩短工期、节约成本。</w:t>
      </w:r>
    </w:p>
    <w:p w:rsidR="006564AD" w:rsidRPr="00062406">
      <w:pPr>
        <w:keepNext/>
        <w:keepLines/>
        <w:spacing w:before="220" w:after="210" w:line="579" w:lineRule="auto"/>
        <w:jc w:val="center"/>
        <w:outlineLvl w:val="0"/>
        <w:rPr>
          <w:rFonts w:ascii="黑体" w:eastAsia="黑体" w:hAnsi="黑体" w:hint="eastAsia"/>
          <w:bCs/>
          <w:kern w:val="44"/>
          <w:sz w:val="32"/>
          <w:szCs w:val="32"/>
        </w:rPr>
      </w:pPr>
      <w:r w:rsidRPr="00062406">
        <w:rPr>
          <w:rFonts w:ascii="黑体" w:eastAsia="黑体" w:hAnsi="黑体" w:hint="eastAsia"/>
          <w:bCs/>
          <w:kern w:val="44"/>
          <w:sz w:val="32"/>
          <w:szCs w:val="32"/>
        </w:rPr>
        <w:t>第二章  职责划分</w:t>
      </w:r>
    </w:p>
    <w:p w:rsidR="006564AD" w:rsidRPr="00062406">
      <w:pPr>
        <w:pStyle w:val="a5"/>
        <w:spacing w:line="560" w:lineRule="atLeast"/>
        <w:ind w:firstLine="643"/>
      </w:pPr>
      <w:r w:rsidRPr="00062406">
        <w:rPr>
          <w:rFonts w:hint="eastAsia"/>
          <w:b/>
        </w:rPr>
        <w:t>第四条</w:t>
      </w:r>
      <w:r w:rsidRPr="00062406">
        <w:rPr>
          <w:rFonts w:hint="eastAsia"/>
        </w:rPr>
        <w:t>【施工】施工承包方是工程变更的实施主体，负责提供相关附件（包括费用估算、工期影响计算等），配合变更审批工作；依据工程变更令，实施变更工程；收到工程变更令后在规定时间内提出工程变更费用报送监理单位。</w:t>
      </w:r>
    </w:p>
    <w:p w:rsidR="006564AD" w:rsidRPr="00062406">
      <w:pPr>
        <w:pStyle w:val="a5"/>
        <w:spacing w:line="560" w:lineRule="atLeast"/>
        <w:ind w:firstLine="643"/>
      </w:pPr>
      <w:r w:rsidRPr="00062406">
        <w:rPr>
          <w:rFonts w:hint="eastAsia"/>
          <w:b/>
        </w:rPr>
        <w:t>第五条</w:t>
      </w:r>
      <w:r w:rsidRPr="00062406">
        <w:rPr>
          <w:rFonts w:hint="eastAsia"/>
        </w:rPr>
        <w:t>【监理】监理单位在合同约定范围内综合处理工程变更事务，负责接纳、初审工程变更申请并提出技术评审、造价评审、综合评审意见，会同公司内部相关部门召集相关各方处理工程变更申请，下达工程变更令，建立工程变更台帐，将经批准的变更文件分发至有关单位并存档，监督工程变更的执行情况，管理工程变更的实施。</w:t>
      </w:r>
    </w:p>
    <w:p w:rsidR="006564AD" w:rsidRPr="00062406">
      <w:pPr>
        <w:pStyle w:val="a5"/>
        <w:spacing w:line="560" w:lineRule="atLeast"/>
        <w:ind w:firstLine="643"/>
      </w:pPr>
      <w:r w:rsidRPr="00062406">
        <w:rPr>
          <w:rFonts w:hint="eastAsia"/>
          <w:b/>
        </w:rPr>
        <w:t>第六条</w:t>
      </w:r>
      <w:r w:rsidRPr="00062406">
        <w:rPr>
          <w:rFonts w:hint="eastAsia"/>
        </w:rPr>
        <w:t>【勘察、设计】勘察单位应当参加与勘察相关的工程变更处理，按要求及时提出意见或其他相关资料，并派代表参与处理工程变更事务。设计单位应当参加工程变更的审查和涉及设计修改的工程变更处理，并提出设计意见；负责按要求及时提供工程变更的设计文件或服务，并派设计代表参与处理工程变更事务。</w:t>
      </w:r>
    </w:p>
    <w:p w:rsidR="006564AD" w:rsidRPr="00062406">
      <w:pPr>
        <w:pStyle w:val="a5"/>
        <w:spacing w:line="560" w:lineRule="atLeast"/>
        <w:ind w:firstLine="643"/>
        <w:sectPr>
          <w:headerReference w:type="default" r:id="rId16"/>
          <w:footerReference w:type="default" r:id="rId17"/>
          <w:headerReference w:type="first" r:id="rId18"/>
          <w:footerReference w:type="first" r:id="rId19"/>
          <w:type w:val="nextPage"/>
          <w:pgSz w:w="11906" w:h="16838"/>
          <w:pgMar w:top="1418" w:right="1531" w:bottom="1418" w:left="1588" w:header="851" w:footer="992" w:gutter="0"/>
          <w:pgNumType w:start="3"/>
          <w:cols w:space="720"/>
          <w:titlePg w:val="0"/>
          <w:docGrid w:type="lines" w:linePitch="312"/>
        </w:sectPr>
      </w:pPr>
      <w:r w:rsidRPr="00062406">
        <w:rPr>
          <w:rFonts w:hint="eastAsia"/>
          <w:b/>
        </w:rPr>
        <w:t>第七条</w:t>
      </w:r>
    </w:p>
    <w:p w:rsidR="006564AD" w:rsidRPr="00062406">
      <w:pPr>
        <w:pStyle w:val="a5"/>
        <w:spacing w:line="560" w:lineRule="atLeast"/>
        <w:ind w:firstLine="643"/>
      </w:pPr>
      <w:r w:rsidRPr="00062406">
        <w:rPr>
          <w:rFonts w:hint="eastAsia"/>
        </w:rPr>
        <w:t>【造价咨询】造价咨询单位受本公司委托对工程变更费用进行复核，提出独立的造价评审意见，并出具造价咨询成果文件（包括但不限于变更估算/预算金额、工程量计算书等），作为工程变更造价控制的依据和参考；负责审核施工承包方提交的工程变更费用。</w:t>
      </w:r>
    </w:p>
    <w:p w:rsidR="006564AD" w:rsidRPr="00062406">
      <w:pPr>
        <w:pStyle w:val="a5"/>
        <w:spacing w:line="560" w:lineRule="atLeast"/>
        <w:ind w:firstLine="643"/>
        <w:rPr>
          <w:rFonts w:hint="eastAsia"/>
          <w:kern w:val="0"/>
        </w:rPr>
      </w:pPr>
      <w:r w:rsidRPr="00062406">
        <w:rPr>
          <w:rFonts w:hint="eastAsia"/>
          <w:b/>
        </w:rPr>
        <w:t>第八条</w:t>
      </w:r>
      <w:r w:rsidRPr="00062406">
        <w:rPr>
          <w:rFonts w:hint="eastAsia"/>
        </w:rPr>
        <w:t>【</w:t>
      </w:r>
      <w:r w:rsidR="00A26973">
        <w:rPr>
          <w:rFonts w:hint="eastAsia"/>
        </w:rPr>
        <w:t>集团</w:t>
      </w:r>
      <w:r w:rsidRPr="00A26973">
        <w:rPr>
          <w:rFonts w:hint="eastAsia"/>
        </w:rPr>
        <w:t>内部】工程管理部门是公</w:t>
      </w:r>
      <w:r w:rsidRPr="0016720D">
        <w:rPr>
          <w:rFonts w:hint="eastAsia"/>
          <w:kern w:val="0"/>
        </w:rPr>
        <w:t>司现场管理部门，负责复核和协调监理单位的意见，负责对审批权限内的工程变更进行审批。</w:t>
      </w:r>
    </w:p>
    <w:p w:rsidR="006564AD" w:rsidRPr="00062406">
      <w:pPr>
        <w:pStyle w:val="a5"/>
        <w:spacing w:line="560" w:lineRule="atLeast"/>
        <w:ind w:firstLine="640"/>
        <w:rPr>
          <w:rFonts w:hint="eastAsia"/>
        </w:rPr>
      </w:pPr>
      <w:r w:rsidRPr="00062406">
        <w:rPr>
          <w:rFonts w:hint="eastAsia"/>
        </w:rPr>
        <w:t>设计管理部门负责复核和协调设计单位意见，负责对工程变更提出技术审批意见。</w:t>
      </w:r>
    </w:p>
    <w:p w:rsidR="006564AD" w:rsidRPr="00062406">
      <w:pPr>
        <w:pStyle w:val="a5"/>
        <w:spacing w:line="560" w:lineRule="atLeast"/>
        <w:ind w:firstLine="640"/>
        <w:rPr>
          <w:rFonts w:hint="eastAsia"/>
        </w:rPr>
      </w:pPr>
      <w:r w:rsidRPr="00062406">
        <w:rPr>
          <w:rFonts w:hint="eastAsia"/>
        </w:rPr>
        <w:t>成本管理部门组织并跟进施工、监理、造价咨询单位变更成本测算，负责对工程变更提出造价审批意见，负责跟进工程变更费用及工期审批表的审批流程。</w:t>
      </w:r>
    </w:p>
    <w:p w:rsidR="006564AD" w:rsidRPr="00062406">
      <w:pPr>
        <w:pStyle w:val="a5"/>
        <w:spacing w:line="560" w:lineRule="atLeast"/>
        <w:ind w:firstLine="640"/>
        <w:rPr>
          <w:rFonts w:hint="eastAsia"/>
        </w:rPr>
      </w:pPr>
      <w:r w:rsidRPr="00062406">
        <w:rPr>
          <w:rFonts w:hint="eastAsia"/>
        </w:rPr>
        <w:t>项目组（部）为工程变更第一责任主体，负责跟进并履行变更审批程序，对已批准的工程变更组织实施，做好项目变更管理台账。</w:t>
      </w:r>
    </w:p>
    <w:p w:rsidR="006564AD" w:rsidRPr="00062406">
      <w:pPr>
        <w:pStyle w:val="a5"/>
        <w:spacing w:line="560" w:lineRule="atLeast"/>
        <w:ind w:firstLine="640"/>
        <w:rPr>
          <w:rFonts w:hint="eastAsia"/>
        </w:rPr>
      </w:pPr>
      <w:r w:rsidRPr="00062406">
        <w:rPr>
          <w:rFonts w:hint="eastAsia"/>
        </w:rPr>
        <w:t>其中，对于政府投资项目变更，项目组（部）应做好前海管理局定期抽查工作准备，负责提供相应的资料。对于未成立项目组（部）的项目原则上由公司内部变更提出部门履行上述职责。</w:t>
      </w:r>
    </w:p>
    <w:p w:rsidR="006564AD" w:rsidRPr="00062406">
      <w:pPr>
        <w:pStyle w:val="a5"/>
        <w:spacing w:line="560" w:lineRule="atLeast"/>
        <w:ind w:firstLine="643"/>
        <w:sectPr>
          <w:headerReference w:type="default" r:id="rId20"/>
          <w:footerReference w:type="default" r:id="rId21"/>
          <w:headerReference w:type="first" r:id="rId22"/>
          <w:footerReference w:type="first" r:id="rId23"/>
          <w:type w:val="nextPage"/>
          <w:pgSz w:w="11906" w:h="16838"/>
          <w:pgMar w:top="1418" w:right="1531" w:bottom="1418" w:left="1588" w:header="851" w:footer="992" w:gutter="0"/>
          <w:pgNumType w:start="4"/>
          <w:cols w:space="720"/>
          <w:titlePg w:val="0"/>
          <w:docGrid w:type="lines" w:linePitch="312"/>
        </w:sectPr>
      </w:pPr>
      <w:r w:rsidRPr="00A26973">
        <w:rPr>
          <w:rFonts w:hint="eastAsia"/>
          <w:b/>
        </w:rPr>
        <w:t>第九条</w:t>
      </w:r>
      <w:r w:rsidRPr="00A26973">
        <w:rPr>
          <w:rFonts w:hint="eastAsia"/>
        </w:rPr>
        <w:t>【技术委员会</w:t>
      </w:r>
      <w:bookmarkStart w:id="0" w:name="_GoBack"/>
      <w:bookmarkEnd w:id="0"/>
      <w:r w:rsidRPr="00A26973">
        <w:rPr>
          <w:rFonts w:hint="eastAsia"/>
        </w:rPr>
        <w:t>】技术委员会是公司内设的发挥专业人员技术优势进行专业决策的重要组织形式。负责对公司工程建设管理及项目实施过程中的重大技术问题进行技术咨询、技术论证及技术决策，负责对公司重大技术方案、重大事项的技术可行性进行论证，为公司重大决策提供技术依据。</w:t>
      </w:r>
      <w:r w:rsidRPr="0016720D">
        <w:rPr>
          <w:rFonts w:hint="eastAsia"/>
        </w:rPr>
        <w:t>集团技术委员会体系按</w:t>
      </w:r>
      <w:r w:rsidRPr="0016720D">
        <w:rPr>
          <w:rFonts w:hint="eastAsia"/>
        </w:rPr>
        <w:t>“</w:t>
      </w:r>
      <w:r w:rsidRPr="0016720D">
        <w:rPr>
          <w:rFonts w:hint="eastAsia"/>
        </w:rPr>
        <w:t>分层管理、独立运作</w:t>
      </w:r>
      <w:r w:rsidRPr="0016720D">
        <w:rPr>
          <w:rFonts w:hint="eastAsia"/>
        </w:rPr>
        <w:t>”</w:t>
      </w:r>
    </w:p>
    <w:p w:rsidR="006564AD" w:rsidRPr="00062406">
      <w:pPr>
        <w:pStyle w:val="a5"/>
        <w:spacing w:line="560" w:lineRule="atLeast"/>
        <w:ind w:firstLine="643"/>
      </w:pPr>
      <w:r w:rsidRPr="0016720D">
        <w:rPr>
          <w:rFonts w:hint="eastAsia"/>
        </w:rPr>
        <w:t>的模式开展工作。根据业务类别设板块技术委员会，板块技术委员会作为</w:t>
      </w:r>
      <w:r w:rsidRPr="00062406">
        <w:rPr>
          <w:rFonts w:hint="eastAsia"/>
        </w:rPr>
        <w:t>集团技术委员会体系的组成部分，目前设置业板块技术委员会（置业板块包括房建类相关单位，如：置业事业部、乐居公司、产城公司等）、基建板块技术委员会（基建事业部）、能源板块技术委员会（能源公司）、公共环境板块技术委员会（环境公司），板块技术委员会在各自决策权限范围内开展工作。具体规章制度详见现行集团技术委员会管理办法。</w:t>
      </w:r>
    </w:p>
    <w:p w:rsidR="006564AD" w:rsidRPr="00062406">
      <w:pPr>
        <w:keepNext/>
        <w:keepLines/>
        <w:spacing w:before="220" w:after="210" w:line="579" w:lineRule="auto"/>
        <w:jc w:val="center"/>
        <w:outlineLvl w:val="0"/>
        <w:rPr>
          <w:rFonts w:ascii="黑体" w:eastAsia="黑体" w:hAnsi="黑体" w:hint="eastAsia"/>
          <w:bCs/>
          <w:kern w:val="44"/>
          <w:sz w:val="32"/>
          <w:szCs w:val="32"/>
        </w:rPr>
      </w:pPr>
      <w:r w:rsidRPr="00062406">
        <w:rPr>
          <w:rFonts w:ascii="黑体" w:eastAsia="黑体" w:hAnsi="黑体" w:hint="eastAsia"/>
          <w:bCs/>
          <w:kern w:val="44"/>
          <w:sz w:val="32"/>
          <w:szCs w:val="32"/>
        </w:rPr>
        <w:t>第三章 工程变更及费用审批</w:t>
      </w:r>
    </w:p>
    <w:p w:rsidR="006564AD" w:rsidRPr="00A26973">
      <w:pPr>
        <w:pStyle w:val="a5"/>
        <w:spacing w:line="560" w:lineRule="atLeast"/>
        <w:ind w:firstLine="643"/>
      </w:pPr>
      <w:r w:rsidRPr="00A26973">
        <w:rPr>
          <w:rFonts w:hint="eastAsia"/>
          <w:b/>
        </w:rPr>
        <w:t>第十条</w:t>
      </w:r>
      <w:r w:rsidRPr="00A26973">
        <w:rPr>
          <w:rFonts w:hint="eastAsia"/>
        </w:rPr>
        <w:t>【审批分类】</w:t>
      </w:r>
      <w:r w:rsidR="00A26973">
        <w:rPr>
          <w:rFonts w:hint="eastAsia"/>
        </w:rPr>
        <w:t>集团</w:t>
      </w:r>
      <w:r w:rsidRPr="00A26973">
        <w:rPr>
          <w:rFonts w:hint="eastAsia"/>
        </w:rPr>
        <w:t>对工程变更实行分类分级管理，对工程成本实行动态管理。</w:t>
      </w:r>
      <w:r w:rsidRPr="00A26973">
        <w:rPr>
          <w:rFonts w:hint="eastAsia"/>
          <w:kern w:val="0"/>
        </w:rPr>
        <w:t>工程变更审批根据估算金额大小，按以下规定实行分类审批：</w:t>
      </w:r>
    </w:p>
    <w:p w:rsidR="006564AD" w:rsidRPr="00062406">
      <w:pPr>
        <w:pStyle w:val="a5"/>
        <w:numPr>
          <w:ilvl w:val="0"/>
          <w:numId w:val="3"/>
        </w:numPr>
        <w:spacing w:line="560" w:lineRule="atLeast"/>
        <w:ind w:firstLine="640" w:firstLineChars="0"/>
        <w:rPr>
          <w:rFonts w:hint="eastAsia"/>
        </w:rPr>
      </w:pPr>
      <w:r w:rsidRPr="00062406">
        <w:rPr>
          <w:rFonts w:hint="eastAsia"/>
        </w:rPr>
        <w:t>一类工程变更：单项变更金额增减在300万元以上（含300万元，下同），或因技术原因影响总工期120天（含120天，下同）以上的项目工程变更，经逐级审核，报板块技术委员会审议，通过后报集团技术委员会审定。其中，单项变更金额在300万元以上（含300万元）的政府投资项目工程变更，经逐级审核，报板块技术委员会审议，通过后报集团技术委员会审议，通过后按照前海管理局相关要求上报管理局审批。</w:t>
      </w:r>
    </w:p>
    <w:p w:rsidR="006564AD" w:rsidRPr="00062406">
      <w:pPr>
        <w:pStyle w:val="a5"/>
        <w:spacing w:line="560" w:lineRule="atLeast"/>
        <w:ind w:firstLine="640"/>
        <w:rPr>
          <w:rFonts w:hint="eastAsia"/>
        </w:rPr>
        <w:sectPr>
          <w:headerReference w:type="default" r:id="rId24"/>
          <w:footerReference w:type="default" r:id="rId25"/>
          <w:headerReference w:type="first" r:id="rId26"/>
          <w:footerReference w:type="first" r:id="rId27"/>
          <w:type w:val="nextPage"/>
          <w:pgSz w:w="11906" w:h="16838"/>
          <w:pgMar w:top="1418" w:right="1531" w:bottom="1418" w:left="1588" w:header="851" w:footer="992" w:gutter="0"/>
          <w:pgNumType w:start="5"/>
          <w:cols w:space="720"/>
          <w:titlePg w:val="0"/>
          <w:docGrid w:type="lines" w:linePitch="312"/>
        </w:sectPr>
      </w:pPr>
    </w:p>
    <w:p w:rsidR="006564AD" w:rsidRPr="00062406">
      <w:pPr>
        <w:pStyle w:val="a5"/>
        <w:spacing w:line="560" w:lineRule="atLeast"/>
        <w:ind w:firstLine="640"/>
        <w:rPr>
          <w:rFonts w:hint="eastAsia"/>
        </w:rPr>
      </w:pPr>
      <w:r w:rsidRPr="00062406">
        <w:rPr>
          <w:rFonts w:hint="eastAsia"/>
        </w:rPr>
        <w:t>（二）二类工程变更：单项变更金额增减在200万元以上、300万元以下（不含300万元，下同），或因技术原因影响总工期60天以上、120天以下（不含120天，下同）的工程变更。经逐级审核，报板块技术委员会审议，通过后报集团技术委员会审定。</w:t>
      </w:r>
    </w:p>
    <w:p w:rsidR="006564AD" w:rsidRPr="00062406">
      <w:pPr>
        <w:pStyle w:val="a5"/>
        <w:spacing w:line="560" w:lineRule="atLeast"/>
        <w:ind w:firstLine="640"/>
        <w:rPr>
          <w:rFonts w:hint="eastAsia"/>
        </w:rPr>
      </w:pPr>
      <w:r w:rsidRPr="00062406">
        <w:rPr>
          <w:rFonts w:hint="eastAsia"/>
        </w:rPr>
        <w:t>（三）三类工程变更：单项变更金额增减在50万元以上、200万元以下，或因技术原因影响总工期30天以上、60天以下的工程变更。经逐级审核，报板块技术委员会审定，通过后向集团技术委员会办公室备案。</w:t>
      </w:r>
    </w:p>
    <w:p w:rsidR="006564AD" w:rsidRPr="00062406">
      <w:pPr>
        <w:pStyle w:val="a5"/>
        <w:spacing w:line="560" w:lineRule="atLeast"/>
        <w:ind w:firstLine="640"/>
      </w:pPr>
      <w:r w:rsidRPr="00062406">
        <w:rPr>
          <w:rFonts w:hint="eastAsia"/>
        </w:rPr>
        <w:t>（四）四类工程变更：单项变更金额增减在10万元以上、50万元以下，或因技术原因影响总工期15天以上、30天以下的工程变更。经逐级审核，报事业部或全资子公司总经理审定，累计变更估算金额超过合同价10%的将升级为三类工程变更。</w:t>
      </w:r>
    </w:p>
    <w:p w:rsidR="006564AD" w:rsidRPr="00062406">
      <w:pPr>
        <w:pStyle w:val="a5"/>
        <w:spacing w:line="560" w:lineRule="atLeast"/>
        <w:ind w:firstLine="640"/>
        <w:rPr>
          <w:rFonts w:hint="eastAsia"/>
          <w:bCs/>
        </w:rPr>
      </w:pPr>
      <w:r w:rsidRPr="00062406">
        <w:rPr>
          <w:rFonts w:hint="eastAsia"/>
        </w:rPr>
        <w:t>（五）</w:t>
      </w:r>
      <w:r w:rsidRPr="00062406">
        <w:rPr>
          <w:rFonts w:hint="eastAsia"/>
          <w:bCs/>
        </w:rPr>
        <w:t>五类工程变更：</w:t>
      </w:r>
      <w:r w:rsidRPr="00062406">
        <w:rPr>
          <w:rFonts w:hint="eastAsia"/>
        </w:rPr>
        <w:t>单项变更</w:t>
      </w:r>
      <w:r w:rsidRPr="00062406">
        <w:rPr>
          <w:rFonts w:hint="eastAsia"/>
          <w:bCs/>
        </w:rPr>
        <w:t>金额增减在5万元以上，10万元以下，或因技术原因影响总工期5天以上、15天以下的工程变更，经逐级审核，报事业部或全资子公司副总经理审定。累计变更估算金额超过合同价5%的将升级为四类工程变更。</w:t>
      </w:r>
    </w:p>
    <w:p w:rsidR="006564AD" w:rsidRPr="00062406">
      <w:pPr>
        <w:pStyle w:val="a5"/>
        <w:spacing w:line="560" w:lineRule="atLeast"/>
        <w:ind w:firstLine="640"/>
        <w:rPr>
          <w:rFonts w:hint="eastAsia"/>
          <w:bCs/>
        </w:rPr>
      </w:pPr>
      <w:r w:rsidRPr="00062406">
        <w:rPr>
          <w:rFonts w:hint="eastAsia"/>
        </w:rPr>
        <w:t>（六）</w:t>
      </w:r>
      <w:r w:rsidRPr="00062406">
        <w:rPr>
          <w:rFonts w:hint="eastAsia"/>
          <w:bCs/>
        </w:rPr>
        <w:t>六类工程变更：</w:t>
      </w:r>
      <w:r w:rsidRPr="00062406">
        <w:rPr>
          <w:rFonts w:hint="eastAsia"/>
        </w:rPr>
        <w:t>单项变更</w:t>
      </w:r>
      <w:r w:rsidRPr="00062406">
        <w:rPr>
          <w:rFonts w:hint="eastAsia"/>
          <w:bCs/>
        </w:rPr>
        <w:t>金额增减在5万元以下，或因技术原因影响总工期5天以下的工程变更，经逐级审核，报项目经理/项目负责人审定。累计变更估算金额超过合同价3%的将升级为五类工程变更。</w:t>
      </w:r>
    </w:p>
    <w:p w:rsidR="006564AD" w:rsidRPr="00062406">
      <w:pPr>
        <w:pStyle w:val="a5"/>
        <w:spacing w:line="560" w:lineRule="atLeast"/>
        <w:ind w:firstLine="640"/>
        <w:rPr>
          <w:rFonts w:ascii="仿宋" w:eastAsia="仿宋" w:hAnsi="仿宋" w:cs="仿宋" w:hint="eastAsia"/>
          <w:shd w:val="clear" w:color="auto" w:fill="FFFFFF"/>
        </w:rPr>
      </w:pPr>
      <w:r w:rsidRPr="00A26973">
        <w:rPr>
          <w:rFonts w:hint="eastAsia"/>
        </w:rPr>
        <w:t>（七）</w:t>
      </w:r>
      <w:r w:rsidRPr="00062406">
        <w:rPr>
          <w:rFonts w:ascii="仿宋" w:eastAsia="仿宋" w:hAnsi="仿宋" w:cs="仿宋" w:hint="eastAsia"/>
          <w:shd w:val="clear" w:color="auto" w:fill="FFFFFF"/>
        </w:rPr>
        <w:t>财政性投资项目工程变更后合同累计金额超过总概算的，按前海管理局相关规定办理。</w:t>
      </w:r>
    </w:p>
    <w:p w:rsidR="006564AD" w:rsidRPr="00062406">
      <w:pPr>
        <w:pStyle w:val="a5"/>
        <w:spacing w:line="560" w:lineRule="atLeast"/>
        <w:ind w:firstLine="640"/>
        <w:rPr>
          <w:rFonts w:ascii="仿宋" w:eastAsia="仿宋" w:hAnsi="仿宋" w:cs="仿宋" w:hint="eastAsia"/>
          <w:shd w:val="clear" w:color="auto" w:fill="FFFFFF"/>
        </w:rPr>
        <w:sectPr>
          <w:headerReference w:type="default" r:id="rId28"/>
          <w:footerReference w:type="default" r:id="rId29"/>
          <w:headerReference w:type="first" r:id="rId30"/>
          <w:footerReference w:type="first" r:id="rId31"/>
          <w:type w:val="nextPage"/>
          <w:pgSz w:w="11906" w:h="16838"/>
          <w:pgMar w:top="1418" w:right="1531" w:bottom="1418" w:left="1588" w:header="851" w:footer="992" w:gutter="0"/>
          <w:pgNumType w:start="6"/>
          <w:cols w:space="720"/>
          <w:titlePg w:val="0"/>
          <w:docGrid w:type="lines" w:linePitch="312"/>
        </w:sectPr>
      </w:pPr>
      <w:r w:rsidRPr="00A26973">
        <w:rPr>
          <w:rFonts w:hint="eastAsia"/>
        </w:rPr>
        <w:t>（八）</w:t>
      </w:r>
      <w:r w:rsidRPr="00A26973">
        <w:rPr>
          <w:rFonts w:hint="eastAsia"/>
          <w:bCs/>
        </w:rPr>
        <w:t>涉及建设规模、标准、功能等重大事项调整的工程变更，不论估算金额大小，应报</w:t>
      </w:r>
      <w:r w:rsidRPr="0016720D">
        <w:rPr>
          <w:rFonts w:hint="eastAsia"/>
          <w:bCs/>
        </w:rPr>
        <w:t>集团技术</w:t>
      </w:r>
    </w:p>
    <w:p w:rsidR="006564AD" w:rsidRPr="00062406">
      <w:pPr>
        <w:pStyle w:val="a5"/>
        <w:spacing w:line="560" w:lineRule="atLeast"/>
        <w:ind w:firstLine="640"/>
        <w:rPr>
          <w:rFonts w:ascii="仿宋" w:eastAsia="仿宋" w:hAnsi="仿宋" w:cs="仿宋" w:hint="eastAsia"/>
          <w:shd w:val="clear" w:color="auto" w:fill="FFFFFF"/>
        </w:rPr>
      </w:pPr>
      <w:r w:rsidRPr="00062406">
        <w:rPr>
          <w:rFonts w:hint="eastAsia"/>
          <w:bCs/>
        </w:rPr>
        <w:t>委员会等相关会议审议。</w:t>
      </w:r>
      <w:bookmarkStart w:id="1" w:name="_Hlk69401991"/>
      <w:r w:rsidRPr="00062406">
        <w:rPr>
          <w:rFonts w:hint="eastAsia"/>
          <w:bCs/>
        </w:rPr>
        <w:t>其中，</w:t>
      </w:r>
      <w:r w:rsidRPr="00062406">
        <w:rPr>
          <w:rFonts w:ascii="仿宋" w:eastAsia="仿宋" w:hAnsi="仿宋" w:cs="仿宋" w:hint="eastAsia"/>
          <w:shd w:val="clear" w:color="auto" w:fill="FFFFFF"/>
        </w:rPr>
        <w:t>对周边环境造成重大影响、对使用功能</w:t>
      </w:r>
      <w:r w:rsidRPr="00062406">
        <w:rPr>
          <w:rFonts w:ascii="仿宋" w:eastAsia="仿宋" w:hAnsi="仿宋" w:cs="仿宋"/>
          <w:shd w:val="clear" w:color="auto" w:fill="FFFFFF"/>
        </w:rPr>
        <w:t>或规模</w:t>
      </w:r>
      <w:r w:rsidRPr="00062406">
        <w:rPr>
          <w:rFonts w:ascii="仿宋" w:eastAsia="仿宋" w:hAnsi="仿宋" w:cs="仿宋" w:hint="eastAsia"/>
          <w:shd w:val="clear" w:color="auto" w:fill="FFFFFF"/>
        </w:rPr>
        <w:t>作重大改变</w:t>
      </w:r>
      <w:bookmarkEnd w:id="1"/>
      <w:r w:rsidRPr="00062406">
        <w:rPr>
          <w:rFonts w:ascii="仿宋" w:eastAsia="仿宋" w:hAnsi="仿宋" w:cs="仿宋" w:hint="eastAsia"/>
          <w:shd w:val="clear" w:color="auto" w:fill="FFFFFF"/>
        </w:rPr>
        <w:t>或存在其他重大影响需按流程报前海管理局审批。</w:t>
      </w:r>
    </w:p>
    <w:p w:rsidR="006564AD" w:rsidRPr="0016720D">
      <w:pPr>
        <w:pStyle w:val="a5"/>
        <w:spacing w:line="560" w:lineRule="atLeast"/>
        <w:ind w:firstLine="643"/>
        <w:rPr>
          <w:rFonts w:hint="eastAsia"/>
        </w:rPr>
      </w:pPr>
      <w:r w:rsidRPr="00A26973">
        <w:rPr>
          <w:rFonts w:hint="eastAsia"/>
          <w:b/>
        </w:rPr>
        <w:t>第十一条</w:t>
      </w:r>
      <w:r w:rsidRPr="00A26973">
        <w:rPr>
          <w:rFonts w:hint="eastAsia"/>
        </w:rPr>
        <w:t>【变更报批报备】工程变更的报批和备案办理应严格遵守造价管理机构的有关规定。</w:t>
      </w:r>
    </w:p>
    <w:p w:rsidR="006564AD" w:rsidRPr="00062406">
      <w:pPr>
        <w:pStyle w:val="a5"/>
        <w:spacing w:line="560" w:lineRule="atLeast"/>
        <w:ind w:firstLine="643"/>
        <w:rPr>
          <w:rFonts w:hint="eastAsia"/>
          <w:bCs/>
        </w:rPr>
      </w:pPr>
      <w:r w:rsidRPr="00062406">
        <w:rPr>
          <w:rFonts w:hint="eastAsia"/>
          <w:b/>
        </w:rPr>
        <w:t>第十二条</w:t>
      </w:r>
      <w:r w:rsidRPr="00062406">
        <w:rPr>
          <w:rFonts w:hint="eastAsia"/>
        </w:rPr>
        <w:t>【工程变更的发起与审批】项目组（部）应组织相关单位进行洽商，对工程变更进行初步复核和判断，并视情况组织召开工程变更审议会（必要时可组织专家论证会），获取技术评</w:t>
      </w:r>
      <w:r w:rsidRPr="00062406">
        <w:rPr>
          <w:rFonts w:hAnsi="Times New Roman" w:hint="eastAsia"/>
          <w:kern w:val="0"/>
        </w:rPr>
        <w:t>审、造价评审以及综合评审意见。对确需实施的工程变更，</w:t>
      </w:r>
      <w:r w:rsidRPr="00062406">
        <w:rPr>
          <w:rFonts w:hint="eastAsia"/>
        </w:rPr>
        <w:t>项目组（部）</w:t>
      </w:r>
      <w:r w:rsidRPr="00062406">
        <w:rPr>
          <w:rFonts w:hAnsi="Times New Roman" w:hint="eastAsia"/>
          <w:kern w:val="0"/>
        </w:rPr>
        <w:t>应组织各单位及时填写《工程变更审批表（外部）》（简称外表，下同），外部单位走完外表审批流程后，项目组</w:t>
      </w:r>
      <w:r w:rsidRPr="00062406">
        <w:rPr>
          <w:rFonts w:hint="eastAsia"/>
        </w:rPr>
        <w:t>（部）</w:t>
      </w:r>
      <w:r w:rsidRPr="00062406">
        <w:rPr>
          <w:rFonts w:hAnsi="Times New Roman" w:hint="eastAsia"/>
          <w:kern w:val="0"/>
        </w:rPr>
        <w:t>及时填写《工程变更审批表（内部）》（简称内表，下同），报</w:t>
      </w:r>
      <w:r w:rsidR="00A26973">
        <w:rPr>
          <w:rFonts w:hint="eastAsia"/>
        </w:rPr>
        <w:t>集团</w:t>
      </w:r>
      <w:r w:rsidRPr="00A26973">
        <w:rPr>
          <w:rFonts w:hAnsi="Times New Roman" w:hint="eastAsia"/>
          <w:kern w:val="0"/>
        </w:rPr>
        <w:t>履行内部审批程序，内表经审批通过后项目组</w:t>
      </w:r>
      <w:r w:rsidRPr="0016720D">
        <w:rPr>
          <w:rFonts w:hint="eastAsia"/>
        </w:rPr>
        <w:t>（</w:t>
      </w:r>
      <w:r w:rsidRPr="00062406">
        <w:rPr>
          <w:rFonts w:hint="eastAsia"/>
        </w:rPr>
        <w:t>部）</w:t>
      </w:r>
      <w:r w:rsidRPr="00062406">
        <w:rPr>
          <w:rFonts w:hAnsi="Times New Roman" w:hint="eastAsia"/>
          <w:kern w:val="0"/>
        </w:rPr>
        <w:t>签发外表。</w:t>
      </w:r>
      <w:r w:rsidRPr="00062406">
        <w:rPr>
          <w:rFonts w:hint="eastAsia"/>
          <w:bCs/>
          <w:kern w:val="0"/>
        </w:rPr>
        <w:t>施工单位、监理单位、勘察设计单位等外部单位发起的工程变更</w:t>
      </w:r>
      <w:r w:rsidRPr="00062406">
        <w:rPr>
          <w:rFonts w:hAnsi="Times New Roman" w:hint="eastAsia"/>
          <w:kern w:val="0"/>
        </w:rPr>
        <w:t>须填报外表，因</w:t>
      </w:r>
      <w:r w:rsidR="00A26973">
        <w:rPr>
          <w:rFonts w:hint="eastAsia"/>
        </w:rPr>
        <w:t>集团</w:t>
      </w:r>
      <w:r w:rsidRPr="00A26973">
        <w:rPr>
          <w:rFonts w:hAnsi="Times New Roman" w:hint="eastAsia"/>
          <w:kern w:val="0"/>
        </w:rPr>
        <w:t>内部各部门或其它审批主管单位等要求需进行工程变更的，直接发起内表审批。工程变更审批应附的变更依据资料应包括：</w:t>
      </w:r>
      <w:r w:rsidRPr="0016720D">
        <w:rPr>
          <w:rFonts w:hAnsi="Times New Roman" w:hint="eastAsia"/>
          <w:kern w:val="0"/>
        </w:rPr>
        <w:t xml:space="preserve">  </w:t>
      </w:r>
      <w:r w:rsidRPr="00062406">
        <w:rPr>
          <w:rFonts w:hint="eastAsia"/>
          <w:bCs/>
          <w:kern w:val="0"/>
        </w:rPr>
        <w:t xml:space="preserve">                </w:t>
      </w:r>
      <w:r w:rsidRPr="00062406">
        <w:rPr>
          <w:rFonts w:hint="eastAsia"/>
          <w:bCs/>
        </w:rPr>
        <w:t xml:space="preserve">          </w:t>
      </w:r>
    </w:p>
    <w:p w:rsidR="006564AD" w:rsidRPr="00062406">
      <w:pPr>
        <w:pStyle w:val="a5"/>
        <w:spacing w:line="560" w:lineRule="atLeast"/>
        <w:ind w:firstLine="640"/>
        <w:rPr>
          <w:rFonts w:hint="eastAsia"/>
          <w:bCs/>
        </w:rPr>
      </w:pPr>
      <w:r w:rsidRPr="00062406">
        <w:rPr>
          <w:rFonts w:hint="eastAsia"/>
          <w:bCs/>
        </w:rPr>
        <w:t xml:space="preserve"> </w:t>
      </w:r>
      <w:r w:rsidRPr="00062406">
        <w:rPr>
          <w:rFonts w:hint="eastAsia"/>
        </w:rPr>
        <w:t>（一）</w:t>
      </w:r>
      <w:r w:rsidRPr="00062406">
        <w:rPr>
          <w:rFonts w:hint="eastAsia"/>
          <w:bCs/>
        </w:rPr>
        <w:t>变更图纸；</w:t>
      </w:r>
    </w:p>
    <w:p w:rsidR="006564AD" w:rsidRPr="00062406">
      <w:pPr>
        <w:pStyle w:val="a5"/>
        <w:spacing w:line="560" w:lineRule="atLeast"/>
        <w:ind w:firstLine="800" w:firstLineChars="250"/>
        <w:rPr>
          <w:rFonts w:hint="eastAsia"/>
          <w:bCs/>
        </w:rPr>
      </w:pPr>
      <w:r w:rsidRPr="00062406">
        <w:rPr>
          <w:rFonts w:hint="eastAsia"/>
        </w:rPr>
        <w:t>（二）</w:t>
      </w:r>
      <w:r w:rsidRPr="00062406">
        <w:rPr>
          <w:rFonts w:hint="eastAsia"/>
          <w:bCs/>
        </w:rPr>
        <w:t>造价文件；</w:t>
      </w:r>
    </w:p>
    <w:p w:rsidR="006564AD" w:rsidRPr="00062406">
      <w:pPr>
        <w:pStyle w:val="a5"/>
        <w:spacing w:line="560" w:lineRule="atLeast"/>
        <w:ind w:firstLine="800" w:firstLineChars="250"/>
        <w:rPr>
          <w:rFonts w:hint="eastAsia"/>
          <w:bCs/>
        </w:rPr>
      </w:pPr>
      <w:r w:rsidRPr="00062406">
        <w:rPr>
          <w:rFonts w:hint="eastAsia"/>
        </w:rPr>
        <w:t>（三）</w:t>
      </w:r>
      <w:r w:rsidRPr="00062406">
        <w:rPr>
          <w:rFonts w:hint="eastAsia"/>
          <w:bCs/>
        </w:rPr>
        <w:t>工程变更汇总表；</w:t>
      </w:r>
    </w:p>
    <w:p w:rsidR="006564AD" w:rsidRPr="00062406">
      <w:pPr>
        <w:pStyle w:val="a5"/>
        <w:spacing w:line="560" w:lineRule="atLeast"/>
        <w:ind w:firstLine="800" w:firstLineChars="250"/>
        <w:rPr>
          <w:rFonts w:hint="eastAsia"/>
          <w:bCs/>
        </w:rPr>
      </w:pPr>
      <w:r w:rsidRPr="00062406">
        <w:rPr>
          <w:rFonts w:hint="eastAsia"/>
        </w:rPr>
        <w:t>（四）</w:t>
      </w:r>
      <w:r w:rsidRPr="00062406">
        <w:rPr>
          <w:rFonts w:hint="eastAsia"/>
          <w:bCs/>
        </w:rPr>
        <w:t>相关照片、批准文件及会议纪要。</w:t>
      </w:r>
    </w:p>
    <w:p w:rsidR="006564AD" w:rsidRPr="00062406">
      <w:pPr>
        <w:pStyle w:val="a5"/>
        <w:spacing w:line="560" w:lineRule="atLeast"/>
        <w:ind w:firstLine="643"/>
        <w:sectPr>
          <w:headerReference w:type="default" r:id="rId32"/>
          <w:footerReference w:type="default" r:id="rId33"/>
          <w:headerReference w:type="first" r:id="rId34"/>
          <w:footerReference w:type="first" r:id="rId35"/>
          <w:type w:val="nextPage"/>
          <w:pgSz w:w="11906" w:h="16838"/>
          <w:pgMar w:top="1418" w:right="1531" w:bottom="1418" w:left="1588" w:header="851" w:footer="992" w:gutter="0"/>
          <w:pgNumType w:start="7"/>
          <w:cols w:space="720"/>
          <w:titlePg w:val="0"/>
          <w:docGrid w:type="lines" w:linePitch="312"/>
        </w:sectPr>
      </w:pPr>
      <w:r w:rsidRPr="00062406">
        <w:rPr>
          <w:rFonts w:hint="eastAsia"/>
          <w:b/>
        </w:rPr>
        <w:t>第十三条</w:t>
      </w:r>
    </w:p>
    <w:p w:rsidR="006564AD" w:rsidRPr="00062406">
      <w:pPr>
        <w:pStyle w:val="a5"/>
        <w:spacing w:line="560" w:lineRule="atLeast"/>
        <w:ind w:firstLine="643"/>
      </w:pPr>
      <w:r w:rsidRPr="00062406">
        <w:rPr>
          <w:rFonts w:hint="eastAsia"/>
        </w:rPr>
        <w:t>【工程变更令】工程变更经审批通过后，由监理单位依据设计院出具的正式变更图纸或公司的变更通知单向施工单位发出工程变更令</w:t>
      </w:r>
      <w:r w:rsidRPr="00062406">
        <w:rPr>
          <w:rFonts w:hint="eastAsia"/>
          <w:bCs/>
          <w:kern w:val="0"/>
        </w:rPr>
        <w:t>。</w:t>
      </w:r>
    </w:p>
    <w:p w:rsidR="006564AD" w:rsidRPr="00062406">
      <w:pPr>
        <w:pStyle w:val="a5"/>
        <w:spacing w:line="560" w:lineRule="atLeast"/>
        <w:ind w:firstLine="643"/>
        <w:rPr>
          <w:rFonts w:hAnsi="Times New Roman" w:hint="eastAsia"/>
          <w:kern w:val="0"/>
        </w:rPr>
      </w:pPr>
      <w:r w:rsidRPr="00062406">
        <w:rPr>
          <w:rFonts w:hint="eastAsia"/>
          <w:b/>
          <w:bCs/>
        </w:rPr>
        <w:t>第十四条</w:t>
      </w:r>
      <w:r w:rsidRPr="00062406">
        <w:rPr>
          <w:rFonts w:hint="eastAsia"/>
          <w:bCs/>
        </w:rPr>
        <w:t>【变更支付】</w:t>
      </w:r>
      <w:r w:rsidRPr="00062406">
        <w:rPr>
          <w:rFonts w:hAnsi="Times New Roman" w:hint="eastAsia"/>
          <w:kern w:val="0"/>
        </w:rPr>
        <w:t>工程变更预算经审批且工程变更实施完成，可根据合同约定进行计量支付。成本管理部门负责每月汇总该月的工程变更并填写工程变更汇总表，并及时更新项目成本信息。</w:t>
      </w:r>
    </w:p>
    <w:p w:rsidR="006564AD" w:rsidRPr="00062406">
      <w:pPr>
        <w:pStyle w:val="a5"/>
        <w:spacing w:line="560" w:lineRule="atLeast"/>
        <w:ind w:firstLine="643"/>
        <w:rPr>
          <w:bCs/>
        </w:rPr>
      </w:pPr>
      <w:r w:rsidRPr="00062406">
        <w:rPr>
          <w:rFonts w:hint="eastAsia"/>
          <w:b/>
          <w:bCs/>
        </w:rPr>
        <w:t>第十五条</w:t>
      </w:r>
      <w:r w:rsidRPr="00062406">
        <w:rPr>
          <w:rFonts w:hint="eastAsia"/>
          <w:bCs/>
        </w:rPr>
        <w:t>【工程变更费用及工期审批】收到工程变更令后，施工单位应于工程变更完成后15天内填写《工程变更费用及工期审批表》并按以下流程完成审批：</w:t>
      </w:r>
    </w:p>
    <w:p w:rsidR="006564AD" w:rsidRPr="00062406">
      <w:pPr>
        <w:pStyle w:val="a5"/>
        <w:spacing w:line="560" w:lineRule="atLeast"/>
        <w:ind w:firstLine="640"/>
        <w:rPr>
          <w:rFonts w:ascii="仿宋" w:hAnsi="仿宋"/>
        </w:rPr>
      </w:pPr>
      <w:r w:rsidRPr="00062406">
        <w:rPr>
          <w:rFonts w:hint="eastAsia"/>
        </w:rPr>
        <w:t>（一）</w:t>
      </w:r>
      <w:r w:rsidRPr="00062406">
        <w:rPr>
          <w:rFonts w:ascii="仿宋" w:hAnsi="仿宋" w:hint="eastAsia"/>
        </w:rPr>
        <w:t>外部单位复核。监理、勘察设计、造价咨询收到施工单位申报的《工程变更费用及工期审批表》后，依次进行审核。</w:t>
      </w:r>
    </w:p>
    <w:p w:rsidR="006564AD" w:rsidRPr="00062406">
      <w:pPr>
        <w:pStyle w:val="a5"/>
        <w:spacing w:line="560" w:lineRule="atLeast"/>
        <w:ind w:firstLine="640"/>
        <w:rPr>
          <w:rFonts w:ascii="仿宋" w:hAnsi="仿宋" w:hint="eastAsia"/>
        </w:rPr>
      </w:pPr>
      <w:r w:rsidRPr="00062406">
        <w:rPr>
          <w:rFonts w:hint="eastAsia"/>
        </w:rPr>
        <w:t>（二）</w:t>
      </w:r>
      <w:r w:rsidRPr="00062406">
        <w:rPr>
          <w:rFonts w:ascii="仿宋" w:hAnsi="仿宋" w:hint="eastAsia"/>
        </w:rPr>
        <w:t>若最终核实的变更费用控制在已经申报批准的工程变更方案估算（包括费用和工期）之内，由项目组</w:t>
      </w:r>
      <w:r w:rsidRPr="00062406">
        <w:rPr>
          <w:rFonts w:hint="eastAsia"/>
        </w:rPr>
        <w:t>（部）</w:t>
      </w:r>
      <w:r w:rsidRPr="00062406">
        <w:rPr>
          <w:rFonts w:ascii="仿宋" w:hAnsi="仿宋" w:hint="eastAsia"/>
        </w:rPr>
        <w:t>对《工程变更费用及工期审批表》进行审批。否则，应按照本办法第十二条规定重新发起。</w:t>
      </w:r>
    </w:p>
    <w:p w:rsidR="006564AD" w:rsidRPr="00AC56CB">
      <w:pPr>
        <w:pStyle w:val="a5"/>
        <w:spacing w:line="560" w:lineRule="atLeast"/>
        <w:ind w:firstLine="643"/>
        <w:rPr>
          <w:rFonts w:hint="eastAsia"/>
          <w:bCs/>
        </w:rPr>
      </w:pPr>
      <w:r w:rsidRPr="00062406">
        <w:rPr>
          <w:rFonts w:hint="eastAsia"/>
          <w:b/>
          <w:bCs/>
        </w:rPr>
        <w:t>第十六条</w:t>
      </w:r>
      <w:r w:rsidRPr="00062406">
        <w:rPr>
          <w:rFonts w:hint="eastAsia"/>
          <w:bCs/>
        </w:rPr>
        <w:t>【紧急情况变更】在出现危及生命、工程或工程相邻项目财产安全的紧急情况时，监理单位应会同施工单位立即采取一切必要的应急处理措施（无须事先征得</w:t>
      </w:r>
      <w:r w:rsidR="00AC56CB">
        <w:rPr>
          <w:rFonts w:hint="eastAsia"/>
          <w:bCs/>
        </w:rPr>
        <w:t>我司</w:t>
      </w:r>
      <w:r w:rsidRPr="00AC56CB">
        <w:rPr>
          <w:rFonts w:hint="eastAsia"/>
          <w:bCs/>
        </w:rPr>
        <w:t>同意），保证生命财产和工程的安全，同时立即口头报告</w:t>
      </w:r>
      <w:r w:rsidR="00AC56CB">
        <w:rPr>
          <w:rFonts w:hint="eastAsia"/>
          <w:bCs/>
        </w:rPr>
        <w:t>我司</w:t>
      </w:r>
      <w:r w:rsidRPr="00AC56CB">
        <w:rPr>
          <w:rFonts w:hint="eastAsia"/>
          <w:bCs/>
        </w:rPr>
        <w:t>，并在24小时内书面报告</w:t>
      </w:r>
      <w:r w:rsidR="00AC56CB">
        <w:rPr>
          <w:rFonts w:hint="eastAsia"/>
          <w:bCs/>
        </w:rPr>
        <w:t>我司</w:t>
      </w:r>
      <w:r w:rsidRPr="00AC56CB">
        <w:rPr>
          <w:rFonts w:hint="eastAsia"/>
          <w:bCs/>
        </w:rPr>
        <w:t>。监理单位应在14天内，按实事求是原则补办工程变更手续。</w:t>
      </w:r>
    </w:p>
    <w:p w:rsidR="006564AD" w:rsidRPr="00062406">
      <w:pPr>
        <w:pStyle w:val="a5"/>
        <w:spacing w:line="560" w:lineRule="atLeast"/>
        <w:ind w:firstLine="640"/>
        <w:rPr>
          <w:rFonts w:hint="eastAsia"/>
        </w:rPr>
        <w:sectPr>
          <w:headerReference w:type="default" r:id="rId36"/>
          <w:footerReference w:type="default" r:id="rId37"/>
          <w:headerReference w:type="first" r:id="rId38"/>
          <w:footerReference w:type="first" r:id="rId39"/>
          <w:type w:val="nextPage"/>
          <w:pgSz w:w="11906" w:h="16838"/>
          <w:pgMar w:top="1418" w:right="1531" w:bottom="1418" w:left="1588" w:header="851" w:footer="992" w:gutter="0"/>
          <w:pgNumType w:start="8"/>
          <w:cols w:space="720"/>
          <w:titlePg w:val="0"/>
          <w:docGrid w:type="lines" w:linePitch="312"/>
        </w:sectPr>
      </w:pPr>
      <w:r w:rsidRPr="0016720D">
        <w:rPr>
          <w:rFonts w:hint="eastAsia"/>
        </w:rPr>
        <w:t>因政府主管部门赶工要求或特殊情况下需</w:t>
      </w:r>
    </w:p>
    <w:p w:rsidR="006564AD" w:rsidRPr="00062406">
      <w:pPr>
        <w:pStyle w:val="a5"/>
        <w:spacing w:line="560" w:lineRule="atLeast"/>
        <w:ind w:firstLine="640"/>
        <w:rPr>
          <w:rFonts w:hint="eastAsia"/>
        </w:rPr>
      </w:pPr>
      <w:r w:rsidRPr="00062406">
        <w:rPr>
          <w:rFonts w:hint="eastAsia"/>
        </w:rPr>
        <w:t>紧急处理的工程变更，可先报事项审批，再按本办法第十二条要求补办工程变更手续。事项审批流程详见《工程变更事项审批表》和工程变更事项审批流程。</w:t>
      </w:r>
    </w:p>
    <w:p w:rsidR="006564AD" w:rsidRPr="00AC56CB">
      <w:pPr>
        <w:pStyle w:val="a5"/>
        <w:spacing w:line="560" w:lineRule="atLeast"/>
        <w:ind w:firstLine="643"/>
        <w:rPr>
          <w:bCs/>
        </w:rPr>
      </w:pPr>
      <w:r w:rsidRPr="00062406">
        <w:rPr>
          <w:rFonts w:hint="eastAsia"/>
          <w:b/>
          <w:bCs/>
        </w:rPr>
        <w:t>第十七条</w:t>
      </w:r>
      <w:r w:rsidRPr="00062406">
        <w:rPr>
          <w:rFonts w:hint="eastAsia"/>
          <w:bCs/>
        </w:rPr>
        <w:t>【工程变更费用减少未报】工程变更涉及到费用减少但施工单位未申报的，根据工程实际情况，可在工程施工过程中或工程结算阶段由项目组</w:t>
      </w:r>
      <w:r w:rsidRPr="00062406">
        <w:rPr>
          <w:rFonts w:hint="eastAsia"/>
        </w:rPr>
        <w:t>（部）</w:t>
      </w:r>
      <w:r w:rsidRPr="00062406">
        <w:rPr>
          <w:rFonts w:hint="eastAsia"/>
          <w:bCs/>
        </w:rPr>
        <w:t>及时提出、成本管理部门复核后履行</w:t>
      </w:r>
      <w:r w:rsidR="00AC56CB">
        <w:rPr>
          <w:rFonts w:hint="eastAsia"/>
          <w:bCs/>
        </w:rPr>
        <w:t>集团内部</w:t>
      </w:r>
      <w:r w:rsidRPr="00AC56CB">
        <w:rPr>
          <w:rFonts w:hint="eastAsia"/>
          <w:bCs/>
        </w:rPr>
        <w:t>审批程序，最后送监理单位通知施工单位加以确认。如不确认的，在变更批准后第15天，按业主估算造价在验工计价及竣工结算时扣除。</w:t>
      </w:r>
    </w:p>
    <w:p w:rsidR="006564AD" w:rsidRPr="00062406">
      <w:pPr>
        <w:pStyle w:val="a5"/>
        <w:spacing w:line="560" w:lineRule="atLeast"/>
        <w:ind w:firstLine="643"/>
        <w:rPr>
          <w:bCs/>
        </w:rPr>
      </w:pPr>
      <w:r w:rsidRPr="0016720D">
        <w:rPr>
          <w:rFonts w:hint="eastAsia"/>
          <w:b/>
          <w:bCs/>
        </w:rPr>
        <w:t>第十八条</w:t>
      </w:r>
      <w:r w:rsidRPr="00062406">
        <w:rPr>
          <w:rFonts w:hint="eastAsia"/>
          <w:bCs/>
        </w:rPr>
        <w:t>【工程变更审批内容】工程变更审批应包括技术评审、造价评审、综合评审。</w:t>
      </w:r>
    </w:p>
    <w:p w:rsidR="006564AD" w:rsidRPr="00062406">
      <w:pPr>
        <w:pStyle w:val="a5"/>
        <w:spacing w:line="560" w:lineRule="atLeast"/>
        <w:ind w:firstLine="640"/>
        <w:rPr>
          <w:rFonts w:hAnsi="Times New Roman"/>
          <w:kern w:val="0"/>
        </w:rPr>
      </w:pPr>
      <w:r w:rsidRPr="00062406">
        <w:rPr>
          <w:rFonts w:hAnsi="Times New Roman" w:hint="eastAsia"/>
          <w:kern w:val="0"/>
        </w:rPr>
        <w:t>技术评审是指对工程变更引起的合同工期、质量、进度等要素进行评审，评定工程变更是否满足技术上可行、可靠，不降低工程质量标准，满足使用功能要求和安全储备，对竣工后的使用和管理有无不良影响；尽可能对工期、施工条件无不良影响并保证工程连续施工;</w:t>
      </w:r>
    </w:p>
    <w:p w:rsidR="006564AD" w:rsidRPr="00062406">
      <w:pPr>
        <w:pStyle w:val="a5"/>
        <w:spacing w:line="560" w:lineRule="atLeast"/>
        <w:ind w:firstLine="640"/>
        <w:rPr>
          <w:rFonts w:hAnsi="Times New Roman"/>
          <w:kern w:val="0"/>
        </w:rPr>
      </w:pPr>
      <w:r w:rsidRPr="00062406">
        <w:rPr>
          <w:rFonts w:hAnsi="Times New Roman" w:hint="eastAsia"/>
          <w:kern w:val="0"/>
        </w:rPr>
        <w:t>造价评审是指根据合同约定，对工程变更所引起的工程量及造价的增减进行评审，并评定工程变更的经济合理性，审查项目的工程量计算规则、合同单价及新增单价计算是否按原合同规定执行，评估工程变更对合同总价、工程结算价、项目总投资、或目标成本的影响。</w:t>
      </w:r>
    </w:p>
    <w:p w:rsidR="006564AD" w:rsidRPr="00062406">
      <w:pPr>
        <w:pStyle w:val="a5"/>
        <w:spacing w:line="560" w:lineRule="atLeast"/>
        <w:ind w:firstLine="640"/>
        <w:rPr>
          <w:rFonts w:hAnsi="Times New Roman"/>
          <w:kern w:val="0"/>
        </w:rPr>
        <w:sectPr>
          <w:headerReference w:type="default" r:id="rId40"/>
          <w:footerReference w:type="default" r:id="rId41"/>
          <w:headerReference w:type="first" r:id="rId42"/>
          <w:footerReference w:type="first" r:id="rId43"/>
          <w:type w:val="nextPage"/>
          <w:pgSz w:w="11906" w:h="16838"/>
          <w:pgMar w:top="1418" w:right="1531" w:bottom="1418" w:left="1588" w:header="851" w:footer="992" w:gutter="0"/>
          <w:pgNumType w:start="9"/>
          <w:cols w:space="720"/>
          <w:titlePg w:val="0"/>
          <w:docGrid w:type="lines" w:linePitch="312"/>
        </w:sectPr>
      </w:pPr>
    </w:p>
    <w:p w:rsidR="006564AD" w:rsidRPr="00062406">
      <w:pPr>
        <w:pStyle w:val="a5"/>
        <w:spacing w:line="560" w:lineRule="atLeast"/>
        <w:ind w:firstLine="640"/>
        <w:rPr>
          <w:rFonts w:hAnsi="Times New Roman"/>
          <w:kern w:val="0"/>
        </w:rPr>
      </w:pPr>
      <w:r w:rsidRPr="00062406">
        <w:rPr>
          <w:rFonts w:hAnsi="Times New Roman" w:hint="eastAsia"/>
          <w:kern w:val="0"/>
        </w:rPr>
        <w:t>综合评审是指在技术评审及造价评审的基础上，根据合同约定，综合考虑合同工程目标的各方面因素，对工程变更进行评审决策。</w:t>
      </w:r>
    </w:p>
    <w:p w:rsidR="006564AD" w:rsidRPr="00E120CC">
      <w:pPr>
        <w:pStyle w:val="a5"/>
        <w:spacing w:line="560" w:lineRule="atLeast"/>
        <w:ind w:firstLine="643"/>
        <w:rPr>
          <w:bCs/>
        </w:rPr>
      </w:pPr>
      <w:r w:rsidRPr="00062406">
        <w:rPr>
          <w:rFonts w:hint="eastAsia"/>
          <w:b/>
          <w:bCs/>
        </w:rPr>
        <w:t>第十九条</w:t>
      </w:r>
      <w:r w:rsidRPr="00062406">
        <w:rPr>
          <w:rFonts w:hint="eastAsia"/>
          <w:bCs/>
        </w:rPr>
        <w:t>【变更档案】工程变更相关资料保存应当遵守</w:t>
      </w:r>
      <w:r w:rsidR="00E120CC">
        <w:rPr>
          <w:rFonts w:hint="eastAsia"/>
          <w:bCs/>
        </w:rPr>
        <w:t>集团</w:t>
      </w:r>
      <w:r w:rsidRPr="00E120CC">
        <w:rPr>
          <w:rFonts w:hint="eastAsia"/>
          <w:bCs/>
        </w:rPr>
        <w:t>有关档案管理的规定。</w:t>
      </w:r>
    </w:p>
    <w:p w:rsidR="006564AD" w:rsidRPr="00062406">
      <w:pPr>
        <w:keepNext/>
        <w:keepLines/>
        <w:spacing w:before="220" w:after="210" w:line="579" w:lineRule="auto"/>
        <w:jc w:val="center"/>
        <w:outlineLvl w:val="0"/>
        <w:rPr>
          <w:rFonts w:ascii="黑体" w:eastAsia="黑体" w:hAnsi="黑体" w:hint="eastAsia"/>
          <w:bCs/>
          <w:kern w:val="44"/>
          <w:sz w:val="32"/>
          <w:szCs w:val="32"/>
        </w:rPr>
      </w:pPr>
      <w:r w:rsidRPr="0016720D">
        <w:rPr>
          <w:rFonts w:ascii="黑体" w:eastAsia="黑体" w:hAnsi="黑体" w:hint="eastAsia"/>
          <w:bCs/>
          <w:kern w:val="44"/>
          <w:sz w:val="32"/>
          <w:szCs w:val="32"/>
        </w:rPr>
        <w:t>第四章</w:t>
      </w:r>
      <w:r w:rsidRPr="00062406">
        <w:rPr>
          <w:rFonts w:ascii="黑体" w:eastAsia="黑体" w:hAnsi="黑体" w:hint="eastAsia"/>
          <w:bCs/>
          <w:kern w:val="44"/>
          <w:sz w:val="32"/>
          <w:szCs w:val="32"/>
        </w:rPr>
        <w:t xml:space="preserve">  工程变更办理时限</w:t>
      </w:r>
    </w:p>
    <w:p w:rsidR="006564AD" w:rsidRPr="00062406">
      <w:pPr>
        <w:pStyle w:val="a5"/>
        <w:spacing w:line="560" w:lineRule="atLeast"/>
        <w:ind w:firstLine="643"/>
      </w:pPr>
      <w:r w:rsidRPr="00062406">
        <w:rPr>
          <w:rFonts w:hint="eastAsia"/>
          <w:b/>
        </w:rPr>
        <w:t>第二十条</w:t>
      </w:r>
      <w:r w:rsidRPr="00062406">
        <w:rPr>
          <w:rFonts w:hint="eastAsia"/>
        </w:rPr>
        <w:t>【工程变更审批时限】发起工程变更审批后，外部单位原则上应在7个工作日内完成《工程变更审批表（外部）》报审与审核工作。内表发起后，项目经理/项目负责人原则上应在1天内完成六类工程变更的审批</w:t>
      </w:r>
      <w:r w:rsidRPr="00A26973">
        <w:rPr>
          <w:rFonts w:hint="eastAsia"/>
        </w:rPr>
        <w:t>，事业部及全资子公司内设部门</w:t>
      </w:r>
      <w:r w:rsidRPr="0016720D">
        <w:rPr>
          <w:rFonts w:hint="eastAsia"/>
        </w:rPr>
        <w:t>分管领导</w:t>
      </w:r>
      <w:r w:rsidRPr="00062406">
        <w:rPr>
          <w:rFonts w:hint="eastAsia"/>
        </w:rPr>
        <w:t>原则上应在3天内完成五类工程变更的审批，事业部及全资子公司总经理原则上应在4天内完成四类工程变更的审批，板块技术委员会原则上应在5天内完成三类工程变更的审批，板块技术委员会原则上应在7天内完成二类工程变更的审议，集团技术委员会原则上应在7天内完成二类工程变更的审批，板块技术委员会原则上应在7天内完成一类工程变更的审议，集团技术委员会原则上应在10天内完成一类工程变更的审议。</w:t>
      </w:r>
    </w:p>
    <w:p w:rsidR="006564AD" w:rsidRPr="00062406">
      <w:pPr>
        <w:keepNext/>
        <w:keepLines/>
        <w:spacing w:before="220" w:after="210" w:line="579" w:lineRule="auto"/>
        <w:jc w:val="center"/>
        <w:outlineLvl w:val="0"/>
        <w:rPr>
          <w:rFonts w:ascii="黑体" w:eastAsia="黑体" w:hAnsi="黑体" w:hint="eastAsia"/>
          <w:bCs/>
          <w:kern w:val="44"/>
          <w:sz w:val="32"/>
          <w:szCs w:val="32"/>
        </w:rPr>
      </w:pPr>
      <w:r w:rsidRPr="00062406">
        <w:rPr>
          <w:rFonts w:ascii="黑体" w:eastAsia="黑体" w:hAnsi="黑体" w:hint="eastAsia"/>
          <w:bCs/>
          <w:kern w:val="44"/>
          <w:sz w:val="32"/>
          <w:szCs w:val="32"/>
        </w:rPr>
        <w:t xml:space="preserve">第五章  责任与奖惩 </w:t>
      </w:r>
    </w:p>
    <w:p w:rsidR="006564AD" w:rsidRPr="00062406">
      <w:pPr>
        <w:pStyle w:val="a5"/>
        <w:spacing w:line="560" w:lineRule="atLeast"/>
        <w:ind w:firstLine="643"/>
        <w:rPr>
          <w:rFonts w:hint="eastAsia"/>
        </w:rPr>
        <w:sectPr>
          <w:headerReference w:type="default" r:id="rId44"/>
          <w:footerReference w:type="default" r:id="rId45"/>
          <w:headerReference w:type="first" r:id="rId46"/>
          <w:footerReference w:type="first" r:id="rId47"/>
          <w:type w:val="nextPage"/>
          <w:pgSz w:w="11906" w:h="16838"/>
          <w:pgMar w:top="1418" w:right="1531" w:bottom="1418" w:left="1588" w:header="851" w:footer="992" w:gutter="0"/>
          <w:pgNumType w:start="10"/>
          <w:cols w:space="720"/>
          <w:titlePg w:val="0"/>
          <w:docGrid w:type="lines" w:linePitch="312"/>
        </w:sectPr>
      </w:pPr>
      <w:r w:rsidRPr="00062406">
        <w:rPr>
          <w:rFonts w:hint="eastAsia"/>
          <w:b/>
        </w:rPr>
        <w:t>第二十一条</w:t>
      </w:r>
    </w:p>
    <w:p w:rsidR="006564AD" w:rsidRPr="00062406">
      <w:pPr>
        <w:pStyle w:val="a5"/>
        <w:spacing w:line="560" w:lineRule="atLeast"/>
        <w:ind w:firstLine="643"/>
        <w:rPr>
          <w:rFonts w:hint="eastAsia"/>
        </w:rPr>
      </w:pPr>
      <w:r w:rsidRPr="00062406">
        <w:rPr>
          <w:rFonts w:hint="eastAsia"/>
        </w:rPr>
        <w:t>【责任界定】工程变更审批过程中应明确各参建单位需承担的责任，对有争议的工程变更原因和责任界定，应在相关会议纪要中记录各方意见，在工程变更审批的过程中明确。</w:t>
      </w:r>
      <w:r w:rsidRPr="00062406">
        <w:t xml:space="preserve"> </w:t>
      </w:r>
    </w:p>
    <w:p w:rsidR="006564AD" w:rsidRPr="00062406">
      <w:pPr>
        <w:pStyle w:val="a5"/>
        <w:spacing w:line="560" w:lineRule="atLeast"/>
        <w:ind w:firstLine="643"/>
      </w:pPr>
      <w:r w:rsidRPr="00062406">
        <w:rPr>
          <w:rFonts w:hint="eastAsia"/>
          <w:b/>
        </w:rPr>
        <w:t>第二十二条</w:t>
      </w:r>
      <w:r w:rsidRPr="00062406">
        <w:rPr>
          <w:rFonts w:hint="eastAsia"/>
        </w:rPr>
        <w:t>【不予支付】由承包商原因引起的工程变更，增加投资或延长工期的，承包商应承担全部责任，业主不支付任何费用，同时要求承包商采取措施赶回可能损失的工期。</w:t>
      </w:r>
      <w:r w:rsidRPr="00062406">
        <w:t xml:space="preserve"> </w:t>
      </w:r>
    </w:p>
    <w:p w:rsidR="006564AD" w:rsidRPr="00062406">
      <w:pPr>
        <w:pStyle w:val="a5"/>
        <w:spacing w:line="560" w:lineRule="atLeast"/>
        <w:ind w:firstLine="643"/>
      </w:pPr>
      <w:r w:rsidRPr="00062406">
        <w:rPr>
          <w:rFonts w:hint="eastAsia"/>
          <w:b/>
        </w:rPr>
        <w:t>第二十三条</w:t>
      </w:r>
      <w:r w:rsidRPr="00062406">
        <w:rPr>
          <w:rFonts w:hint="eastAsia"/>
        </w:rPr>
        <w:t>【工程变更责任追究】设计、监理、施工或造价咨询等单位或个人存在过错，对工程变更负有责任，或在工程变更审批过程中存在虚报费用、把关不严、延误时间等渎职失职行为，造成工程损失的，依照法律法规、合同、合同中的履约评价管理办法等追究单位和个人的责任。</w:t>
      </w:r>
    </w:p>
    <w:p w:rsidR="006564AD" w:rsidRPr="00062406">
      <w:pPr>
        <w:pStyle w:val="a5"/>
        <w:spacing w:line="560" w:lineRule="atLeast"/>
        <w:ind w:firstLine="643"/>
      </w:pPr>
      <w:r w:rsidRPr="00062406">
        <w:rPr>
          <w:rFonts w:hint="eastAsia"/>
          <w:b/>
        </w:rPr>
        <w:t>第二十四条</w:t>
      </w:r>
      <w:r w:rsidRPr="00062406">
        <w:rPr>
          <w:rFonts w:hint="eastAsia"/>
        </w:rPr>
        <w:t>【违规处罚】在处理变更过程中对违反本办法规定并导致经济损失的，对涉及工程变更的相关部门及有关责任人，有下列行为之一的，由</w:t>
      </w:r>
      <w:r w:rsidR="0016720D">
        <w:rPr>
          <w:rFonts w:hint="eastAsia"/>
        </w:rPr>
        <w:t>集团</w:t>
      </w:r>
      <w:r w:rsidRPr="0016720D">
        <w:rPr>
          <w:rFonts w:hint="eastAsia"/>
        </w:rPr>
        <w:t>相关部门提出处罚建议报</w:t>
      </w:r>
      <w:r w:rsidR="0016720D">
        <w:rPr>
          <w:rFonts w:hint="eastAsia"/>
        </w:rPr>
        <w:t>集团</w:t>
      </w:r>
      <w:r w:rsidRPr="0016720D">
        <w:rPr>
          <w:rFonts w:hint="eastAsia"/>
        </w:rPr>
        <w:t xml:space="preserve">批准执行。 </w:t>
      </w:r>
    </w:p>
    <w:p w:rsidR="006564AD" w:rsidRPr="00A26973">
      <w:pPr>
        <w:pStyle w:val="a5"/>
        <w:spacing w:line="560" w:lineRule="atLeast"/>
        <w:ind w:firstLine="640"/>
      </w:pPr>
      <w:r w:rsidRPr="00062406">
        <w:rPr>
          <w:rFonts w:hint="eastAsia"/>
        </w:rPr>
        <w:t>（一）擅自扩大建设规模、提高标准、增加建设内容、故意漏项、规避变更审批程序等管理不善、失职渎职的行为；</w:t>
      </w:r>
      <w:r w:rsidRPr="00A26973">
        <w:t xml:space="preserve">  </w:t>
      </w:r>
    </w:p>
    <w:p w:rsidR="006564AD" w:rsidRPr="00062406">
      <w:pPr>
        <w:pStyle w:val="a5"/>
        <w:spacing w:line="560" w:lineRule="atLeast"/>
        <w:ind w:firstLine="640"/>
      </w:pPr>
      <w:r w:rsidRPr="0016720D">
        <w:rPr>
          <w:rFonts w:hint="eastAsia"/>
        </w:rPr>
        <w:t>（二）因工作失误或失职，造成同一变更内容反复变更的；</w:t>
      </w:r>
      <w:r w:rsidRPr="00062406">
        <w:t xml:space="preserve">  </w:t>
      </w:r>
    </w:p>
    <w:p w:rsidR="006564AD" w:rsidRPr="00062406">
      <w:pPr>
        <w:pStyle w:val="a5"/>
        <w:spacing w:line="560" w:lineRule="atLeast"/>
        <w:ind w:firstLine="640"/>
      </w:pPr>
      <w:r w:rsidRPr="00062406">
        <w:rPr>
          <w:rFonts w:hint="eastAsia"/>
        </w:rPr>
        <w:t>（三）不按变更程序及变更造价审批、支付规定违规操作的；</w:t>
      </w:r>
      <w:r w:rsidRPr="00062406">
        <w:t xml:space="preserve">  </w:t>
      </w:r>
    </w:p>
    <w:p w:rsidR="006564AD" w:rsidRPr="00062406">
      <w:pPr>
        <w:pStyle w:val="a5"/>
        <w:spacing w:line="560" w:lineRule="atLeast"/>
        <w:ind w:firstLine="640"/>
      </w:pPr>
      <w:r w:rsidRPr="00062406">
        <w:rPr>
          <w:rFonts w:hint="eastAsia"/>
        </w:rPr>
        <w:t>（四）有不正当交易行为或索贿、受贿行为的；</w:t>
      </w:r>
      <w:r w:rsidRPr="00062406">
        <w:t xml:space="preserve">  </w:t>
      </w:r>
    </w:p>
    <w:p w:rsidR="006564AD" w:rsidRPr="00062406">
      <w:pPr>
        <w:pStyle w:val="a5"/>
        <w:spacing w:line="560" w:lineRule="atLeast"/>
        <w:ind w:firstLine="640"/>
        <w:rPr>
          <w:rFonts w:hint="eastAsia"/>
        </w:rPr>
      </w:pPr>
      <w:r w:rsidRPr="00062406">
        <w:rPr>
          <w:rFonts w:hint="eastAsia"/>
        </w:rPr>
        <w:t>（五）工程变更参与单位出现弄虚作假、未按规定审批或违反合同约定等行为的；</w:t>
      </w:r>
      <w:r w:rsidRPr="00062406">
        <w:rPr>
          <w:rFonts w:hint="eastAsia"/>
        </w:rPr>
        <w:br/>
      </w:r>
      <w:r w:rsidRPr="00062406">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 w:history="1">
        <w:r>
          <w:rPr>
            <w:rFonts w:ascii="SimSun" w:eastAsia="SimSun" w:hAnsi="SimSun" w:cs="SimSun"/>
            <w:b/>
            <w:bCs/>
            <w:color w:val="0000EE"/>
            <w:kern w:val="0"/>
            <w:sz w:val="30"/>
            <w:szCs w:val="30"/>
            <w:u w:val="single" w:color="0000EE"/>
          </w:rPr>
          <w:t>https://d.book118.com/037066025064006025</w:t>
        </w:r>
      </w:hyperlink>
    </w:p>
    <w:p w:rsidR="006564AD" w:rsidRPr="00062406">
      <w:pPr>
        <w:pStyle w:val="a5"/>
        <w:spacing w:line="560" w:lineRule="atLeast"/>
        <w:ind w:firstLine="640"/>
        <w:rPr>
          <w:rFonts w:hint="eastAsia"/>
        </w:rPr>
      </w:pPr>
    </w:p>
    <w:sectPr>
      <w:headerReference w:type="default" r:id="rId49"/>
      <w:footerReference w:type="default" r:id="rId50"/>
      <w:headerReference w:type="first" r:id="rId51"/>
      <w:footerReference w:type="first" r:id="rId52"/>
      <w:type w:val="nextPage"/>
      <w:pgSz w:w="11906" w:h="16838"/>
      <w:pgMar w:top="1418" w:right="1531" w:bottom="1418" w:left="1588"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both"/>
      <w:rPr>
        <w:rFonts w:ascii="宋体" w:hAnsi="宋体"/>
        <w:sz w:val="21"/>
        <w:szCs w:val="21"/>
      </w:rPr>
    </w:pPr>
  </w:p>
  <w:p w:rsidR="006564AD">
    <w:pPr>
      <w:pStyle w:val="Footer"/>
      <w:tabs>
        <w:tab w:val="clear" w:pos="4153"/>
        <w:tab w:val="left" w:pos="4993"/>
        <w:tab w:val="clear" w:pos="8306"/>
      </w:tabs>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z-index:251658240"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1</w:t>
                </w:r>
                <w:r>
                  <w:fldChar w:fldCharType="end"/>
                </w:r>
              </w:p>
            </w:txbxContent>
          </v:textbox>
          <w10:wrap anchorx="margin"/>
        </v:shape>
      </w:pict>
    </w:r>
  </w:p>
  <w:p w:rsidR="006564AD">
    <w:pPr>
      <w:pStyle w:val="Footer"/>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53" type="#_x0000_t202" style="width:2in;height:2in;margin-top:0;margin-left:0;mso-position-horizontal:center;mso-position-horizontal-relative:margin;mso-wrap-style:none;position:absolute;z-index:251659264"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3</w:t>
                </w:r>
                <w:r>
                  <w:fldChar w:fldCharType="end"/>
                </w:r>
              </w:p>
            </w:txbxContent>
          </v:textbox>
          <w10:wrap anchorx="margin"/>
        </v:shape>
      </w:pict>
    </w:r>
  </w:p>
  <w:p w:rsidR="006564AD">
    <w:pPr>
      <w:pStyle w:val="Footer"/>
      <w:jc w:val="righ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55" type="#_x0000_t202" style="width:2in;height:2in;margin-top:0;margin-left:0;mso-position-horizontal:center;mso-position-horizontal-relative:margin;mso-wrap-style:none;position:absolute;z-index:251660288"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3</w:t>
                </w:r>
                <w:r>
                  <w:fldChar w:fldCharType="end"/>
                </w:r>
              </w:p>
            </w:txbxContent>
          </v:textbox>
          <w10:wrap anchorx="margin"/>
        </v:shape>
      </w:pict>
    </w:r>
  </w:p>
  <w:p w:rsidR="006564AD">
    <w:pPr>
      <w:pStyle w:val="Footer"/>
      <w:jc w:val="righ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z-index:251661312"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5</w:t>
                </w:r>
                <w:r>
                  <w:fldChar w:fldCharType="end"/>
                </w:r>
              </w:p>
            </w:txbxContent>
          </v:textbox>
          <w10:wrap anchorx="margin"/>
        </v:shape>
      </w:pict>
    </w:r>
  </w:p>
  <w:p w:rsidR="006564AD">
    <w:pPr>
      <w:pStyle w:val="Footer"/>
      <w:jc w:val="right"/>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59" type="#_x0000_t202" style="width:2in;height:2in;margin-top:0;margin-left:0;mso-position-horizontal:center;mso-position-horizontal-relative:margin;mso-wrap-style:none;position:absolute;z-index:251662336"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5</w:t>
                </w:r>
                <w:r>
                  <w:fldChar w:fldCharType="end"/>
                </w:r>
              </w:p>
            </w:txbxContent>
          </v:textbox>
          <w10:wrap anchorx="margin"/>
        </v:shape>
      </w:pict>
    </w:r>
  </w:p>
  <w:p w:rsidR="006564AD">
    <w:pPr>
      <w:pStyle w:val="Footer"/>
      <w:jc w:val="right"/>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61" type="#_x0000_t202" style="width:2in;height:2in;margin-top:0;margin-left:0;mso-position-horizontal:center;mso-position-horizontal-relative:margin;mso-wrap-style:none;position:absolute;z-index:251663360"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7</w:t>
                </w:r>
                <w:r>
                  <w:fldChar w:fldCharType="end"/>
                </w:r>
              </w:p>
            </w:txbxContent>
          </v:textbox>
          <w10:wrap anchorx="margin"/>
        </v:shape>
      </w:pict>
    </w:r>
  </w:p>
  <w:p w:rsidR="006564AD">
    <w:pPr>
      <w:pStyle w:val="Footer"/>
      <w:jc w:val="right"/>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z-index:251664384"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7</w:t>
                </w:r>
                <w:r>
                  <w:fldChar w:fldCharType="end"/>
                </w:r>
              </w:p>
            </w:txbxContent>
          </v:textbox>
          <w10:wrap anchorx="margin"/>
        </v:shape>
      </w:pict>
    </w:r>
  </w:p>
  <w:p w:rsidR="006564AD">
    <w:pPr>
      <w:pStyle w:val="Footer"/>
      <w:jc w:val="right"/>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65" type="#_x0000_t202" style="width:2in;height:2in;margin-top:0;margin-left:0;mso-position-horizontal:center;mso-position-horizontal-relative:margin;mso-wrap-style:none;position:absolute;z-index:251665408"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9</w:t>
                </w:r>
                <w:r>
                  <w:fldChar w:fldCharType="end"/>
                </w:r>
              </w:p>
            </w:txbxContent>
          </v:textbox>
          <w10:wrap anchorx="margin"/>
        </v:shape>
      </w:pict>
    </w:r>
  </w:p>
  <w:p w:rsidR="006564AD">
    <w:pPr>
      <w:pStyle w:val="Footer"/>
      <w:jc w:val="right"/>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67" type="#_x0000_t202" style="width:2in;height:2in;margin-top:0;margin-left:0;mso-position-horizontal:center;mso-position-horizontal-relative:margin;mso-wrap-style:none;position:absolute;z-index:251666432"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9</w:t>
                </w:r>
                <w:r>
                  <w:fldChar w:fldCharType="end"/>
                </w:r>
              </w:p>
            </w:txbxContent>
          </v:textbox>
          <w10:wrap anchorx="margin"/>
        </v:shape>
      </w:pict>
    </w:r>
  </w:p>
  <w:p w:rsidR="006564AD">
    <w:pPr>
      <w:pStyle w:val="Footer"/>
      <w:jc w:val="right"/>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z-index:251667456"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10</w:t>
                </w:r>
                <w:r>
                  <w:fldChar w:fldCharType="end"/>
                </w:r>
              </w:p>
            </w:txbxContent>
          </v:textbox>
          <w10:wrap anchorx="margin"/>
        </v:shape>
      </w:pict>
    </w:r>
  </w:p>
  <w:p w:rsidR="006564AD">
    <w:pPr>
      <w:pStyle w:val="Footer"/>
      <w:jc w:val="right"/>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jc w:val="right"/>
    </w:pPr>
    <w:r>
      <w:pict>
        <v:shapetype id="_x0000_t202" coordsize="21600,21600" o:spt="202" path="m,l,21600r21600,l21600,xe">
          <v:stroke joinstyle="miter"/>
          <v:path gradientshapeok="t" o:connecttype="rect"/>
        </v:shapetype>
        <v:shape id="文本框 2" o:spid="_x0000_s2071" type="#_x0000_t202" style="width:2in;height:2in;margin-top:0;margin-left:0;mso-position-horizontal:center;mso-position-horizontal-relative:margin;mso-wrap-style:none;position:absolute;z-index:251668480" filled="f" stroked="f" strokeweight="1.25pt">
          <v:fill o:detectmouseclick="t"/>
          <o:lock v:ext="edit" aspectratio="f"/>
          <v:textbox style="mso-fit-shape-to-text:t" inset="0,0,0,0">
            <w:txbxContent>
              <w:p w:rsidR="006564AD">
                <w:pPr>
                  <w:pStyle w:val="Footer"/>
                  <w:jc w:val="right"/>
                </w:pPr>
                <w:r>
                  <w:fldChar w:fldCharType="begin"/>
                </w:r>
                <w:r>
                  <w:instrText xml:space="preserve"> PAGE   \* MERGEFORMAT </w:instrText>
                </w:r>
                <w:r>
                  <w:fldChar w:fldCharType="separate"/>
                </w:r>
                <w:r w:rsidRPr="00062406" w:rsidR="00062406">
                  <w:rPr>
                    <w:noProof/>
                    <w:lang w:val="zh-CN"/>
                  </w:rPr>
                  <w:t>12</w:t>
                </w:r>
                <w:r>
                  <w:fldChar w:fldCharType="end"/>
                </w:r>
              </w:p>
            </w:txbxContent>
          </v:textbox>
          <w10:wrap anchorx="margin"/>
        </v:shape>
      </w:pict>
    </w:r>
  </w:p>
  <w:p w:rsidR="006564AD">
    <w:pPr>
      <w:pStyle w:val="Footer"/>
      <w:jc w:val="right"/>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153"/>
        <w:tab w:val="right" w:pos="8306"/>
      </w:tabs>
      <w:snapToGrid w:val="0"/>
      <w:jc w:val="left"/>
      <w:rPr>
        <w:rFonts w:hint="eastAsia"/>
      </w:rP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2049" type="#_x0000_t75" alt="前海" style="width:33.57pt;height:30.99pt;mso-position-horizontal-relative:page;mso-position-vertical-relative:page" o:preferrelative="t" filled="f" stroked="f">
          <v:imagedata r:id="rId1" o:title="前海"/>
          <v:path o:extrusionok="f"/>
          <o:lock v:ext="edit" aspectratio="t"/>
        </v:shape>
      </w:pict>
    </w:r>
    <w:r>
      <w:rPr>
        <w:rFonts w:ascii="Calibri" w:hAnsi="Calibri" w:hint="eastAsia"/>
        <w:sz w:val="15"/>
      </w:rPr>
      <w:t>深圳市前海</w:t>
    </w:r>
    <w:r>
      <w:rPr>
        <w:rFonts w:ascii="Calibri" w:hAnsi="Calibri" w:cs="Calibri"/>
        <w:sz w:val="15"/>
        <w:szCs w:val="20"/>
      </w:rPr>
      <w:t>建设</w:t>
    </w:r>
    <w:r>
      <w:rPr>
        <w:rFonts w:ascii="Calibri" w:hAnsi="Calibri" w:hint="eastAsia"/>
        <w:sz w:val="15"/>
      </w:rPr>
      <w:t>投资控股</w:t>
    </w:r>
    <w:r>
      <w:rPr>
        <w:rFonts w:ascii="Calibri" w:hAnsi="Calibri" w:cs="Calibri"/>
        <w:sz w:val="15"/>
        <w:szCs w:val="20"/>
      </w:rPr>
      <w:t>集团</w:t>
    </w:r>
    <w:r>
      <w:rPr>
        <w:rFonts w:ascii="Calibri" w:hAnsi="Calibri" w:hint="eastAsia"/>
        <w:sz w:val="15"/>
      </w:rPr>
      <w:t>有限公司</w:t>
    </w:r>
    <w:r>
      <w:rPr>
        <w:rFonts w:ascii="Calibri" w:hAnsi="Calibri"/>
        <w:sz w:val="20"/>
      </w:rPr>
      <w:t xml:space="preserve">     </w:t>
    </w:r>
    <w:r>
      <w:rPr>
        <w:rFonts w:ascii="Calibri" w:hAnsi="Calibri" w:cs="Calibri" w:hint="eastAsia"/>
        <w:sz w:val="18"/>
        <w:szCs w:val="18"/>
      </w:rPr>
      <w:t xml:space="preserve">   编号：QHKG-ZD-10-203                  版本：A/2</w:t>
    </w:r>
    <w:r>
      <w:rPr>
        <w:rFonts w:hint="eastAsia"/>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50"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52"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54"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56"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58"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60"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62"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64"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66"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68"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Bdr>
        <w:bottom w:val="single" w:sz="6" w:space="1" w:color="auto"/>
      </w:pBdr>
      <w:tabs>
        <w:tab w:val="center" w:pos="4393"/>
        <w:tab w:val="right" w:pos="8787"/>
      </w:tabs>
      <w:snapToGrid w:val="0"/>
      <w:jc w:val="center"/>
    </w:pPr>
    <w:r>
      <w:rPr>
        <w:rFonts w:ascii="Calibri" w:hAnsi="Calibri" w:cs="Calibri"/>
        <w:sz w:val="13"/>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2070" type="#_x0000_t75" alt="前海" style="width:33.57pt;height:30.99pt;mso-position-horizontal-relative:page;mso-position-vertical-relative:page" o:preferrelative="t" filled="f" stroked="f">
          <v:imagedata r:id="rId1" o:title="前海"/>
          <v:path o:extrusionok="f"/>
          <o:lock v:ext="edit" aspectratio="t"/>
        </v:shape>
      </w:pict>
    </w:r>
    <w:r>
      <w:rPr>
        <w:rFonts w:hint="eastAsia"/>
      </w:rPr>
      <w:t xml:space="preserve">深圳市前海建设投资控股集团有限公司  </w:t>
    </w:r>
    <w:r>
      <w:rPr>
        <w:rFonts w:hint="eastAsia"/>
      </w:rPr>
      <w:t xml:space="preserve">   </w:t>
    </w:r>
    <w:r>
      <w:rPr>
        <w:rFonts w:hint="eastAsia"/>
      </w:rPr>
      <w:t>编号：QHKG-ZD-10-20</w:t>
    </w:r>
    <w:r>
      <w:rPr>
        <w:rFonts w:hint="eastAsia"/>
      </w:rPr>
      <w:t>6</w:t>
    </w:r>
    <w:r>
      <w:rPr>
        <w:rFonts w:hint="eastAsia"/>
      </w:rPr>
      <w:t xml:space="preserve">     </w:t>
    </w:r>
    <w:r>
      <w:rPr>
        <w:rFonts w:hint="eastAsia"/>
      </w:rPr>
      <w:t xml:space="preserve">  </w:t>
    </w:r>
    <w:r>
      <w:rPr>
        <w:rFonts w:hint="eastAsia"/>
      </w:rPr>
      <w:t>版本：A/</w:t>
    </w:r>
    <w:r>
      <w:rPr>
        <w:rFonts w:hint="eastAsia"/>
      </w:rPr>
      <w:t>3</w:t>
    </w:r>
    <w:r>
      <w:rPr>
        <w:rFonts w:hint="eastAsia"/>
      </w:rPr>
      <w:tab/>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AD">
    <w:pPr>
      <w:pStyle w:val="Header"/>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6419C27"/>
    <w:multiLevelType w:val="singleLevel"/>
    <w:tmpl w:val="D6419C27"/>
    <w:lvl w:ilvl="0">
      <w:start w:val="1"/>
      <w:numFmt w:val="chineseCounting"/>
      <w:suff w:val="nothing"/>
      <w:lvlText w:val="（%1）"/>
      <w:lvlJc w:val="left"/>
      <w:rPr>
        <w:rFonts w:hint="eastAsia"/>
      </w:rPr>
    </w:lvl>
  </w:abstractNum>
  <w:abstractNum w:abstractNumId="1">
    <w:nsid w:val="00000001"/>
    <w:multiLevelType w:val="multilevel"/>
    <w:tmpl w:val="00000001"/>
    <w:lvl w:ilvl="0">
      <w:start w:val="1"/>
      <w:numFmt w:val="chineseCountingThousand"/>
      <w:lvlText w:val="第%1条"/>
      <w:lvlJc w:val="left"/>
      <w:pPr>
        <w:tabs>
          <w:tab w:val="num" w:pos="2137"/>
        </w:tabs>
        <w:ind w:left="2137" w:hanging="720"/>
      </w:pPr>
      <w:rPr>
        <w:rFonts w:ascii="仿宋" w:eastAsia="黑体" w:hAnsi="仿宋" w:hint="eastAsia"/>
        <w:b/>
        <w:color w:val="000000"/>
        <w:sz w:val="32"/>
        <w:lang w:val="en-US"/>
      </w:rPr>
    </w:lvl>
    <w:lvl w:ilvl="1">
      <w:start w:val="1"/>
      <w:numFmt w:val="lowerLetter"/>
      <w:lvlText w:val="%2)"/>
      <w:lvlJc w:val="left"/>
      <w:pPr>
        <w:tabs>
          <w:tab w:val="num" w:pos="2189"/>
        </w:tabs>
        <w:ind w:left="2189" w:hanging="420"/>
      </w:pPr>
    </w:lvl>
    <w:lvl w:ilvl="2">
      <w:start w:val="1"/>
      <w:numFmt w:val="lowerRoman"/>
      <w:lvlText w:val="%3."/>
      <w:lvlJc w:val="right"/>
      <w:pPr>
        <w:tabs>
          <w:tab w:val="num" w:pos="2609"/>
        </w:tabs>
        <w:ind w:left="2609" w:hanging="420"/>
      </w:pPr>
    </w:lvl>
    <w:lvl w:ilvl="3">
      <w:start w:val="1"/>
      <w:numFmt w:val="decimal"/>
      <w:lvlText w:val="%4."/>
      <w:lvlJc w:val="left"/>
      <w:pPr>
        <w:tabs>
          <w:tab w:val="num" w:pos="3029"/>
        </w:tabs>
        <w:ind w:left="3029" w:hanging="420"/>
      </w:pPr>
    </w:lvl>
    <w:lvl w:ilvl="4">
      <w:start w:val="1"/>
      <w:numFmt w:val="lowerLetter"/>
      <w:lvlText w:val="%5)"/>
      <w:lvlJc w:val="left"/>
      <w:pPr>
        <w:tabs>
          <w:tab w:val="num" w:pos="3449"/>
        </w:tabs>
        <w:ind w:left="3449" w:hanging="420"/>
      </w:pPr>
    </w:lvl>
    <w:lvl w:ilvl="5">
      <w:start w:val="1"/>
      <w:numFmt w:val="lowerRoman"/>
      <w:lvlText w:val="%6."/>
      <w:lvlJc w:val="right"/>
      <w:pPr>
        <w:tabs>
          <w:tab w:val="num" w:pos="3869"/>
        </w:tabs>
        <w:ind w:left="3869" w:hanging="420"/>
      </w:pPr>
    </w:lvl>
    <w:lvl w:ilvl="6">
      <w:start w:val="1"/>
      <w:numFmt w:val="decimal"/>
      <w:lvlText w:val="%7."/>
      <w:lvlJc w:val="left"/>
      <w:pPr>
        <w:tabs>
          <w:tab w:val="num" w:pos="4289"/>
        </w:tabs>
        <w:ind w:left="4289" w:hanging="420"/>
      </w:pPr>
    </w:lvl>
    <w:lvl w:ilvl="7">
      <w:start w:val="1"/>
      <w:numFmt w:val="lowerLetter"/>
      <w:lvlText w:val="%8)"/>
      <w:lvlJc w:val="left"/>
      <w:pPr>
        <w:tabs>
          <w:tab w:val="num" w:pos="4709"/>
        </w:tabs>
        <w:ind w:left="4709" w:hanging="420"/>
      </w:pPr>
    </w:lvl>
    <w:lvl w:ilvl="8">
      <w:start w:val="1"/>
      <w:numFmt w:val="lowerRoman"/>
      <w:lvlText w:val="%9."/>
      <w:lvlJc w:val="right"/>
      <w:pPr>
        <w:tabs>
          <w:tab w:val="num" w:pos="5129"/>
        </w:tabs>
        <w:ind w:left="5129" w:hanging="420"/>
      </w:pPr>
    </w:lvl>
  </w:abstractNum>
  <w:abstractNum w:abstractNumId="2">
    <w:nsid w:val="2F0FB426"/>
    <w:multiLevelType w:val="singleLevel"/>
    <w:tmpl w:val="2F0FB426"/>
    <w:lvl w:ilvl="0">
      <w:start w:val="1"/>
      <w:numFmt w:val="decimal"/>
      <w:lvlText w:val="%1."/>
      <w:lvlJc w:val="left"/>
      <w:pPr>
        <w:tabs>
          <w:tab w:val="num" w:pos="312"/>
        </w:tabs>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9CE"/>
    <w:rsid w:val="00003C1E"/>
    <w:rsid w:val="00010F2B"/>
    <w:rsid w:val="00021E30"/>
    <w:rsid w:val="00023CFA"/>
    <w:rsid w:val="00033B1E"/>
    <w:rsid w:val="000359E4"/>
    <w:rsid w:val="00046CDF"/>
    <w:rsid w:val="000471AA"/>
    <w:rsid w:val="00051618"/>
    <w:rsid w:val="00051BAE"/>
    <w:rsid w:val="00054109"/>
    <w:rsid w:val="00062406"/>
    <w:rsid w:val="00065B34"/>
    <w:rsid w:val="0006779D"/>
    <w:rsid w:val="00073FCC"/>
    <w:rsid w:val="00082416"/>
    <w:rsid w:val="00084ACB"/>
    <w:rsid w:val="00092786"/>
    <w:rsid w:val="00095642"/>
    <w:rsid w:val="0009760E"/>
    <w:rsid w:val="000A58E7"/>
    <w:rsid w:val="000A7468"/>
    <w:rsid w:val="000B6B80"/>
    <w:rsid w:val="000C6A1A"/>
    <w:rsid w:val="000D5669"/>
    <w:rsid w:val="000E18CB"/>
    <w:rsid w:val="000F0464"/>
    <w:rsid w:val="000F695A"/>
    <w:rsid w:val="0010020D"/>
    <w:rsid w:val="00106CE4"/>
    <w:rsid w:val="00107C1D"/>
    <w:rsid w:val="001149CE"/>
    <w:rsid w:val="001205A9"/>
    <w:rsid w:val="00125504"/>
    <w:rsid w:val="001343F1"/>
    <w:rsid w:val="00144E31"/>
    <w:rsid w:val="001531C2"/>
    <w:rsid w:val="0015679A"/>
    <w:rsid w:val="001567AB"/>
    <w:rsid w:val="00156D4E"/>
    <w:rsid w:val="0015741F"/>
    <w:rsid w:val="001647B0"/>
    <w:rsid w:val="0016720D"/>
    <w:rsid w:val="00173EC5"/>
    <w:rsid w:val="0017797A"/>
    <w:rsid w:val="00177F84"/>
    <w:rsid w:val="00180269"/>
    <w:rsid w:val="00181C90"/>
    <w:rsid w:val="00184B30"/>
    <w:rsid w:val="00184B56"/>
    <w:rsid w:val="001850D3"/>
    <w:rsid w:val="00185FD9"/>
    <w:rsid w:val="00186B69"/>
    <w:rsid w:val="0019010B"/>
    <w:rsid w:val="00192D04"/>
    <w:rsid w:val="00194F95"/>
    <w:rsid w:val="001A39E7"/>
    <w:rsid w:val="001A5D82"/>
    <w:rsid w:val="001B6574"/>
    <w:rsid w:val="001B6B31"/>
    <w:rsid w:val="001B724F"/>
    <w:rsid w:val="001B7B2B"/>
    <w:rsid w:val="001D0AA5"/>
    <w:rsid w:val="001D4BF5"/>
    <w:rsid w:val="001D7207"/>
    <w:rsid w:val="001E0D9C"/>
    <w:rsid w:val="001E1466"/>
    <w:rsid w:val="001E21A0"/>
    <w:rsid w:val="001E29D6"/>
    <w:rsid w:val="001E3462"/>
    <w:rsid w:val="001E5DDF"/>
    <w:rsid w:val="001F0764"/>
    <w:rsid w:val="001F15BD"/>
    <w:rsid w:val="001F3B0F"/>
    <w:rsid w:val="001F7221"/>
    <w:rsid w:val="002067FE"/>
    <w:rsid w:val="00212AA0"/>
    <w:rsid w:val="00220D04"/>
    <w:rsid w:val="00223294"/>
    <w:rsid w:val="00226014"/>
    <w:rsid w:val="00226263"/>
    <w:rsid w:val="00227C63"/>
    <w:rsid w:val="0023360A"/>
    <w:rsid w:val="00233A3D"/>
    <w:rsid w:val="00235827"/>
    <w:rsid w:val="0024428D"/>
    <w:rsid w:val="00244989"/>
    <w:rsid w:val="00246A8D"/>
    <w:rsid w:val="0025030B"/>
    <w:rsid w:val="00252C5A"/>
    <w:rsid w:val="00253EE9"/>
    <w:rsid w:val="00255E1B"/>
    <w:rsid w:val="00263D21"/>
    <w:rsid w:val="0026439C"/>
    <w:rsid w:val="002648FD"/>
    <w:rsid w:val="00264970"/>
    <w:rsid w:val="00265B07"/>
    <w:rsid w:val="00272595"/>
    <w:rsid w:val="002754F2"/>
    <w:rsid w:val="00276113"/>
    <w:rsid w:val="00282463"/>
    <w:rsid w:val="00290E90"/>
    <w:rsid w:val="002A3004"/>
    <w:rsid w:val="002A4B15"/>
    <w:rsid w:val="002B0EB3"/>
    <w:rsid w:val="002B7E03"/>
    <w:rsid w:val="002C0CA5"/>
    <w:rsid w:val="002C2C68"/>
    <w:rsid w:val="002D07FF"/>
    <w:rsid w:val="002D2D5E"/>
    <w:rsid w:val="002F0D09"/>
    <w:rsid w:val="002F128E"/>
    <w:rsid w:val="002F686D"/>
    <w:rsid w:val="002F7FBB"/>
    <w:rsid w:val="00302964"/>
    <w:rsid w:val="003160CA"/>
    <w:rsid w:val="00317E36"/>
    <w:rsid w:val="003223AE"/>
    <w:rsid w:val="00326BE1"/>
    <w:rsid w:val="00345196"/>
    <w:rsid w:val="003530A1"/>
    <w:rsid w:val="0035344D"/>
    <w:rsid w:val="0036425D"/>
    <w:rsid w:val="00364B73"/>
    <w:rsid w:val="00365DDC"/>
    <w:rsid w:val="00372EB0"/>
    <w:rsid w:val="003818D8"/>
    <w:rsid w:val="00382632"/>
    <w:rsid w:val="00385BC0"/>
    <w:rsid w:val="00387B34"/>
    <w:rsid w:val="00391610"/>
    <w:rsid w:val="0039758A"/>
    <w:rsid w:val="003A1B0A"/>
    <w:rsid w:val="003A3CCE"/>
    <w:rsid w:val="003A6885"/>
    <w:rsid w:val="003B2DA7"/>
    <w:rsid w:val="003C1117"/>
    <w:rsid w:val="003C625D"/>
    <w:rsid w:val="003C67F0"/>
    <w:rsid w:val="003D3758"/>
    <w:rsid w:val="003D5E81"/>
    <w:rsid w:val="003E0878"/>
    <w:rsid w:val="003E6D96"/>
    <w:rsid w:val="00401EB9"/>
    <w:rsid w:val="00411AEF"/>
    <w:rsid w:val="00411FD9"/>
    <w:rsid w:val="004178D8"/>
    <w:rsid w:val="00417A41"/>
    <w:rsid w:val="00420ED6"/>
    <w:rsid w:val="0042296B"/>
    <w:rsid w:val="0042391C"/>
    <w:rsid w:val="00430989"/>
    <w:rsid w:val="00437A62"/>
    <w:rsid w:val="00445B9C"/>
    <w:rsid w:val="004559A4"/>
    <w:rsid w:val="00467201"/>
    <w:rsid w:val="004718D1"/>
    <w:rsid w:val="00475D2B"/>
    <w:rsid w:val="00482A9C"/>
    <w:rsid w:val="0048674B"/>
    <w:rsid w:val="00486D86"/>
    <w:rsid w:val="00494289"/>
    <w:rsid w:val="0049551F"/>
    <w:rsid w:val="004969DF"/>
    <w:rsid w:val="00497212"/>
    <w:rsid w:val="004A2756"/>
    <w:rsid w:val="004B031D"/>
    <w:rsid w:val="004B5595"/>
    <w:rsid w:val="004C3D20"/>
    <w:rsid w:val="004E0950"/>
    <w:rsid w:val="004E2215"/>
    <w:rsid w:val="004E338D"/>
    <w:rsid w:val="004E3455"/>
    <w:rsid w:val="004F04C3"/>
    <w:rsid w:val="004F3F02"/>
    <w:rsid w:val="0050025D"/>
    <w:rsid w:val="00505C63"/>
    <w:rsid w:val="005110CD"/>
    <w:rsid w:val="0051113C"/>
    <w:rsid w:val="0051157B"/>
    <w:rsid w:val="0051332C"/>
    <w:rsid w:val="00517D02"/>
    <w:rsid w:val="00521D2D"/>
    <w:rsid w:val="00525B3E"/>
    <w:rsid w:val="005274E8"/>
    <w:rsid w:val="00534BF1"/>
    <w:rsid w:val="005357CB"/>
    <w:rsid w:val="00537D6E"/>
    <w:rsid w:val="00541481"/>
    <w:rsid w:val="00542BFD"/>
    <w:rsid w:val="00543B93"/>
    <w:rsid w:val="00551474"/>
    <w:rsid w:val="0055276D"/>
    <w:rsid w:val="005537A6"/>
    <w:rsid w:val="0055448C"/>
    <w:rsid w:val="0057530D"/>
    <w:rsid w:val="005802F0"/>
    <w:rsid w:val="00582B7A"/>
    <w:rsid w:val="00582BAA"/>
    <w:rsid w:val="005832C8"/>
    <w:rsid w:val="005854A9"/>
    <w:rsid w:val="0058658A"/>
    <w:rsid w:val="00590911"/>
    <w:rsid w:val="00591550"/>
    <w:rsid w:val="005925D4"/>
    <w:rsid w:val="00596B89"/>
    <w:rsid w:val="00597BC4"/>
    <w:rsid w:val="005A772D"/>
    <w:rsid w:val="005B4D7C"/>
    <w:rsid w:val="005C7FE9"/>
    <w:rsid w:val="005D1057"/>
    <w:rsid w:val="005D1BD6"/>
    <w:rsid w:val="005D319A"/>
    <w:rsid w:val="005D34B2"/>
    <w:rsid w:val="005E0BA7"/>
    <w:rsid w:val="005F00B2"/>
    <w:rsid w:val="005F52DC"/>
    <w:rsid w:val="00600134"/>
    <w:rsid w:val="006044D6"/>
    <w:rsid w:val="00605608"/>
    <w:rsid w:val="00606FF5"/>
    <w:rsid w:val="00607440"/>
    <w:rsid w:val="0061506D"/>
    <w:rsid w:val="0061687D"/>
    <w:rsid w:val="006169FD"/>
    <w:rsid w:val="006313BD"/>
    <w:rsid w:val="006319FB"/>
    <w:rsid w:val="006379BD"/>
    <w:rsid w:val="00645C9D"/>
    <w:rsid w:val="00646434"/>
    <w:rsid w:val="006564AD"/>
    <w:rsid w:val="00660056"/>
    <w:rsid w:val="00661CC6"/>
    <w:rsid w:val="00664181"/>
    <w:rsid w:val="00664441"/>
    <w:rsid w:val="0067520B"/>
    <w:rsid w:val="00676006"/>
    <w:rsid w:val="00683BA5"/>
    <w:rsid w:val="00687B74"/>
    <w:rsid w:val="0069401A"/>
    <w:rsid w:val="00694796"/>
    <w:rsid w:val="0069658B"/>
    <w:rsid w:val="006A0513"/>
    <w:rsid w:val="006A44E2"/>
    <w:rsid w:val="006A5724"/>
    <w:rsid w:val="006B1E63"/>
    <w:rsid w:val="006B3C1F"/>
    <w:rsid w:val="006D6934"/>
    <w:rsid w:val="006E08EF"/>
    <w:rsid w:val="006E1372"/>
    <w:rsid w:val="006E4692"/>
    <w:rsid w:val="006E7CFC"/>
    <w:rsid w:val="006F1F2D"/>
    <w:rsid w:val="006F780B"/>
    <w:rsid w:val="00711049"/>
    <w:rsid w:val="00712662"/>
    <w:rsid w:val="0072106F"/>
    <w:rsid w:val="00722423"/>
    <w:rsid w:val="00724FFA"/>
    <w:rsid w:val="007300EA"/>
    <w:rsid w:val="007361F5"/>
    <w:rsid w:val="007413DB"/>
    <w:rsid w:val="00773AB8"/>
    <w:rsid w:val="0078095D"/>
    <w:rsid w:val="00781860"/>
    <w:rsid w:val="007833BD"/>
    <w:rsid w:val="00785005"/>
    <w:rsid w:val="00796C60"/>
    <w:rsid w:val="007A0CF9"/>
    <w:rsid w:val="007A22A3"/>
    <w:rsid w:val="007A2973"/>
    <w:rsid w:val="007A3923"/>
    <w:rsid w:val="007A3FE6"/>
    <w:rsid w:val="007B3474"/>
    <w:rsid w:val="007B5C5C"/>
    <w:rsid w:val="007B6C7D"/>
    <w:rsid w:val="007C1C9A"/>
    <w:rsid w:val="007C5B8D"/>
    <w:rsid w:val="007F17D3"/>
    <w:rsid w:val="007F7CE8"/>
    <w:rsid w:val="00801E10"/>
    <w:rsid w:val="00802E4E"/>
    <w:rsid w:val="00802F07"/>
    <w:rsid w:val="008039AD"/>
    <w:rsid w:val="00803F99"/>
    <w:rsid w:val="008075E1"/>
    <w:rsid w:val="00807965"/>
    <w:rsid w:val="00815144"/>
    <w:rsid w:val="00816508"/>
    <w:rsid w:val="0082006B"/>
    <w:rsid w:val="008344E7"/>
    <w:rsid w:val="00835AF9"/>
    <w:rsid w:val="008538B1"/>
    <w:rsid w:val="00854F59"/>
    <w:rsid w:val="00865BAE"/>
    <w:rsid w:val="008711FB"/>
    <w:rsid w:val="00890674"/>
    <w:rsid w:val="00894364"/>
    <w:rsid w:val="008A3129"/>
    <w:rsid w:val="008A5BA9"/>
    <w:rsid w:val="008A7626"/>
    <w:rsid w:val="008B1D79"/>
    <w:rsid w:val="008B25A6"/>
    <w:rsid w:val="008B467B"/>
    <w:rsid w:val="008C79EE"/>
    <w:rsid w:val="008D0488"/>
    <w:rsid w:val="008F0910"/>
    <w:rsid w:val="008F5332"/>
    <w:rsid w:val="008F6EAE"/>
    <w:rsid w:val="009075E3"/>
    <w:rsid w:val="00920D67"/>
    <w:rsid w:val="00920EDE"/>
    <w:rsid w:val="00926092"/>
    <w:rsid w:val="00926CF1"/>
    <w:rsid w:val="00930224"/>
    <w:rsid w:val="00937B2A"/>
    <w:rsid w:val="00952BF8"/>
    <w:rsid w:val="0096190E"/>
    <w:rsid w:val="00972200"/>
    <w:rsid w:val="00975451"/>
    <w:rsid w:val="00994D8A"/>
    <w:rsid w:val="009B4806"/>
    <w:rsid w:val="009B5FFF"/>
    <w:rsid w:val="009E418D"/>
    <w:rsid w:val="009E6037"/>
    <w:rsid w:val="009E7FC8"/>
    <w:rsid w:val="009F1D9A"/>
    <w:rsid w:val="009F1FB7"/>
    <w:rsid w:val="009F6F36"/>
    <w:rsid w:val="009F7B6F"/>
    <w:rsid w:val="00A025FE"/>
    <w:rsid w:val="00A17A94"/>
    <w:rsid w:val="00A21631"/>
    <w:rsid w:val="00A26973"/>
    <w:rsid w:val="00A27802"/>
    <w:rsid w:val="00A4217B"/>
    <w:rsid w:val="00A438F3"/>
    <w:rsid w:val="00A441C5"/>
    <w:rsid w:val="00A45A1D"/>
    <w:rsid w:val="00A55624"/>
    <w:rsid w:val="00A601E2"/>
    <w:rsid w:val="00A60545"/>
    <w:rsid w:val="00A6235D"/>
    <w:rsid w:val="00A6525A"/>
    <w:rsid w:val="00A65706"/>
    <w:rsid w:val="00A67D5A"/>
    <w:rsid w:val="00A84067"/>
    <w:rsid w:val="00A84E31"/>
    <w:rsid w:val="00A921FF"/>
    <w:rsid w:val="00A92D4A"/>
    <w:rsid w:val="00A96530"/>
    <w:rsid w:val="00A96BC5"/>
    <w:rsid w:val="00AA04EE"/>
    <w:rsid w:val="00AA2DC5"/>
    <w:rsid w:val="00AB695C"/>
    <w:rsid w:val="00AC56CB"/>
    <w:rsid w:val="00AD6EC4"/>
    <w:rsid w:val="00AE0053"/>
    <w:rsid w:val="00AE2222"/>
    <w:rsid w:val="00AF1770"/>
    <w:rsid w:val="00AF69D1"/>
    <w:rsid w:val="00AF7F15"/>
    <w:rsid w:val="00B01714"/>
    <w:rsid w:val="00B034AB"/>
    <w:rsid w:val="00B03B77"/>
    <w:rsid w:val="00B04511"/>
    <w:rsid w:val="00B15734"/>
    <w:rsid w:val="00B229A8"/>
    <w:rsid w:val="00B23734"/>
    <w:rsid w:val="00B309BF"/>
    <w:rsid w:val="00B36F7F"/>
    <w:rsid w:val="00B40D46"/>
    <w:rsid w:val="00B44E14"/>
    <w:rsid w:val="00B45576"/>
    <w:rsid w:val="00B47BE0"/>
    <w:rsid w:val="00B52D42"/>
    <w:rsid w:val="00B722BE"/>
    <w:rsid w:val="00B724A2"/>
    <w:rsid w:val="00B73452"/>
    <w:rsid w:val="00B823E6"/>
    <w:rsid w:val="00B829E4"/>
    <w:rsid w:val="00B82D75"/>
    <w:rsid w:val="00B86E88"/>
    <w:rsid w:val="00BA239D"/>
    <w:rsid w:val="00BA7C38"/>
    <w:rsid w:val="00BB53D5"/>
    <w:rsid w:val="00BD2344"/>
    <w:rsid w:val="00BD459C"/>
    <w:rsid w:val="00BD494A"/>
    <w:rsid w:val="00BE0836"/>
    <w:rsid w:val="00BE0B53"/>
    <w:rsid w:val="00BE1732"/>
    <w:rsid w:val="00BE2A66"/>
    <w:rsid w:val="00C05BB7"/>
    <w:rsid w:val="00C11DE5"/>
    <w:rsid w:val="00C14C9C"/>
    <w:rsid w:val="00C15C50"/>
    <w:rsid w:val="00C169FE"/>
    <w:rsid w:val="00C3398A"/>
    <w:rsid w:val="00C4677B"/>
    <w:rsid w:val="00C47D47"/>
    <w:rsid w:val="00C66661"/>
    <w:rsid w:val="00C66A09"/>
    <w:rsid w:val="00C72601"/>
    <w:rsid w:val="00C75DFC"/>
    <w:rsid w:val="00C93F44"/>
    <w:rsid w:val="00C94BE1"/>
    <w:rsid w:val="00CB70F1"/>
    <w:rsid w:val="00CC098A"/>
    <w:rsid w:val="00CC7073"/>
    <w:rsid w:val="00CD4EC3"/>
    <w:rsid w:val="00CD5F8B"/>
    <w:rsid w:val="00CD79EB"/>
    <w:rsid w:val="00CE48B1"/>
    <w:rsid w:val="00CE5DD5"/>
    <w:rsid w:val="00CE6335"/>
    <w:rsid w:val="00CE79D3"/>
    <w:rsid w:val="00CF70D5"/>
    <w:rsid w:val="00CF7953"/>
    <w:rsid w:val="00D055A7"/>
    <w:rsid w:val="00D058B8"/>
    <w:rsid w:val="00D10F34"/>
    <w:rsid w:val="00D11267"/>
    <w:rsid w:val="00D12369"/>
    <w:rsid w:val="00D126E3"/>
    <w:rsid w:val="00D144EE"/>
    <w:rsid w:val="00D155C9"/>
    <w:rsid w:val="00D164D8"/>
    <w:rsid w:val="00D16B94"/>
    <w:rsid w:val="00D23AA5"/>
    <w:rsid w:val="00D2522A"/>
    <w:rsid w:val="00D438F3"/>
    <w:rsid w:val="00D44F77"/>
    <w:rsid w:val="00D54BD7"/>
    <w:rsid w:val="00D57AF0"/>
    <w:rsid w:val="00D6244D"/>
    <w:rsid w:val="00D72FF6"/>
    <w:rsid w:val="00D738D2"/>
    <w:rsid w:val="00D762ED"/>
    <w:rsid w:val="00D80B83"/>
    <w:rsid w:val="00D82AD2"/>
    <w:rsid w:val="00D92AC8"/>
    <w:rsid w:val="00D92C7B"/>
    <w:rsid w:val="00DA111D"/>
    <w:rsid w:val="00DA37CB"/>
    <w:rsid w:val="00DB42AB"/>
    <w:rsid w:val="00DB48F6"/>
    <w:rsid w:val="00DB4AA4"/>
    <w:rsid w:val="00DC52D4"/>
    <w:rsid w:val="00DD174E"/>
    <w:rsid w:val="00DD2FD3"/>
    <w:rsid w:val="00DE6B3D"/>
    <w:rsid w:val="00DE747E"/>
    <w:rsid w:val="00DF0751"/>
    <w:rsid w:val="00DF4581"/>
    <w:rsid w:val="00E00B92"/>
    <w:rsid w:val="00E01F0E"/>
    <w:rsid w:val="00E04395"/>
    <w:rsid w:val="00E06108"/>
    <w:rsid w:val="00E065C1"/>
    <w:rsid w:val="00E120CC"/>
    <w:rsid w:val="00E127EC"/>
    <w:rsid w:val="00E15F76"/>
    <w:rsid w:val="00E22E1C"/>
    <w:rsid w:val="00E23811"/>
    <w:rsid w:val="00E30EFE"/>
    <w:rsid w:val="00E427EF"/>
    <w:rsid w:val="00E5222A"/>
    <w:rsid w:val="00E6115E"/>
    <w:rsid w:val="00E71309"/>
    <w:rsid w:val="00E75367"/>
    <w:rsid w:val="00E80C98"/>
    <w:rsid w:val="00E82FD9"/>
    <w:rsid w:val="00E8361A"/>
    <w:rsid w:val="00E837F6"/>
    <w:rsid w:val="00E95050"/>
    <w:rsid w:val="00EA12DB"/>
    <w:rsid w:val="00EA2920"/>
    <w:rsid w:val="00EA35F1"/>
    <w:rsid w:val="00EA3CAE"/>
    <w:rsid w:val="00EA6B86"/>
    <w:rsid w:val="00EB10C2"/>
    <w:rsid w:val="00EB5831"/>
    <w:rsid w:val="00EB5CBC"/>
    <w:rsid w:val="00EB6F87"/>
    <w:rsid w:val="00EC29CC"/>
    <w:rsid w:val="00EC3B36"/>
    <w:rsid w:val="00ED2C62"/>
    <w:rsid w:val="00ED668E"/>
    <w:rsid w:val="00ED79C5"/>
    <w:rsid w:val="00EE30AB"/>
    <w:rsid w:val="00EE3484"/>
    <w:rsid w:val="00EE63C9"/>
    <w:rsid w:val="00EF3BF8"/>
    <w:rsid w:val="00F051F3"/>
    <w:rsid w:val="00F16E9B"/>
    <w:rsid w:val="00F21AB3"/>
    <w:rsid w:val="00F41127"/>
    <w:rsid w:val="00F411F4"/>
    <w:rsid w:val="00F41AEA"/>
    <w:rsid w:val="00F43CBF"/>
    <w:rsid w:val="00F45ED5"/>
    <w:rsid w:val="00F47BE9"/>
    <w:rsid w:val="00F5756D"/>
    <w:rsid w:val="00F57C29"/>
    <w:rsid w:val="00F653E9"/>
    <w:rsid w:val="00F72B7A"/>
    <w:rsid w:val="00F73A03"/>
    <w:rsid w:val="00F73DD8"/>
    <w:rsid w:val="00F87351"/>
    <w:rsid w:val="00F942E1"/>
    <w:rsid w:val="00F95370"/>
    <w:rsid w:val="00F958BB"/>
    <w:rsid w:val="00FA423A"/>
    <w:rsid w:val="00FA51D4"/>
    <w:rsid w:val="00FB304A"/>
    <w:rsid w:val="00FB3077"/>
    <w:rsid w:val="00FC0BB1"/>
    <w:rsid w:val="00FC1961"/>
    <w:rsid w:val="00FC35C5"/>
    <w:rsid w:val="00FC6BFE"/>
    <w:rsid w:val="00FD1026"/>
    <w:rsid w:val="00FD3470"/>
    <w:rsid w:val="00FD479A"/>
    <w:rsid w:val="00FE1469"/>
    <w:rsid w:val="00FE32D8"/>
    <w:rsid w:val="00FE4D20"/>
    <w:rsid w:val="00FE708C"/>
    <w:rsid w:val="00FF03F2"/>
    <w:rsid w:val="00FF51F7"/>
    <w:rsid w:val="00FF5904"/>
    <w:rsid w:val="00FF7921"/>
    <w:rsid w:val="01DA7E26"/>
    <w:rsid w:val="026D3507"/>
    <w:rsid w:val="02F31C7C"/>
    <w:rsid w:val="030B2C02"/>
    <w:rsid w:val="031A7549"/>
    <w:rsid w:val="0357739F"/>
    <w:rsid w:val="047F239E"/>
    <w:rsid w:val="06FC5932"/>
    <w:rsid w:val="076E2191"/>
    <w:rsid w:val="07B0279A"/>
    <w:rsid w:val="07CD0EF6"/>
    <w:rsid w:val="0B821D3C"/>
    <w:rsid w:val="0BE80F95"/>
    <w:rsid w:val="0E402C25"/>
    <w:rsid w:val="0F251AAB"/>
    <w:rsid w:val="0F474CDF"/>
    <w:rsid w:val="102434B5"/>
    <w:rsid w:val="121B10FA"/>
    <w:rsid w:val="13012100"/>
    <w:rsid w:val="138F0A12"/>
    <w:rsid w:val="139C7EB3"/>
    <w:rsid w:val="13E04498"/>
    <w:rsid w:val="144045F8"/>
    <w:rsid w:val="14CF5F6C"/>
    <w:rsid w:val="16860973"/>
    <w:rsid w:val="168B10FE"/>
    <w:rsid w:val="16B52901"/>
    <w:rsid w:val="16E8040B"/>
    <w:rsid w:val="17F55280"/>
    <w:rsid w:val="184F56F2"/>
    <w:rsid w:val="194A2A69"/>
    <w:rsid w:val="19B87966"/>
    <w:rsid w:val="1BD7667D"/>
    <w:rsid w:val="1D260837"/>
    <w:rsid w:val="1DAC2DE0"/>
    <w:rsid w:val="1F1F4A46"/>
    <w:rsid w:val="217403E6"/>
    <w:rsid w:val="22501257"/>
    <w:rsid w:val="22887249"/>
    <w:rsid w:val="23375A85"/>
    <w:rsid w:val="235714B2"/>
    <w:rsid w:val="24C42689"/>
    <w:rsid w:val="254875DB"/>
    <w:rsid w:val="25B50833"/>
    <w:rsid w:val="25E85D10"/>
    <w:rsid w:val="26BB042B"/>
    <w:rsid w:val="29385918"/>
    <w:rsid w:val="29B11646"/>
    <w:rsid w:val="2A0A42A8"/>
    <w:rsid w:val="2A935F34"/>
    <w:rsid w:val="2C173479"/>
    <w:rsid w:val="2C2715CC"/>
    <w:rsid w:val="2C497A52"/>
    <w:rsid w:val="2D2110D2"/>
    <w:rsid w:val="2D500C13"/>
    <w:rsid w:val="2D7C66F7"/>
    <w:rsid w:val="2DFB67DF"/>
    <w:rsid w:val="2E7D04F5"/>
    <w:rsid w:val="2E8C1899"/>
    <w:rsid w:val="3004150E"/>
    <w:rsid w:val="30201F97"/>
    <w:rsid w:val="31910591"/>
    <w:rsid w:val="32BA7463"/>
    <w:rsid w:val="32C01BF4"/>
    <w:rsid w:val="34B70894"/>
    <w:rsid w:val="34BF1272"/>
    <w:rsid w:val="36481A81"/>
    <w:rsid w:val="366C68F6"/>
    <w:rsid w:val="36E965DD"/>
    <w:rsid w:val="39B90C30"/>
    <w:rsid w:val="3A854192"/>
    <w:rsid w:val="3B103ACD"/>
    <w:rsid w:val="3B4E4EF2"/>
    <w:rsid w:val="3D6477DC"/>
    <w:rsid w:val="3D9935EB"/>
    <w:rsid w:val="3DC40ECF"/>
    <w:rsid w:val="3ED9361C"/>
    <w:rsid w:val="3F071A38"/>
    <w:rsid w:val="3FA722CA"/>
    <w:rsid w:val="41075E07"/>
    <w:rsid w:val="414C7298"/>
    <w:rsid w:val="41884AA1"/>
    <w:rsid w:val="41CE30B8"/>
    <w:rsid w:val="41D50A79"/>
    <w:rsid w:val="41F74DF5"/>
    <w:rsid w:val="423B555A"/>
    <w:rsid w:val="45A359FA"/>
    <w:rsid w:val="461C6AE8"/>
    <w:rsid w:val="46612C61"/>
    <w:rsid w:val="46686304"/>
    <w:rsid w:val="467C408A"/>
    <w:rsid w:val="46D5774D"/>
    <w:rsid w:val="470313D5"/>
    <w:rsid w:val="479D48DA"/>
    <w:rsid w:val="481A3F26"/>
    <w:rsid w:val="483C1FA3"/>
    <w:rsid w:val="484805E5"/>
    <w:rsid w:val="4A8B7D38"/>
    <w:rsid w:val="4ABB1507"/>
    <w:rsid w:val="4B8579F7"/>
    <w:rsid w:val="4BA74AAE"/>
    <w:rsid w:val="4BAD3B45"/>
    <w:rsid w:val="4BF9090B"/>
    <w:rsid w:val="4C6D6439"/>
    <w:rsid w:val="4D055182"/>
    <w:rsid w:val="4D0956E3"/>
    <w:rsid w:val="4DB0571E"/>
    <w:rsid w:val="4F1B2705"/>
    <w:rsid w:val="4FA2408D"/>
    <w:rsid w:val="4FAB4779"/>
    <w:rsid w:val="51575C98"/>
    <w:rsid w:val="51A56132"/>
    <w:rsid w:val="520E4F5E"/>
    <w:rsid w:val="5255452A"/>
    <w:rsid w:val="528210C4"/>
    <w:rsid w:val="52832114"/>
    <w:rsid w:val="52F577EA"/>
    <w:rsid w:val="53863470"/>
    <w:rsid w:val="53C87D93"/>
    <w:rsid w:val="543870D8"/>
    <w:rsid w:val="544949C4"/>
    <w:rsid w:val="54D7339A"/>
    <w:rsid w:val="55C410D8"/>
    <w:rsid w:val="565D3BE9"/>
    <w:rsid w:val="582E2725"/>
    <w:rsid w:val="58A33C9C"/>
    <w:rsid w:val="5B583B51"/>
    <w:rsid w:val="5B666810"/>
    <w:rsid w:val="5BA87C91"/>
    <w:rsid w:val="5C921C0C"/>
    <w:rsid w:val="5D5757BB"/>
    <w:rsid w:val="5E677158"/>
    <w:rsid w:val="5EC83A20"/>
    <w:rsid w:val="5F345E52"/>
    <w:rsid w:val="5F56338E"/>
    <w:rsid w:val="5FFD5A83"/>
    <w:rsid w:val="6137625A"/>
    <w:rsid w:val="63183727"/>
    <w:rsid w:val="63806324"/>
    <w:rsid w:val="64D03246"/>
    <w:rsid w:val="67320982"/>
    <w:rsid w:val="68EE5055"/>
    <w:rsid w:val="6A301A28"/>
    <w:rsid w:val="6A3D7ECC"/>
    <w:rsid w:val="6B49584B"/>
    <w:rsid w:val="6DAC153A"/>
    <w:rsid w:val="6E3A7FAA"/>
    <w:rsid w:val="6EF01422"/>
    <w:rsid w:val="71FB5E6E"/>
    <w:rsid w:val="72253AE4"/>
    <w:rsid w:val="724F10DA"/>
    <w:rsid w:val="728F379E"/>
    <w:rsid w:val="73843D08"/>
    <w:rsid w:val="74730161"/>
    <w:rsid w:val="74781E32"/>
    <w:rsid w:val="749B1A84"/>
    <w:rsid w:val="74CB7463"/>
    <w:rsid w:val="762D7A1D"/>
    <w:rsid w:val="77130B22"/>
    <w:rsid w:val="787978E0"/>
    <w:rsid w:val="78962991"/>
    <w:rsid w:val="7907196C"/>
    <w:rsid w:val="79A73E07"/>
    <w:rsid w:val="7A417928"/>
    <w:rsid w:val="7ADE336D"/>
    <w:rsid w:val="7B4F281D"/>
    <w:rsid w:val="7C4F37EA"/>
    <w:rsid w:val="7E152B5E"/>
    <w:rsid w:val="7FA903C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annotation text" w:semiHidden="0"/>
    <w:lsdException w:name="header" w:semiHidden="0" w:uiPriority="0" w:unhideWhenUsed="0"/>
    <w:lsdException w:name="footer" w:semiHidden="0" w:unhideWhenUsed="0"/>
    <w:lsdException w:name="index heading" w:semiHidden="0" w:uiPriority="0" w:unhideWhenUsed="0"/>
    <w:lsdException w:name="caption" w:uiPriority="35" w:qFormat="1"/>
    <w:lsdException w:name="footnote reference" w:semiHidden="0"/>
    <w:lsdException w:name="annotation reference" w:semiHidden="0"/>
    <w:lsdException w:name="page number" w:semiHidden="0" w:uiPriority="0" w:unhideWhenUsed="0"/>
    <w:lsdException w:name="Title" w:semiHidden="0" w:uiPriority="10" w:unhideWhenUsed="0" w:qFormat="1"/>
    <w:lsdException w:name="Default Paragraph Font" w:semiHidden="0" w:uiPriority="1"/>
    <w:lsdException w:name="Body Text Indent" w:semiHidden="0" w:uiPriority="0" w:unhideWhenUsed="0"/>
    <w:lsdException w:name="Subtitle" w:semiHidden="0" w:uiPriority="11" w:unhideWhenUsed="0" w:qFormat="1"/>
    <w:lsdException w:name="Block Text" w:semiHidden="0" w:uiPriority="0" w:unhideWhenUsed="0"/>
    <w:lsdException w:name="Strong" w:semiHidden="0" w:uiPriority="0" w:unhideWhenUsed="0" w:qFormat="1"/>
    <w:lsdException w:name="Emphasis" w:semiHidden="0" w:uiPriority="20" w:unhideWhenUsed="0" w:qFormat="1"/>
    <w:lsdException w:name="Normal (Web)" w:semiHidden="0" w:unhideWhenUsed="0" w:qFormat="1"/>
    <w:lsdException w:name="Normal Table" w:semiHidden="0"/>
    <w:lsdException w:name="Balloon Text" w:semiHidden="0"/>
    <w:lsdException w:name="Table Grid"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eastAsia="仿宋"/>
      <w:kern w:val="2"/>
      <w:sz w:val="21"/>
      <w:szCs w:val="22"/>
      <w:lang w:val="en-US" w:eastAsia="zh-CN" w:bidi="ar-SA"/>
    </w:rPr>
  </w:style>
  <w:style w:type="paragraph" w:styleId="Heading1">
    <w:name w:val="heading 1"/>
    <w:basedOn w:val="Normal"/>
    <w:next w:val="Normal"/>
    <w:link w:val="1"/>
    <w:uiPriority w:val="9"/>
    <w:qFormat/>
    <w:pPr>
      <w:keepNext/>
      <w:keepLines/>
      <w:spacing w:before="340" w:beforeLines="0" w:after="330" w:afterLines="0" w:line="578" w:lineRule="auto"/>
      <w:outlineLvl w:val="0"/>
    </w:pPr>
    <w:rPr>
      <w:rFonts w:ascii="仿宋_GB2312" w:eastAsia="仿宋_GB2312" w:hAnsi="仿宋_GB2312"/>
      <w:b/>
      <w:bCs/>
      <w:kern w:val="44"/>
      <w:sz w:val="44"/>
      <w:szCs w:val="44"/>
    </w:rPr>
  </w:style>
  <w:style w:type="paragraph" w:styleId="Heading2">
    <w:name w:val="heading 2"/>
    <w:basedOn w:val="Normal"/>
    <w:next w:val="Normal"/>
    <w:link w:val="2"/>
    <w:qFormat/>
    <w:pPr>
      <w:keepNext/>
      <w:numPr>
        <w:ilvl w:val="0"/>
        <w:numId w:val="1"/>
      </w:numPr>
      <w:tabs>
        <w:tab w:val="left" w:pos="1713"/>
        <w:tab w:val="left" w:pos="2137"/>
      </w:tabs>
      <w:spacing w:line="440" w:lineRule="exact"/>
      <w:outlineLvl w:val="1"/>
    </w:pPr>
    <w:rPr>
      <w:rFonts w:ascii="黑体" w:eastAsia="黑体" w:hAnsi="仿宋_GB2312"/>
      <w:kern w:val="0"/>
      <w:sz w:val="32"/>
      <w:szCs w:val="32"/>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Pr>
      <w:rFonts w:ascii="仿宋_GB2312" w:eastAsia="仿宋_GB2312" w:hAnsi="仿宋_GB2312"/>
      <w:b/>
      <w:bCs/>
      <w:kern w:val="44"/>
      <w:sz w:val="44"/>
      <w:szCs w:val="44"/>
    </w:rPr>
  </w:style>
  <w:style w:type="character" w:customStyle="1" w:styleId="2">
    <w:name w:val="标题 2 字符"/>
    <w:link w:val="Heading2"/>
    <w:rPr>
      <w:rFonts w:ascii="黑体" w:eastAsia="黑体" w:hAnsi="仿宋_GB2312" w:cs="Arial"/>
      <w:sz w:val="32"/>
      <w:szCs w:val="32"/>
    </w:rPr>
  </w:style>
  <w:style w:type="paragraph" w:styleId="CommentText">
    <w:name w:val="annotation text"/>
    <w:basedOn w:val="Normal"/>
    <w:link w:val="a"/>
    <w:uiPriority w:val="99"/>
    <w:unhideWhenUsed/>
    <w:pPr>
      <w:jc w:val="left"/>
    </w:pPr>
    <w:rPr>
      <w:rFonts w:ascii="仿宋_GB2312" w:eastAsia="仿宋_GB2312" w:hAnsi="仿宋_GB2312"/>
      <w:sz w:val="32"/>
      <w:szCs w:val="24"/>
    </w:rPr>
  </w:style>
  <w:style w:type="character" w:customStyle="1" w:styleId="a">
    <w:name w:val="批注文字 字符"/>
    <w:link w:val="CommentText"/>
    <w:uiPriority w:val="99"/>
    <w:semiHidden/>
    <w:rPr>
      <w:rFonts w:ascii="仿宋_GB2312" w:eastAsia="仿宋_GB2312" w:hAnsi="仿宋_GB2312"/>
      <w:kern w:val="2"/>
      <w:sz w:val="32"/>
      <w:szCs w:val="24"/>
    </w:rPr>
  </w:style>
  <w:style w:type="paragraph" w:styleId="BodyTextIndent">
    <w:name w:val="Body Text Indent"/>
    <w:basedOn w:val="Normal"/>
    <w:link w:val="a0"/>
    <w:pPr>
      <w:ind w:left="252" w:hanging="252" w:hangingChars="105"/>
    </w:pPr>
    <w:rPr>
      <w:rFonts w:ascii="仿宋_GB2312" w:eastAsia="仿宋_GB2312" w:hAnsi="仿宋_GB2312"/>
      <w:sz w:val="24"/>
      <w:szCs w:val="24"/>
    </w:rPr>
  </w:style>
  <w:style w:type="character" w:customStyle="1" w:styleId="a0">
    <w:name w:val="正文文本缩进 字符"/>
    <w:link w:val="BodyTextIndent"/>
    <w:rPr>
      <w:rFonts w:ascii="仿宋_GB2312" w:eastAsia="仿宋_GB2312" w:hAnsi="仿宋_GB2312"/>
      <w:kern w:val="2"/>
      <w:sz w:val="24"/>
      <w:szCs w:val="24"/>
    </w:rPr>
  </w:style>
  <w:style w:type="paragraph" w:styleId="BlockText">
    <w:name w:val="Block Text"/>
    <w:basedOn w:val="Normal"/>
    <w:pPr>
      <w:ind w:left="359" w:right="72" w:firstLine="1" w:leftChars="171"/>
    </w:pPr>
    <w:rPr>
      <w:rFonts w:ascii="仿宋_GB2312" w:eastAsia="仿宋_GB2312" w:hAnsi="仿宋_GB2312"/>
      <w:bCs/>
      <w:sz w:val="24"/>
      <w:szCs w:val="24"/>
    </w:rPr>
  </w:style>
  <w:style w:type="paragraph" w:styleId="BalloonText">
    <w:name w:val="Balloon Text"/>
    <w:basedOn w:val="Normal"/>
    <w:link w:val="a1"/>
    <w:uiPriority w:val="99"/>
    <w:unhideWhenUsed/>
    <w:rPr>
      <w:rFonts w:ascii="Times New Roman" w:hAnsi="Times New Roman"/>
      <w:sz w:val="18"/>
      <w:szCs w:val="18"/>
    </w:rPr>
  </w:style>
  <w:style w:type="character" w:customStyle="1" w:styleId="a1">
    <w:name w:val="批注框文本 字符"/>
    <w:link w:val="BalloonText"/>
    <w:uiPriority w:val="99"/>
    <w:semiHidden/>
    <w:rPr>
      <w:rFonts w:ascii="Times New Roman" w:hAnsi="Times New Roman"/>
      <w:kern w:val="2"/>
      <w:sz w:val="18"/>
      <w:szCs w:val="18"/>
    </w:rPr>
  </w:style>
  <w:style w:type="paragraph" w:styleId="Footer">
    <w:name w:val="footer"/>
    <w:basedOn w:val="Normal"/>
    <w:link w:val="a2"/>
    <w:uiPriority w:val="99"/>
    <w:pPr>
      <w:tabs>
        <w:tab w:val="center" w:pos="4153"/>
        <w:tab w:val="right" w:pos="8306"/>
      </w:tabs>
      <w:snapToGrid w:val="0"/>
      <w:jc w:val="left"/>
    </w:pPr>
    <w:rPr>
      <w:sz w:val="18"/>
      <w:szCs w:val="18"/>
    </w:rPr>
  </w:style>
  <w:style w:type="character" w:customStyle="1" w:styleId="a2">
    <w:name w:val="页脚 字符"/>
    <w:link w:val="Footer"/>
    <w:uiPriority w:val="99"/>
    <w:rPr>
      <w:kern w:val="2"/>
      <w:sz w:val="18"/>
      <w:szCs w:val="18"/>
    </w:rPr>
  </w:style>
  <w:style w:type="paragraph" w:styleId="Header">
    <w:name w:val="header"/>
    <w:basedOn w:val="Normal"/>
    <w:link w:val="a3"/>
    <w:pPr>
      <w:pBdr>
        <w:bottom w:val="single" w:sz="6" w:space="1" w:color="auto"/>
      </w:pBdr>
      <w:tabs>
        <w:tab w:val="center" w:pos="4153"/>
        <w:tab w:val="right" w:pos="8306"/>
      </w:tabs>
      <w:snapToGrid w:val="0"/>
      <w:jc w:val="center"/>
    </w:pPr>
    <w:rPr>
      <w:sz w:val="18"/>
      <w:szCs w:val="18"/>
    </w:rPr>
  </w:style>
  <w:style w:type="character" w:customStyle="1" w:styleId="a3">
    <w:name w:val="页眉 字符"/>
    <w:link w:val="Header"/>
    <w:rPr>
      <w:kern w:val="2"/>
      <w:sz w:val="18"/>
      <w:szCs w:val="18"/>
    </w:rPr>
  </w:style>
  <w:style w:type="paragraph" w:styleId="IndexHeading">
    <w:name w:val="index heading"/>
    <w:basedOn w:val="Normal"/>
    <w:next w:val="Index1"/>
    <w:rPr>
      <w:rFonts w:ascii="仿宋_GB2312" w:eastAsia="仿宋_GB2312" w:hAnsi="仿宋_GB2312"/>
      <w:sz w:val="32"/>
      <w:szCs w:val="24"/>
    </w:rPr>
  </w:style>
  <w:style w:type="paragraph" w:styleId="Index1">
    <w:name w:val="index 1"/>
    <w:basedOn w:val="Normal"/>
    <w:next w:val="Normal"/>
    <w:uiPriority w:val="99"/>
    <w:unhideWhenUsed/>
  </w:style>
  <w:style w:type="paragraph" w:styleId="FootnoteText">
    <w:name w:val="footnote text"/>
    <w:basedOn w:val="Normal"/>
    <w:link w:val="a4"/>
    <w:uiPriority w:val="99"/>
    <w:unhideWhenUsed/>
    <w:pPr>
      <w:snapToGrid w:val="0"/>
      <w:jc w:val="left"/>
    </w:pPr>
    <w:rPr>
      <w:sz w:val="18"/>
      <w:szCs w:val="18"/>
    </w:rPr>
  </w:style>
  <w:style w:type="character" w:customStyle="1" w:styleId="a4">
    <w:name w:val="脚注文本 字符"/>
    <w:link w:val="FootnoteText"/>
    <w:uiPriority w:val="99"/>
    <w:semiHidden/>
    <w:rPr>
      <w:kern w:val="2"/>
      <w:sz w:val="18"/>
      <w:szCs w:val="18"/>
    </w:rPr>
  </w:style>
  <w:style w:type="paragraph" w:styleId="NormalWeb">
    <w:name w:val="Normal (Web)"/>
    <w:basedOn w:val="Normal"/>
    <w:uiPriority w:val="99"/>
    <w:qFormat/>
    <w:pPr>
      <w:spacing w:beforeAutospacing="1" w:afterAutospacing="1"/>
      <w:jc w:val="left"/>
    </w:pPr>
    <w:rPr>
      <w:rFonts w:cs="Times New Roman"/>
      <w:kern w:val="0"/>
      <w:sz w:val="24"/>
    </w:rPr>
  </w:style>
  <w:style w:type="table" w:styleId="TableGrid">
    <w:name w:val="Table Grid"/>
    <w:basedOn w:val="TableNormal"/>
    <w:pPr>
      <w:widowControl w:val="0"/>
      <w:jc w:val="both"/>
    </w:pPr>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CommentReference">
    <w:name w:val="annotation reference"/>
    <w:uiPriority w:val="99"/>
    <w:unhideWhenUsed/>
    <w:rPr>
      <w:sz w:val="21"/>
      <w:szCs w:val="21"/>
    </w:rPr>
  </w:style>
  <w:style w:type="character" w:styleId="FootnoteReference">
    <w:name w:val="footnote reference"/>
    <w:uiPriority w:val="99"/>
    <w:unhideWhenUsed/>
    <w:rPr>
      <w:vertAlign w:val="superscript"/>
    </w:rPr>
  </w:style>
  <w:style w:type="character" w:customStyle="1" w:styleId="Char1">
    <w:name w:val="页脚 Char1"/>
    <w:uiPriority w:val="99"/>
    <w:semiHidden/>
    <w:rPr>
      <w:kern w:val="2"/>
      <w:sz w:val="18"/>
      <w:szCs w:val="18"/>
    </w:rPr>
  </w:style>
  <w:style w:type="character" w:customStyle="1" w:styleId="Char10">
    <w:name w:val="页眉 Char1"/>
    <w:uiPriority w:val="99"/>
    <w:semiHidden/>
    <w:rPr>
      <w:kern w:val="2"/>
      <w:sz w:val="18"/>
      <w:szCs w:val="18"/>
    </w:rPr>
  </w:style>
  <w:style w:type="paragraph" w:customStyle="1" w:styleId="p0">
    <w:name w:val="p0"/>
    <w:basedOn w:val="Normal"/>
    <w:pPr>
      <w:widowControl/>
    </w:pPr>
    <w:rPr>
      <w:rFonts w:ascii="Times New Roman" w:hAnsi="Times New Roman"/>
      <w:kern w:val="0"/>
      <w:szCs w:val="21"/>
    </w:rPr>
  </w:style>
  <w:style w:type="paragraph" w:customStyle="1" w:styleId="a5">
    <w:name w:val="！正文内容"/>
    <w:basedOn w:val="Normal"/>
    <w:qFormat/>
    <w:pPr>
      <w:ind w:firstLine="200" w:firstLineChars="200"/>
    </w:pPr>
    <w:rPr>
      <w:rFonts w:ascii="宋体" w:eastAsia="仿宋_GB2312" w:hAnsi="宋体"/>
      <w:sz w:val="32"/>
      <w:szCs w:val="32"/>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yperlink" Target="https://d.book118.com/037066025064006025" TargetMode="Externa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theme" Target="theme/theme1.xml" /><Relationship Id="rId54" Type="http://schemas.openxmlformats.org/officeDocument/2006/relationships/numbering" Target="numbering.xml" /><Relationship Id="rId55" Type="http://schemas.openxmlformats.org/officeDocument/2006/relationships/styles" Target="styles.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s>
</file>

<file path=word/_rels/header13.xml.rels><?xml version="1.0" encoding="utf-8" standalone="yes"?><Relationships xmlns="http://schemas.openxmlformats.org/package/2006/relationships"><Relationship Id="rId1" Type="http://schemas.openxmlformats.org/officeDocument/2006/relationships/image" Target="media/image1.png" /></Relationships>
</file>

<file path=word/_rels/header15.xml.rels><?xml version="1.0" encoding="utf-8" standalone="yes"?><Relationships xmlns="http://schemas.openxmlformats.org/package/2006/relationships"><Relationship Id="rId1" Type="http://schemas.openxmlformats.org/officeDocument/2006/relationships/image" Target="media/image1.png" /></Relationships>
</file>

<file path=word/_rels/header17.xml.rels><?xml version="1.0" encoding="utf-8" standalone="yes"?><Relationships xmlns="http://schemas.openxmlformats.org/package/2006/relationships"><Relationship Id="rId1" Type="http://schemas.openxmlformats.org/officeDocument/2006/relationships/image" Target="media/image1.png" /></Relationships>
</file>

<file path=word/_rels/header19.xml.rels><?xml version="1.0" encoding="utf-8" standalone="yes"?><Relationships xmlns="http://schemas.openxmlformats.org/package/2006/relationships"><Relationship Id="rId1" Type="http://schemas.openxmlformats.org/officeDocument/2006/relationships/image" Target="media/image1.png" /></Relationships>
</file>

<file path=word/_rels/header21.xml.rels><?xml version="1.0" encoding="utf-8" standalone="yes"?><Relationships xmlns="http://schemas.openxmlformats.org/package/2006/relationships"><Relationship Id="rId1" Type="http://schemas.openxmlformats.org/officeDocument/2006/relationships/image" Target="media/image1.png" /></Relationships>
</file>

<file path=word/_rels/header2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17</Pages>
  <Words>6471</Words>
  <Characters>6537</Characters>
  <Application>Microsoft Office Word</Application>
  <DocSecurity>0</DocSecurity>
  <Lines>466</Lines>
  <Paragraphs>406</Paragraphs>
  <ScaleCrop>false</ScaleCrop>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关于提请审议控股公司《建设工程招标管理暂行规定》、《工程变更管理暂行办法》</dc:title>
  <dc:creator>郑春斌</dc:creator>
  <cp:lastModifiedBy>谭妮红</cp:lastModifiedBy>
  <cp:revision>3</cp:revision>
  <cp:lastPrinted>2021-12-17T01:12:00Z</cp:lastPrinted>
  <dcterms:created xsi:type="dcterms:W3CDTF">2019-10-23T12:37:00Z</dcterms:created>
  <dcterms:modified xsi:type="dcterms:W3CDTF">2022-06-02T01:39:00Z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B7B129A8D8304D1AB924301A7A6CB7D4</vt:lpwstr>
  </property>
  <property fmtid="{D5CDD505-2E9C-101B-9397-08002B2CF9AE}" pid="3" name="KSOProductBuildVer">
    <vt:lpwstr>2052-11.8.2.10321</vt:lpwstr>
  </property>
</Properties>
</file>