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航天器总体电路行业相关公司设立可行性研究报告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97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_Toc25974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_Toc10072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_Toc3544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_Toc13098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_Toc8314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_Toc6405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_Toc29407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_Toc19472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_Toc17656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_Toc14749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_Toc8012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6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_Toc13016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(一)、航天器总体电路项目选址原则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_Toc24462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_Toc22188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_Toc12130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" w:history="1">
        <w:r>
          <w:rPr>
            <w:rFonts w:ascii="仿宋" w:eastAsia="仿宋" w:hAnsi="仿宋" w:cs="仿宋" w:hint="eastAsia"/>
            <w:lang w:eastAsia="zh-CN"/>
          </w:rPr>
          <w:t>(五)、航天器总体电路项目选址综合评价</w:t>
        </w:r>
        <w:r>
          <w:tab/>
        </w:r>
        <w:r>
          <w:fldChar w:fldCharType="begin"/>
        </w:r>
        <w:r>
          <w:instrText xml:space="preserve"> PAGEREF _Toc964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30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_Toc24830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_Toc10899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29" w:history="1">
        <w:r>
          <w:rPr>
            <w:rFonts w:ascii="仿宋" w:eastAsia="仿宋" w:hAnsi="仿宋" w:cs="仿宋" w:hint="eastAsia"/>
            <w:lang w:eastAsia="zh-CN"/>
          </w:rPr>
          <w:t>五、航天器总体电路项目概况</w:t>
        </w:r>
        <w:r>
          <w:tab/>
        </w:r>
        <w:r>
          <w:fldChar w:fldCharType="begin"/>
        </w:r>
        <w:r>
          <w:instrText xml:space="preserve"> PAGEREF _Toc6829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_Toc10001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0" w:history="1">
        <w:r>
          <w:rPr>
            <w:rFonts w:ascii="仿宋" w:eastAsia="仿宋" w:hAnsi="仿宋" w:cs="仿宋" w:hint="eastAsia"/>
            <w:lang w:eastAsia="zh-CN"/>
          </w:rPr>
          <w:t>(二)、航天器总体电路项目提出的理由</w:t>
        </w:r>
        <w:r>
          <w:tab/>
        </w:r>
        <w:r>
          <w:fldChar w:fldCharType="begin"/>
        </w:r>
        <w:r>
          <w:instrText xml:space="preserve"> PAGEREF _Toc14590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0" w:history="1">
        <w:r>
          <w:rPr>
            <w:rFonts w:ascii="仿宋" w:eastAsia="仿宋" w:hAnsi="仿宋" w:cs="仿宋" w:hint="eastAsia"/>
            <w:lang w:eastAsia="zh-CN"/>
          </w:rPr>
          <w:t>(三)、航天器总体电路项目选址</w:t>
        </w:r>
        <w:r>
          <w:tab/>
        </w:r>
        <w:r>
          <w:fldChar w:fldCharType="begin"/>
        </w:r>
        <w:r>
          <w:instrText xml:space="preserve"> PAGEREF _Toc13910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_Toc12202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0" w:history="1">
        <w:r>
          <w:rPr>
            <w:rFonts w:ascii="仿宋" w:eastAsia="仿宋" w:hAnsi="仿宋" w:cs="仿宋" w:hint="eastAsia"/>
            <w:lang w:eastAsia="zh-CN"/>
          </w:rPr>
          <w:t>(六)、航天器总体电路项目投资</w:t>
        </w:r>
        <w:r>
          <w:tab/>
        </w:r>
        <w:r>
          <w:fldChar w:fldCharType="begin"/>
        </w:r>
        <w:r>
          <w:instrText xml:space="preserve"> PAGEREF _Toc21500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(七)、航天器总体电路项目进度规划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_Toc30850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8" w:history="1">
        <w:r>
          <w:rPr>
            <w:rFonts w:ascii="仿宋" w:eastAsia="仿宋" w:hAnsi="仿宋" w:cs="仿宋" w:hint="eastAsia"/>
            <w:lang w:eastAsia="zh-CN"/>
          </w:rPr>
          <w:t>(九)、航天器总体电路项目综合评价</w:t>
        </w:r>
        <w:r>
          <w:tab/>
        </w:r>
        <w:r>
          <w:fldChar w:fldCharType="begin"/>
        </w:r>
        <w:r>
          <w:instrText xml:space="preserve"> PAGEREF _Toc27788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六、航天器总体电路项目风险分析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8" w:history="1">
        <w:r>
          <w:rPr>
            <w:rFonts w:ascii="仿宋" w:eastAsia="仿宋" w:hAnsi="仿宋" w:cs="仿宋" w:hint="eastAsia"/>
            <w:lang w:eastAsia="zh-CN"/>
          </w:rPr>
          <w:t>(一)、航天器总体电路项目风险分析</w:t>
        </w:r>
        <w:r>
          <w:tab/>
        </w:r>
        <w:r>
          <w:fldChar w:fldCharType="begin"/>
        </w:r>
        <w:r>
          <w:instrText xml:space="preserve"> PAGEREF _Toc20168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4" w:history="1">
        <w:r>
          <w:rPr>
            <w:rFonts w:ascii="仿宋" w:eastAsia="仿宋" w:hAnsi="仿宋" w:cs="仿宋" w:hint="eastAsia"/>
            <w:lang w:eastAsia="zh-CN"/>
          </w:rPr>
          <w:t>(二)、航天器总体电路项目风险对策</w:t>
        </w:r>
        <w:r>
          <w:tab/>
        </w:r>
        <w:r>
          <w:fldChar w:fldCharType="begin"/>
        </w:r>
        <w:r>
          <w:instrText xml:space="preserve"> PAGEREF _Toc8544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_Toc7616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_Toc11273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_Toc11062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八、航天器总体电路项目经济效益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_Toc12966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_Toc20396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5" w:history="1">
        <w:r>
          <w:rPr>
            <w:rFonts w:ascii="仿宋" w:eastAsia="仿宋" w:hAnsi="仿宋" w:cs="仿宋" w:hint="eastAsia"/>
            <w:lang w:eastAsia="zh-CN"/>
          </w:rPr>
          <w:t>(三)、航天器总体电路项目盈利能力分析</w:t>
        </w:r>
        <w:r>
          <w:tab/>
        </w:r>
        <w:r>
          <w:fldChar w:fldCharType="begin"/>
        </w:r>
        <w:r>
          <w:instrText xml:space="preserve"> PAGEREF _Toc16815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_Toc13425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_Toc18643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_Toc14041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0" w:history="1">
        <w:r>
          <w:rPr>
            <w:rFonts w:ascii="仿宋" w:eastAsia="仿宋" w:hAnsi="仿宋" w:cs="仿宋" w:hint="eastAsia"/>
            <w:lang w:eastAsia="zh-CN"/>
          </w:rPr>
          <w:t>(一)、航天器总体电路项目进度安排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4" w:history="1">
        <w:r>
          <w:rPr>
            <w:rFonts w:ascii="仿宋" w:eastAsia="仿宋" w:hAnsi="仿宋" w:cs="仿宋" w:hint="eastAsia"/>
            <w:lang w:eastAsia="zh-CN"/>
          </w:rPr>
          <w:t>(二)、航天器总体电路项目实施保障措施</w:t>
        </w:r>
        <w:r>
          <w:tab/>
        </w:r>
        <w:r>
          <w:fldChar w:fldCharType="begin"/>
        </w:r>
        <w:r>
          <w:instrText xml:space="preserve"> PAGEREF _Toc22804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_Toc31128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_Toc30908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_Toc28529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_Toc11361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_Toc23062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_Toc19743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_Toc24450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_Toc25362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_Toc11565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_Toc29215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3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_Toc11439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3" w:history="1">
        <w:r>
          <w:rPr>
            <w:rFonts w:ascii="仿宋" w:eastAsia="仿宋" w:hAnsi="仿宋" w:cs="仿宋" w:hint="eastAsia"/>
            <w:lang w:eastAsia="zh-CN"/>
          </w:rPr>
          <w:t>(一)、社会责任航天器总体电路项目</w:t>
        </w:r>
        <w:r>
          <w:tab/>
        </w:r>
        <w:r>
          <w:fldChar w:fldCharType="begin"/>
        </w:r>
        <w:r>
          <w:instrText xml:space="preserve"> PAGEREF _Toc18233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_Toc9626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_Toc6765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8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_Toc32318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_Toc30040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_Toc26810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97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7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80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https://d.book118.com/037132102056006043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航天器总体电路行业相关公司设立可行性研究报告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航天器总体电路行业相关公司设立可行性研究报告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航天器总体电路行业相关公司设立可行性研究报告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航天器总体电路行业相关公司设立可行性研究报告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航天器总体电路行业相关公司设立可行性研究报告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32102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2024-02-07T13:58:00Z</dcterms:created>
  <dcterms:modified xsi:type="dcterms:W3CDTF">2024-02-07T13:58:32Z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12329B43D3A64B1EBC1485F25B6D1B6A_11</vt:lpwstr>
  </property>
  <property fmtid="{D5CDD505-2E9C-101B-9397-08002B2CF9AE}" pid="3" name="KSOProductBuildVer">
    <vt:lpwstr>2052-12.1.0.16250</vt:lpwstr>
  </property>
</Properties>
</file>