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净水絮凝剂项目计划设计方案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8" w:history="1">
        <w:r>
          <w:rPr>
            <w:rFonts w:ascii="仿宋" w:eastAsia="仿宋" w:hAnsi="仿宋" w:cs="仿宋" w:hint="eastAsia"/>
            <w:lang w:eastAsia="zh-CN"/>
          </w:rPr>
          <w:t>概论</w:t>
        </w:r>
        <w:r>
          <w:tab/>
        </w:r>
        <w:r>
          <w:fldChar w:fldCharType="begin"/>
        </w:r>
        <w:r>
          <w:instrText xml:space="preserve"> PAGEREF _Toc1808 \h </w:instrText>
        </w:r>
        <w:r>
          <w:fldChar w:fldCharType="separate"/>
        </w:r>
        <w:r>
          <w:t>3</w:t>
        </w:r>
        <w:r>
          <w:fldChar w:fldCharType="end"/>
        </w:r>
      </w:hyperlink>
    </w:p>
    <w:p>
      <w:pPr>
        <w:pStyle w:val="TOC1"/>
        <w:tabs>
          <w:tab w:val="right" w:leader="dot" w:pos="8306"/>
        </w:tabs>
      </w:pPr>
      <w:hyperlink w:anchor="_Toc6902" w:history="1">
        <w:r>
          <w:rPr>
            <w:rFonts w:ascii="仿宋" w:eastAsia="仿宋" w:hAnsi="仿宋" w:cs="仿宋" w:hint="eastAsia"/>
            <w:lang w:eastAsia="zh-CN"/>
          </w:rPr>
          <w:t>一、净水絮凝剂项目可持续发展</w:t>
        </w:r>
        <w:r>
          <w:tab/>
        </w:r>
        <w:r>
          <w:fldChar w:fldCharType="begin"/>
        </w:r>
        <w:r>
          <w:instrText xml:space="preserve"> PAGEREF _Toc6902 \h </w:instrText>
        </w:r>
        <w:r>
          <w:fldChar w:fldCharType="separate"/>
        </w:r>
        <w:r>
          <w:t>3</w:t>
        </w:r>
        <w:r>
          <w:fldChar w:fldCharType="end"/>
        </w:r>
      </w:hyperlink>
    </w:p>
    <w:p>
      <w:pPr>
        <w:pStyle w:val="TOC2"/>
        <w:tabs>
          <w:tab w:val="right" w:leader="dot" w:pos="8306"/>
        </w:tabs>
      </w:pPr>
      <w:hyperlink w:anchor="_Toc31205" w:history="1">
        <w:r>
          <w:rPr>
            <w:rFonts w:ascii="仿宋" w:eastAsia="仿宋" w:hAnsi="仿宋" w:cs="仿宋" w:hint="eastAsia"/>
            <w:lang w:eastAsia="zh-CN"/>
          </w:rPr>
          <w:t>(一)、可持续战略与实践</w:t>
        </w:r>
        <w:r>
          <w:tab/>
        </w:r>
        <w:r>
          <w:fldChar w:fldCharType="begin"/>
        </w:r>
        <w:r>
          <w:instrText xml:space="preserve"> PAGEREF _Toc31205 \h </w:instrText>
        </w:r>
        <w:r>
          <w:fldChar w:fldCharType="separate"/>
        </w:r>
        <w:r>
          <w:t>3</w:t>
        </w:r>
        <w:r>
          <w:fldChar w:fldCharType="end"/>
        </w:r>
      </w:hyperlink>
    </w:p>
    <w:p>
      <w:pPr>
        <w:pStyle w:val="TOC2"/>
        <w:tabs>
          <w:tab w:val="right" w:leader="dot" w:pos="8306"/>
        </w:tabs>
      </w:pPr>
      <w:hyperlink w:anchor="_Toc18089" w:history="1">
        <w:r>
          <w:rPr>
            <w:rFonts w:ascii="仿宋" w:eastAsia="仿宋" w:hAnsi="仿宋" w:cs="仿宋" w:hint="eastAsia"/>
            <w:lang w:eastAsia="zh-CN"/>
          </w:rPr>
          <w:t>(二)、环保与社会责任</w:t>
        </w:r>
        <w:r>
          <w:tab/>
        </w:r>
        <w:r>
          <w:fldChar w:fldCharType="begin"/>
        </w:r>
        <w:r>
          <w:instrText xml:space="preserve"> PAGEREF _Toc18089 \h </w:instrText>
        </w:r>
        <w:r>
          <w:fldChar w:fldCharType="separate"/>
        </w:r>
        <w:r>
          <w:t>4</w:t>
        </w:r>
        <w:r>
          <w:fldChar w:fldCharType="end"/>
        </w:r>
      </w:hyperlink>
    </w:p>
    <w:p>
      <w:pPr>
        <w:pStyle w:val="TOC1"/>
        <w:tabs>
          <w:tab w:val="right" w:leader="dot" w:pos="8306"/>
        </w:tabs>
      </w:pPr>
      <w:hyperlink w:anchor="_Toc14169" w:history="1">
        <w:r>
          <w:rPr>
            <w:rFonts w:ascii="仿宋" w:eastAsia="仿宋" w:hAnsi="仿宋" w:cs="仿宋" w:hint="eastAsia"/>
            <w:lang w:eastAsia="zh-CN"/>
          </w:rPr>
          <w:t>二、净水絮凝剂项目建设背景及必要性分析</w:t>
        </w:r>
        <w:r>
          <w:tab/>
        </w:r>
        <w:r>
          <w:fldChar w:fldCharType="begin"/>
        </w:r>
        <w:r>
          <w:instrText xml:space="preserve"> PAGEREF _Toc14169 \h </w:instrText>
        </w:r>
        <w:r>
          <w:fldChar w:fldCharType="separate"/>
        </w:r>
        <w:r>
          <w:t>5</w:t>
        </w:r>
        <w:r>
          <w:fldChar w:fldCharType="end"/>
        </w:r>
      </w:hyperlink>
    </w:p>
    <w:p>
      <w:pPr>
        <w:pStyle w:val="TOC2"/>
        <w:tabs>
          <w:tab w:val="right" w:leader="dot" w:pos="8306"/>
        </w:tabs>
      </w:pPr>
      <w:hyperlink w:anchor="_Toc25924" w:history="1">
        <w:r>
          <w:rPr>
            <w:rFonts w:ascii="仿宋" w:eastAsia="仿宋" w:hAnsi="仿宋" w:cs="仿宋" w:hint="eastAsia"/>
            <w:lang w:eastAsia="zh-CN"/>
          </w:rPr>
          <w:t>(一)、净水絮凝剂项目背景分析</w:t>
        </w:r>
        <w:r>
          <w:tab/>
        </w:r>
        <w:r>
          <w:fldChar w:fldCharType="begin"/>
        </w:r>
        <w:r>
          <w:instrText xml:space="preserve"> PAGEREF _Toc25924 \h </w:instrText>
        </w:r>
        <w:r>
          <w:fldChar w:fldCharType="separate"/>
        </w:r>
        <w:r>
          <w:t>5</w:t>
        </w:r>
        <w:r>
          <w:fldChar w:fldCharType="end"/>
        </w:r>
      </w:hyperlink>
    </w:p>
    <w:p>
      <w:pPr>
        <w:pStyle w:val="TOC2"/>
        <w:tabs>
          <w:tab w:val="right" w:leader="dot" w:pos="8306"/>
        </w:tabs>
      </w:pPr>
      <w:hyperlink w:anchor="_Toc3267" w:history="1">
        <w:r>
          <w:rPr>
            <w:rFonts w:ascii="仿宋" w:eastAsia="仿宋" w:hAnsi="仿宋" w:cs="仿宋" w:hint="eastAsia"/>
            <w:lang w:eastAsia="zh-CN"/>
          </w:rPr>
          <w:t>(二)、净水絮凝剂项目建设必要性分析</w:t>
        </w:r>
        <w:r>
          <w:tab/>
        </w:r>
        <w:r>
          <w:fldChar w:fldCharType="begin"/>
        </w:r>
        <w:r>
          <w:instrText xml:space="preserve"> PAGEREF _Toc3267 \h </w:instrText>
        </w:r>
        <w:r>
          <w:fldChar w:fldCharType="separate"/>
        </w:r>
        <w:r>
          <w:t>6</w:t>
        </w:r>
        <w:r>
          <w:fldChar w:fldCharType="end"/>
        </w:r>
      </w:hyperlink>
    </w:p>
    <w:p>
      <w:pPr>
        <w:pStyle w:val="TOC1"/>
        <w:tabs>
          <w:tab w:val="right" w:leader="dot" w:pos="8306"/>
        </w:tabs>
      </w:pPr>
      <w:hyperlink w:anchor="_Toc12021" w:history="1">
        <w:r>
          <w:rPr>
            <w:rFonts w:ascii="仿宋" w:eastAsia="仿宋" w:hAnsi="仿宋" w:cs="仿宋" w:hint="eastAsia"/>
            <w:lang w:eastAsia="zh-CN"/>
          </w:rPr>
          <w:t>三、净水絮凝剂项目文档管理</w:t>
        </w:r>
        <w:r>
          <w:tab/>
        </w:r>
        <w:r>
          <w:fldChar w:fldCharType="begin"/>
        </w:r>
        <w:r>
          <w:instrText xml:space="preserve"> PAGEREF _Toc12021 \h </w:instrText>
        </w:r>
        <w:r>
          <w:fldChar w:fldCharType="separate"/>
        </w:r>
        <w:r>
          <w:t>8</w:t>
        </w:r>
        <w:r>
          <w:fldChar w:fldCharType="end"/>
        </w:r>
      </w:hyperlink>
    </w:p>
    <w:p>
      <w:pPr>
        <w:pStyle w:val="TOC2"/>
        <w:tabs>
          <w:tab w:val="right" w:leader="dot" w:pos="8306"/>
        </w:tabs>
      </w:pPr>
      <w:hyperlink w:anchor="_Toc14592" w:history="1">
        <w:r>
          <w:rPr>
            <w:rFonts w:ascii="仿宋" w:eastAsia="仿宋" w:hAnsi="仿宋" w:cs="仿宋" w:hint="eastAsia"/>
            <w:lang w:eastAsia="zh-CN"/>
          </w:rPr>
          <w:t>(一)、文档编制与审查</w:t>
        </w:r>
        <w:r>
          <w:tab/>
        </w:r>
        <w:r>
          <w:fldChar w:fldCharType="begin"/>
        </w:r>
        <w:r>
          <w:instrText xml:space="preserve"> PAGEREF _Toc14592 \h </w:instrText>
        </w:r>
        <w:r>
          <w:fldChar w:fldCharType="separate"/>
        </w:r>
        <w:r>
          <w:t>8</w:t>
        </w:r>
        <w:r>
          <w:fldChar w:fldCharType="end"/>
        </w:r>
      </w:hyperlink>
    </w:p>
    <w:p>
      <w:pPr>
        <w:pStyle w:val="TOC2"/>
        <w:tabs>
          <w:tab w:val="right" w:leader="dot" w:pos="8306"/>
        </w:tabs>
      </w:pPr>
      <w:hyperlink w:anchor="_Toc22759" w:history="1">
        <w:r>
          <w:rPr>
            <w:rFonts w:ascii="仿宋" w:eastAsia="仿宋" w:hAnsi="仿宋" w:cs="仿宋" w:hint="eastAsia"/>
            <w:lang w:eastAsia="zh-CN"/>
          </w:rPr>
          <w:t>(二)、文档发布与分发</w:t>
        </w:r>
        <w:r>
          <w:tab/>
        </w:r>
        <w:r>
          <w:fldChar w:fldCharType="begin"/>
        </w:r>
        <w:r>
          <w:instrText xml:space="preserve"> PAGEREF _Toc22759 \h </w:instrText>
        </w:r>
        <w:r>
          <w:fldChar w:fldCharType="separate"/>
        </w:r>
        <w:r>
          <w:t>9</w:t>
        </w:r>
        <w:r>
          <w:fldChar w:fldCharType="end"/>
        </w:r>
      </w:hyperlink>
    </w:p>
    <w:p>
      <w:pPr>
        <w:pStyle w:val="TOC2"/>
        <w:tabs>
          <w:tab w:val="right" w:leader="dot" w:pos="8306"/>
        </w:tabs>
      </w:pPr>
      <w:hyperlink w:anchor="_Toc20302" w:history="1">
        <w:r>
          <w:rPr>
            <w:rFonts w:ascii="仿宋" w:eastAsia="仿宋" w:hAnsi="仿宋" w:cs="仿宋" w:hint="eastAsia"/>
            <w:lang w:eastAsia="zh-CN"/>
          </w:rPr>
          <w:t>(三)、文档存档与归档</w:t>
        </w:r>
        <w:r>
          <w:tab/>
        </w:r>
        <w:r>
          <w:fldChar w:fldCharType="begin"/>
        </w:r>
        <w:r>
          <w:instrText xml:space="preserve"> PAGEREF _Toc20302 \h </w:instrText>
        </w:r>
        <w:r>
          <w:fldChar w:fldCharType="separate"/>
        </w:r>
        <w:r>
          <w:t>10</w:t>
        </w:r>
        <w:r>
          <w:fldChar w:fldCharType="end"/>
        </w:r>
      </w:hyperlink>
    </w:p>
    <w:p>
      <w:pPr>
        <w:pStyle w:val="TOC1"/>
        <w:tabs>
          <w:tab w:val="right" w:leader="dot" w:pos="8306"/>
        </w:tabs>
      </w:pPr>
      <w:hyperlink w:anchor="_Toc31025" w:history="1">
        <w:r>
          <w:rPr>
            <w:rFonts w:ascii="仿宋" w:eastAsia="仿宋" w:hAnsi="仿宋" w:cs="仿宋" w:hint="eastAsia"/>
            <w:lang w:eastAsia="zh-CN"/>
          </w:rPr>
          <w:t>四、净水絮凝剂项目绩效评估</w:t>
        </w:r>
        <w:r>
          <w:tab/>
        </w:r>
        <w:r>
          <w:fldChar w:fldCharType="begin"/>
        </w:r>
        <w:r>
          <w:instrText xml:space="preserve"> PAGEREF _Toc31025 \h </w:instrText>
        </w:r>
        <w:r>
          <w:fldChar w:fldCharType="separate"/>
        </w:r>
        <w:r>
          <w:t>11</w:t>
        </w:r>
        <w:r>
          <w:fldChar w:fldCharType="end"/>
        </w:r>
      </w:hyperlink>
    </w:p>
    <w:p>
      <w:pPr>
        <w:pStyle w:val="TOC2"/>
        <w:tabs>
          <w:tab w:val="right" w:leader="dot" w:pos="8306"/>
        </w:tabs>
      </w:pPr>
      <w:hyperlink w:anchor="_Toc26094" w:history="1">
        <w:r>
          <w:rPr>
            <w:rFonts w:ascii="仿宋" w:eastAsia="仿宋" w:hAnsi="仿宋" w:cs="仿宋" w:hint="eastAsia"/>
            <w:lang w:eastAsia="zh-CN"/>
          </w:rPr>
          <w:t>(一)、绩效评估指标</w:t>
        </w:r>
        <w:r>
          <w:tab/>
        </w:r>
        <w:r>
          <w:fldChar w:fldCharType="begin"/>
        </w:r>
        <w:r>
          <w:instrText xml:space="preserve"> PAGEREF _Toc26094 \h </w:instrText>
        </w:r>
        <w:r>
          <w:fldChar w:fldCharType="separate"/>
        </w:r>
        <w:r>
          <w:t>11</w:t>
        </w:r>
        <w:r>
          <w:fldChar w:fldCharType="end"/>
        </w:r>
      </w:hyperlink>
    </w:p>
    <w:p>
      <w:pPr>
        <w:pStyle w:val="TOC2"/>
        <w:tabs>
          <w:tab w:val="right" w:leader="dot" w:pos="8306"/>
        </w:tabs>
      </w:pPr>
      <w:hyperlink w:anchor="_Toc27510" w:history="1">
        <w:r>
          <w:rPr>
            <w:rFonts w:ascii="仿宋" w:eastAsia="仿宋" w:hAnsi="仿宋" w:cs="仿宋" w:hint="eastAsia"/>
            <w:lang w:eastAsia="zh-CN"/>
          </w:rPr>
          <w:t>(二)、绩效评估方法</w:t>
        </w:r>
        <w:r>
          <w:tab/>
        </w:r>
        <w:r>
          <w:fldChar w:fldCharType="begin"/>
        </w:r>
        <w:r>
          <w:instrText xml:space="preserve"> PAGEREF _Toc27510 \h </w:instrText>
        </w:r>
        <w:r>
          <w:fldChar w:fldCharType="separate"/>
        </w:r>
        <w:r>
          <w:t>12</w:t>
        </w:r>
        <w:r>
          <w:fldChar w:fldCharType="end"/>
        </w:r>
      </w:hyperlink>
    </w:p>
    <w:p>
      <w:pPr>
        <w:pStyle w:val="TOC2"/>
        <w:tabs>
          <w:tab w:val="right" w:leader="dot" w:pos="8306"/>
        </w:tabs>
      </w:pPr>
      <w:hyperlink w:anchor="_Toc5845" w:history="1">
        <w:r>
          <w:rPr>
            <w:rFonts w:ascii="仿宋" w:eastAsia="仿宋" w:hAnsi="仿宋" w:cs="仿宋" w:hint="eastAsia"/>
            <w:lang w:eastAsia="zh-CN"/>
          </w:rPr>
          <w:t>(三)、绩效评估周期</w:t>
        </w:r>
        <w:r>
          <w:tab/>
        </w:r>
        <w:r>
          <w:fldChar w:fldCharType="begin"/>
        </w:r>
        <w:r>
          <w:instrText xml:space="preserve"> PAGEREF _Toc5845 \h </w:instrText>
        </w:r>
        <w:r>
          <w:fldChar w:fldCharType="separate"/>
        </w:r>
        <w:r>
          <w:t>13</w:t>
        </w:r>
        <w:r>
          <w:fldChar w:fldCharType="end"/>
        </w:r>
      </w:hyperlink>
    </w:p>
    <w:p>
      <w:pPr>
        <w:pStyle w:val="TOC1"/>
        <w:tabs>
          <w:tab w:val="right" w:leader="dot" w:pos="8306"/>
        </w:tabs>
      </w:pPr>
      <w:hyperlink w:anchor="_Toc17221" w:history="1">
        <w:r>
          <w:rPr>
            <w:rFonts w:ascii="仿宋" w:eastAsia="仿宋" w:hAnsi="仿宋" w:cs="仿宋" w:hint="eastAsia"/>
            <w:lang w:eastAsia="zh-CN"/>
          </w:rPr>
          <w:t>五、净水絮凝剂项目危机管理</w:t>
        </w:r>
        <w:r>
          <w:tab/>
        </w:r>
        <w:r>
          <w:fldChar w:fldCharType="begin"/>
        </w:r>
        <w:r>
          <w:instrText xml:space="preserve"> PAGEREF _Toc17221 \h </w:instrText>
        </w:r>
        <w:r>
          <w:fldChar w:fldCharType="separate"/>
        </w:r>
        <w:r>
          <w:t>14</w:t>
        </w:r>
        <w:r>
          <w:fldChar w:fldCharType="end"/>
        </w:r>
      </w:hyperlink>
    </w:p>
    <w:p>
      <w:pPr>
        <w:pStyle w:val="TOC2"/>
        <w:tabs>
          <w:tab w:val="right" w:leader="dot" w:pos="8306"/>
        </w:tabs>
      </w:pPr>
      <w:hyperlink w:anchor="_Toc19195" w:history="1">
        <w:r>
          <w:rPr>
            <w:rFonts w:ascii="仿宋" w:eastAsia="仿宋" w:hAnsi="仿宋" w:cs="仿宋" w:hint="eastAsia"/>
            <w:lang w:eastAsia="zh-CN"/>
          </w:rPr>
          <w:t>(一)、危机预警与识别</w:t>
        </w:r>
        <w:r>
          <w:tab/>
        </w:r>
        <w:r>
          <w:fldChar w:fldCharType="begin"/>
        </w:r>
        <w:r>
          <w:instrText xml:space="preserve"> PAGEREF _Toc19195 \h </w:instrText>
        </w:r>
        <w:r>
          <w:fldChar w:fldCharType="separate"/>
        </w:r>
        <w:r>
          <w:t>14</w:t>
        </w:r>
        <w:r>
          <w:fldChar w:fldCharType="end"/>
        </w:r>
      </w:hyperlink>
    </w:p>
    <w:p>
      <w:pPr>
        <w:pStyle w:val="TOC2"/>
        <w:tabs>
          <w:tab w:val="right" w:leader="dot" w:pos="8306"/>
        </w:tabs>
      </w:pPr>
      <w:hyperlink w:anchor="_Toc699" w:history="1">
        <w:r>
          <w:rPr>
            <w:rFonts w:ascii="仿宋" w:eastAsia="仿宋" w:hAnsi="仿宋" w:cs="仿宋" w:hint="eastAsia"/>
            <w:lang w:eastAsia="zh-CN"/>
          </w:rPr>
          <w:t>(二)、危机应对与恢复</w:t>
        </w:r>
        <w:r>
          <w:tab/>
        </w:r>
        <w:r>
          <w:fldChar w:fldCharType="begin"/>
        </w:r>
        <w:r>
          <w:instrText xml:space="preserve"> PAGEREF _Toc699 \h </w:instrText>
        </w:r>
        <w:r>
          <w:fldChar w:fldCharType="separate"/>
        </w:r>
        <w:r>
          <w:t>15</w:t>
        </w:r>
        <w:r>
          <w:fldChar w:fldCharType="end"/>
        </w:r>
      </w:hyperlink>
    </w:p>
    <w:p>
      <w:pPr>
        <w:pStyle w:val="TOC1"/>
        <w:tabs>
          <w:tab w:val="right" w:leader="dot" w:pos="8306"/>
        </w:tabs>
      </w:pPr>
      <w:hyperlink w:anchor="_Toc19717" w:history="1">
        <w:r>
          <w:rPr>
            <w:rFonts w:ascii="仿宋" w:eastAsia="仿宋" w:hAnsi="仿宋" w:cs="仿宋" w:hint="eastAsia"/>
            <w:lang w:eastAsia="zh-CN"/>
          </w:rPr>
          <w:t>六、产品规划分析</w:t>
        </w:r>
        <w:r>
          <w:tab/>
        </w:r>
        <w:r>
          <w:fldChar w:fldCharType="begin"/>
        </w:r>
        <w:r>
          <w:instrText xml:space="preserve"> PAGEREF _Toc19717 \h </w:instrText>
        </w:r>
        <w:r>
          <w:fldChar w:fldCharType="separate"/>
        </w:r>
        <w:r>
          <w:t>17</w:t>
        </w:r>
        <w:r>
          <w:fldChar w:fldCharType="end"/>
        </w:r>
      </w:hyperlink>
    </w:p>
    <w:p>
      <w:pPr>
        <w:pStyle w:val="TOC2"/>
        <w:tabs>
          <w:tab w:val="right" w:leader="dot" w:pos="8306"/>
        </w:tabs>
      </w:pPr>
      <w:hyperlink w:anchor="_Toc16120" w:history="1">
        <w:r>
          <w:rPr>
            <w:rFonts w:ascii="仿宋" w:eastAsia="仿宋" w:hAnsi="仿宋" w:cs="仿宋" w:hint="eastAsia"/>
            <w:lang w:eastAsia="zh-CN"/>
          </w:rPr>
          <w:t>(一)、产品规划</w:t>
        </w:r>
        <w:r>
          <w:tab/>
        </w:r>
        <w:r>
          <w:fldChar w:fldCharType="begin"/>
        </w:r>
        <w:r>
          <w:instrText xml:space="preserve"> PAGEREF _Toc16120 \h </w:instrText>
        </w:r>
        <w:r>
          <w:fldChar w:fldCharType="separate"/>
        </w:r>
        <w:r>
          <w:t>17</w:t>
        </w:r>
        <w:r>
          <w:fldChar w:fldCharType="end"/>
        </w:r>
      </w:hyperlink>
    </w:p>
    <w:p>
      <w:pPr>
        <w:pStyle w:val="TOC2"/>
        <w:tabs>
          <w:tab w:val="right" w:leader="dot" w:pos="8306"/>
        </w:tabs>
      </w:pPr>
      <w:hyperlink w:anchor="_Toc18014" w:history="1">
        <w:r>
          <w:rPr>
            <w:rFonts w:ascii="仿宋" w:eastAsia="仿宋" w:hAnsi="仿宋" w:cs="仿宋" w:hint="eastAsia"/>
            <w:lang w:eastAsia="zh-CN"/>
          </w:rPr>
          <w:t>(二)、建设规模</w:t>
        </w:r>
        <w:r>
          <w:tab/>
        </w:r>
        <w:r>
          <w:fldChar w:fldCharType="begin"/>
        </w:r>
        <w:r>
          <w:instrText xml:space="preserve"> PAGEREF _Toc18014 \h </w:instrText>
        </w:r>
        <w:r>
          <w:fldChar w:fldCharType="separate"/>
        </w:r>
        <w:r>
          <w:t>17</w:t>
        </w:r>
        <w:r>
          <w:fldChar w:fldCharType="end"/>
        </w:r>
      </w:hyperlink>
    </w:p>
    <w:p>
      <w:pPr>
        <w:pStyle w:val="TOC1"/>
        <w:tabs>
          <w:tab w:val="right" w:leader="dot" w:pos="8306"/>
        </w:tabs>
      </w:pPr>
      <w:hyperlink w:anchor="_Toc26972" w:history="1">
        <w:r>
          <w:rPr>
            <w:rFonts w:ascii="仿宋" w:eastAsia="仿宋" w:hAnsi="仿宋" w:cs="仿宋" w:hint="eastAsia"/>
            <w:lang w:eastAsia="zh-CN"/>
          </w:rPr>
          <w:t>七、净水絮凝剂项目环境影响分析</w:t>
        </w:r>
        <w:r>
          <w:tab/>
        </w:r>
        <w:r>
          <w:fldChar w:fldCharType="begin"/>
        </w:r>
        <w:r>
          <w:instrText xml:space="preserve"> PAGEREF _Toc26972 \h </w:instrText>
        </w:r>
        <w:r>
          <w:fldChar w:fldCharType="separate"/>
        </w:r>
        <w:r>
          <w:t>19</w:t>
        </w:r>
        <w:r>
          <w:fldChar w:fldCharType="end"/>
        </w:r>
      </w:hyperlink>
    </w:p>
    <w:p>
      <w:pPr>
        <w:pStyle w:val="TOC2"/>
        <w:tabs>
          <w:tab w:val="right" w:leader="dot" w:pos="8306"/>
        </w:tabs>
      </w:pPr>
      <w:hyperlink w:anchor="_Toc8703" w:history="1">
        <w:r>
          <w:rPr>
            <w:rFonts w:ascii="仿宋" w:eastAsia="仿宋" w:hAnsi="仿宋" w:cs="仿宋" w:hint="eastAsia"/>
            <w:lang w:eastAsia="zh-CN"/>
          </w:rPr>
          <w:t>(一)、建设区域环境质量现状</w:t>
        </w:r>
        <w:r>
          <w:tab/>
        </w:r>
        <w:r>
          <w:fldChar w:fldCharType="begin"/>
        </w:r>
        <w:r>
          <w:instrText xml:space="preserve"> PAGEREF _Toc8703 \h </w:instrText>
        </w:r>
        <w:r>
          <w:fldChar w:fldCharType="separate"/>
        </w:r>
        <w:r>
          <w:t>19</w:t>
        </w:r>
        <w:r>
          <w:fldChar w:fldCharType="end"/>
        </w:r>
      </w:hyperlink>
    </w:p>
    <w:p>
      <w:pPr>
        <w:pStyle w:val="TOC2"/>
        <w:tabs>
          <w:tab w:val="right" w:leader="dot" w:pos="8306"/>
        </w:tabs>
      </w:pPr>
      <w:hyperlink w:anchor="_Toc27573" w:history="1">
        <w:r>
          <w:rPr>
            <w:rFonts w:ascii="仿宋" w:eastAsia="仿宋" w:hAnsi="仿宋" w:cs="仿宋" w:hint="eastAsia"/>
            <w:lang w:eastAsia="zh-CN"/>
          </w:rPr>
          <w:t>(二)、建设期环境保护</w:t>
        </w:r>
        <w:r>
          <w:tab/>
        </w:r>
        <w:r>
          <w:fldChar w:fldCharType="begin"/>
        </w:r>
        <w:r>
          <w:instrText xml:space="preserve"> PAGEREF _Toc27573 \h </w:instrText>
        </w:r>
        <w:r>
          <w:fldChar w:fldCharType="separate"/>
        </w:r>
        <w:r>
          <w:t>20</w:t>
        </w:r>
        <w:r>
          <w:fldChar w:fldCharType="end"/>
        </w:r>
      </w:hyperlink>
    </w:p>
    <w:p>
      <w:pPr>
        <w:pStyle w:val="TOC2"/>
        <w:tabs>
          <w:tab w:val="right" w:leader="dot" w:pos="8306"/>
        </w:tabs>
      </w:pPr>
      <w:hyperlink w:anchor="_Toc27240" w:history="1">
        <w:r>
          <w:rPr>
            <w:rFonts w:ascii="仿宋" w:eastAsia="仿宋" w:hAnsi="仿宋" w:cs="仿宋" w:hint="eastAsia"/>
            <w:lang w:eastAsia="zh-CN"/>
          </w:rPr>
          <w:t>(三)、运营期环境保护</w:t>
        </w:r>
        <w:r>
          <w:tab/>
        </w:r>
        <w:r>
          <w:fldChar w:fldCharType="begin"/>
        </w:r>
        <w:r>
          <w:instrText xml:space="preserve"> PAGEREF _Toc27240 \h </w:instrText>
        </w:r>
        <w:r>
          <w:fldChar w:fldCharType="separate"/>
        </w:r>
        <w:r>
          <w:t>21</w:t>
        </w:r>
        <w:r>
          <w:fldChar w:fldCharType="end"/>
        </w:r>
      </w:hyperlink>
    </w:p>
    <w:p>
      <w:pPr>
        <w:pStyle w:val="TOC2"/>
        <w:tabs>
          <w:tab w:val="right" w:leader="dot" w:pos="8306"/>
        </w:tabs>
      </w:pPr>
      <w:hyperlink w:anchor="_Toc30394" w:history="1">
        <w:r>
          <w:rPr>
            <w:rFonts w:ascii="仿宋" w:eastAsia="仿宋" w:hAnsi="仿宋" w:cs="仿宋" w:hint="eastAsia"/>
            <w:lang w:eastAsia="zh-CN"/>
          </w:rPr>
          <w:t>(四)、净水絮凝剂项目建设对区域经济的影响</w:t>
        </w:r>
        <w:r>
          <w:tab/>
        </w:r>
        <w:r>
          <w:fldChar w:fldCharType="begin"/>
        </w:r>
        <w:r>
          <w:instrText xml:space="preserve"> PAGEREF _Toc30394 \h </w:instrText>
        </w:r>
        <w:r>
          <w:fldChar w:fldCharType="separate"/>
        </w:r>
        <w:r>
          <w:t>23</w:t>
        </w:r>
        <w:r>
          <w:fldChar w:fldCharType="end"/>
        </w:r>
      </w:hyperlink>
    </w:p>
    <w:p>
      <w:pPr>
        <w:pStyle w:val="TOC2"/>
        <w:tabs>
          <w:tab w:val="right" w:leader="dot" w:pos="8306"/>
        </w:tabs>
      </w:pPr>
      <w:hyperlink w:anchor="_Toc9389" w:history="1">
        <w:r>
          <w:rPr>
            <w:rFonts w:ascii="仿宋" w:eastAsia="仿宋" w:hAnsi="仿宋" w:cs="仿宋" w:hint="eastAsia"/>
            <w:lang w:eastAsia="zh-CN"/>
          </w:rPr>
          <w:t>(五)、废弃物处理</w:t>
        </w:r>
        <w:r>
          <w:tab/>
        </w:r>
        <w:r>
          <w:fldChar w:fldCharType="begin"/>
        </w:r>
        <w:r>
          <w:instrText xml:space="preserve"> PAGEREF _Toc9389 \h </w:instrText>
        </w:r>
        <w:r>
          <w:fldChar w:fldCharType="separate"/>
        </w:r>
        <w:r>
          <w:t>25</w:t>
        </w:r>
        <w:r>
          <w:fldChar w:fldCharType="end"/>
        </w:r>
      </w:hyperlink>
    </w:p>
    <w:p>
      <w:pPr>
        <w:pStyle w:val="TOC2"/>
        <w:tabs>
          <w:tab w:val="right" w:leader="dot" w:pos="8306"/>
        </w:tabs>
      </w:pPr>
      <w:hyperlink w:anchor="_Toc7566" w:history="1">
        <w:r>
          <w:rPr>
            <w:rFonts w:ascii="仿宋" w:eastAsia="仿宋" w:hAnsi="仿宋" w:cs="仿宋" w:hint="eastAsia"/>
            <w:lang w:eastAsia="zh-CN"/>
          </w:rPr>
          <w:t>(六)、特殊环境影响分析</w:t>
        </w:r>
        <w:r>
          <w:tab/>
        </w:r>
        <w:r>
          <w:fldChar w:fldCharType="begin"/>
        </w:r>
        <w:r>
          <w:instrText xml:space="preserve"> PAGEREF _Toc7566 \h </w:instrText>
        </w:r>
        <w:r>
          <w:fldChar w:fldCharType="separate"/>
        </w:r>
        <w:r>
          <w:t>26</w:t>
        </w:r>
        <w:r>
          <w:fldChar w:fldCharType="end"/>
        </w:r>
      </w:hyperlink>
    </w:p>
    <w:p>
      <w:pPr>
        <w:pStyle w:val="TOC2"/>
        <w:tabs>
          <w:tab w:val="right" w:leader="dot" w:pos="8306"/>
        </w:tabs>
      </w:pPr>
      <w:hyperlink w:anchor="_Toc30835" w:history="1">
        <w:r>
          <w:rPr>
            <w:rFonts w:ascii="仿宋" w:eastAsia="仿宋" w:hAnsi="仿宋" w:cs="仿宋" w:hint="eastAsia"/>
            <w:lang w:eastAsia="zh-CN"/>
          </w:rPr>
          <w:t>(七)、清洁生产</w:t>
        </w:r>
        <w:r>
          <w:tab/>
        </w:r>
        <w:r>
          <w:fldChar w:fldCharType="begin"/>
        </w:r>
        <w:r>
          <w:instrText xml:space="preserve"> PAGEREF _Toc30835 \h </w:instrText>
        </w:r>
        <w:r>
          <w:fldChar w:fldCharType="separate"/>
        </w:r>
        <w:r>
          <w:t>27</w:t>
        </w:r>
        <w:r>
          <w:fldChar w:fldCharType="end"/>
        </w:r>
      </w:hyperlink>
    </w:p>
    <w:p>
      <w:pPr>
        <w:pStyle w:val="TOC2"/>
        <w:tabs>
          <w:tab w:val="right" w:leader="dot" w:pos="8306"/>
        </w:tabs>
      </w:pPr>
      <w:hyperlink w:anchor="_Toc28186" w:history="1">
        <w:r>
          <w:rPr>
            <w:rFonts w:ascii="仿宋" w:eastAsia="仿宋" w:hAnsi="仿宋" w:cs="仿宋" w:hint="eastAsia"/>
            <w:lang w:eastAsia="zh-CN"/>
          </w:rPr>
          <w:t>(八)、环境保护综合评价</w:t>
        </w:r>
        <w:r>
          <w:tab/>
        </w:r>
        <w:r>
          <w:fldChar w:fldCharType="begin"/>
        </w:r>
        <w:r>
          <w:instrText xml:space="preserve"> PAGEREF _Toc28186 \h </w:instrText>
        </w:r>
        <w:r>
          <w:fldChar w:fldCharType="separate"/>
        </w:r>
        <w:r>
          <w:t>28</w:t>
        </w:r>
        <w:r>
          <w:fldChar w:fldCharType="end"/>
        </w:r>
      </w:hyperlink>
    </w:p>
    <w:p>
      <w:pPr>
        <w:pStyle w:val="TOC1"/>
        <w:tabs>
          <w:tab w:val="right" w:leader="dot" w:pos="8306"/>
        </w:tabs>
      </w:pPr>
      <w:hyperlink w:anchor="_Toc13653" w:history="1">
        <w:r>
          <w:rPr>
            <w:rFonts w:ascii="仿宋" w:eastAsia="仿宋" w:hAnsi="仿宋" w:cs="仿宋" w:hint="eastAsia"/>
            <w:lang w:eastAsia="zh-CN"/>
          </w:rPr>
          <w:t>八、净水絮凝剂项目社会影响</w:t>
        </w:r>
        <w:r>
          <w:tab/>
        </w:r>
        <w:r>
          <w:fldChar w:fldCharType="begin"/>
        </w:r>
        <w:r>
          <w:instrText xml:space="preserve"> PAGEREF _Toc13653 \h </w:instrText>
        </w:r>
        <w:r>
          <w:fldChar w:fldCharType="separate"/>
        </w:r>
        <w:r>
          <w:t>29</w:t>
        </w:r>
        <w:r>
          <w:fldChar w:fldCharType="end"/>
        </w:r>
      </w:hyperlink>
    </w:p>
    <w:p>
      <w:pPr>
        <w:pStyle w:val="TOC2"/>
        <w:tabs>
          <w:tab w:val="right" w:leader="dot" w:pos="8306"/>
        </w:tabs>
      </w:pPr>
      <w:hyperlink w:anchor="_Toc30081" w:history="1">
        <w:r>
          <w:rPr>
            <w:rFonts w:ascii="仿宋" w:eastAsia="仿宋" w:hAnsi="仿宋" w:cs="仿宋" w:hint="eastAsia"/>
            <w:lang w:eastAsia="zh-CN"/>
          </w:rPr>
          <w:t>(一)、社会责任与义务</w:t>
        </w:r>
        <w:r>
          <w:tab/>
        </w:r>
        <w:r>
          <w:fldChar w:fldCharType="begin"/>
        </w:r>
        <w:r>
          <w:instrText xml:space="preserve"> PAGEREF _Toc30081 \h </w:instrText>
        </w:r>
        <w:r>
          <w:fldChar w:fldCharType="separate"/>
        </w:r>
        <w:r>
          <w:t>29</w:t>
        </w:r>
        <w:r>
          <w:fldChar w:fldCharType="end"/>
        </w:r>
      </w:hyperlink>
    </w:p>
    <w:p>
      <w:pPr>
        <w:pStyle w:val="TOC2"/>
        <w:tabs>
          <w:tab w:val="right" w:leader="dot" w:pos="8306"/>
        </w:tabs>
      </w:pPr>
      <w:hyperlink w:anchor="_Toc2069" w:history="1">
        <w:r>
          <w:rPr>
            <w:rFonts w:ascii="仿宋" w:eastAsia="仿宋" w:hAnsi="仿宋" w:cs="仿宋" w:hint="eastAsia"/>
            <w:lang w:eastAsia="zh-CN"/>
          </w:rPr>
          <w:t>(二)、社会参与与沟通</w:t>
        </w:r>
        <w:r>
          <w:tab/>
        </w:r>
        <w:r>
          <w:fldChar w:fldCharType="begin"/>
        </w:r>
        <w:r>
          <w:instrText xml:space="preserve"> PAGEREF _Toc2069 \h </w:instrText>
        </w:r>
        <w:r>
          <w:fldChar w:fldCharType="separate"/>
        </w:r>
        <w:r>
          <w:t>30</w:t>
        </w:r>
        <w:r>
          <w:fldChar w:fldCharType="end"/>
        </w:r>
      </w:hyperlink>
    </w:p>
    <w:p>
      <w:pPr>
        <w:pStyle w:val="TOC1"/>
        <w:tabs>
          <w:tab w:val="right" w:leader="dot" w:pos="8306"/>
        </w:tabs>
      </w:pPr>
      <w:hyperlink w:anchor="_Toc22787" w:history="1">
        <w:r>
          <w:rPr>
            <w:rFonts w:ascii="仿宋" w:eastAsia="仿宋" w:hAnsi="仿宋" w:cs="仿宋" w:hint="eastAsia"/>
            <w:lang w:eastAsia="zh-CN"/>
          </w:rPr>
          <w:t>九、生产安全保护</w:t>
        </w:r>
        <w:r>
          <w:tab/>
        </w:r>
        <w:r>
          <w:fldChar w:fldCharType="begin"/>
        </w:r>
        <w:r>
          <w:instrText xml:space="preserve"> PAGEREF _Toc22787 \h </w:instrText>
        </w:r>
        <w:r>
          <w:fldChar w:fldCharType="separate"/>
        </w:r>
        <w:r>
          <w:t>31</w:t>
        </w:r>
        <w:r>
          <w:fldChar w:fldCharType="end"/>
        </w:r>
      </w:hyperlink>
    </w:p>
    <w:p>
      <w:pPr>
        <w:pStyle w:val="TOC2"/>
        <w:tabs>
          <w:tab w:val="right" w:leader="dot" w:pos="8306"/>
        </w:tabs>
      </w:pPr>
      <w:hyperlink w:anchor="_Toc1646" w:history="1">
        <w:r>
          <w:rPr>
            <w:rFonts w:ascii="仿宋" w:eastAsia="仿宋" w:hAnsi="仿宋" w:cs="仿宋" w:hint="eastAsia"/>
            <w:lang w:eastAsia="zh-CN"/>
          </w:rPr>
          <w:t>(一)、消防安全</w:t>
        </w:r>
        <w:r>
          <w:tab/>
        </w:r>
        <w:r>
          <w:fldChar w:fldCharType="begin"/>
        </w:r>
        <w:r>
          <w:instrText xml:space="preserve"> PAGEREF _Toc1646 \h </w:instrText>
        </w:r>
        <w:r>
          <w:fldChar w:fldCharType="separate"/>
        </w:r>
        <w:r>
          <w:t>31</w:t>
        </w:r>
        <w:r>
          <w:fldChar w:fldCharType="end"/>
        </w:r>
      </w:hyperlink>
    </w:p>
    <w:p>
      <w:pPr>
        <w:pStyle w:val="TOC2"/>
        <w:tabs>
          <w:tab w:val="right" w:leader="dot" w:pos="8306"/>
        </w:tabs>
      </w:pPr>
      <w:hyperlink w:anchor="_Toc12026" w:history="1">
        <w:r>
          <w:rPr>
            <w:rFonts w:ascii="仿宋" w:eastAsia="仿宋" w:hAnsi="仿宋" w:cs="仿宋" w:hint="eastAsia"/>
            <w:lang w:eastAsia="zh-CN"/>
          </w:rPr>
          <w:t>(二)、防火防爆总图布置措施</w:t>
        </w:r>
        <w:r>
          <w:tab/>
        </w:r>
        <w:r>
          <w:fldChar w:fldCharType="begin"/>
        </w:r>
        <w:r>
          <w:instrText xml:space="preserve"> PAGEREF _Toc12026 \h </w:instrText>
        </w:r>
        <w:r>
          <w:fldChar w:fldCharType="separate"/>
        </w:r>
        <w:r>
          <w:t>32</w:t>
        </w:r>
        <w:r>
          <w:fldChar w:fldCharType="end"/>
        </w:r>
      </w:hyperlink>
    </w:p>
    <w:p>
      <w:pPr>
        <w:pStyle w:val="TOC2"/>
        <w:tabs>
          <w:tab w:val="right" w:leader="dot" w:pos="8306"/>
        </w:tabs>
      </w:pPr>
      <w:hyperlink w:anchor="_Toc11929" w:history="1">
        <w:r>
          <w:rPr>
            <w:rFonts w:ascii="仿宋" w:eastAsia="仿宋" w:hAnsi="仿宋" w:cs="仿宋" w:hint="eastAsia"/>
            <w:lang w:eastAsia="zh-CN"/>
          </w:rPr>
          <w:t>(三)、自然灾害防范措施</w:t>
        </w:r>
        <w:r>
          <w:tab/>
        </w:r>
        <w:r>
          <w:fldChar w:fldCharType="begin"/>
        </w:r>
        <w:r>
          <w:instrText xml:space="preserve"> PAGEREF _Toc11929 \h </w:instrText>
        </w:r>
        <w:r>
          <w:fldChar w:fldCharType="separate"/>
        </w:r>
        <w:r>
          <w:t>33</w:t>
        </w:r>
        <w:r>
          <w:fldChar w:fldCharType="end"/>
        </w:r>
      </w:hyperlink>
    </w:p>
    <w:p>
      <w:pPr>
        <w:pStyle w:val="TOC2"/>
        <w:tabs>
          <w:tab w:val="right" w:leader="dot" w:pos="8306"/>
        </w:tabs>
      </w:pPr>
      <w:hyperlink w:anchor="_Toc24806" w:history="1">
        <w:r>
          <w:rPr>
            <w:rFonts w:ascii="仿宋" w:eastAsia="仿宋" w:hAnsi="仿宋" w:cs="仿宋" w:hint="eastAsia"/>
            <w:lang w:eastAsia="zh-CN"/>
          </w:rPr>
          <w:t>(四)、安全色及安全标志使用要求</w:t>
        </w:r>
        <w:r>
          <w:tab/>
        </w:r>
        <w:r>
          <w:fldChar w:fldCharType="begin"/>
        </w:r>
        <w:r>
          <w:instrText xml:space="preserve"> PAGEREF _Toc24806 \h </w:instrText>
        </w:r>
        <w:r>
          <w:fldChar w:fldCharType="separate"/>
        </w:r>
        <w:r>
          <w:t>34</w:t>
        </w:r>
        <w:r>
          <w:fldChar w:fldCharType="end"/>
        </w:r>
      </w:hyperlink>
    </w:p>
    <w:p>
      <w:pPr>
        <w:pStyle w:val="TOC2"/>
        <w:tabs>
          <w:tab w:val="right" w:leader="dot" w:pos="8306"/>
        </w:tabs>
      </w:pPr>
      <w:hyperlink w:anchor="_Toc8115" w:history="1">
        <w:r>
          <w:rPr>
            <w:rFonts w:ascii="仿宋" w:eastAsia="仿宋" w:hAnsi="仿宋" w:cs="仿宋" w:hint="eastAsia"/>
            <w:lang w:eastAsia="zh-CN"/>
          </w:rPr>
          <w:t>(五)、防尘防毒措施</w:t>
        </w:r>
        <w:r>
          <w:tab/>
        </w:r>
        <w:r>
          <w:fldChar w:fldCharType="begin"/>
        </w:r>
        <w:r>
          <w:instrText xml:space="preserve"> PAGEREF _Toc8115 \h </w:instrText>
        </w:r>
        <w:r>
          <w:fldChar w:fldCharType="separate"/>
        </w:r>
        <w:r>
          <w:t>35</w:t>
        </w:r>
        <w:r>
          <w:fldChar w:fldCharType="end"/>
        </w:r>
      </w:hyperlink>
    </w:p>
    <w:p>
      <w:pPr>
        <w:pStyle w:val="TOC2"/>
        <w:tabs>
          <w:tab w:val="right" w:leader="dot" w:pos="8306"/>
        </w:tabs>
      </w:pPr>
      <w:hyperlink w:anchor="_Toc26266" w:history="1">
        <w:r>
          <w:rPr>
            <w:rFonts w:ascii="仿宋" w:eastAsia="仿宋" w:hAnsi="仿宋" w:cs="仿宋" w:hint="eastAsia"/>
            <w:lang w:eastAsia="zh-CN"/>
          </w:rPr>
          <w:t>(六)、防静电、触电防护及防雷措施</w:t>
        </w:r>
        <w:r>
          <w:tab/>
        </w:r>
        <w:r>
          <w:fldChar w:fldCharType="begin"/>
        </w:r>
        <w:r>
          <w:instrText xml:space="preserve"> PAGEREF _Toc26266 \h </w:instrText>
        </w:r>
        <w:r>
          <w:fldChar w:fldCharType="separate"/>
        </w:r>
        <w:r>
          <w:t>36</w:t>
        </w:r>
        <w:r>
          <w:fldChar w:fldCharType="end"/>
        </w:r>
      </w:hyperlink>
    </w:p>
    <w:p>
      <w:pPr>
        <w:pStyle w:val="TOC2"/>
        <w:tabs>
          <w:tab w:val="right" w:leader="dot" w:pos="8306"/>
        </w:tabs>
      </w:pPr>
      <w:hyperlink w:anchor="_Toc15023" w:history="1">
        <w:r>
          <w:rPr>
            <w:rFonts w:ascii="仿宋" w:eastAsia="仿宋" w:hAnsi="仿宋" w:cs="仿宋" w:hint="eastAsia"/>
            <w:lang w:eastAsia="zh-CN"/>
          </w:rPr>
          <w:t>(七)、机械设备安全保障措施</w:t>
        </w:r>
        <w:r>
          <w:tab/>
        </w:r>
        <w:r>
          <w:fldChar w:fldCharType="begin"/>
        </w:r>
        <w:r>
          <w:instrText xml:space="preserve"> PAGEREF _Toc15023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53" w:history="1">
        <w:r>
          <w:rPr>
            <w:rFonts w:ascii="仿宋" w:eastAsia="仿宋" w:hAnsi="仿宋" w:cs="仿宋" w:hint="eastAsia"/>
            <w:lang w:eastAsia="zh-CN"/>
          </w:rPr>
          <w:t>十、净水絮凝剂项目投资规划</w:t>
        </w:r>
        <w:r>
          <w:tab/>
        </w:r>
        <w:r>
          <w:fldChar w:fldCharType="begin"/>
        </w:r>
        <w:r>
          <w:instrText xml:space="preserve"> PAGEREF _Toc27653 \h </w:instrText>
        </w:r>
        <w:r>
          <w:fldChar w:fldCharType="separate"/>
        </w:r>
        <w:r>
          <w:t>39</w:t>
        </w:r>
        <w:r>
          <w:fldChar w:fldCharType="end"/>
        </w:r>
      </w:hyperlink>
    </w:p>
    <w:p>
      <w:pPr>
        <w:pStyle w:val="TOC2"/>
        <w:tabs>
          <w:tab w:val="right" w:leader="dot" w:pos="8306"/>
        </w:tabs>
      </w:pPr>
      <w:hyperlink w:anchor="_Toc6007" w:history="1">
        <w:r>
          <w:rPr>
            <w:rFonts w:ascii="仿宋" w:eastAsia="仿宋" w:hAnsi="仿宋" w:cs="仿宋" w:hint="eastAsia"/>
            <w:lang w:eastAsia="zh-CN"/>
          </w:rPr>
          <w:t>(一)、净水絮凝剂项目总投资估算</w:t>
        </w:r>
        <w:r>
          <w:tab/>
        </w:r>
        <w:r>
          <w:fldChar w:fldCharType="begin"/>
        </w:r>
        <w:r>
          <w:instrText xml:space="preserve"> PAGEREF _Toc6007 \h </w:instrText>
        </w:r>
        <w:r>
          <w:fldChar w:fldCharType="separate"/>
        </w:r>
        <w:r>
          <w:t>39</w:t>
        </w:r>
        <w:r>
          <w:fldChar w:fldCharType="end"/>
        </w:r>
      </w:hyperlink>
    </w:p>
    <w:p>
      <w:pPr>
        <w:pStyle w:val="TOC2"/>
        <w:tabs>
          <w:tab w:val="right" w:leader="dot" w:pos="8306"/>
        </w:tabs>
      </w:pPr>
      <w:hyperlink w:anchor="_Toc15927" w:history="1">
        <w:r>
          <w:rPr>
            <w:rFonts w:ascii="仿宋" w:eastAsia="仿宋" w:hAnsi="仿宋" w:cs="仿宋" w:hint="eastAsia"/>
            <w:lang w:eastAsia="zh-CN"/>
          </w:rPr>
          <w:t>(二)、资金筹措</w:t>
        </w:r>
        <w:r>
          <w:tab/>
        </w:r>
        <w:r>
          <w:fldChar w:fldCharType="begin"/>
        </w:r>
        <w:r>
          <w:instrText xml:space="preserve"> PAGEREF _Toc15927 \h </w:instrText>
        </w:r>
        <w:r>
          <w:fldChar w:fldCharType="separate"/>
        </w:r>
        <w:r>
          <w:t>40</w:t>
        </w:r>
        <w:r>
          <w:fldChar w:fldCharType="end"/>
        </w:r>
      </w:hyperlink>
    </w:p>
    <w:p>
      <w:pPr>
        <w:pStyle w:val="TOC1"/>
        <w:tabs>
          <w:tab w:val="right" w:leader="dot" w:pos="8306"/>
        </w:tabs>
      </w:pPr>
      <w:hyperlink w:anchor="_Toc22626" w:history="1">
        <w:r>
          <w:rPr>
            <w:rFonts w:ascii="仿宋" w:eastAsia="仿宋" w:hAnsi="仿宋" w:cs="仿宋" w:hint="eastAsia"/>
            <w:lang w:eastAsia="zh-CN"/>
          </w:rPr>
          <w:t>十一、净水絮凝剂项目创新与研发</w:t>
        </w:r>
        <w:r>
          <w:tab/>
        </w:r>
        <w:r>
          <w:fldChar w:fldCharType="begin"/>
        </w:r>
        <w:r>
          <w:instrText xml:space="preserve"> PAGEREF _Toc22626 \h </w:instrText>
        </w:r>
        <w:r>
          <w:fldChar w:fldCharType="separate"/>
        </w:r>
        <w:r>
          <w:t>41</w:t>
        </w:r>
        <w:r>
          <w:fldChar w:fldCharType="end"/>
        </w:r>
      </w:hyperlink>
    </w:p>
    <w:p>
      <w:pPr>
        <w:pStyle w:val="TOC2"/>
        <w:tabs>
          <w:tab w:val="right" w:leader="dot" w:pos="8306"/>
        </w:tabs>
      </w:pPr>
      <w:hyperlink w:anchor="_Toc397" w:history="1">
        <w:r>
          <w:rPr>
            <w:rFonts w:ascii="仿宋" w:eastAsia="仿宋" w:hAnsi="仿宋" w:cs="仿宋" w:hint="eastAsia"/>
            <w:lang w:eastAsia="zh-CN"/>
          </w:rPr>
          <w:t>(一)、创新策略与方向</w:t>
        </w:r>
        <w:r>
          <w:tab/>
        </w:r>
        <w:r>
          <w:fldChar w:fldCharType="begin"/>
        </w:r>
        <w:r>
          <w:instrText xml:space="preserve"> PAGEREF _Toc397 \h </w:instrText>
        </w:r>
        <w:r>
          <w:fldChar w:fldCharType="separate"/>
        </w:r>
        <w:r>
          <w:t>41</w:t>
        </w:r>
        <w:r>
          <w:fldChar w:fldCharType="end"/>
        </w:r>
      </w:hyperlink>
    </w:p>
    <w:p>
      <w:pPr>
        <w:pStyle w:val="TOC2"/>
        <w:tabs>
          <w:tab w:val="right" w:leader="dot" w:pos="8306"/>
        </w:tabs>
      </w:pPr>
      <w:hyperlink w:anchor="_Toc30264" w:history="1">
        <w:r>
          <w:rPr>
            <w:rFonts w:ascii="仿宋" w:eastAsia="仿宋" w:hAnsi="仿宋" w:cs="仿宋" w:hint="eastAsia"/>
            <w:lang w:eastAsia="zh-CN"/>
          </w:rPr>
          <w:t>(二)、研发规划与投入</w:t>
        </w:r>
        <w:r>
          <w:tab/>
        </w:r>
        <w:r>
          <w:fldChar w:fldCharType="begin"/>
        </w:r>
        <w:r>
          <w:instrText xml:space="preserve"> PAGEREF _Toc30264 \h </w:instrText>
        </w:r>
        <w:r>
          <w:fldChar w:fldCharType="separate"/>
        </w:r>
        <w:r>
          <w:t>42</w:t>
        </w:r>
        <w:r>
          <w:fldChar w:fldCharType="end"/>
        </w:r>
      </w:hyperlink>
    </w:p>
    <w:p>
      <w:pPr>
        <w:pStyle w:val="TOC1"/>
        <w:tabs>
          <w:tab w:val="right" w:leader="dot" w:pos="8306"/>
        </w:tabs>
      </w:pPr>
      <w:hyperlink w:anchor="_Toc548" w:history="1">
        <w:r>
          <w:rPr>
            <w:rFonts w:ascii="仿宋" w:eastAsia="仿宋" w:hAnsi="仿宋" w:cs="仿宋" w:hint="eastAsia"/>
            <w:lang w:eastAsia="zh-CN"/>
          </w:rPr>
          <w:t>十二、净水絮凝剂项目技术管理</w:t>
        </w:r>
        <w:r>
          <w:tab/>
        </w:r>
        <w:r>
          <w:fldChar w:fldCharType="begin"/>
        </w:r>
        <w:r>
          <w:instrText xml:space="preserve"> PAGEREF _Toc548 \h </w:instrText>
        </w:r>
        <w:r>
          <w:fldChar w:fldCharType="separate"/>
        </w:r>
        <w:r>
          <w:t>44</w:t>
        </w:r>
        <w:r>
          <w:fldChar w:fldCharType="end"/>
        </w:r>
      </w:hyperlink>
    </w:p>
    <w:p>
      <w:pPr>
        <w:pStyle w:val="TOC2"/>
        <w:tabs>
          <w:tab w:val="right" w:leader="dot" w:pos="8306"/>
        </w:tabs>
      </w:pPr>
      <w:hyperlink w:anchor="_Toc12619" w:history="1">
        <w:r>
          <w:rPr>
            <w:rFonts w:ascii="仿宋" w:eastAsia="仿宋" w:hAnsi="仿宋" w:cs="仿宋" w:hint="eastAsia"/>
            <w:lang w:eastAsia="zh-CN"/>
          </w:rPr>
          <w:t>(一)、技术方案选用方向</w:t>
        </w:r>
        <w:r>
          <w:tab/>
        </w:r>
        <w:r>
          <w:fldChar w:fldCharType="begin"/>
        </w:r>
        <w:r>
          <w:instrText xml:space="preserve"> PAGEREF _Toc12619 \h </w:instrText>
        </w:r>
        <w:r>
          <w:fldChar w:fldCharType="separate"/>
        </w:r>
        <w:r>
          <w:t>44</w:t>
        </w:r>
        <w:r>
          <w:fldChar w:fldCharType="end"/>
        </w:r>
      </w:hyperlink>
    </w:p>
    <w:p>
      <w:pPr>
        <w:pStyle w:val="TOC2"/>
        <w:tabs>
          <w:tab w:val="right" w:leader="dot" w:pos="8306"/>
        </w:tabs>
      </w:pPr>
      <w:hyperlink w:anchor="_Toc14597" w:history="1">
        <w:r>
          <w:rPr>
            <w:rFonts w:ascii="仿宋" w:eastAsia="仿宋" w:hAnsi="仿宋" w:cs="仿宋" w:hint="eastAsia"/>
            <w:lang w:eastAsia="zh-CN"/>
          </w:rPr>
          <w:t>(二)、工艺技术方案选用原则</w:t>
        </w:r>
        <w:r>
          <w:tab/>
        </w:r>
        <w:r>
          <w:fldChar w:fldCharType="begin"/>
        </w:r>
        <w:r>
          <w:instrText xml:space="preserve"> PAGEREF _Toc14597 \h </w:instrText>
        </w:r>
        <w:r>
          <w:fldChar w:fldCharType="separate"/>
        </w:r>
        <w:r>
          <w:t>46</w:t>
        </w:r>
        <w:r>
          <w:fldChar w:fldCharType="end"/>
        </w:r>
      </w:hyperlink>
    </w:p>
    <w:p>
      <w:pPr>
        <w:pStyle w:val="TOC2"/>
        <w:tabs>
          <w:tab w:val="right" w:leader="dot" w:pos="8306"/>
        </w:tabs>
      </w:pPr>
      <w:hyperlink w:anchor="_Toc30838" w:history="1">
        <w:r>
          <w:rPr>
            <w:rFonts w:ascii="仿宋" w:eastAsia="仿宋" w:hAnsi="仿宋" w:cs="仿宋" w:hint="eastAsia"/>
            <w:lang w:eastAsia="zh-CN"/>
          </w:rPr>
          <w:t>(三)、工艺技术方案要求</w:t>
        </w:r>
        <w:r>
          <w:tab/>
        </w:r>
        <w:r>
          <w:fldChar w:fldCharType="begin"/>
        </w:r>
        <w:r>
          <w:instrText xml:space="preserve"> PAGEREF _Toc30838 \h </w:instrText>
        </w:r>
        <w:r>
          <w:fldChar w:fldCharType="separate"/>
        </w:r>
        <w:r>
          <w:t>48</w:t>
        </w:r>
        <w:r>
          <w:fldChar w:fldCharType="end"/>
        </w:r>
      </w:hyperlink>
    </w:p>
    <w:p>
      <w:pPr>
        <w:pStyle w:val="TOC1"/>
        <w:tabs>
          <w:tab w:val="right" w:leader="dot" w:pos="8306"/>
        </w:tabs>
      </w:pPr>
      <w:hyperlink w:anchor="_Toc13234" w:history="1">
        <w:r>
          <w:rPr>
            <w:rFonts w:ascii="仿宋" w:eastAsia="仿宋" w:hAnsi="仿宋" w:cs="仿宋" w:hint="eastAsia"/>
            <w:lang w:eastAsia="zh-CN"/>
          </w:rPr>
          <w:t>十三、净水絮凝剂项目治理与监督</w:t>
        </w:r>
        <w:r>
          <w:tab/>
        </w:r>
        <w:r>
          <w:fldChar w:fldCharType="begin"/>
        </w:r>
        <w:r>
          <w:instrText xml:space="preserve"> PAGEREF _Toc13234 \h </w:instrText>
        </w:r>
        <w:r>
          <w:fldChar w:fldCharType="separate"/>
        </w:r>
        <w:r>
          <w:t>50</w:t>
        </w:r>
        <w:r>
          <w:fldChar w:fldCharType="end"/>
        </w:r>
      </w:hyperlink>
    </w:p>
    <w:p>
      <w:pPr>
        <w:pStyle w:val="TOC2"/>
        <w:tabs>
          <w:tab w:val="right" w:leader="dot" w:pos="8306"/>
        </w:tabs>
      </w:pPr>
      <w:hyperlink w:anchor="_Toc23812" w:history="1">
        <w:r>
          <w:rPr>
            <w:rFonts w:ascii="仿宋" w:eastAsia="仿宋" w:hAnsi="仿宋" w:cs="仿宋" w:hint="eastAsia"/>
            <w:lang w:eastAsia="zh-CN"/>
          </w:rPr>
          <w:t>(一)、净水絮凝剂项目治理结构</w:t>
        </w:r>
        <w:r>
          <w:tab/>
        </w:r>
        <w:r>
          <w:fldChar w:fldCharType="begin"/>
        </w:r>
        <w:r>
          <w:instrText xml:space="preserve"> PAGEREF _Toc23812 \h </w:instrText>
        </w:r>
        <w:r>
          <w:fldChar w:fldCharType="separate"/>
        </w:r>
        <w:r>
          <w:t>50</w:t>
        </w:r>
        <w:r>
          <w:fldChar w:fldCharType="end"/>
        </w:r>
      </w:hyperlink>
    </w:p>
    <w:p>
      <w:pPr>
        <w:pStyle w:val="TOC2"/>
        <w:tabs>
          <w:tab w:val="right" w:leader="dot" w:pos="8306"/>
        </w:tabs>
      </w:pPr>
      <w:hyperlink w:anchor="_Toc14572" w:history="1">
        <w:r>
          <w:rPr>
            <w:rFonts w:ascii="仿宋" w:eastAsia="仿宋" w:hAnsi="仿宋" w:cs="仿宋" w:hint="eastAsia"/>
            <w:lang w:eastAsia="zh-CN"/>
          </w:rPr>
          <w:t>(二)、监督与审计</w:t>
        </w:r>
        <w:r>
          <w:tab/>
        </w:r>
        <w:r>
          <w:fldChar w:fldCharType="begin"/>
        </w:r>
        <w:r>
          <w:instrText xml:space="preserve"> PAGEREF _Toc14572 \h </w:instrText>
        </w:r>
        <w:r>
          <w:fldChar w:fldCharType="separate"/>
        </w:r>
        <w:r>
          <w:t>52</w:t>
        </w:r>
        <w:r>
          <w:fldChar w:fldCharType="end"/>
        </w:r>
      </w:hyperlink>
    </w:p>
    <w:p>
      <w:pPr>
        <w:pStyle w:val="TOC1"/>
        <w:tabs>
          <w:tab w:val="right" w:leader="dot" w:pos="8306"/>
        </w:tabs>
      </w:pPr>
      <w:hyperlink w:anchor="_Toc8901" w:history="1">
        <w:r>
          <w:rPr>
            <w:rFonts w:ascii="仿宋" w:eastAsia="仿宋" w:hAnsi="仿宋" w:cs="仿宋" w:hint="eastAsia"/>
            <w:lang w:eastAsia="zh-CN"/>
          </w:rPr>
          <w:t>十四、净水絮凝剂项目实施时间节点</w:t>
        </w:r>
        <w:r>
          <w:tab/>
        </w:r>
        <w:r>
          <w:fldChar w:fldCharType="begin"/>
        </w:r>
        <w:r>
          <w:instrText xml:space="preserve"> PAGEREF _Toc8901 \h </w:instrText>
        </w:r>
        <w:r>
          <w:fldChar w:fldCharType="separate"/>
        </w:r>
        <w:r>
          <w:t>53</w:t>
        </w:r>
        <w:r>
          <w:fldChar w:fldCharType="end"/>
        </w:r>
      </w:hyperlink>
    </w:p>
    <w:p>
      <w:pPr>
        <w:pStyle w:val="TOC2"/>
        <w:tabs>
          <w:tab w:val="right" w:leader="dot" w:pos="8306"/>
        </w:tabs>
      </w:pPr>
      <w:hyperlink w:anchor="_Toc7414" w:history="1">
        <w:r>
          <w:rPr>
            <w:rFonts w:ascii="仿宋" w:eastAsia="仿宋" w:hAnsi="仿宋" w:cs="仿宋" w:hint="eastAsia"/>
            <w:lang w:eastAsia="zh-CN"/>
          </w:rPr>
          <w:t>(一)、净水絮凝剂项目启动阶段时间节点</w:t>
        </w:r>
        <w:r>
          <w:tab/>
        </w:r>
        <w:r>
          <w:fldChar w:fldCharType="begin"/>
        </w:r>
        <w:r>
          <w:instrText xml:space="preserve"> PAGEREF _Toc7414 \h </w:instrText>
        </w:r>
        <w:r>
          <w:fldChar w:fldCharType="separate"/>
        </w:r>
        <w:r>
          <w:t>53</w:t>
        </w:r>
        <w:r>
          <w:fldChar w:fldCharType="end"/>
        </w:r>
      </w:hyperlink>
    </w:p>
    <w:p>
      <w:pPr>
        <w:pStyle w:val="TOC2"/>
        <w:tabs>
          <w:tab w:val="right" w:leader="dot" w:pos="8306"/>
        </w:tabs>
      </w:pPr>
      <w:hyperlink w:anchor="_Toc13792" w:history="1">
        <w:r>
          <w:rPr>
            <w:rFonts w:ascii="仿宋" w:eastAsia="仿宋" w:hAnsi="仿宋" w:cs="仿宋" w:hint="eastAsia"/>
            <w:lang w:eastAsia="zh-CN"/>
          </w:rPr>
          <w:t>(二)、净水絮凝剂项目执行阶段时间节点</w:t>
        </w:r>
        <w:r>
          <w:tab/>
        </w:r>
        <w:r>
          <w:fldChar w:fldCharType="begin"/>
        </w:r>
        <w:r>
          <w:instrText xml:space="preserve"> PAGEREF _Toc13792 \h </w:instrText>
        </w:r>
        <w:r>
          <w:fldChar w:fldCharType="separate"/>
        </w:r>
        <w:r>
          <w:t>54</w:t>
        </w:r>
        <w:r>
          <w:fldChar w:fldCharType="end"/>
        </w:r>
      </w:hyperlink>
    </w:p>
    <w:p>
      <w:pPr>
        <w:pStyle w:val="TOC2"/>
        <w:tabs>
          <w:tab w:val="right" w:leader="dot" w:pos="8306"/>
        </w:tabs>
      </w:pPr>
      <w:hyperlink w:anchor="_Toc2206" w:history="1">
        <w:r>
          <w:rPr>
            <w:rFonts w:ascii="仿宋" w:eastAsia="仿宋" w:hAnsi="仿宋" w:cs="仿宋" w:hint="eastAsia"/>
            <w:lang w:eastAsia="zh-CN"/>
          </w:rPr>
          <w:t>(三)、净水絮凝剂项目完成阶段时间节点</w:t>
        </w:r>
        <w:r>
          <w:tab/>
        </w:r>
        <w:r>
          <w:fldChar w:fldCharType="begin"/>
        </w:r>
        <w:r>
          <w:instrText xml:space="preserve"> PAGEREF _Toc2206 \h </w:instrText>
        </w:r>
        <w:r>
          <w:fldChar w:fldCharType="separate"/>
        </w:r>
        <w:r>
          <w:t>55</w:t>
        </w:r>
        <w:r>
          <w:fldChar w:fldCharType="end"/>
        </w:r>
      </w:hyperlink>
    </w:p>
    <w:p>
      <w:pPr>
        <w:pStyle w:val="TOC1"/>
        <w:tabs>
          <w:tab w:val="right" w:leader="dot" w:pos="8306"/>
        </w:tabs>
      </w:pPr>
      <w:hyperlink w:anchor="_Toc23586" w:history="1">
        <w:r>
          <w:rPr>
            <w:rFonts w:ascii="仿宋" w:eastAsia="仿宋" w:hAnsi="仿宋" w:cs="仿宋" w:hint="eastAsia"/>
            <w:lang w:eastAsia="zh-CN"/>
          </w:rPr>
          <w:t>十五、质量管理体系</w:t>
        </w:r>
        <w:r>
          <w:tab/>
        </w:r>
        <w:r>
          <w:fldChar w:fldCharType="begin"/>
        </w:r>
        <w:r>
          <w:instrText xml:space="preserve"> PAGEREF _Toc23586 \h </w:instrText>
        </w:r>
        <w:r>
          <w:fldChar w:fldCharType="separate"/>
        </w:r>
        <w:r>
          <w:t>56</w:t>
        </w:r>
        <w:r>
          <w:fldChar w:fldCharType="end"/>
        </w:r>
      </w:hyperlink>
    </w:p>
    <w:p>
      <w:pPr>
        <w:pStyle w:val="TOC2"/>
        <w:tabs>
          <w:tab w:val="right" w:leader="dot" w:pos="8306"/>
        </w:tabs>
      </w:pPr>
      <w:hyperlink w:anchor="_Toc20941" w:history="1">
        <w:r>
          <w:rPr>
            <w:rFonts w:ascii="仿宋" w:eastAsia="仿宋" w:hAnsi="仿宋" w:cs="仿宋" w:hint="eastAsia"/>
            <w:lang w:eastAsia="zh-CN"/>
          </w:rPr>
          <w:t>(一)、质量目标与方针</w:t>
        </w:r>
        <w:r>
          <w:tab/>
        </w:r>
        <w:r>
          <w:fldChar w:fldCharType="begin"/>
        </w:r>
        <w:r>
          <w:instrText xml:space="preserve"> PAGEREF _Toc20941 \h </w:instrText>
        </w:r>
        <w:r>
          <w:fldChar w:fldCharType="separate"/>
        </w:r>
        <w:r>
          <w:t>56</w:t>
        </w:r>
        <w:r>
          <w:fldChar w:fldCharType="end"/>
        </w:r>
      </w:hyperlink>
    </w:p>
    <w:p>
      <w:pPr>
        <w:pStyle w:val="TOC2"/>
        <w:tabs>
          <w:tab w:val="right" w:leader="dot" w:pos="8306"/>
        </w:tabs>
      </w:pPr>
      <w:hyperlink w:anchor="_Toc26073" w:history="1">
        <w:r>
          <w:rPr>
            <w:rFonts w:ascii="仿宋" w:eastAsia="仿宋" w:hAnsi="仿宋" w:cs="仿宋" w:hint="eastAsia"/>
            <w:lang w:eastAsia="zh-CN"/>
          </w:rPr>
          <w:t>(二)、质量管理责任</w:t>
        </w:r>
        <w:r>
          <w:tab/>
        </w:r>
        <w:r>
          <w:fldChar w:fldCharType="begin"/>
        </w:r>
        <w:r>
          <w:instrText xml:space="preserve"> PAGEREF _Toc26073 \h </w:instrText>
        </w:r>
        <w:r>
          <w:fldChar w:fldCharType="separate"/>
        </w:r>
        <w:r>
          <w:t>57</w:t>
        </w:r>
        <w:r>
          <w:fldChar w:fldCharType="end"/>
        </w:r>
      </w:hyperlink>
    </w:p>
    <w:p>
      <w:pPr>
        <w:pStyle w:val="TOC2"/>
        <w:tabs>
          <w:tab w:val="right" w:leader="dot" w:pos="8306"/>
        </w:tabs>
      </w:pPr>
      <w:hyperlink w:anchor="_Toc14712" w:history="1">
        <w:r>
          <w:rPr>
            <w:rFonts w:ascii="仿宋" w:eastAsia="仿宋" w:hAnsi="仿宋" w:cs="仿宋" w:hint="eastAsia"/>
            <w:lang w:eastAsia="zh-CN"/>
          </w:rPr>
          <w:t>(三)、质量管理体系文件</w:t>
        </w:r>
        <w:r>
          <w:tab/>
        </w:r>
        <w:r>
          <w:fldChar w:fldCharType="begin"/>
        </w:r>
        <w:r>
          <w:instrText xml:space="preserve"> PAGEREF _Toc14712 \h </w:instrText>
        </w:r>
        <w:r>
          <w:fldChar w:fldCharType="separate"/>
        </w:r>
        <w:r>
          <w:t>59</w:t>
        </w:r>
        <w:r>
          <w:fldChar w:fldCharType="end"/>
        </w:r>
      </w:hyperlink>
    </w:p>
    <w:p>
      <w:pPr>
        <w:pStyle w:val="TOC2"/>
        <w:tabs>
          <w:tab w:val="right" w:leader="dot" w:pos="8306"/>
        </w:tabs>
      </w:pPr>
      <w:hyperlink w:anchor="_Toc643" w:history="1">
        <w:r>
          <w:rPr>
            <w:rFonts w:ascii="仿宋" w:eastAsia="仿宋" w:hAnsi="仿宋" w:cs="仿宋" w:hint="eastAsia"/>
            <w:lang w:eastAsia="zh-CN"/>
          </w:rPr>
          <w:t>(四)、质量培训与教育</w:t>
        </w:r>
        <w:r>
          <w:tab/>
        </w:r>
        <w:r>
          <w:fldChar w:fldCharType="begin"/>
        </w:r>
        <w:r>
          <w:instrText xml:space="preserve"> PAGEREF _Toc643 \h </w:instrText>
        </w:r>
        <w:r>
          <w:fldChar w:fldCharType="separate"/>
        </w:r>
        <w:r>
          <w:t>61</w:t>
        </w:r>
        <w:r>
          <w:fldChar w:fldCharType="end"/>
        </w:r>
      </w:hyperlink>
    </w:p>
    <w:p>
      <w:pPr>
        <w:pStyle w:val="TOC2"/>
        <w:tabs>
          <w:tab w:val="right" w:leader="dot" w:pos="8306"/>
        </w:tabs>
      </w:pPr>
      <w:hyperlink w:anchor="_Toc16926" w:history="1">
        <w:r>
          <w:rPr>
            <w:rFonts w:ascii="仿宋" w:eastAsia="仿宋" w:hAnsi="仿宋" w:cs="仿宋" w:hint="eastAsia"/>
            <w:lang w:eastAsia="zh-CN"/>
          </w:rPr>
          <w:t>(五)、质量审核与评价</w:t>
        </w:r>
        <w:r>
          <w:tab/>
        </w:r>
        <w:r>
          <w:fldChar w:fldCharType="begin"/>
        </w:r>
        <w:r>
          <w:instrText xml:space="preserve"> PAGEREF _Toc16926 \h </w:instrText>
        </w:r>
        <w:r>
          <w:fldChar w:fldCharType="separate"/>
        </w:r>
        <w:r>
          <w:t>62</w:t>
        </w:r>
        <w:r>
          <w:fldChar w:fldCharType="end"/>
        </w:r>
      </w:hyperlink>
    </w:p>
    <w:p>
      <w:pPr>
        <w:pStyle w:val="TOC2"/>
        <w:tabs>
          <w:tab w:val="right" w:leader="dot" w:pos="8306"/>
        </w:tabs>
      </w:pPr>
      <w:hyperlink w:anchor="_Toc16330" w:history="1">
        <w:r>
          <w:rPr>
            <w:rFonts w:ascii="仿宋" w:eastAsia="仿宋" w:hAnsi="仿宋" w:cs="仿宋" w:hint="eastAsia"/>
            <w:lang w:eastAsia="zh-CN"/>
          </w:rPr>
          <w:t>(六)、不符合与纠正措施</w:t>
        </w:r>
        <w:r>
          <w:tab/>
        </w:r>
        <w:r>
          <w:fldChar w:fldCharType="begin"/>
        </w:r>
        <w:r>
          <w:instrText xml:space="preserve"> PAGEREF _Toc16330 \h </w:instrText>
        </w:r>
        <w:r>
          <w:fldChar w:fldCharType="separate"/>
        </w:r>
        <w:r>
          <w:t>63</w:t>
        </w:r>
        <w:r>
          <w:fldChar w:fldCharType="end"/>
        </w:r>
      </w:hyperlink>
    </w:p>
    <w:p>
      <w:pPr>
        <w:pStyle w:val="TOC1"/>
        <w:tabs>
          <w:tab w:val="right" w:leader="dot" w:pos="8306"/>
        </w:tabs>
      </w:pPr>
      <w:hyperlink w:anchor="_Toc11068" w:history="1">
        <w:r>
          <w:rPr>
            <w:rFonts w:ascii="仿宋" w:eastAsia="仿宋" w:hAnsi="仿宋" w:cs="仿宋" w:hint="eastAsia"/>
            <w:lang w:eastAsia="zh-CN"/>
          </w:rPr>
          <w:t>十六、净水絮凝剂项目变更管理</w:t>
        </w:r>
        <w:r>
          <w:tab/>
        </w:r>
        <w:r>
          <w:fldChar w:fldCharType="begin"/>
        </w:r>
        <w:r>
          <w:instrText xml:space="preserve"> PAGEREF _Toc11068 \h </w:instrText>
        </w:r>
        <w:r>
          <w:fldChar w:fldCharType="separate"/>
        </w:r>
        <w:r>
          <w:t>64</w:t>
        </w:r>
        <w:r>
          <w:fldChar w:fldCharType="end"/>
        </w:r>
      </w:hyperlink>
    </w:p>
    <w:p>
      <w:pPr>
        <w:pStyle w:val="TOC2"/>
        <w:tabs>
          <w:tab w:val="right" w:leader="dot" w:pos="8306"/>
        </w:tabs>
      </w:pPr>
      <w:hyperlink w:anchor="_Toc11698" w:history="1">
        <w:r>
          <w:rPr>
            <w:rFonts w:ascii="仿宋" w:eastAsia="仿宋" w:hAnsi="仿宋" w:cs="仿宋" w:hint="eastAsia"/>
            <w:lang w:eastAsia="zh-CN"/>
          </w:rPr>
          <w:t>(一)、变更申请与评估</w:t>
        </w:r>
        <w:r>
          <w:tab/>
        </w:r>
        <w:r>
          <w:fldChar w:fldCharType="begin"/>
        </w:r>
        <w:r>
          <w:instrText xml:space="preserve"> PAGEREF _Toc11698 \h </w:instrText>
        </w:r>
        <w:r>
          <w:fldChar w:fldCharType="separate"/>
        </w:r>
        <w:r>
          <w:t>64</w:t>
        </w:r>
        <w:r>
          <w:fldChar w:fldCharType="end"/>
        </w:r>
      </w:hyperlink>
    </w:p>
    <w:p>
      <w:pPr>
        <w:pStyle w:val="TOC2"/>
        <w:tabs>
          <w:tab w:val="right" w:leader="dot" w:pos="8306"/>
        </w:tabs>
      </w:pPr>
      <w:hyperlink w:anchor="_Toc16735" w:history="1">
        <w:r>
          <w:rPr>
            <w:rFonts w:ascii="仿宋" w:eastAsia="仿宋" w:hAnsi="仿宋" w:cs="仿宋" w:hint="eastAsia"/>
            <w:lang w:eastAsia="zh-CN"/>
          </w:rPr>
          <w:t>(二)、变更实施与控制</w:t>
        </w:r>
        <w:r>
          <w:tab/>
        </w:r>
        <w:r>
          <w:fldChar w:fldCharType="begin"/>
        </w:r>
        <w:r>
          <w:instrText xml:space="preserve"> PAGEREF _Toc16735 \h </w:instrText>
        </w:r>
        <w:r>
          <w:fldChar w:fldCharType="separate"/>
        </w:r>
        <w:r>
          <w:t>65</w:t>
        </w:r>
        <w:r>
          <w:fldChar w:fldCharType="end"/>
        </w:r>
      </w:hyperlink>
    </w:p>
    <w:p>
      <w:pPr>
        <w:pStyle w:val="TOC1"/>
        <w:tabs>
          <w:tab w:val="right" w:leader="dot" w:pos="8306"/>
        </w:tabs>
      </w:pPr>
      <w:hyperlink w:anchor="_Toc14559" w:history="1">
        <w:r>
          <w:rPr>
            <w:rFonts w:ascii="仿宋" w:eastAsia="仿宋" w:hAnsi="仿宋" w:cs="仿宋" w:hint="eastAsia"/>
            <w:lang w:eastAsia="zh-CN"/>
          </w:rPr>
          <w:t>十七、净水絮凝剂项目实施保障措施</w:t>
        </w:r>
        <w:r>
          <w:tab/>
        </w:r>
        <w:r>
          <w:fldChar w:fldCharType="begin"/>
        </w:r>
        <w:r>
          <w:instrText xml:space="preserve"> PAGEREF _Toc14559 \h </w:instrText>
        </w:r>
        <w:r>
          <w:fldChar w:fldCharType="separate"/>
        </w:r>
        <w:r>
          <w:t>65</w:t>
        </w:r>
        <w:r>
          <w:fldChar w:fldCharType="end"/>
        </w:r>
      </w:hyperlink>
    </w:p>
    <w:p>
      <w:pPr>
        <w:pStyle w:val="TOC2"/>
        <w:tabs>
          <w:tab w:val="right" w:leader="dot" w:pos="8306"/>
        </w:tabs>
      </w:pPr>
      <w:hyperlink w:anchor="_Toc28599" w:history="1">
        <w:r>
          <w:rPr>
            <w:rFonts w:ascii="仿宋" w:eastAsia="仿宋" w:hAnsi="仿宋" w:cs="仿宋" w:hint="eastAsia"/>
            <w:lang w:eastAsia="zh-CN"/>
          </w:rPr>
          <w:t>(一)、净水絮凝剂项目实施保障机制</w:t>
        </w:r>
        <w:r>
          <w:tab/>
        </w:r>
        <w:r>
          <w:fldChar w:fldCharType="begin"/>
        </w:r>
        <w:r>
          <w:instrText xml:space="preserve"> PAGEREF _Toc28599 \h </w:instrText>
        </w:r>
        <w:r>
          <w:fldChar w:fldCharType="separate"/>
        </w:r>
        <w:r>
          <w:t>65</w:t>
        </w:r>
        <w:r>
          <w:fldChar w:fldCharType="end"/>
        </w:r>
      </w:hyperlink>
    </w:p>
    <w:p>
      <w:pPr>
        <w:pStyle w:val="TOC2"/>
        <w:tabs>
          <w:tab w:val="right" w:leader="dot" w:pos="8306"/>
        </w:tabs>
      </w:pPr>
      <w:hyperlink w:anchor="_Toc5210" w:history="1">
        <w:r>
          <w:rPr>
            <w:rFonts w:ascii="仿宋" w:eastAsia="仿宋" w:hAnsi="仿宋" w:cs="仿宋" w:hint="eastAsia"/>
            <w:lang w:eastAsia="zh-CN"/>
          </w:rPr>
          <w:t>(二)、净水絮凝剂项目法律合规要求</w:t>
        </w:r>
        <w:r>
          <w:tab/>
        </w:r>
        <w:r>
          <w:fldChar w:fldCharType="begin"/>
        </w:r>
        <w:r>
          <w:instrText xml:space="preserve"> PAGEREF _Toc5210 \h </w:instrText>
        </w:r>
        <w:r>
          <w:fldChar w:fldCharType="separate"/>
        </w:r>
        <w:r>
          <w:t>69</w:t>
        </w:r>
        <w:r>
          <w:fldChar w:fldCharType="end"/>
        </w:r>
      </w:hyperlink>
    </w:p>
    <w:p>
      <w:pPr>
        <w:pStyle w:val="TOC2"/>
        <w:tabs>
          <w:tab w:val="right" w:leader="dot" w:pos="8306"/>
        </w:tabs>
      </w:pPr>
      <w:hyperlink w:anchor="_Toc10075" w:history="1">
        <w:r>
          <w:rPr>
            <w:rFonts w:ascii="仿宋" w:eastAsia="仿宋" w:hAnsi="仿宋" w:cs="仿宋" w:hint="eastAsia"/>
            <w:lang w:eastAsia="zh-CN"/>
          </w:rPr>
          <w:t>(三)、净水絮凝剂项目合同管理与法律事务</w:t>
        </w:r>
        <w:r>
          <w:tab/>
        </w:r>
        <w:r>
          <w:fldChar w:fldCharType="begin"/>
        </w:r>
        <w:r>
          <w:instrText xml:space="preserve"> PAGEREF _Toc10075 \h </w:instrText>
        </w:r>
        <w:r>
          <w:fldChar w:fldCharType="separate"/>
        </w:r>
        <w:r>
          <w:t>73</w:t>
        </w:r>
        <w:r>
          <w:fldChar w:fldCharType="end"/>
        </w:r>
      </w:hyperlink>
    </w:p>
    <w:p>
      <w:pPr>
        <w:pStyle w:val="TOC2"/>
        <w:tabs>
          <w:tab w:val="right" w:leader="dot" w:pos="8306"/>
        </w:tabs>
      </w:pPr>
      <w:hyperlink w:anchor="_Toc5705" w:history="1">
        <w:r>
          <w:rPr>
            <w:rFonts w:ascii="仿宋" w:eastAsia="仿宋" w:hAnsi="仿宋" w:cs="仿宋" w:hint="eastAsia"/>
            <w:lang w:eastAsia="zh-CN"/>
          </w:rPr>
          <w:t>(四)、净水絮凝剂项目知识产权保护策略</w:t>
        </w:r>
        <w:r>
          <w:tab/>
        </w:r>
        <w:r>
          <w:fldChar w:fldCharType="begin"/>
        </w:r>
        <w:r>
          <w:instrText xml:space="preserve"> PAGEREF _Toc5705 \h </w:instrText>
        </w:r>
        <w:r>
          <w:fldChar w:fldCharType="separate"/>
        </w:r>
        <w:r>
          <w:t>79</w:t>
        </w:r>
        <w:r>
          <w:fldChar w:fldCharType="end"/>
        </w:r>
      </w:hyperlink>
    </w:p>
    <w:p>
      <w:pPr>
        <w:pStyle w:val="TOC1"/>
        <w:tabs>
          <w:tab w:val="right" w:leader="dot" w:pos="8306"/>
        </w:tabs>
      </w:pPr>
      <w:hyperlink w:anchor="_Toc4513" w:history="1">
        <w:r>
          <w:rPr>
            <w:rFonts w:ascii="仿宋" w:eastAsia="仿宋" w:hAnsi="仿宋" w:cs="仿宋" w:hint="eastAsia"/>
            <w:lang w:eastAsia="zh-CN"/>
          </w:rPr>
          <w:t>十八、净水絮凝剂项目工程方案分析</w:t>
        </w:r>
        <w:r>
          <w:tab/>
        </w:r>
        <w:r>
          <w:fldChar w:fldCharType="begin"/>
        </w:r>
        <w:r>
          <w:instrText xml:space="preserve"> PAGEREF _Toc4513 \h </w:instrText>
        </w:r>
        <w:r>
          <w:fldChar w:fldCharType="separate"/>
        </w:r>
        <w:r>
          <w:t>82</w:t>
        </w:r>
        <w:r>
          <w:fldChar w:fldCharType="end"/>
        </w:r>
      </w:hyperlink>
    </w:p>
    <w:p>
      <w:pPr>
        <w:pStyle w:val="TOC2"/>
        <w:tabs>
          <w:tab w:val="right" w:leader="dot" w:pos="8306"/>
        </w:tabs>
      </w:pPr>
      <w:hyperlink w:anchor="_Toc18274" w:history="1">
        <w:r>
          <w:rPr>
            <w:rFonts w:ascii="仿宋" w:eastAsia="仿宋" w:hAnsi="仿宋" w:cs="仿宋" w:hint="eastAsia"/>
            <w:lang w:eastAsia="zh-CN"/>
          </w:rPr>
          <w:t>(一)、建筑工程设计原则</w:t>
        </w:r>
        <w:r>
          <w:tab/>
        </w:r>
        <w:r>
          <w:fldChar w:fldCharType="begin"/>
        </w:r>
        <w:r>
          <w:instrText xml:space="preserve"> PAGEREF _Toc18274 \h </w:instrText>
        </w:r>
        <w:r>
          <w:fldChar w:fldCharType="separate"/>
        </w:r>
        <w:r>
          <w:t>82</w:t>
        </w:r>
        <w:r>
          <w:fldChar w:fldCharType="end"/>
        </w:r>
      </w:hyperlink>
    </w:p>
    <w:p>
      <w:pPr>
        <w:pStyle w:val="TOC2"/>
        <w:tabs>
          <w:tab w:val="right" w:leader="dot" w:pos="8306"/>
        </w:tabs>
      </w:pPr>
      <w:hyperlink w:anchor="_Toc28210" w:history="1">
        <w:r>
          <w:rPr>
            <w:rFonts w:ascii="仿宋" w:eastAsia="仿宋" w:hAnsi="仿宋" w:cs="仿宋" w:hint="eastAsia"/>
            <w:lang w:eastAsia="zh-CN"/>
          </w:rPr>
          <w:t>(二)、土建工程建设指标</w:t>
        </w:r>
        <w:r>
          <w:tab/>
        </w:r>
        <w:r>
          <w:fldChar w:fldCharType="begin"/>
        </w:r>
        <w:r>
          <w:instrText xml:space="preserve"> PAGEREF _Toc28210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902"/>
      <w:r>
        <w:rPr>
          <w:rFonts w:ascii="仿宋" w:eastAsia="仿宋" w:hAnsi="仿宋" w:cs="仿宋" w:hint="eastAsia"/>
          <w:sz w:val="28"/>
          <w:lang w:eastAsia="zh-CN"/>
        </w:rPr>
        <w:t>一、净水絮凝剂项目可持续发展</w:t>
      </w:r>
      <w:bookmarkEnd w:id="2"/>
    </w:p>
    <w:p>
      <w:pPr>
        <w:pStyle w:val="Heading2"/>
        <w:rPr>
          <w:rFonts w:ascii="仿宋" w:eastAsia="仿宋" w:hAnsi="仿宋" w:cs="仿宋" w:hint="eastAsia"/>
          <w:lang w:eastAsia="zh-CN"/>
        </w:rPr>
      </w:pPr>
      <w:bookmarkStart w:id="3" w:name="_Toc3120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净水絮凝剂项目中，净水絮凝剂项目团队着眼于未来，明确了可持续发展的战略方向。制定的具体可持续发展目标包括降低资源使用、采用环保技术、最大化社会效益等。这一步骤不仅有助于净水絮凝剂项目在环保和社会责任方面达到最高标准，也为未来提供了明确的指引，确保净水絮凝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可持续实践的融入净水絮凝剂项目管理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净水絮凝剂项目管理周期。从净水絮凝剂项目规划开始，净水絮凝剂项目团队就考虑了环境和社会的因素。在执行阶段，净水絮凝剂项目团队积极推动绿色技术的应用，优化资源利用。此外，关注员工的社会责任，通过培训和沟通活动提高员工对可持续发展的认知，使他们能够在日常工作中践行可持续实践。这些举措不仅为净水絮凝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8089"/>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扎根于净水絮凝剂项目的可持续发展理念，我们深信环保与社会责任是净水絮凝剂项目成功的关键支柱。在净水絮凝剂项目的每一步，我们都致力于通过创新和实践，履行对环境和社会的坚定责任。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絮凝剂项目团队通过引入先进的环保技术、建立高效的废物处理系统以及推动能源节约措施，积极履行环保责任。定期的环保监测和评估确保净水絮凝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絮凝剂项目不仅致力于自身可持续发展，还注重对社会的回馈。通过支持社区净水絮凝剂项目、参与慈善事业、提供培训机会等方式，净水絮凝剂项目积极履行社会责任。与当地社区建立积极互动，关注员工的工作与生活平衡，以及员工的身心健康，是净水絮凝剂项目在社会责任层面的关键举措。这样的实践不仅增强了净水絮凝剂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4169"/>
      <w:r>
        <w:rPr>
          <w:rFonts w:ascii="仿宋" w:eastAsia="仿宋" w:hAnsi="仿宋" w:cs="仿宋" w:hint="eastAsia"/>
          <w:sz w:val="28"/>
          <w:lang w:eastAsia="zh-CN"/>
        </w:rPr>
        <w:t>二、净水絮凝剂项目建设背景及必要性分析</w:t>
      </w:r>
      <w:bookmarkEnd w:id="5"/>
    </w:p>
    <w:p>
      <w:pPr>
        <w:pStyle w:val="Heading2"/>
        <w:rPr>
          <w:rFonts w:ascii="仿宋" w:eastAsia="仿宋" w:hAnsi="仿宋" w:cs="仿宋" w:hint="eastAsia"/>
          <w:lang w:eastAsia="zh-CN"/>
        </w:rPr>
      </w:pPr>
      <w:bookmarkStart w:id="6" w:name="_Toc25924"/>
      <w:r>
        <w:rPr>
          <w:rFonts w:ascii="仿宋" w:eastAsia="仿宋" w:hAnsi="仿宋" w:cs="仿宋" w:hint="eastAsia"/>
          <w:lang w:eastAsia="zh-CN"/>
        </w:rPr>
        <w:t>(一)、净水絮凝剂项目背景分析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絮凝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净水絮凝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净水絮凝剂项目在这个潮流中的定位。同时，我们将关注行业内涌现的新兴机遇，以便净水絮凝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净水絮凝剂项目提供了强大的发展动力。我们将聚焦于行业内最新的技术发展趋势，包括但不限于人工智能、大数据分析、物联网等领域。通过深度的技术研究，我们将确保净水絮凝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净水絮凝剂项目发展的源泉。我们将投入更多的精力对市场需求进行深入剖析，超越表面的需求，深入挖掘潜在的市场痛点和机遇。通过对市场需求的细致了解，净水絮凝剂项目将更有针对性地设计解决方案，满足市场的多样化需求，从而更好地促进净水絮凝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净水絮凝剂项目战略至关重要。我们将对竞争态势进行更为深入的分析，包括但不限于市场份额、产品特点、客户满意度等多个维度。通过深度的竞争分析，净水絮凝剂项目将能够更准确地把握市场脉搏，制定具有竞争力的净水絮凝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净水絮凝剂项目的发展具有直接的影响。我们将进行更为全面的法规和政策分析，了解行业发展中的潜在法律风险和合规挑战。通过充分了解和遵守相关法规，净水絮凝剂项目将确保在法律框架内合法合规运营，为净水絮凝剂项目的稳健发展提供有力支持。</w:t>
      </w:r>
    </w:p>
    <w:p>
      <w:pPr>
        <w:pStyle w:val="Heading2"/>
        <w:ind w:firstLine="560" w:firstLineChars="200"/>
        <w:rPr>
          <w:rFonts w:ascii="仿宋" w:eastAsia="仿宋" w:hAnsi="仿宋" w:cs="仿宋" w:hint="eastAsia"/>
          <w:sz w:val="28"/>
          <w:lang w:eastAsia="zh-CN"/>
        </w:rPr>
      </w:pPr>
      <w:bookmarkStart w:id="7" w:name="_Toc3267"/>
      <w:r>
        <w:rPr>
          <w:rFonts w:ascii="仿宋" w:eastAsia="仿宋" w:hAnsi="仿宋" w:cs="仿宋" w:hint="eastAsia"/>
          <w:sz w:val="28"/>
          <w:lang w:eastAsia="zh-CN"/>
        </w:rPr>
        <w:t>(二)、净水絮凝剂项目建设必要性分析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净水絮凝剂项目建设的迫切性源于对行业发展趋势的深刻洞察。我们正处于一个行业变革的时代，科技创新、数字化转型成为企业发展的关键动力。净水絮凝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絮凝剂项目建设不仅仅是为了跟上潮流，更是为了通过技术创新推动企业的持续发展。通过引入先进的技术和解决方案，净水絮凝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净水絮凝剂项目的建设成为必然选择，通过提高产品质量、拓展服务领域，从而在竞争中获得更多的机会。净水絮凝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净水絮凝剂项目建设的必要性体现在对客户需求更精准的满足。通过净水絮凝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净水絮凝剂项目建设的背后是对企业持续创新的追求。只有通过不断创新，企业才能在竞争中立于不败之地。净水絮凝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2021"/>
      <w:r>
        <w:rPr>
          <w:rFonts w:ascii="仿宋" w:eastAsia="仿宋" w:hAnsi="仿宋" w:cs="仿宋" w:hint="eastAsia"/>
          <w:sz w:val="28"/>
          <w:lang w:eastAsia="zh-CN"/>
        </w:rPr>
        <w:t>三、净水絮凝剂项目文档管理</w:t>
      </w:r>
      <w:bookmarkEnd w:id="8"/>
    </w:p>
    <w:p>
      <w:pPr>
        <w:pStyle w:val="Heading2"/>
        <w:rPr>
          <w:rFonts w:ascii="仿宋" w:eastAsia="仿宋" w:hAnsi="仿宋" w:cs="仿宋" w:hint="eastAsia"/>
          <w:lang w:eastAsia="zh-CN"/>
        </w:rPr>
      </w:pPr>
      <w:bookmarkStart w:id="9" w:name="_Toc14592"/>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净水絮凝剂项目高度重视文档的质量和准确性，以支持净水絮凝剂项目的各项活动和决策。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絮凝剂项目文档的编制始于净水絮凝剂项目计划的初期，我们制定了详细的文档编制计划，明确了每个文档的内容、格式和编写责任人。在净水絮凝剂项目启动阶段，我们首先编制了净水絮凝剂项目章程，明确定义了净水絮凝剂项目的目标、范围、风险等关键要素。随后，净水絮凝剂项目团队根据计划陆续编制了需求文档、设计文档、测试文档等各类文档，确保净水絮凝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净水絮凝剂项目管理中的重要环节，旨在确保净水絮凝剂项目文档符合质量标准和净水絮凝剂项目需求。在净水絮凝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净水絮凝剂项目相关利益方和专业领域的专家对文档进行独立审查。这有助于获取更全面、客观的反馈，确保净水絮凝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净水絮凝剂项目在文档编制与审查方面建立了严格的管理机制，通过规范的流程和多维度的审查，确保净水絮凝剂项目文档的质量、准确性和可靠性，为净水絮凝剂项目的顺利推进提供了有力支持。</w:t>
      </w:r>
    </w:p>
    <w:p>
      <w:pPr>
        <w:pStyle w:val="Heading2"/>
        <w:ind w:firstLine="560" w:firstLineChars="200"/>
        <w:rPr>
          <w:rFonts w:ascii="仿宋" w:eastAsia="仿宋" w:hAnsi="仿宋" w:cs="仿宋" w:hint="eastAsia"/>
          <w:sz w:val="28"/>
          <w:lang w:eastAsia="zh-CN"/>
        </w:rPr>
      </w:pPr>
      <w:bookmarkStart w:id="10" w:name="_Toc22759"/>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在净水絮凝剂项目中，我们致力于优化文档发布与分发过程，以确保信息的高效传递和团队间协作的顺畅进行。以下是我们采取的关键优化策略：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我们通过多渠道发布文档，包括电子邮件、净水絮凝剂项目管理平台、内部网站等，以满足不同团队成员的偏好和需求。多渠道发布确保了信息的全面覆盖。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我们采用了精细的权限控制，确保只有授权人员可以访问敏感信息。这种安全措施保护了净水絮凝剂项目文档的机密性，防止了未经授权的信息泄露。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0302"/>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文档存档与归档是净水絮凝剂项目生命周期中一个至关重要的环节，直接关系到净水絮凝剂项目信息的长期保存和历史记录的完整性。在净水絮凝剂项目中，我们实施了一系列有效的文档存档与归档管理策略：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31025"/>
      <w:r>
        <w:rPr>
          <w:rFonts w:ascii="仿宋" w:eastAsia="仿宋" w:hAnsi="仿宋" w:cs="仿宋" w:hint="eastAsia"/>
          <w:sz w:val="28"/>
          <w:lang w:eastAsia="zh-CN"/>
        </w:rPr>
        <w:t>四、净水絮凝剂项目绩效评估</w:t>
      </w:r>
      <w:bookmarkEnd w:id="12"/>
    </w:p>
    <w:p>
      <w:pPr>
        <w:pStyle w:val="Heading2"/>
        <w:rPr>
          <w:rFonts w:ascii="仿宋" w:eastAsia="仿宋" w:hAnsi="仿宋" w:cs="仿宋" w:hint="eastAsia"/>
          <w:lang w:eastAsia="zh-CN"/>
        </w:rPr>
      </w:pPr>
      <w:bookmarkStart w:id="13" w:name="_Toc26094"/>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净水絮凝剂项目中，我们设计了一套全面的绩效评估指标，以确保净水絮凝剂项目的可控和成功交付。这些指标跨足净水絮凝剂项目目标、成本、进度和质量等多个维度，为我们提供了全面洞察净水絮凝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絮凝剂项目目标达成率是我们关注的首要指标。我们设定了明确的目标，并通过定期监测和评估，迅速发现并应对潜在的目标偏差。这为净水絮凝剂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成本绩效是另一个核心关注点。通过实际成本与预算成本的对比分析，我们深入了解成本差异的原因，及时调整资源分配，保持净水絮凝剂项目在经济效益方面的合理水平。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净水絮凝剂项目进度作为关键的绩效指标之一，得到了精心的关注。我们制定了详细的净水絮凝剂项目进度计划，并设立了进度符合度指标，确保实际进度与计划进度保持一致。这使我们能够快速发现和解决潜在的进度问题，保持净水絮凝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净水絮凝剂项目绩效的不可或缺的一环。我们引入了一系列的质量标准和客户满意度指标，以确保净水絮凝剂项目交付的成果在质量上达到或超越预期水平。通过持续监测这些指标，我们努力提升净水絮凝剂项目整体质量水平，为净水絮凝剂项目的成功交付提供有力保障。通过这些科学且全面的绩效评估，我们能够更好地引导净水絮凝剂项目的持续改进，确保净水絮凝剂项目目标的顺利达成。</w:t>
      </w:r>
    </w:p>
    <w:p>
      <w:pPr>
        <w:pStyle w:val="Heading2"/>
        <w:ind w:firstLine="560" w:firstLineChars="200"/>
        <w:rPr>
          <w:rFonts w:ascii="仿宋" w:eastAsia="仿宋" w:hAnsi="仿宋" w:cs="仿宋" w:hint="eastAsia"/>
          <w:sz w:val="28"/>
          <w:lang w:eastAsia="zh-CN"/>
        </w:rPr>
      </w:pPr>
      <w:bookmarkStart w:id="14" w:name="_Toc27510"/>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绩效评估是净水絮凝剂项目中的关键环节，为确保净水絮凝剂项目达到预期目标，我们采用了多层次、多维度的绩效评估方法。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净水絮凝剂项目的战略目标对齐，确保每个决策和行动都与净水絮凝剂项目整体目标保持一致。团队会定期召开战略对齐会议，审视当前工作与净水絮凝剂项目战略是否保持一致，以及是否需要调整战略方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净水絮凝剂项目进度、质量、成本和风险等方面。这些指标通过数据收集和分析，为净水絮凝剂项目管理团队提供了客观的评估依据。例如，我们通过净水絮凝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绩效评估不仅仅停留在净水絮凝剂项目内部，还考虑了净水絮凝剂项目对外部环境的影响。我们定期进行干系人满意度调查，以了解各利益相关方对净水絮凝剂项目的期望和满意度，并及时做出调整。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这种多层次、多角度的绩效评估方法，使得我们能够全面了解净水絮凝剂项目的运行状态，及时做出调整，确保净水絮凝剂项目在不断变化的环境中保持稳健前行。</w:t>
      </w:r>
    </w:p>
    <w:p>
      <w:pPr>
        <w:pStyle w:val="Heading2"/>
        <w:ind w:firstLine="560" w:firstLineChars="200"/>
        <w:rPr>
          <w:rFonts w:ascii="仿宋" w:eastAsia="仿宋" w:hAnsi="仿宋" w:cs="仿宋" w:hint="eastAsia"/>
          <w:sz w:val="28"/>
          <w:lang w:eastAsia="zh-CN"/>
        </w:rPr>
      </w:pPr>
      <w:bookmarkStart w:id="15" w:name="_Toc5845"/>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为了确保净水絮凝剂项目的有效管理和不断优化，我们采用了精心设计的绩效评估周期。这个周期旨在实现灵活、实时和全面的评估，以适应净水絮凝剂项目执行中的各种挑战。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净水絮凝剂项目的不同需求，分为短期、中期和长期。短期评估关注每个迭代或工作周期，以及时发现和解决当前任务中的问题。中期评估涵盖几个迭代，深入了解整体净水絮凝剂项目的趋势和性能。长期评估则着眼于整个净水絮凝剂项目阶段，确保净水絮凝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净水絮凝剂项目管理工具和协作平台，团队成员能够随时更新和分享净水絮凝剂项目数据。这种实时性的反馈机制使我们能够及时察觉潜在问题，快速调整，保持净水絮凝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净水絮凝剂项目的决策制定密不可分。每个周期的净水絮凝剂项目回顾会议成为集体总结经验、识别问题深层次原因并找到创新解决方案的平台。这种定期的反思与调整机制使净水絮凝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7221"/>
      <w:r>
        <w:rPr>
          <w:rFonts w:ascii="仿宋" w:eastAsia="仿宋" w:hAnsi="仿宋" w:cs="仿宋" w:hint="eastAsia"/>
          <w:sz w:val="28"/>
          <w:lang w:eastAsia="zh-CN"/>
        </w:rPr>
        <w:t>五、净水絮凝剂项目危机管理</w:t>
      </w:r>
      <w:bookmarkEnd w:id="16"/>
    </w:p>
    <w:p>
      <w:pPr>
        <w:pStyle w:val="Heading2"/>
        <w:rPr>
          <w:rFonts w:ascii="仿宋" w:eastAsia="仿宋" w:hAnsi="仿宋" w:cs="仿宋" w:hint="eastAsia"/>
          <w:lang w:eastAsia="zh-CN"/>
        </w:rPr>
      </w:pPr>
      <w:bookmarkStart w:id="17" w:name="_Toc19195"/>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净水絮凝剂项目危机管理中，危机预警与识别是确保净水絮凝剂项目稳健运行的核心步骤。通过建立全面的监测机制，净水絮凝剂项目团队旨在及时发现和理解潜在的风险和危机因素，以便采取及时的预防和应对措施，确保净水絮凝剂项目持续处于可控状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首先，通过深入的风险评估，净水絮凝剂项目团队全面分析了整个净水絮凝剂项目和各个阶段可能存在的威胁。这包括准确评估每个潜在风险的发生概率和可能影响的程度，为后续危机预警提供了有力支持。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净水絮凝剂项目团队着重于明确定义净水絮凝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净水絮凝剂项目进展的持续监控，团队能够及时发现潜在问题并作出迅速反应。净水絮凝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在这一阶段，团队的专业素养和反应速度将发挥至关重要的作用，以确保潜在危机能够在初期得到有效的处理，最大程度地减轻负面影响。通过危机预警与识别，净水絮凝剂项目得以更有序、可控地推进。</w:t>
      </w:r>
    </w:p>
    <w:p>
      <w:pPr>
        <w:pStyle w:val="Heading2"/>
        <w:ind w:firstLine="560" w:firstLineChars="200"/>
        <w:rPr>
          <w:rFonts w:ascii="仿宋" w:eastAsia="仿宋" w:hAnsi="仿宋" w:cs="仿宋" w:hint="eastAsia"/>
          <w:sz w:val="28"/>
          <w:lang w:eastAsia="zh-CN"/>
        </w:rPr>
      </w:pPr>
      <w:bookmarkStart w:id="18" w:name="_Toc699"/>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在危机发生时，净水絮凝剂项目团队立即行动，成立了应急小组。该小组的任务是迅速制定并实施紧急应对措施，以最小化潜在损失。以下是采取的主要措施：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暂停净水絮凝剂项目进度：为遏制危机蔓延，净水絮凝剂项目暂时停止进行，以便全面评估当前状况。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资源重新分配：重新评估净水絮凝剂项目资源的分配，确保最大限度地减小损失。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实时沟通：与关键利益相关者建立实时沟通机制，向他们传递净水絮凝剂项目危机的实际状况，保障净水絮凝剂项目核心利益。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在紧急应对的同时，净水絮凝剂项目团队强调了团队协作和有效沟通的重要性。以下是团队协作的关键举措：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信息共享机制：建立了信息共享平台，确保团队成员能够及时获取净水絮凝剂项目危机的实时信息。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领导者沟通：净水絮凝剂项目领导者通过定期会议和即时沟通工具，指导团队应对危机，保持团队稳定运行。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随着危机得到初步控制，净水絮凝剂项目团队转向制定恢复计划，以确保净水絮凝剂项目能够从中迅速恢复。主要恢复计划包括：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修复受损的进度计划：重新评估净水絮凝剂项目进度，制定修复计划，确保净水絮凝剂项目尽快回归正常进程。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重新调整资源分配：优化资源分配，确保净水絮凝剂项目在有限资源下高效运转。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风险管理机制加强：对净水絮凝剂项目风险进行全面评估，制定更强化的风险管理策略，以预防未来可能的危机。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https://d.book118.com/037133153026006040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净水絮凝剂项目计划设计方案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净水絮凝剂项目计划设计方案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净水絮凝剂项目计划设计方案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净水絮凝剂项目计划设计方案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净水絮凝剂项目计划设计方案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净水絮凝剂项目计划设计方案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净水絮凝剂项目计划设计方案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净水絮凝剂项目计划设计方案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净水絮凝剂项目计划设计方案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净水絮凝剂项目计划设计方案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净水絮凝剂项目计划设计方案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净水絮凝剂项目计划设计方案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净水絮凝剂项目计划设计方案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净水絮凝剂项目计划设计方案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净水絮凝剂项目计划设计方案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净水絮凝剂项目计划设计方案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净水絮凝剂项目计划设计方案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6857FF"/>
    <w:rsid w:val="6E6857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713315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2024-02-04T00:17:00Z</dcterms:created>
  <dcterms:modified xsi:type="dcterms:W3CDTF">2024-02-04T00:17:58Z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BB80C50F5C3E4CA8925E8B7F7F1CD2DF_11</vt:lpwstr>
  </property>
  <property fmtid="{D5CDD505-2E9C-101B-9397-08002B2CF9AE}" pid="3" name="KSOProductBuildVer">
    <vt:lpwstr>2052-12.1.0.16250</vt:lpwstr>
  </property>
</Properties>
</file>