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16825" w:lineRule="exact"/>
      </w:pPr>
      <w:r>
        <w:rPr>
          <w:position w:val="-336"/>
        </w:rPr>
        <w:drawing>
          <wp:inline distT="0" distB="0" distL="0" distR="0">
            <wp:extent cx="7560005" cy="10683901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10683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5" w:lineRule="exact"/>
        <w:sectPr>
          <w:headerReference w:type="default" r:id="rId5"/>
          <w:footerReference w:type="default" r:id="rId6"/>
          <w:pgSz w:w="11906" w:h="16838"/>
          <w:pgMar w:top="1" w:right="0" w:bottom="1" w:left="0" w:header="0" w:footer="0" w:gutter="0"/>
          <w:cols w:space="708"/>
        </w:sectPr>
      </w:pPr>
    </w:p>
    <w:p>
      <w:pPr>
        <w:spacing w:line="411" w:lineRule="auto"/>
        <w:rPr>
          <w:rFonts w:ascii="Arial"/>
          <w:sz w:val="21"/>
        </w:rPr>
      </w:pP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1639457</wp:posOffset>
            </wp:positionH>
            <wp:positionV relativeFrom="page">
              <wp:posOffset>1078450</wp:posOffset>
            </wp:positionV>
            <wp:extent cx="319228" cy="188773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9228" cy="1887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1564477</wp:posOffset>
            </wp:positionH>
            <wp:positionV relativeFrom="page">
              <wp:posOffset>1080289</wp:posOffset>
            </wp:positionV>
            <wp:extent cx="74777" cy="186728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777" cy="186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749655</wp:posOffset>
            </wp:positionH>
            <wp:positionV relativeFrom="page">
              <wp:posOffset>2788031</wp:posOffset>
            </wp:positionV>
            <wp:extent cx="1590687" cy="317893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90687" cy="3178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2412161</wp:posOffset>
            </wp:positionH>
            <wp:positionV relativeFrom="page">
              <wp:posOffset>2793186</wp:posOffset>
            </wp:positionV>
            <wp:extent cx="789203" cy="307378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9203" cy="307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749655</wp:posOffset>
            </wp:positionH>
            <wp:positionV relativeFrom="page">
              <wp:posOffset>3219437</wp:posOffset>
            </wp:positionV>
            <wp:extent cx="794016" cy="191287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94016" cy="191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92" w:line="501" w:lineRule="exact"/>
        <w:ind w:left="3"/>
        <w:rPr>
          <w:rFonts w:ascii="Arial" w:eastAsia="Arial" w:hAnsi="Arial" w:cs="Arial"/>
          <w:sz w:val="67"/>
          <w:szCs w:val="67"/>
        </w:rPr>
      </w:pPr>
      <w:r>
        <w:rPr>
          <w:rFonts w:ascii="Arial" w:eastAsia="Arial" w:hAnsi="Arial" w:cs="Arial"/>
          <w:color w:val="231F20"/>
          <w:position w:val="-9"/>
          <w:sz w:val="67"/>
          <w:szCs w:val="67"/>
        </w:rPr>
        <w:t>AUTHORS</w:t>
      </w:r>
    </w:p>
    <w:p>
      <w:pPr>
        <w:spacing w:line="132" w:lineRule="exact"/>
      </w:pPr>
    </w:p>
    <w:p>
      <w:pPr>
        <w:spacing w:line="132" w:lineRule="exact"/>
        <w:sectPr>
          <w:headerReference w:type="default" r:id="rId12"/>
          <w:footerReference w:type="default" r:id="rId13"/>
          <w:pgSz w:w="11906" w:h="16838"/>
          <w:pgMar w:top="400" w:right="1178" w:bottom="300" w:left="1180" w:header="0" w:footer="0" w:gutter="0"/>
          <w:pgNumType w:start="2"/>
          <w:cols w:num="1" w:space="708" w:equalWidth="0">
            <w:col w:w="9547" w:space="0"/>
          </w:cols>
        </w:sectPr>
      </w:pPr>
    </w:p>
    <w:p>
      <w:pPr>
        <w:pStyle w:val="BodyText"/>
        <w:spacing w:before="61" w:line="297" w:lineRule="exact"/>
        <w:ind w:left="3"/>
        <w:rPr>
          <w:sz w:val="29"/>
          <w:szCs w:val="29"/>
        </w:rPr>
      </w:pPr>
      <w:r>
        <w:rPr>
          <w:color w:val="409336"/>
          <w:spacing w:val="24"/>
          <w:position w:val="-1"/>
          <w:sz w:val="29"/>
          <w:szCs w:val="29"/>
        </w:rPr>
        <w:t>研究和撰</w:t>
      </w:r>
    </w:p>
    <w:p>
      <w:pPr>
        <w:spacing w:line="282" w:lineRule="auto"/>
        <w:rPr>
          <w:rFonts w:ascii="Arial"/>
          <w:sz w:val="21"/>
        </w:rPr>
      </w:pPr>
    </w:p>
    <w:p>
      <w:pPr>
        <w:pStyle w:val="BodyText"/>
        <w:spacing w:before="103" w:line="184" w:lineRule="auto"/>
        <w:ind w:left="11"/>
      </w:pPr>
      <w:r>
        <w:rPr>
          <w:color w:val="73A345"/>
          <w:spacing w:val="-2"/>
        </w:rPr>
        <w:t>王家梅</w:t>
      </w:r>
    </w:p>
    <w:p>
      <w:pPr>
        <w:pStyle w:val="BodyText"/>
        <w:spacing w:before="46" w:line="183" w:lineRule="auto"/>
        <w:ind w:left="5"/>
      </w:pPr>
      <w:r>
        <w:rPr>
          <w:color w:val="939498"/>
          <w:spacing w:val="-1"/>
        </w:rPr>
        <w:t>分析师</w:t>
      </w:r>
    </w:p>
    <w:p>
      <w:pPr>
        <w:pStyle w:val="BodyText"/>
        <w:spacing w:before="45" w:line="236" w:lineRule="exact"/>
        <w:ind w:left="6"/>
      </w:pPr>
      <w:r>
        <w:rPr>
          <w:color w:val="939498"/>
          <w:spacing w:val="-1"/>
          <w:position w:val="-1"/>
        </w:rPr>
        <w:t>产品研发部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319" w:lineRule="auto"/>
        <w:rPr>
          <w:rFonts w:ascii="Arial"/>
          <w:sz w:val="21"/>
        </w:rPr>
      </w:pPr>
    </w:p>
    <w:p>
      <w:pPr>
        <w:spacing w:line="320" w:lineRule="auto"/>
        <w:rPr>
          <w:rFonts w:ascii="Arial"/>
          <w:sz w:val="21"/>
        </w:rPr>
      </w:pPr>
    </w:p>
    <w:p>
      <w:pPr>
        <w:pStyle w:val="BodyText"/>
        <w:spacing w:before="103" w:line="183" w:lineRule="auto"/>
        <w:ind w:left="1"/>
      </w:pPr>
      <w:r>
        <w:rPr>
          <w:color w:val="73A345"/>
          <w:spacing w:val="-2"/>
        </w:rPr>
        <w:t>刘新</w:t>
      </w:r>
    </w:p>
    <w:p>
      <w:pPr>
        <w:pStyle w:val="BodyText"/>
        <w:spacing w:before="47" w:line="182" w:lineRule="auto"/>
        <w:ind w:left="1"/>
      </w:pPr>
      <w:r>
        <w:rPr>
          <w:color w:val="939498"/>
          <w:spacing w:val="-2"/>
        </w:rPr>
        <w:t>设计师</w:t>
      </w:r>
    </w:p>
    <w:p>
      <w:pPr>
        <w:pStyle w:val="BodyText"/>
        <w:spacing w:before="45" w:line="236" w:lineRule="exact"/>
      </w:pPr>
      <w:r>
        <w:rPr>
          <w:color w:val="939498"/>
          <w:spacing w:val="-1"/>
          <w:position w:val="-1"/>
        </w:rPr>
        <w:t>产品研发部</w:t>
      </w:r>
    </w:p>
    <w:p>
      <w:pPr>
        <w:spacing w:line="236" w:lineRule="exact"/>
        <w:sectPr>
          <w:headerReference w:type="default" r:id="rId14"/>
          <w:footerReference w:type="default" r:id="rId15"/>
          <w:type w:val="continuous"/>
          <w:pgSz w:w="11906" w:h="16838"/>
          <w:pgMar w:top="400" w:right="1178" w:bottom="300" w:left="1180" w:header="0" w:footer="0" w:gutter="0"/>
          <w:pgNumType w:start="3"/>
          <w:cols w:num="2" w:space="708" w:equalWidth="0">
            <w:col w:w="3575" w:space="100"/>
            <w:col w:w="5873" w:space="0"/>
          </w:cols>
        </w:sect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0" w:lineRule="exact"/>
      </w:pPr>
      <w:r>
        <w:pict>
          <v:shape id="_x0000_i1025" style="width:477.25pt;height:1pt;mso-position-horizontal-relative:char;mso-position-vertical-relative:line" coordorigin="0,0" coordsize="9545,20" path="m,10l9544,10e" filled="f" strokecolor="#d7d7d8" strokeweight="1pt">
            <v:stroke joinstyle="miter"/>
            <w10:wrap type="none"/>
          </v:shape>
        </w:pic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1" w:line="690" w:lineRule="exact"/>
        <w:ind w:right="84"/>
        <w:jc w:val="righ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76.4pt;height:17.35pt;margin-top:17.32pt;margin-left:396.51pt;position:absolute;z-index:251665408" filled="f" stroked="f">
            <o:lock v:ext="edit" aspectratio="f"/>
            <v:textbox inset="0,0,0,0">
              <w:txbxContent>
                <w:p>
                  <w:pPr>
                    <w:spacing w:before="20"/>
                    <w:ind w:left="20"/>
                    <w:rPr>
                      <w:sz w:val="17"/>
                      <w:szCs w:val="17"/>
                    </w:rPr>
                  </w:pPr>
                  <w:r>
                    <w:rPr>
                      <w:rFonts w:ascii="Arial" w:eastAsia="Arial" w:hAnsi="Arial" w:cs="Arial"/>
                      <w:color w:val="002B00"/>
                      <w:position w:val="-7"/>
                      <w:sz w:val="17"/>
                      <w:szCs w:val="17"/>
                    </w:rPr>
                    <w:drawing>
                      <wp:inline distT="0" distB="0" distL="0" distR="0">
                        <wp:extent cx="234979" cy="194673"/>
                        <wp:effectExtent l="0" t="0" r="0" b="0"/>
                        <wp:docPr id="14" name="IM 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IM 14"/>
                                <pic:cNvPicPr/>
                              </pic:nvPicPr>
                              <pic:blipFill>
                                <a:blip xmlns:r="http://schemas.openxmlformats.org/officeDocument/2006/relationships"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4979" cy="1946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eastAsia="Arial" w:hAnsi="Arial" w:cs="Arial"/>
                      <w:color w:val="002B00"/>
                      <w:sz w:val="17"/>
                      <w:szCs w:val="17"/>
                    </w:rPr>
                    <w:t xml:space="preserve">      </w:t>
                  </w:r>
                  <w:r>
                    <w:rPr>
                      <w:rFonts w:ascii="Arial" w:eastAsia="Arial" w:hAnsi="Arial" w:cs="Arial"/>
                      <w:color w:val="002B00"/>
                      <w:spacing w:val="-3"/>
                      <w:sz w:val="17"/>
                      <w:szCs w:val="17"/>
                    </w:rPr>
                    <w:t>BE</w:t>
                  </w:r>
                  <w:r>
                    <w:rPr>
                      <w:rFonts w:ascii="Arial" w:eastAsia="Arial" w:hAnsi="Arial" w:cs="Arial"/>
                      <w:color w:val="002B00"/>
                      <w:spacing w:val="-6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002B00"/>
                      <w:spacing w:val="-3"/>
                      <w:sz w:val="17"/>
                      <w:szCs w:val="17"/>
                    </w:rPr>
                    <w:t>ED</w:t>
                  </w:r>
                  <w:r>
                    <w:rPr>
                      <w:position w:val="-1"/>
                      <w:sz w:val="17"/>
                      <w:szCs w:val="17"/>
                    </w:rPr>
                    <w:drawing>
                      <wp:inline distT="0" distB="0" distL="0" distR="0">
                        <wp:extent cx="76072" cy="75692"/>
                        <wp:effectExtent l="0" t="0" r="0" b="0"/>
                        <wp:docPr id="16" name="IM 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IM 16"/>
                                <pic:cNvPicPr/>
                              </pic:nvPicPr>
                              <pic:blipFill>
                                <a:blip xmlns:r="http://schemas.openxmlformats.org/officeDocument/2006/relationships"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072" cy="756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eastAsia="Arial" w:hAnsi="Arial" w:cs="Arial"/>
                      <w:color w:val="002B00"/>
                      <w:spacing w:val="-3"/>
                      <w:sz w:val="17"/>
                      <w:szCs w:val="17"/>
                    </w:rPr>
                    <w:t>T</w:t>
                  </w:r>
                  <w:r>
                    <w:rPr>
                      <w:position w:val="-1"/>
                      <w:sz w:val="17"/>
                      <w:szCs w:val="17"/>
                    </w:rPr>
                    <w:drawing>
                      <wp:inline distT="0" distB="0" distL="0" distR="0">
                        <wp:extent cx="76060" cy="75692"/>
                        <wp:effectExtent l="0" t="0" r="0" b="0"/>
                        <wp:docPr id="18" name="IM 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IM 18"/>
                                <pic:cNvPicPr/>
                              </pic:nvPicPr>
                              <pic:blipFill>
                                <a:blip xmlns:r="http://schemas.openxmlformats.org/officeDocument/2006/relationships"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060" cy="756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3360" behindDoc="1" locked="0" layoutInCell="1" allowOverlap="1">
            <wp:simplePos x="0" y="0"/>
            <wp:positionH relativeFrom="column">
              <wp:posOffset>5146595</wp:posOffset>
            </wp:positionH>
            <wp:positionV relativeFrom="paragraph">
              <wp:posOffset>-7458</wp:posOffset>
            </wp:positionV>
            <wp:extent cx="123939" cy="172643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3939" cy="1726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4"/>
        </w:rPr>
        <w:drawing>
          <wp:inline distT="0" distB="0" distL="0" distR="0">
            <wp:extent cx="971829" cy="437961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71829" cy="437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7" w:line="244" w:lineRule="auto"/>
        <w:ind w:left="7960"/>
        <w:rPr>
          <w:sz w:val="22"/>
          <w:szCs w:val="22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column">
              <wp:posOffset>5054383</wp:posOffset>
            </wp:positionH>
            <wp:positionV relativeFrom="paragraph">
              <wp:posOffset>27038</wp:posOffset>
            </wp:positionV>
            <wp:extent cx="934707" cy="14795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34707" cy="14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86888B"/>
          <w:sz w:val="22"/>
          <w:szCs w:val="22"/>
          <w:u w:val="single" w:color="808285"/>
        </w:rPr>
        <w:t>abeedata.com</w:t>
      </w:r>
    </w:p>
    <w:p>
      <w:pPr>
        <w:spacing w:line="264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pStyle w:val="BodyText"/>
        <w:spacing w:before="103" w:line="276" w:lineRule="auto"/>
        <w:ind w:left="7"/>
        <w:jc w:val="both"/>
      </w:pPr>
      <w:r>
        <w:rPr>
          <w:color w:val="808285"/>
          <w:spacing w:val="2"/>
        </w:rPr>
        <w:t>本报告作者具有专业胜任能力,保证报告所采用</w:t>
      </w:r>
      <w:r>
        <w:rPr>
          <w:color w:val="808285"/>
          <w:spacing w:val="1"/>
        </w:rPr>
        <w:t>的数据均来自合规渠道,分析逻辑基于作者的</w:t>
      </w:r>
      <w:r>
        <w:rPr>
          <w:color w:val="808285"/>
        </w:rPr>
        <w:t xml:space="preserve"> </w:t>
      </w:r>
      <w:r>
        <w:rPr>
          <w:color w:val="808285"/>
          <w:spacing w:val="6"/>
        </w:rPr>
        <w:t>职业理解,本报告清晰准确地反映了作者的研究观点,力求独立、客观和公正,结论不受</w:t>
      </w:r>
      <w:r>
        <w:rPr>
          <w:color w:val="808285"/>
          <w:spacing w:val="5"/>
        </w:rPr>
        <w:t>任何</w:t>
      </w:r>
    </w:p>
    <w:p>
      <w:pPr>
        <w:pStyle w:val="BodyText"/>
        <w:spacing w:before="1" w:line="206" w:lineRule="auto"/>
        <w:ind w:left="5"/>
      </w:pPr>
      <w:r>
        <w:rPr>
          <w:color w:val="808285"/>
          <w:spacing w:val="-1"/>
        </w:rPr>
        <w:t>第三方的授意或影响,特此声明。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pStyle w:val="BodyText"/>
        <w:spacing w:before="104" w:line="474" w:lineRule="exact"/>
        <w:ind w:left="18"/>
      </w:pPr>
      <w:r>
        <w:rPr>
          <w:color w:val="808285"/>
          <w:spacing w:val="4"/>
          <w:position w:val="16"/>
        </w:rPr>
        <w:t>唯恒农业不会因为接收人接受本报告而将其视为客户。本报告仅在相关法律许可的情况下</w:t>
      </w:r>
    </w:p>
    <w:p>
      <w:pPr>
        <w:pStyle w:val="BodyText"/>
        <w:spacing w:line="206" w:lineRule="auto"/>
        <w:ind w:left="4"/>
      </w:pPr>
      <w:r>
        <w:rPr>
          <w:color w:val="808285"/>
        </w:rPr>
        <w:t>发放,并仅为提供信息而发放,概不构成任何广告。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pStyle w:val="BodyText"/>
        <w:spacing w:before="103" w:line="276" w:lineRule="auto"/>
        <w:ind w:left="5" w:right="4" w:firstLine="1"/>
        <w:jc w:val="both"/>
      </w:pPr>
      <w:r>
        <w:rPr>
          <w:color w:val="808285"/>
          <w:spacing w:val="3"/>
        </w:rPr>
        <w:t>本报告的信息来源于已公开的资料,唯恒农业对该等信息的准确性、完整性或可</w:t>
      </w:r>
      <w:r>
        <w:rPr>
          <w:color w:val="808285"/>
          <w:spacing w:val="2"/>
        </w:rPr>
        <w:t>靠性不作任</w:t>
      </w:r>
      <w:r>
        <w:rPr>
          <w:color w:val="808285"/>
        </w:rPr>
        <w:t xml:space="preserve"> </w:t>
      </w:r>
      <w:r>
        <w:rPr>
          <w:color w:val="808285"/>
          <w:spacing w:val="5"/>
        </w:rPr>
        <w:t>何保证。本报告所载的资料、意见及推测仅</w:t>
      </w:r>
      <w:r>
        <w:rPr>
          <w:color w:val="808285"/>
          <w:spacing w:val="4"/>
        </w:rPr>
        <w:t>反映唯恒农业于发布本报告当日的判断。在不</w:t>
      </w:r>
      <w:r>
        <w:rPr>
          <w:color w:val="808285"/>
        </w:rPr>
        <w:t xml:space="preserve"> </w:t>
      </w:r>
      <w:r>
        <w:rPr>
          <w:color w:val="808285"/>
          <w:spacing w:val="3"/>
        </w:rPr>
        <w:t>同时期,唯恒农业可发出与本报告所载资料、意见及推测不一致的报告。唯恒农业不</w:t>
      </w:r>
      <w:r>
        <w:rPr>
          <w:color w:val="808285"/>
          <w:spacing w:val="2"/>
        </w:rPr>
        <w:t>保证本</w:t>
      </w:r>
      <w:r>
        <w:rPr>
          <w:color w:val="808285"/>
        </w:rPr>
        <w:t xml:space="preserve"> </w:t>
      </w:r>
      <w:r>
        <w:rPr>
          <w:color w:val="808285"/>
          <w:spacing w:val="3"/>
        </w:rPr>
        <w:t>报告所含信息保持在最新状态。同时,唯恒农业对本报告所含信息可在不发出通知的</w:t>
      </w:r>
      <w:r>
        <w:rPr>
          <w:color w:val="808285"/>
          <w:spacing w:val="2"/>
        </w:rPr>
        <w:t>情形下</w:t>
      </w:r>
    </w:p>
    <w:p>
      <w:pPr>
        <w:pStyle w:val="BodyText"/>
        <w:spacing w:before="1" w:line="206" w:lineRule="auto"/>
        <w:ind w:left="4"/>
      </w:pPr>
      <w:r>
        <w:rPr>
          <w:color w:val="808285"/>
          <w:spacing w:val="-1"/>
        </w:rPr>
        <w:t>做出修改,投资者应当自行关注相应的更新或修改。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  <w:sectPr>
          <w:headerReference w:type="default" r:id="rId22"/>
          <w:footerReference w:type="default" r:id="rId23"/>
          <w:type w:val="continuous"/>
          <w:pgSz w:w="11906" w:h="16838"/>
          <w:pgMar w:top="400" w:right="1178" w:bottom="300" w:left="1180" w:header="0" w:footer="0" w:gutter="0"/>
          <w:pgNumType w:start="4"/>
          <w:cols w:num="1" w:space="708" w:equalWidth="0">
            <w:col w:w="9547" w:space="0"/>
          </w:cols>
        </w:sectPr>
      </w:pPr>
    </w:p>
    <w:p>
      <w:pPr>
        <w:pStyle w:val="BodyText"/>
        <w:spacing w:before="104" w:line="276" w:lineRule="auto"/>
        <w:ind w:left="7" w:right="1" w:hanging="1"/>
        <w:jc w:val="both"/>
      </w:pPr>
      <w:r>
        <w:rPr>
          <w:color w:val="808285"/>
          <w:spacing w:val="3"/>
        </w:rPr>
        <w:t>在任何情况下,本报告中的信息或所表述的意见均不构成对任何人的投资建议。在</w:t>
      </w:r>
      <w:r>
        <w:rPr>
          <w:color w:val="808285"/>
          <w:spacing w:val="2"/>
        </w:rPr>
        <w:t>任何情况</w:t>
      </w:r>
      <w:r>
        <w:rPr>
          <w:color w:val="808285"/>
        </w:rPr>
        <w:t xml:space="preserve"> </w:t>
      </w:r>
      <w:r>
        <w:rPr>
          <w:color w:val="808285"/>
          <w:spacing w:val="8"/>
        </w:rPr>
        <w:t>下,唯恒农业、唯恒农业员工或者关联机构不</w:t>
      </w:r>
      <w:r>
        <w:rPr>
          <w:color w:val="808285"/>
          <w:spacing w:val="7"/>
        </w:rPr>
        <w:t>承诺投资者一定获利,不与投资者分享投资收</w:t>
      </w:r>
    </w:p>
    <w:p>
      <w:pPr>
        <w:pStyle w:val="BodyText"/>
        <w:spacing w:before="1" w:line="206" w:lineRule="auto"/>
        <w:ind w:left="6"/>
      </w:pPr>
      <w:r>
        <w:rPr>
          <w:color w:val="808285"/>
        </w:rPr>
        <w:t>益,也不对任何人因使用本报告中的任何内容所引致</w:t>
      </w:r>
      <w:r>
        <w:rPr>
          <w:color w:val="808285"/>
          <w:spacing w:val="-1"/>
        </w:rPr>
        <w:t>的任何损失负任何责任。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pStyle w:val="BodyText"/>
        <w:spacing w:before="103" w:line="276" w:lineRule="auto"/>
        <w:ind w:left="4" w:firstLine="2"/>
      </w:pPr>
      <w:r>
        <w:rPr>
          <w:color w:val="808285"/>
          <w:spacing w:val="1"/>
        </w:rPr>
        <w:t>本报告版权仅为唯恒农业所有,未经书面许可,任何机构和个人不得以任何形式</w:t>
      </w:r>
      <w:r>
        <w:rPr>
          <w:color w:val="808285"/>
        </w:rPr>
        <w:t xml:space="preserve">翻版、复制、 </w:t>
      </w:r>
      <w:r>
        <w:rPr>
          <w:color w:val="808285"/>
          <w:spacing w:val="2"/>
        </w:rPr>
        <w:t>发表或引用。如征得唯恒农业同意进行引用、刊发的,</w:t>
      </w:r>
      <w:r>
        <w:rPr>
          <w:color w:val="808285"/>
          <w:spacing w:val="1"/>
        </w:rPr>
        <w:t>需在允许的范围内使用,并注明出处为</w:t>
      </w:r>
    </w:p>
    <w:p>
      <w:pPr>
        <w:pStyle w:val="BodyText"/>
        <w:spacing w:before="2" w:line="205" w:lineRule="auto"/>
        <w:ind w:left="29"/>
      </w:pPr>
      <w:r>
        <w:rPr>
          <w:color w:val="808285"/>
          <w:spacing w:val="-2"/>
        </w:rPr>
        <w:t>“唯恒农业数据",且不得对本报告进行任何有惊原意的引用、删节和修改。</w: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pStyle w:val="BodyText"/>
        <w:spacing w:before="95" w:line="216" w:lineRule="exact"/>
        <w:ind w:left="1310"/>
        <w:rPr>
          <w:sz w:val="22"/>
          <w:szCs w:val="22"/>
        </w:rPr>
      </w:pPr>
      <w:r>
        <w:rPr>
          <w:color w:val="5D5F61"/>
          <w:spacing w:val="14"/>
          <w:position w:val="-1"/>
          <w:sz w:val="22"/>
          <w:szCs w:val="22"/>
        </w:rPr>
        <w:t>唯恒农业出品</w:t>
      </w:r>
      <w:r>
        <w:rPr>
          <w:color w:val="5D5F61"/>
          <w:spacing w:val="-30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color w:val="5D5F61"/>
          <w:spacing w:val="14"/>
          <w:position w:val="-1"/>
          <w:sz w:val="22"/>
          <w:szCs w:val="22"/>
        </w:rPr>
        <w:t>,</w:t>
      </w:r>
      <w:r>
        <w:rPr>
          <w:rFonts w:ascii="Arial" w:eastAsia="Arial" w:hAnsi="Arial" w:cs="Arial"/>
          <w:color w:val="5D5F61"/>
          <w:spacing w:val="22"/>
          <w:position w:val="-1"/>
          <w:sz w:val="22"/>
          <w:szCs w:val="22"/>
        </w:rPr>
        <w:t xml:space="preserve"> </w:t>
      </w:r>
      <w:r>
        <w:rPr>
          <w:color w:val="5D5F61"/>
          <w:spacing w:val="14"/>
          <w:position w:val="-1"/>
          <w:sz w:val="22"/>
          <w:szCs w:val="22"/>
        </w:rPr>
        <w:t>转载请标明出处;</w:t>
      </w:r>
      <w:r>
        <w:rPr>
          <w:color w:val="5D5F61"/>
          <w:spacing w:val="14"/>
          <w:position w:val="-1"/>
          <w:sz w:val="22"/>
          <w:szCs w:val="22"/>
        </w:rPr>
        <w:t xml:space="preserve"> </w:t>
      </w:r>
      <w:r>
        <w:rPr>
          <w:color w:val="5D5F61"/>
          <w:spacing w:val="14"/>
          <w:position w:val="-1"/>
          <w:sz w:val="22"/>
          <w:szCs w:val="22"/>
        </w:rPr>
        <w:t>禁止商用转载,</w:t>
      </w:r>
      <w:r>
        <w:rPr>
          <w:color w:val="5D5F61"/>
          <w:spacing w:val="14"/>
          <w:position w:val="-1"/>
          <w:sz w:val="22"/>
          <w:szCs w:val="22"/>
        </w:rPr>
        <w:t xml:space="preserve"> </w:t>
      </w:r>
      <w:r>
        <w:rPr>
          <w:color w:val="5D5F61"/>
          <w:spacing w:val="14"/>
          <w:position w:val="-1"/>
          <w:sz w:val="22"/>
          <w:szCs w:val="22"/>
        </w:rPr>
        <w:t>违规</w:t>
      </w:r>
      <w:r>
        <w:rPr>
          <w:color w:val="5D5F61"/>
          <w:spacing w:val="13"/>
          <w:position w:val="-1"/>
          <w:sz w:val="22"/>
          <w:szCs w:val="22"/>
        </w:rPr>
        <w:t>转载法律必究</w:t>
      </w:r>
      <w:r>
        <w:rPr>
          <w:color w:val="5D5F61"/>
          <w:spacing w:val="-38"/>
          <w:position w:val="-1"/>
          <w:sz w:val="22"/>
          <w:szCs w:val="22"/>
        </w:rPr>
        <w:t xml:space="preserve"> </w:t>
      </w:r>
      <w:r>
        <w:rPr>
          <w:color w:val="5D5F61"/>
          <w:spacing w:val="13"/>
          <w:position w:val="-1"/>
          <w:sz w:val="22"/>
          <w:szCs w:val="22"/>
        </w:rPr>
        <w:t>。</w:t>
      </w:r>
    </w:p>
    <w:p>
      <w:pPr>
        <w:spacing w:line="216" w:lineRule="exact"/>
        <w:rPr>
          <w:sz w:val="22"/>
          <w:szCs w:val="22"/>
        </w:rPr>
        <w:sectPr>
          <w:headerReference w:type="default" r:id="rId24"/>
          <w:footerReference w:type="default" r:id="rId25"/>
          <w:type w:val="nextPage"/>
          <w:pgSz w:w="11906" w:h="16838"/>
          <w:pgMar w:top="400" w:right="1178" w:bottom="300" w:left="1180" w:header="0" w:footer="0" w:gutter="0"/>
          <w:pgNumType w:start="5"/>
          <w:cols w:num="1" w:space="708" w:equalWidth="0">
            <w:col w:w="9547" w:space="0"/>
          </w:cols>
          <w:titlePg w:val="0"/>
        </w:sectPr>
      </w:pPr>
    </w:p>
    <w:p>
      <w:pPr>
        <w:spacing w:line="457" w:lineRule="auto"/>
        <w:rPr>
          <w:rFonts w:ascii="Arial"/>
          <w:sz w:val="21"/>
        </w:rPr>
      </w:pPr>
      <w: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2794513</wp:posOffset>
            </wp:positionH>
            <wp:positionV relativeFrom="page">
              <wp:posOffset>10068841</wp:posOffset>
            </wp:positionV>
            <wp:extent cx="2197452" cy="90307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197452" cy="90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86" w:lineRule="exact"/>
        <w:ind w:firstLine="1804"/>
      </w:pPr>
      <w:r>
        <w:rPr>
          <w:position w:val="-7"/>
        </w:rPr>
        <w:drawing>
          <wp:inline distT="0" distB="0" distL="0" distR="0">
            <wp:extent cx="5274305" cy="245061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05" cy="245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427" w:line="174" w:lineRule="auto"/>
        <w:ind w:left="1825"/>
        <w:rPr>
          <w:sz w:val="56"/>
          <w:szCs w:val="56"/>
        </w:rPr>
      </w:pPr>
      <w:r>
        <w:rPr>
          <w:color w:val="00B050"/>
          <w:spacing w:val="-16"/>
          <w:sz w:val="56"/>
          <w:szCs w:val="56"/>
        </w:rPr>
        <w:t>核⼼观点 CORE OPINIONS</w:t>
      </w:r>
    </w:p>
    <w:p>
      <w:pPr>
        <w:spacing w:line="437" w:lineRule="auto"/>
        <w:rPr>
          <w:rFonts w:ascii="Arial"/>
          <w:sz w:val="21"/>
        </w:rPr>
      </w:pPr>
    </w:p>
    <w:p>
      <w:pPr>
        <w:pStyle w:val="BodyText"/>
        <w:spacing w:before="103" w:line="280" w:lineRule="auto"/>
        <w:ind w:left="1811" w:right="1714" w:firstLine="14"/>
        <w:jc w:val="both"/>
      </w:pPr>
      <w:r>
        <w:rPr>
          <w:spacing w:val="-9"/>
        </w:rPr>
        <w:t>1.</w:t>
      </w:r>
      <w:r>
        <w:rPr>
          <w:spacing w:val="60"/>
        </w:rPr>
        <w:t xml:space="preserve"> </w:t>
      </w:r>
      <w:r>
        <w:rPr>
          <w:spacing w:val="-9"/>
        </w:rPr>
        <w:t>从⽣产情况来看，</w:t>
      </w:r>
      <w:r>
        <w:rPr>
          <w:spacing w:val="56"/>
        </w:rPr>
        <w:t xml:space="preserve"> </w:t>
      </w:r>
      <w:r>
        <w:rPr>
          <w:spacing w:val="-9"/>
        </w:rPr>
        <w:t>中国花椰菜与西兰花种植⾯积、产量增</w:t>
      </w:r>
      <w:r>
        <w:rPr>
          <w:spacing w:val="-10"/>
        </w:rPr>
        <w:t>⻓较快。统计数据显</w:t>
      </w:r>
      <w:r>
        <w:t xml:space="preserve">  </w:t>
      </w:r>
      <w:r>
        <w:rPr>
          <w:spacing w:val="-8"/>
        </w:rPr>
        <w:t>⽰，</w:t>
      </w:r>
      <w:r>
        <w:rPr>
          <w:spacing w:val="-24"/>
        </w:rPr>
        <w:t xml:space="preserve"> </w:t>
      </w:r>
      <w:r>
        <w:rPr>
          <w:spacing w:val="-8"/>
        </w:rPr>
        <w:t>2014 年~2020 年，</w:t>
      </w:r>
      <w:r>
        <w:rPr>
          <w:spacing w:val="-30"/>
        </w:rPr>
        <w:t xml:space="preserve"> </w:t>
      </w:r>
      <w:r>
        <w:rPr>
          <w:spacing w:val="-8"/>
        </w:rPr>
        <w:t>全国花椰菜与西兰花种植⾯积从 46.9 万公顷逐年增⻓⾄</w:t>
      </w:r>
      <w:r>
        <w:t xml:space="preserve">  </w:t>
      </w:r>
      <w:r>
        <w:rPr>
          <w:spacing w:val="-1"/>
        </w:rPr>
        <w:t>56.1</w:t>
      </w:r>
      <w:r>
        <w:rPr>
          <w:spacing w:val="34"/>
        </w:rPr>
        <w:t xml:space="preserve"> </w:t>
      </w:r>
      <w:r>
        <w:rPr>
          <w:spacing w:val="-1"/>
        </w:rPr>
        <w:t>万公顷，年均复合增⻓率约</w:t>
      </w:r>
      <w:r>
        <w:rPr>
          <w:spacing w:val="32"/>
          <w:w w:val="101"/>
        </w:rPr>
        <w:t xml:space="preserve"> </w:t>
      </w:r>
      <w:r>
        <w:rPr>
          <w:spacing w:val="-1"/>
        </w:rPr>
        <w:t>3.03%，在全球花椰菜与西兰花</w:t>
      </w:r>
      <w:r>
        <w:rPr>
          <w:spacing w:val="-2"/>
        </w:rPr>
        <w:t>种植总⾯积中</w:t>
      </w:r>
      <w:r>
        <w:t xml:space="preserve">  </w:t>
      </w:r>
      <w:r>
        <w:rPr>
          <w:spacing w:val="-4"/>
        </w:rPr>
        <w:t>⽐重仅 40%；产量从 936.1 万吨逐年增⻓⾄</w:t>
      </w:r>
      <w:r>
        <w:rPr>
          <w:spacing w:val="33"/>
        </w:rPr>
        <w:t xml:space="preserve"> </w:t>
      </w:r>
      <w:r>
        <w:rPr>
          <w:spacing w:val="-4"/>
        </w:rPr>
        <w:t>1093.6 万吨，增量达</w:t>
      </w:r>
      <w:r>
        <w:rPr>
          <w:spacing w:val="20"/>
        </w:rPr>
        <w:t xml:space="preserve"> </w:t>
      </w:r>
      <w:r>
        <w:rPr>
          <w:spacing w:val="-4"/>
        </w:rPr>
        <w:t>157.5 万</w:t>
      </w:r>
      <w:r>
        <w:rPr>
          <w:spacing w:val="-5"/>
        </w:rPr>
        <w:t>吨，</w:t>
      </w:r>
    </w:p>
    <w:p>
      <w:pPr>
        <w:pStyle w:val="BodyText"/>
        <w:spacing w:before="1" w:line="189" w:lineRule="auto"/>
        <w:ind w:left="1817"/>
      </w:pPr>
      <w:r>
        <w:rPr>
          <w:spacing w:val="-2"/>
        </w:rPr>
        <w:t>年均复合增⻓率约 2.63%；种植⾯积、产量增速均⾼于全球平均⽔平。</w:t>
      </w:r>
    </w:p>
    <w:p>
      <w:pPr>
        <w:spacing w:line="286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spacing w:line="287" w:lineRule="auto"/>
        <w:rPr>
          <w:rFonts w:ascii="Arial"/>
          <w:sz w:val="21"/>
        </w:rPr>
      </w:pPr>
    </w:p>
    <w:p>
      <w:pPr>
        <w:spacing w:line="287" w:lineRule="auto"/>
        <w:rPr>
          <w:rFonts w:ascii="Arial"/>
          <w:sz w:val="21"/>
        </w:rPr>
      </w:pPr>
    </w:p>
    <w:p>
      <w:pPr>
        <w:pStyle w:val="BodyText"/>
        <w:spacing w:before="103" w:line="280" w:lineRule="auto"/>
        <w:ind w:left="1815" w:right="1793"/>
        <w:jc w:val="both"/>
      </w:pPr>
      <w:r>
        <w:rPr>
          <w:spacing w:val="1"/>
        </w:rPr>
        <w:t>2.</w:t>
      </w:r>
      <w:r>
        <w:rPr>
          <w:spacing w:val="70"/>
          <w:w w:val="101"/>
        </w:rPr>
        <w:t xml:space="preserve"> </w:t>
      </w:r>
      <w:r>
        <w:rPr>
          <w:spacing w:val="1"/>
        </w:rPr>
        <w:t>从进出⼝情况来看，中国花椰菜与西兰花以出⼝外销为主，花椰菜出⼝量与</w:t>
      </w:r>
      <w:r>
        <w:t xml:space="preserve"> </w:t>
      </w:r>
      <w:r>
        <w:rPr>
          <w:spacing w:val="-11"/>
        </w:rPr>
        <w:t>出⼝⾦额规模均⼩于西兰花。其中，  花椰菜年出⼝量常年在 8 万吨以上，  出⼝⾦</w:t>
      </w:r>
      <w:r>
        <w:rPr>
          <w:spacing w:val="11"/>
        </w:rPr>
        <w:t xml:space="preserve"> </w:t>
      </w:r>
      <w:r>
        <w:rPr>
          <w:spacing w:val="-7"/>
        </w:rPr>
        <w:t>额近 1 亿美元，</w:t>
      </w:r>
      <w:r>
        <w:rPr>
          <w:spacing w:val="44"/>
        </w:rPr>
        <w:t xml:space="preserve"> </w:t>
      </w:r>
      <w:r>
        <w:rPr>
          <w:spacing w:val="-7"/>
        </w:rPr>
        <w:t>主要出⼝⾄⻢来西亚、越南、中国⾹港、泰国、新加坡</w:t>
      </w:r>
      <w:r>
        <w:rPr>
          <w:spacing w:val="-8"/>
        </w:rPr>
        <w:t>、中国澳</w:t>
      </w:r>
      <w:r>
        <w:t xml:space="preserve"> </w:t>
      </w:r>
      <w:r>
        <w:rPr>
          <w:spacing w:val="-2"/>
        </w:rPr>
        <w:t>⻔、俄罗斯、⽼挝、⽂莱、韩国等国家和地区；西兰花年出⼝量近</w:t>
      </w:r>
      <w:r>
        <w:rPr>
          <w:spacing w:val="23"/>
        </w:rPr>
        <w:t xml:space="preserve"> </w:t>
      </w:r>
      <w:r>
        <w:rPr>
          <w:spacing w:val="-2"/>
        </w:rPr>
        <w:t>16 万吨，出</w:t>
      </w:r>
      <w:r>
        <w:t xml:space="preserve"> </w:t>
      </w:r>
      <w:r>
        <w:rPr>
          <w:spacing w:val="-7"/>
        </w:rPr>
        <w:t>⼝⾦额近 2 亿美元，</w:t>
      </w:r>
      <w:r>
        <w:rPr>
          <w:spacing w:val="44"/>
        </w:rPr>
        <w:t xml:space="preserve"> </w:t>
      </w:r>
      <w:r>
        <w:rPr>
          <w:spacing w:val="-7"/>
        </w:rPr>
        <w:t>主要出⼝⾄越南、中国⾹港、⻢来西亚、泰国、韩</w:t>
      </w:r>
      <w:r>
        <w:rPr>
          <w:spacing w:val="-8"/>
        </w:rPr>
        <w:t>国、新加</w:t>
      </w:r>
    </w:p>
    <w:p>
      <w:pPr>
        <w:pStyle w:val="BodyText"/>
        <w:spacing w:line="188" w:lineRule="auto"/>
        <w:ind w:left="1814"/>
      </w:pPr>
      <w:r>
        <w:rPr>
          <w:spacing w:val="-2"/>
        </w:rPr>
        <w:t>坡、蒙古、俄罗斯、中国澳⻔、⽇本等国家和地区。</w:t>
      </w:r>
    </w:p>
    <w:p>
      <w:pPr>
        <w:spacing w:line="286" w:lineRule="auto"/>
        <w:rPr>
          <w:rFonts w:ascii="Arial"/>
          <w:sz w:val="21"/>
        </w:rPr>
      </w:pPr>
    </w:p>
    <w:p>
      <w:pPr>
        <w:spacing w:line="287" w:lineRule="auto"/>
        <w:rPr>
          <w:rFonts w:ascii="Arial"/>
          <w:sz w:val="21"/>
        </w:rPr>
      </w:pPr>
    </w:p>
    <w:p>
      <w:pPr>
        <w:spacing w:line="287" w:lineRule="auto"/>
        <w:rPr>
          <w:rFonts w:ascii="Arial"/>
          <w:sz w:val="21"/>
        </w:rPr>
      </w:pPr>
    </w:p>
    <w:p>
      <w:pPr>
        <w:spacing w:line="287" w:lineRule="auto"/>
        <w:rPr>
          <w:rFonts w:ascii="Arial"/>
          <w:sz w:val="21"/>
        </w:rPr>
      </w:pPr>
    </w:p>
    <w:p>
      <w:pPr>
        <w:pStyle w:val="BodyText"/>
        <w:spacing w:before="103" w:line="280" w:lineRule="auto"/>
        <w:ind w:left="1815" w:right="1711" w:hanging="3"/>
      </w:pPr>
      <w:r>
        <w:rPr>
          <w:spacing w:val="8"/>
        </w:rPr>
        <w:t>3.</w:t>
      </w:r>
      <w:r>
        <w:rPr>
          <w:spacing w:val="76"/>
        </w:rPr>
        <w:t xml:space="preserve"> </w:t>
      </w:r>
      <w:r>
        <w:rPr>
          <w:spacing w:val="8"/>
        </w:rPr>
        <w:t>从成本收益来看，中国露地花椰菜与西兰花主产省（直辖市）产值普遍在</w:t>
      </w:r>
      <w:r>
        <w:t xml:space="preserve">  </w:t>
      </w:r>
      <w:r>
        <w:rPr>
          <w:spacing w:val="-4"/>
        </w:rPr>
        <w:t>1218.21 元/亩~6662.42 元/亩之间，平均</w:t>
      </w:r>
      <w:r>
        <w:rPr>
          <w:spacing w:val="-5"/>
        </w:rPr>
        <w:t>⽔平约 4712.18 元/亩；总成本普遍在</w:t>
      </w:r>
      <w:r>
        <w:t xml:space="preserve">  </w:t>
      </w:r>
      <w:r>
        <w:rPr>
          <w:spacing w:val="-10"/>
        </w:rPr>
        <w:t>1996.01</w:t>
      </w:r>
      <w:r>
        <w:rPr>
          <w:spacing w:val="61"/>
          <w:w w:val="101"/>
        </w:rPr>
        <w:t xml:space="preserve"> </w:t>
      </w:r>
      <w:r>
        <w:rPr>
          <w:spacing w:val="-10"/>
        </w:rPr>
        <w:t xml:space="preserve">元/亩~3443.03 元/亩之间，  平均⽔平约 3019.56 </w:t>
      </w:r>
      <w:r>
        <w:rPr>
          <w:spacing w:val="-11"/>
        </w:rPr>
        <w:t>元/亩；</w:t>
      </w:r>
      <w:r>
        <w:rPr>
          <w:spacing w:val="23"/>
          <w:w w:val="101"/>
        </w:rPr>
        <w:t xml:space="preserve"> </w:t>
      </w:r>
      <w:r>
        <w:rPr>
          <w:spacing w:val="-11"/>
        </w:rPr>
        <w:t>净利润普遍在</w:t>
      </w:r>
      <w:r>
        <w:t xml:space="preserve">  </w:t>
      </w:r>
      <w:r>
        <w:rPr>
          <w:spacing w:val="-10"/>
        </w:rPr>
        <w:t>618.23 元/亩~3219.39 元/亩之间，  平均⽔平约 1692.62 元/亩； 成本利</w:t>
      </w:r>
      <w:r>
        <w:rPr>
          <w:spacing w:val="-11"/>
        </w:rPr>
        <w:t>润率普遍</w:t>
      </w:r>
      <w:r>
        <w:t xml:space="preserve">  </w:t>
      </w:r>
      <w:r>
        <w:rPr>
          <w:spacing w:val="-7"/>
        </w:rPr>
        <w:t>在 21.28%~111.33%之间，  平均⽔平约 56.06%。各⼤中城市露地花椰菜与</w:t>
      </w:r>
      <w:r>
        <w:rPr>
          <w:spacing w:val="-8"/>
        </w:rPr>
        <w:t>西兰</w:t>
      </w:r>
      <w:r>
        <w:t xml:space="preserve">  </w:t>
      </w:r>
      <w:r>
        <w:rPr>
          <w:spacing w:val="-6"/>
        </w:rPr>
        <w:t>花产值普遍在 3523.82</w:t>
      </w:r>
      <w:r>
        <w:rPr>
          <w:spacing w:val="22"/>
          <w:w w:val="101"/>
        </w:rPr>
        <w:t xml:space="preserve"> </w:t>
      </w:r>
      <w:r>
        <w:rPr>
          <w:spacing w:val="-6"/>
        </w:rPr>
        <w:t>元/亩~7900.54</w:t>
      </w:r>
      <w:r>
        <w:rPr>
          <w:spacing w:val="16"/>
        </w:rPr>
        <w:t xml:space="preserve"> </w:t>
      </w:r>
      <w:r>
        <w:rPr>
          <w:spacing w:val="-6"/>
        </w:rPr>
        <w:t>元/亩之间，平均⽔平约</w:t>
      </w:r>
      <w:r>
        <w:rPr>
          <w:spacing w:val="17"/>
        </w:rPr>
        <w:t xml:space="preserve"> </w:t>
      </w:r>
      <w:r>
        <w:rPr>
          <w:spacing w:val="-6"/>
        </w:rPr>
        <w:t>6064.39</w:t>
      </w:r>
      <w:r>
        <w:rPr>
          <w:spacing w:val="16"/>
        </w:rPr>
        <w:t xml:space="preserve"> </w:t>
      </w:r>
      <w:r>
        <w:rPr>
          <w:spacing w:val="-6"/>
        </w:rPr>
        <w:t>元/亩；</w:t>
      </w:r>
      <w:r>
        <w:t xml:space="preserve"> </w:t>
      </w: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https://d.book118.com/037155130146006034</w:t>
        </w:r>
      </w:hyperlink>
    </w:p>
    <w:p>
      <w:pPr>
        <w:pStyle w:val="BodyText"/>
        <w:spacing w:before="103" w:line="280" w:lineRule="auto"/>
        <w:ind w:left="1815" w:right="1711" w:hanging="3"/>
      </w:pPr>
    </w:p>
    <w:sectPr>
      <w:headerReference w:type="default" r:id="rId29"/>
      <w:footerReference w:type="default" r:id="rId30"/>
      <w:pgSz w:w="11906" w:h="16838"/>
      <w:pgMar w:top="400" w:right="0" w:bottom="955" w:left="0" w:header="0" w:footer="756" w:gutter="0"/>
      <w:pgNumType w:start="6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10014"/>
      <w:rPr>
        <w:rFonts w:ascii="Calibri" w:eastAsia="Calibri" w:hAnsi="Calibri" w:cs="Calibri"/>
        <w:sz w:val="22"/>
        <w:szCs w:val="22"/>
      </w:rPr>
    </w:pPr>
    <w:r>
      <w:rPr>
        <w:rFonts w:ascii="Calibri" w:eastAsia="Calibri" w:hAnsi="Calibri" w:cs="Calibri"/>
        <w:b/>
        <w:bCs/>
        <w:sz w:val="22"/>
        <w:szCs w:val="2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width:595.3pt;height:841.9pt;margin-top:0;margin-left:0;mso-position-horizontal-relative:page;mso-position-vertical-relative:page;position:absolute;z-index:-251658240" o:allowincell="f" filled="f" stroked="f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Microsoft YaHei" w:eastAsia="Microsoft YaHei" w:hAnsi="Microsoft YaHei" w:cs="Microsoft YaHei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header" Target="header2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image" Target="media/image7.png" /><Relationship Id="rId17" Type="http://schemas.openxmlformats.org/officeDocument/2006/relationships/image" Target="media/image8.png" /><Relationship Id="rId18" Type="http://schemas.openxmlformats.org/officeDocument/2006/relationships/image" Target="media/image9.png" /><Relationship Id="rId19" Type="http://schemas.openxmlformats.org/officeDocument/2006/relationships/image" Target="media/image10.png" /><Relationship Id="rId2" Type="http://schemas.openxmlformats.org/officeDocument/2006/relationships/webSettings" Target="webSettings.xml" /><Relationship Id="rId20" Type="http://schemas.openxmlformats.org/officeDocument/2006/relationships/image" Target="media/image11.png" /><Relationship Id="rId21" Type="http://schemas.openxmlformats.org/officeDocument/2006/relationships/image" Target="media/image12.png" /><Relationship Id="rId22" Type="http://schemas.openxmlformats.org/officeDocument/2006/relationships/header" Target="header4.xml" /><Relationship Id="rId23" Type="http://schemas.openxmlformats.org/officeDocument/2006/relationships/footer" Target="footer4.xml" /><Relationship Id="rId24" Type="http://schemas.openxmlformats.org/officeDocument/2006/relationships/header" Target="header5.xml" /><Relationship Id="rId25" Type="http://schemas.openxmlformats.org/officeDocument/2006/relationships/footer" Target="footer5.xml" /><Relationship Id="rId26" Type="http://schemas.openxmlformats.org/officeDocument/2006/relationships/image" Target="media/image13.png" /><Relationship Id="rId27" Type="http://schemas.openxmlformats.org/officeDocument/2006/relationships/image" Target="media/image14.png" /><Relationship Id="rId28" Type="http://schemas.openxmlformats.org/officeDocument/2006/relationships/hyperlink" Target="https://d.book118.com/037155130146006034" TargetMode="External" /><Relationship Id="rId29" Type="http://schemas.openxmlformats.org/officeDocument/2006/relationships/header" Target="header6.xml" /><Relationship Id="rId3" Type="http://schemas.openxmlformats.org/officeDocument/2006/relationships/fontTable" Target="fontTable.xml" /><Relationship Id="rId30" Type="http://schemas.openxmlformats.org/officeDocument/2006/relationships/footer" Target="footer6.xml" /><Relationship Id="rId31" Type="http://schemas.openxmlformats.org/officeDocument/2006/relationships/theme" Target="theme/theme1.xml" /><Relationship Id="rId32" Type="http://schemas.openxmlformats.org/officeDocument/2006/relationships/styles" Target="styles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image" Target="media/image4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农小蜂-2021年中国花椰菜与西兰花产业数据分析简报.docx</dc:title>
  <cp:revision>0</cp:revision>
  <dcterms:created xsi:type="dcterms:W3CDTF">2024-01-27T19:37:02Z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2024-01-27T21:16:46Z</vt:filetime>
  </property>
  <property fmtid="{D5CDD505-2E9C-101B-9397-08002B2CF9AE}" pid="3" name="CRO">
    <vt:lpwstr>wqlLaW5nc29mdCBQREYgdG8gV1BTIDkw</vt:lpwstr>
  </property>
</Properties>
</file>