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>
      <w:pPr>
        <w:spacing w:line="450" w:lineRule="atLeast"/>
        <w:ind w:firstLine="567"/>
        <w:jc w:val="center"/>
        <w:rPr>
          <w:rFonts w:ascii="宋体" w:eastAsia="宋体" w:hAnsi="宋体" w:cs="宋体"/>
          <w:b/>
          <w:bCs/>
          <w:color w:val="000000"/>
          <w:sz w:val="36"/>
          <w:szCs w:val="36"/>
        </w:rPr>
      </w:pPr>
      <w:r>
        <w:rPr>
          <w:rFonts w:ascii="宋体" w:eastAsia="宋体" w:hAnsi="宋体" w:cs="宋体"/>
          <w:b/>
          <w:bCs/>
          <w:color w:val="000000"/>
          <w:sz w:val="36"/>
          <w:szCs w:val="36"/>
        </w:rPr>
        <w:t>交通信号系统工程施工组织方案</w:t>
      </w:r>
    </w:p>
    <w:p w:rsidR="00A77B3E">
      <w:pPr>
        <w:rPr>
          <w:rFonts w:ascii="宋体" w:eastAsia="宋体" w:hAnsi="宋体" w:cs="宋体"/>
          <w:b/>
          <w:bCs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第一章  综合说明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1.1编制依据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1.1.1业主发布的本项目招标文件；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1.1.2依据招标文件的要求，本招标工程项目的材料、设备、施工须达到的相关规范、标准、要求。 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1.1.3国家及内蒙古自治区、呼市颁布的质量检验标准。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1.1.4 我单位通过对该项目现场和周围环境进行踏勘、调查后掌握的相关资料。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 xml:space="preserve">1.1.5国家现行有关施工及验收规范、规则、质量技术标准，以及内蒙古自治区、呼市在安全文明施工、环境保护、减少噪音污染等方面的规定； 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1.1.6本工程业主要求的质量标准、招标文件中业主指定的工期以及我单位的创优规划、工期目标等；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1.1.7在交通工程施工经验和技术成果，现有的施工管理水平、技术水平、科研水平、机械设备配套能力和资金投入能力。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1.1.8执行的相关规范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1、《城市道路交通设施设计规范》（GB 50688-2011）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2、《电气装置安装工程电缆线路施工及验收规范》（GB 50168-2006）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3、《电气装置安装工程接地装置施工及验收规范》(GB 50169-2006)</w:t>
      </w:r>
    </w:p>
    <w:p w:rsidR="00A77B3E">
      <w:pPr>
        <w:rPr>
          <w:rFonts w:ascii="宋体" w:eastAsia="宋体" w:hAnsi="宋体" w:cs="宋体"/>
          <w:color w:val="000000"/>
        </w:rPr>
        <w:sectPr>
          <w:pgSz w:w="12240" w:h="15840"/>
          <w:pgMar w:top="1440" w:right="1800" w:bottom="1440" w:left="1800" w:header="708" w:footer="708" w:gutter="0"/>
          <w:cols w:space="708"/>
          <w:docGrid w:linePitch="360"/>
        </w:sect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4、《通信管道与通道工程设计规范》（GB 50373-2006）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5、《通信管道施工及技术规范》（GB 50374-2006）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6、《综合布线系统工程验收规范》（GB 50312-2007）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7、《信息技术设备（包括电气事务设备）的安全》（GB 4943-2009）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8、《公安交通管理外场设备基础施工通用要求》（GA/T 652-2006）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9、《闯红灯自动记录系统通用技术条件》（GA/T 496-2009）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10、《道路交通安全违法行为图像取证技术规范》（GA/T 832-2009）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11、《公路路基施工技术规范》（JTJ033-095）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12、《公路基层施工技术规范》（JTJ034-2000）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13、《公路水泥砼路面施工技术规范》（JTGF30-2003）。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14、《公路交通安全设施设计细则》（JTG/TD81-2006）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15、《金属覆盖层钢铁制件热浸镀锌层技术要求及实验方法(GB/T13912-2002)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16、《道路交通信号灯设置与安装规范》(GB14886-2006)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17、《道路交通信号灯》(GB14887-2003)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18、《城市道路交叉口设计规程》(CJJ152-2010)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19、《建设工程安全生产管理条例》</w:t>
      </w:r>
    </w:p>
    <w:p w:rsidR="00A77B3E">
      <w:pPr>
        <w:rPr>
          <w:rFonts w:ascii="宋体" w:eastAsia="宋体" w:hAnsi="宋体" w:cs="宋体"/>
          <w:color w:val="000000"/>
        </w:rPr>
        <w:sectPr>
          <w:type w:val="nextPage"/>
          <w:pgSz w:w="12240" w:h="15840"/>
          <w:pgMar w:top="1440" w:right="1800" w:bottom="1440" w:left="1800" w:header="708" w:footer="708" w:gutter="0"/>
          <w:pgNumType w:start="2"/>
          <w:cols w:space="708"/>
          <w:titlePg w:val="0"/>
          <w:docGrid w:linePitch="360"/>
        </w:sect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20、《工程建设标准强制性条文》（建标[2000]202号）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21、其他按规定强制执行的相关国家标准、行业标准、地方标准。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1.2编制原则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1.2.1严格遵循招标文件、地质资料及国家、部委和地方政府颁布的有关技术规范、规程的规定，认真分析研究，结合实际编制本工程切实可行的施工技术方案，制定相关保证措施。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1.2.2遵循实事求是的原则，在编制施工方案时，根据工程特点、现场实际情况，总体考虑，全面协作、科学组织，选择适宜本工程条件的施工机械设备和相关技术人员，发挥设备、人才优势。同时针对本工程认真分析，充分比较、论证，合理规划整个工程的施工程序，落实技术措施，均衡施工，减小施工干扰，并加强各工序间的衔接，提高施工效率，确保施工质量和进度，达到快速、有序、优质、高效。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1.2.3进行多方案分析比较，针对工程要求及关键节点工期要求，本着先重点后一般的原则，重点考虑关键工序，通过对技术、方法、劳动力、设备、材料等的优化配置，将工程质量、进度与成本相结合，选择可靠的供水、供电、排水、排污方案。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1.2.4遵循“安全第一、预防为主”的原则，坚持以人为本，以安全为核心，从制度、管理、方案、资源等方面制定切实可行的措施。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1.2.5全面熟悉招标文件，认真阅读招标文件，明确工程内容、技术特点、工期、安全、质量等要求，全面响应有关文件。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  <w:sectPr>
          <w:type w:val="nextPage"/>
          <w:pgSz w:w="12240" w:h="15840"/>
          <w:pgMar w:top="1440" w:right="1800" w:bottom="1440" w:left="1800" w:header="708" w:footer="708" w:gutter="0"/>
          <w:pgNumType w:start="3"/>
          <w:cols w:space="708"/>
          <w:titlePg w:val="0"/>
          <w:docGrid w:linePitch="360"/>
        </w:sect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1.2.6确保工期实现的原则，做好现场的文明施工工作，合理安排施工顺序，优化施工组织，优化工序衔接，合理配置资源，采取成熟的施工工艺及操作性强的技术措施，确保节点工期及总工期的实现，争取提前总工期，同时将工程施工和该区域环境保护之间的相互影响降到最低。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1.3编制范围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1.3.1工程施工范围：呼和浩特市快速路交通工程施工第四标段[工程范围：科尔沁快速路北段（K0+000-K8+225.80），科尔沁快速路南段（K9+181-K16+098）]；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第二章  工程概况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2.1工程位置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本工程建设位置位于呼和浩特市区东侧，科尔沁快速路交通工程施工跨越小黑河景观带、大黑河景观带、机场高速公路和铁路立交，沿途经新城区和赛罕区两大行政机构管辖区域。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工程项目地理位置图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jc w:val="center"/>
        <w:rPr>
          <w:rFonts w:ascii="宋体" w:eastAsia="宋体" w:hAnsi="宋体" w:cs="宋体"/>
          <w:color w:val="000000"/>
        </w:rPr>
        <w:sectPr>
          <w:type w:val="nextPage"/>
          <w:pgSz w:w="12240" w:h="15840"/>
          <w:pgMar w:top="1440" w:right="1800" w:bottom="1440" w:left="1800" w:header="708" w:footer="708" w:gutter="0"/>
          <w:pgNumType w:start="4"/>
          <w:cols w:space="708"/>
          <w:titlePg w:val="0"/>
          <w:docGrid w:linePitch="360"/>
        </w:sectPr>
      </w:pPr>
      <w:r>
        <w:rPr>
          <w:rStyle w:val="DefaultParagraphFont"/>
          <w:rFonts w:ascii="宋体" w:eastAsia="宋体" w:hAnsi="宋体" w:cs="宋体"/>
          <w:color w:val="000000"/>
          <w:sz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75.7pt;height:261.75pt">
            <v:imagedata r:id="rId4" o:title=""/>
          </v:shape>
        </w:pic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注：蓝线为本工程施工建设所在区域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2.2工程简介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工程名称：呼和浩特快速路交通工程施工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建设地点：呼和浩特市快速路环线及延伸段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建设单位：呼和浩特市市政工程管理局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投标范围：呼和浩特市快速路交通工程施工第四标段。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工程功能：呼和浩特市快速路交通工程能向道路使用者传递有关道路交通规则、警告、指引等信息；它使交通法规得到形象、具体、简明表达，其具体作用是提供交通信息，起到指挥、控制交通，保障交通安全，指路导向，提高行车效率，是交管部门正确执法的依据。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2.3地质、水文、气候特征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工程施工范围系大青山南麓地区，平均海拔为1050米。属于季节性降水，水源为雨季沟谷的汇流水，部分来自山泉，只有汛期水量大而集中，平时只有少量的山泉水，有时断流。地下水资源较丰富，浅水一般埋深在40米以内，深层承压水埋深在60～120米之间。地下水类型为潜水，赋存于砂层中，其补给来源主要为大气降水与地表径流，地下水位随气候、季节及环境影响而变化。土壤多为洪淤栗褐土、砂石土等。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  <w:sectPr>
          <w:type w:val="nextPage"/>
          <w:pgSz w:w="12240" w:h="15840"/>
          <w:pgMar w:top="1440" w:right="1800" w:bottom="1440" w:left="1800" w:header="708" w:footer="708" w:gutter="0"/>
          <w:pgNumType w:start="5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>本地区属中温带大陆性季风气候。四季分明，其特点是：春季风多雨少，升温快；夏季炎热多雨，降水量集中；秋季短促凉爽，昼夜温差大；冬季较长，干冷少雪。年平均气温</w:t>
      </w: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 xml:space="preserve"> 6.7℃，山区比平原低2～3℃；冷热变化剧烈，夏季平均气温21.3℃，极端最高气温38.5℃；冬季平均气温-7.4℃，极端最低气温-30.5℃。年平均降水量为397.9毫米，最大日降水量为130.6毫米，年降水量的60—70%在夏季，多集中在7、8月份。日照充足，全年日照时数为2862.8小时。霜冻在春秋两季出现，春季终霜迟，秋季初霜早。平原无霜期在121—150天，春冬季多西北风，夏秋季多东南风，最大风速可达25米/秒，全年无霜期130天，地表最大冻结深度160cm。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2.4现场交通、水电条件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本工程施工范围均位于市区内，交通条件好；车、人流量大，分布集中；为方便附近居民生产生活和对环境保护需要，施工现场进行施工期间尽可能避免长时间占道施工，产生的废料及时清理，涂料避免直接排放市政排水工程，污染环境。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交通工程施工区域沿线市政配套电网、水网发达就近接入使用。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2.5主要工程数量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交通工程第四标段主要工程量统计表</w:t>
      </w:r>
    </w:p>
    <w:tbl>
      <w:tblPr>
        <w:tblStyle w:val="TableNormal"/>
        <w:tblW w:w="8835" w:type="dxa"/>
        <w:jc w:val="center"/>
        <w:tblCellSpacing w:w="0" w:type="dxa"/>
        <w:tblInd w:w="16" w:type="dxa"/>
        <w:tblBorders>
          <w:top w:val="outset" w:sz="6" w:space="0" w:color="808080"/>
          <w:left w:val="outset" w:sz="6" w:space="0" w:color="808080"/>
          <w:bottom w:val="outset" w:sz="6" w:space="0" w:color="808080"/>
          <w:right w:val="outset" w:sz="6" w:space="0" w:color="808080"/>
          <w:insideH w:val="nil"/>
          <w:insideV w:val="nil"/>
        </w:tblBorders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775"/>
        <w:gridCol w:w="5732"/>
        <w:gridCol w:w="776"/>
        <w:gridCol w:w="776"/>
        <w:gridCol w:w="776"/>
      </w:tblGrid>
      <w:tr>
        <w:tblPrEx>
          <w:tblW w:w="8835" w:type="dxa"/>
          <w:jc w:val="center"/>
          <w:tblCellSpacing w:w="0" w:type="dxa"/>
          <w:tblInd w:w="16" w:type="dxa"/>
          <w:tblBorders>
            <w:top w:val="outset" w:sz="6" w:space="0" w:color="808080"/>
            <w:left w:val="outset" w:sz="6" w:space="0" w:color="808080"/>
            <w:bottom w:val="outset" w:sz="6" w:space="0" w:color="808080"/>
            <w:right w:val="outset" w:sz="6" w:space="0" w:color="808080"/>
            <w:insideH w:val="nil"/>
            <w:insideV w:val="nil"/>
          </w:tblBorders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blCellSpacing w:w="0" w:type="dxa"/>
          <w:jc w:val="center"/>
        </w:trPr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序号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项目名称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单位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数量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备注</w:t>
            </w:r>
          </w:p>
        </w:tc>
      </w:tr>
      <w:tr>
        <w:tblPrEx>
          <w:tblW w:w="8835" w:type="dxa"/>
          <w:jc w:val="center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blCellSpacing w:w="0" w:type="dxa"/>
          <w:jc w:val="center"/>
        </w:trPr>
        <w:tc>
          <w:tcPr>
            <w:tcW w:w="0" w:type="auto"/>
            <w:gridSpan w:val="5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信号灯工程</w:t>
            </w:r>
          </w:p>
        </w:tc>
      </w:tr>
      <w:tr>
        <w:tblPrEx>
          <w:tblW w:w="8835" w:type="dxa"/>
          <w:jc w:val="center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blCellSpacing w:w="0" w:type="dxa"/>
          <w:jc w:val="center"/>
        </w:trPr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JD400-3-3L(JS)计时机动车信号灯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套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357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</w:p>
        </w:tc>
      </w:tr>
      <w:tr>
        <w:tblPrEx>
          <w:tblW w:w="8835" w:type="dxa"/>
          <w:jc w:val="center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blCellSpacing w:w="0" w:type="dxa"/>
          <w:jc w:val="center"/>
        </w:trPr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FX400-3-3L(JS)计时方向指示信号灯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套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340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</w:p>
        </w:tc>
      </w:tr>
      <w:tr>
        <w:tblPrEx>
          <w:tblW w:w="8835" w:type="dxa"/>
          <w:jc w:val="center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blCellSpacing w:w="0" w:type="dxa"/>
          <w:jc w:val="center"/>
        </w:trPr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RX300×300-3-2L行人信号灯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套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287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</w:p>
        </w:tc>
      </w:tr>
      <w:tr>
        <w:tblPrEx>
          <w:tblW w:w="8835" w:type="dxa"/>
          <w:jc w:val="center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blCellSpacing w:w="0" w:type="dxa"/>
          <w:jc w:val="center"/>
        </w:trPr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7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FJ400-3-3L(JS)非机动车计时信号灯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套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132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</w:p>
        </w:tc>
      </w:tr>
      <w:tr>
        <w:tblPrEx>
          <w:tblW w:w="8835" w:type="dxa"/>
          <w:jc w:val="center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blCellSpacing w:w="0" w:type="dxa"/>
          <w:jc w:val="center"/>
        </w:trPr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8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直灯杆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套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362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</w:p>
        </w:tc>
      </w:tr>
      <w:tr>
        <w:tblPrEx>
          <w:tblW w:w="8835" w:type="dxa"/>
          <w:jc w:val="center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blCellSpacing w:w="0" w:type="dxa"/>
          <w:jc w:val="center"/>
        </w:trPr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9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6.5m信号灯单杆（单弯）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套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112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</w:p>
        </w:tc>
      </w:tr>
      <w:tr>
        <w:tblPrEx>
          <w:tblW w:w="8835" w:type="dxa"/>
          <w:jc w:val="center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blCellSpacing w:w="0" w:type="dxa"/>
          <w:jc w:val="center"/>
        </w:trPr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10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12-16m长伸臂式信号灯杆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套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50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</w:p>
        </w:tc>
      </w:tr>
      <w:tr>
        <w:tblPrEx>
          <w:tblW w:w="8835" w:type="dxa"/>
          <w:jc w:val="center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blCellSpacing w:w="0" w:type="dxa"/>
          <w:jc w:val="center"/>
        </w:trPr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11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12-16m双悬臂式信号灯杆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套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</w:p>
        </w:tc>
      </w:tr>
    </w:tbl>
    <w:p>
      <w:pPr>
        <w:sectPr>
          <w:type w:val="nextPage"/>
          <w:pgSz w:w="12240" w:h="15840"/>
          <w:pgMar w:top="1440" w:right="1800" w:bottom="1440" w:left="1800" w:header="708" w:footer="708" w:gutter="0"/>
          <w:pgNumType w:start="6"/>
          <w:cols w:space="708"/>
          <w:titlePg w:val="0"/>
          <w:docGrid w:linePitch="360"/>
        </w:sectPr>
      </w:pPr>
    </w:p>
    <w:tbl>
      <w:tblPr>
        <w:tblStyle w:val="TableNormal"/>
        <w:tblW w:w="8835" w:type="dxa"/>
        <w:jc w:val="center"/>
        <w:tblCellSpacing w:w="0" w:type="dxa"/>
        <w:tblInd w:w="16" w:type="dxa"/>
        <w:tblBorders>
          <w:top w:val="outset" w:sz="6" w:space="0" w:color="808080"/>
          <w:left w:val="outset" w:sz="6" w:space="0" w:color="808080"/>
          <w:bottom w:val="outset" w:sz="6" w:space="0" w:color="808080"/>
          <w:right w:val="outset" w:sz="6" w:space="0" w:color="808080"/>
          <w:insideH w:val="nil"/>
          <w:insideV w:val="nil"/>
        </w:tblBorders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556"/>
        <w:gridCol w:w="5216"/>
        <w:gridCol w:w="555"/>
        <w:gridCol w:w="1487"/>
        <w:gridCol w:w="1021"/>
      </w:tblGrid>
      <w:tr>
        <w:tblPrEx>
          <w:tblW w:w="8835" w:type="dxa"/>
          <w:jc w:val="center"/>
          <w:tblCellSpacing w:w="0" w:type="dxa"/>
          <w:tblInd w:w="16" w:type="dxa"/>
          <w:tblBorders>
            <w:top w:val="outset" w:sz="6" w:space="0" w:color="808080"/>
            <w:left w:val="outset" w:sz="6" w:space="0" w:color="808080"/>
            <w:bottom w:val="outset" w:sz="6" w:space="0" w:color="808080"/>
            <w:right w:val="outset" w:sz="6" w:space="0" w:color="808080"/>
            <w:insideH w:val="nil"/>
            <w:insideV w:val="nil"/>
          </w:tblBorders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blCellSpacing w:w="0" w:type="dxa"/>
          <w:jc w:val="center"/>
        </w:trPr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12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管内穿导线RVV4*48/0.2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km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162.15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</w:p>
        </w:tc>
      </w:tr>
      <w:tr>
        <w:tblPrEx>
          <w:tblW w:w="8835" w:type="dxa"/>
          <w:jc w:val="center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blCellSpacing w:w="0" w:type="dxa"/>
          <w:jc w:val="center"/>
        </w:trPr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13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管内穿电源线BVV2*7/0.9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km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6.3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</w:p>
        </w:tc>
      </w:tr>
      <w:tr>
        <w:tblPrEx>
          <w:tblW w:w="8835" w:type="dxa"/>
          <w:jc w:val="center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blCellSpacing w:w="0" w:type="dxa"/>
          <w:jc w:val="center"/>
        </w:trPr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14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管内穿接地线FVN49/0.26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km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17.83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</w:p>
        </w:tc>
      </w:tr>
      <w:tr>
        <w:tblPrEx>
          <w:tblW w:w="8835" w:type="dxa"/>
          <w:jc w:val="center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blCellSpacing w:w="0" w:type="dxa"/>
          <w:jc w:val="center"/>
        </w:trPr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15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自适应信号机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台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12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</w:p>
        </w:tc>
      </w:tr>
      <w:tr>
        <w:tblPrEx>
          <w:tblW w:w="8835" w:type="dxa"/>
          <w:jc w:val="center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blCellSpacing w:w="0" w:type="dxa"/>
          <w:jc w:val="center"/>
        </w:trPr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16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交通井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只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</w:p>
        </w:tc>
      </w:tr>
      <w:tr>
        <w:tblPrEx>
          <w:tblW w:w="8835" w:type="dxa"/>
          <w:jc w:val="center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blCellSpacing w:w="0" w:type="dxa"/>
          <w:jc w:val="center"/>
        </w:trPr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17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电缆保护管铺设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m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60835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</w:p>
        </w:tc>
      </w:tr>
      <w:tr>
        <w:tblPrEx>
          <w:tblW w:w="8835" w:type="dxa"/>
          <w:jc w:val="center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blCellSpacing w:w="0" w:type="dxa"/>
          <w:jc w:val="center"/>
        </w:trPr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32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接地棒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套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530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 </w:t>
            </w:r>
          </w:p>
        </w:tc>
      </w:tr>
      <w:tr>
        <w:tblPrEx>
          <w:tblW w:w="8835" w:type="dxa"/>
          <w:jc w:val="center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blCellSpacing w:w="0" w:type="dxa"/>
          <w:jc w:val="center"/>
        </w:trPr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41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拆除砾石砂基层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m2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2233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</w:p>
        </w:tc>
      </w:tr>
      <w:tr>
        <w:tblPrEx>
          <w:tblW w:w="8835" w:type="dxa"/>
          <w:jc w:val="center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blCellSpacing w:w="0" w:type="dxa"/>
          <w:jc w:val="center"/>
        </w:trPr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42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拆除粉煤灰三渣基层30cm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m2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2233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</w:p>
        </w:tc>
      </w:tr>
      <w:tr>
        <w:tblPrEx>
          <w:tblW w:w="8835" w:type="dxa"/>
          <w:jc w:val="center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blCellSpacing w:w="0" w:type="dxa"/>
          <w:jc w:val="center"/>
        </w:trPr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43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15cm砂砾石垫层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m2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2233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</w:p>
        </w:tc>
      </w:tr>
      <w:tr>
        <w:tblPrEx>
          <w:tblW w:w="8835" w:type="dxa"/>
          <w:jc w:val="center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blCellSpacing w:w="0" w:type="dxa"/>
          <w:jc w:val="center"/>
        </w:trPr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44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45cm厂拌粉煤灰三渣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m2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2233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</w:p>
        </w:tc>
      </w:tr>
      <w:tr>
        <w:tblPrEx>
          <w:tblW w:w="8835" w:type="dxa"/>
          <w:jc w:val="center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blCellSpacing w:w="0" w:type="dxa"/>
          <w:jc w:val="center"/>
        </w:trPr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47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拆除砼路面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m2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3050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</w:p>
        </w:tc>
      </w:tr>
      <w:tr>
        <w:tblPrEx>
          <w:tblW w:w="8835" w:type="dxa"/>
          <w:jc w:val="center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blCellSpacing w:w="0" w:type="dxa"/>
          <w:jc w:val="center"/>
        </w:trPr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48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拆除基层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m2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3050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</w:p>
        </w:tc>
      </w:tr>
      <w:tr>
        <w:tblPrEx>
          <w:tblW w:w="8835" w:type="dxa"/>
          <w:jc w:val="center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blCellSpacing w:w="0" w:type="dxa"/>
          <w:jc w:val="center"/>
        </w:trPr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49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拆除人行道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m2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3050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</w:p>
        </w:tc>
      </w:tr>
      <w:tr>
        <w:tblPrEx>
          <w:tblW w:w="8835" w:type="dxa"/>
          <w:jc w:val="center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blCellSpacing w:w="0" w:type="dxa"/>
          <w:jc w:val="center"/>
        </w:trPr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52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挖一般土方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m3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9434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</w:p>
        </w:tc>
      </w:tr>
      <w:tr>
        <w:tblPrEx>
          <w:tblW w:w="8835" w:type="dxa"/>
          <w:jc w:val="center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blCellSpacing w:w="0" w:type="dxa"/>
          <w:jc w:val="center"/>
        </w:trPr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53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垫层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m2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55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碎石</w:t>
            </w:r>
          </w:p>
        </w:tc>
      </w:tr>
      <w:tr>
        <w:tblPrEx>
          <w:tblW w:w="8835" w:type="dxa"/>
          <w:jc w:val="center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blCellSpacing w:w="0" w:type="dxa"/>
          <w:jc w:val="center"/>
        </w:trPr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54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夯填土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m3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1870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</w:p>
        </w:tc>
      </w:tr>
      <w:tr>
        <w:tblPrEx>
          <w:tblW w:w="8835" w:type="dxa"/>
          <w:jc w:val="center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blCellSpacing w:w="0" w:type="dxa"/>
          <w:jc w:val="center"/>
        </w:trPr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56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余方弃置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m3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4510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</w:p>
        </w:tc>
      </w:tr>
      <w:tr>
        <w:tblPrEx>
          <w:tblW w:w="8835" w:type="dxa"/>
          <w:jc w:val="center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blCellSpacing w:w="0" w:type="dxa"/>
          <w:jc w:val="center"/>
        </w:trPr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 </w:t>
            </w:r>
          </w:p>
        </w:tc>
      </w:tr>
    </w:tbl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第三章  施工总体部署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3.1设备、人员、材料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我公司具有丰富的市政工程施工经验，雄厚的技术实力，优良的施工队伍和先进的机构设备及检测仪器，将调遣具有丰富施工经验和管理水平的队伍，先进的机械设备来参加本项目的施工。</w:t>
      </w:r>
    </w:p>
    <w:p w:rsidR="00A77B3E">
      <w:pPr>
        <w:rPr>
          <w:rFonts w:ascii="宋体" w:eastAsia="宋体" w:hAnsi="宋体" w:cs="宋体"/>
          <w:color w:val="000000"/>
        </w:rPr>
        <w:sectPr>
          <w:type w:val="nextPage"/>
          <w:pgSz w:w="12240" w:h="15840"/>
          <w:pgMar w:top="1440" w:right="1800" w:bottom="1440" w:left="1800" w:header="708" w:footer="708" w:gutter="0"/>
          <w:pgNumType w:start="7"/>
          <w:cols w:space="708"/>
          <w:titlePg w:val="0"/>
          <w:docGrid w:linePitch="360"/>
        </w:sect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对施工文件所要求的和施工需要的各种机械设备及主要施工人员，我公司将进行组织落实。并成立由公司设备、技术、质量及劳资等主要部门负责人为成员的设备、人员动员小组。根据工程所需投入的设备及人员情况，制定出详细的设备、人员调动进驻现场计划及进场的时间表，以确保设备、人员能及时、准确到达施工现场，初步拟定设备、人员、所需材料分次进场安排如下：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第一批：施工所需的部分机构设备及主要施工技术管理人员快速进场，所需设备及人员均以汽车作为主要交通运输工具，计划有序地分次组织进入施工现场。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第二批：在签订施工合同后，主体施工队伍及施工所需的机械设备将按进场计划安排，有组织、有次序地进驻现场，施工作业全线铺开，迅速投入正常作业。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设备、人员调遣将采用汽车运输为主，以最快速度到达现场的方法。大型设备用平板运输车通过已形成的公路网，直接调运至本合同段各作业点附近。人员采用公共汽车运输为主，小型设备、配件用货车或进入现场的自卸汽车运输。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3.2施工准备工作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施工准备工作的总体原则：突出重点、合理布置、全面展开、拟定计划，落实到位。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3.2.1施工技术设计文件的复核及技术资料的准备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待接到施工技术设计文件后，对现场进行勘察，调查情况，与该工程图纸进行对照、复核、会审，发现问题及时向监理工程师、设计代表及业主申报设计变更，认真编写实施性施工组织设计及分项工程施工方案，并报监工程师审批。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对施工中需要的《规范》、《规程》、《验收标准》、标准图、通用图、各类质量检查表、测量用表、各种工程记录薄等，在开工前备齐。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  <w:sectPr>
          <w:type w:val="nextPage"/>
          <w:pgSz w:w="12240" w:h="15840"/>
          <w:pgMar w:top="1440" w:right="1800" w:bottom="1440" w:left="1800" w:header="708" w:footer="708" w:gutter="0"/>
          <w:pgNumType w:start="8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>3.2.2测量准备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根据本工程特点，我项目部测量人员同现场土建单位进行交接桩，办理交接手续，然后进行复测，如发现有问题及时向监理工程师和设计代表提出书面报告，如复测无误后将测量成果报监理工程师备案，为工程开工做好准备。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开工前，配齐全站仪、水准仪等工程测量器具。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3.2.3物资准备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立即派人落实主材的供应渠道，签订材料供应合同，保证材料有计划的供应，做到施工中不积压、不短缺。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3.3施工组织机构设置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3.3.1管理模式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设项目经理部，实行项目经理负责制，项目部实行一级管理，全权负责整个工程的进度、质量、安全、协调、管理等一切事务。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3.3.2劳动力保证措施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(1)劳动力组织、动员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施工劳动力是施工过程中的实际操作人员，是施工质量、进度、安全、文明施工的最直接的保证者。我们选择劳动力的原则为：具有良好的质量、安全意识：具有较高的技术等级；具有相类似工程施工经验的人员。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劳动力组织由项目经理部根据项目部的每月劳动力计划，在单位内进行平衡调配。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(2)劳动力培训教育</w:t>
      </w:r>
    </w:p>
    <w:p w:rsidR="00A77B3E">
      <w:pPr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</w:rPr>
        <w:br/>
      </w:r>
      <w:r>
        <w:rPr>
          <w:rFonts w:ascii="宋体" w:eastAsia="宋体" w:hAnsi="宋体" w:cs="宋体"/>
          <w:color w:val="000000"/>
        </w:rP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https://d.book118.com/037201042015006051</w:t>
        </w:r>
      </w:hyperlink>
    </w:p>
    <w:p w:rsidR="00A77B3E">
      <w:pPr>
        <w:rPr>
          <w:rFonts w:ascii="宋体" w:eastAsia="宋体" w:hAnsi="宋体" w:cs="宋体"/>
          <w:color w:val="000000"/>
        </w:rPr>
      </w:pPr>
    </w:p>
    <w:sectPr>
      <w:type w:val="nextPage"/>
      <w:pgSz w:w="12240" w:h="15840"/>
      <w:pgMar w:top="1440" w:right="1800" w:bottom="1440" w:left="1800" w:header="708" w:footer="708" w:gutter="0"/>
      <w:pgNumType w:start="9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hyperlink" Target="https://d.book118.com/037201042015006051" TargetMode="Externa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</cp:coreProperties>
</file>