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2024年河南工业职业技术学院高职单招（英语／数学／语文）笔试历年真题摘选含答案解析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关于莫泊桑小说《米龙老爹》的表述，错误的一项是（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A.小说的背景是普法战争。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B.小说描述了普通法国农民米龙老爹孤身杀敌的故事。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C.小说通过心理描写展示了米龙老爹的内心世界。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D.小说采用倒叙的叙事方法。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《陈情表》《张中丞传后叙》《报刘一丈书》的作者依次是（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A.李密、宗臣、韩愈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B.宗臣、李密、韩愈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C.韩愈、李密、宗臣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D.李密、韩愈、宗臣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下列句子中属于呼告句的是（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A.三杯两盏淡酒，怎敌他、晚来风急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D.这次第，怎一个愁字了得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《楚辞·九歌》共（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A.9首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B.10首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C.11首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D.12首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鲁迅《灯下漫笔》中“假使真有谁能够替他们决定，定下什么奴隶规则来，自然就‘皇恩浩荡’了”一句运用的修辞手法是（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C.反语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6.</w:t>
      </w:r>
      <w:r>
        <w:rPr>
          <w:rFonts w:ascii="黑体" w:eastAsia="黑体" w:hAnsi="黑体" w:cs="Times New Roman"/>
          <w:sz w:val="24"/>
          <w:lang w:val="en-US" w:eastAsia="ja-JP" w:bidi="ar-SA"/>
        </w:rPr>
        <w:t>苏轼的《水调歌头》（明月几时有）是一首（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A.清明词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B.重阳词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C.端午词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D.中秋词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“好香的干菜，——听到了风声了么 ”这句话出自（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B.鲁迅的《伤逝》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https://d.book118.com/038023120072006045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038023120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