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2015-2023年湖南都市职业学院高职单招（数学／语文／英语）历年参考题库带答案解析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《张中丞传后叙》中抨击的人物是（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B.许远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D.贺兰进明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“五十步笑百步”这一典故出自（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D.《珠玉集》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王昌龄《从军行》（其四）的体裁是（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A.梁实秋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C.钱锺书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D.朱光潜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《冯谖客孟尝君》采用了欲扬先抑的表现手法，下列不属于贬抑手法的一项是（）。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A.孟尝君曰：“客何好”曰：“客无好也。”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B.左右皆恶之，以为贪而不知足。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C.孟尝君不悦，曰：“诺，先生休矣!”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D.孟尝君为相数十年，无纤介之祸者，冯谖之计也。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“好香的干菜，——听到了风声了么 ”这句话出自（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B.鲁迅的《伤逝》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C.鲁迅的《阿Q正传》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D.鲁迅的《祝福》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成语“夙兴夜寐”、“日薄西山”、“路不拾遗”依次出自（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A.《诗经·氓》、《陈情表》、《季氏将伐颛臾》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B.《诗经·氓》、《陈情表》、《礼记·大同》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C.《郑伯克段于鄢》、《礼记·大同》、《陈情表》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D.《季氏将伐颛臾》、《诗经·氓》、《礼记·大同》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屠格涅夫《门槛》中，“门槛”象征着（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A.敌人设下的陷阱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B.囚禁革命者的监狱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C.革命者的秘密组织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D.革命征途的艰难险阻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D.七言歌行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《大同》出自《礼记》，下面对其陈述正确的是（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A.《礼记》是儒家五经《诗》、《书》、《礼》、《易》、《春秋》之一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B.《礼记》中的《仪礼》、《周礼》、《周官》合称“三礼”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C.《礼记》成书是在春秋时代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D.《礼记》的内容主要涉及了上古三代的礼仪制度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D.议论性随笔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陶渊明《饮酒（其五）》的体裁是（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https://d.book118.com/038102041032006041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38102041032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