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2024年储罐行业趋势报告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5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_Toc7853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一、储罐行业选址方案分析</w:t>
        </w:r>
        <w:r>
          <w:tab/>
        </w:r>
        <w:r>
          <w:fldChar w:fldCharType="begin"/>
        </w:r>
        <w:r>
          <w:instrText xml:space="preserve"> PAGEREF _Toc21785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(一)、储罐行业选址影响因素</w:t>
        </w:r>
        <w:r>
          <w:tab/>
        </w:r>
        <w:r>
          <w:fldChar w:fldCharType="begin"/>
        </w:r>
        <w:r>
          <w:instrText xml:space="preserve"> PAGEREF _Toc28451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(二)、储罐行业选址原则</w:t>
        </w:r>
        <w:r>
          <w:tab/>
        </w:r>
        <w:r>
          <w:fldChar w:fldCharType="begin"/>
        </w:r>
        <w:r>
          <w:instrText xml:space="preserve"> PAGEREF _Toc18506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(三)、消费习惯对储罐行业选址的影响</w:t>
        </w:r>
        <w:r>
          <w:tab/>
        </w:r>
        <w:r>
          <w:fldChar w:fldCharType="begin"/>
        </w:r>
        <w:r>
          <w:instrText xml:space="preserve"> PAGEREF _Toc26993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(四)、消费能力对储罐行业选址的影响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(五)、经营成本对储罐行业选址的影响</w:t>
        </w:r>
        <w:r>
          <w:tab/>
        </w:r>
        <w:r>
          <w:fldChar w:fldCharType="begin"/>
        </w:r>
        <w:r>
          <w:instrText xml:space="preserve"> PAGEREF _Toc18467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(六)、交通条件对储罐行业选址的影响</w:t>
        </w:r>
        <w:r>
          <w:tab/>
        </w:r>
        <w:r>
          <w:fldChar w:fldCharType="begin"/>
        </w:r>
        <w:r>
          <w:instrText xml:space="preserve"> PAGEREF _Toc24586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二、储罐行业制度建设与执行</w:t>
        </w:r>
        <w:r>
          <w:tab/>
        </w:r>
        <w:r>
          <w:fldChar w:fldCharType="begin"/>
        </w:r>
        <w:r>
          <w:instrText xml:space="preserve"> PAGEREF _Toc19508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_Toc7823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(四)、主要防范措施</w:t>
        </w:r>
        <w:r>
          <w:tab/>
        </w:r>
        <w:r>
          <w:fldChar w:fldCharType="begin"/>
        </w:r>
        <w:r>
          <w:instrText xml:space="preserve"> PAGEREF _Toc29712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(五)、制度优化与更新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6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三、储罐行业人力资源管理策略</w:t>
        </w:r>
        <w:r>
          <w:tab/>
        </w:r>
        <w:r>
          <w:fldChar w:fldCharType="begin"/>
        </w:r>
        <w:r>
          <w:instrText xml:space="preserve"> PAGEREF _Toc28364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(一)、储罐行业人力资源管理原则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(二)、储罐行业劳动关系管理</w:t>
        </w:r>
        <w:r>
          <w:tab/>
        </w:r>
        <w:r>
          <w:fldChar w:fldCharType="begin"/>
        </w:r>
        <w:r>
          <w:instrText xml:space="preserve"> PAGEREF _Toc10696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(三)、储罐行业人员配置方案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(四)、储罐行业员工招聘方案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(五)、储罐行业绩效和薪酬管理方案</w:t>
        </w:r>
        <w:r>
          <w:tab/>
        </w:r>
        <w:r>
          <w:fldChar w:fldCharType="begin"/>
        </w:r>
        <w:r>
          <w:instrText xml:space="preserve"> PAGEREF _Toc22956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(六)、储罐行业员工福利管理方案</w:t>
        </w:r>
        <w:r>
          <w:tab/>
        </w:r>
        <w:r>
          <w:fldChar w:fldCharType="begin"/>
        </w:r>
        <w:r>
          <w:instrText xml:space="preserve"> PAGEREF _Toc31240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四、制度建设与管理</w:t>
        </w:r>
        <w:r>
          <w:tab/>
        </w:r>
        <w:r>
          <w:fldChar w:fldCharType="begin"/>
        </w:r>
        <w:r>
          <w:instrText xml:space="preserve"> PAGEREF _Toc21979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_Toc19867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_Toc16097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_Toc13038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6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五、储罐行业投资管理策略</w:t>
        </w:r>
        <w:r>
          <w:tab/>
        </w:r>
        <w:r>
          <w:fldChar w:fldCharType="begin"/>
        </w:r>
        <w:r>
          <w:instrText xml:space="preserve"> PAGEREF _Toc19163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(一)、储罐行业投资估算主要内容</w:t>
        </w:r>
        <w:r>
          <w:tab/>
        </w:r>
        <w:r>
          <w:fldChar w:fldCharType="begin"/>
        </w:r>
        <w:r>
          <w:instrText xml:space="preserve"> PAGEREF _Toc973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(二)、储罐行业设备购置投资费用管理</w:t>
        </w:r>
        <w:r>
          <w:tab/>
        </w:r>
        <w:r>
          <w:fldChar w:fldCharType="begin"/>
        </w:r>
        <w:r>
          <w:instrText xml:space="preserve"> PAGEREF _Toc32765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(三)、储罐行业装修施工投资费用管理</w:t>
        </w:r>
        <w:r>
          <w:tab/>
        </w:r>
        <w:r>
          <w:fldChar w:fldCharType="begin"/>
        </w:r>
        <w:r>
          <w:instrText xml:space="preserve"> PAGEREF _Toc23240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(四)、储罐行业流动资金管理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六、项目背景与概况</w:t>
        </w:r>
        <w:r>
          <w:tab/>
        </w:r>
        <w:r>
          <w:fldChar w:fldCharType="begin"/>
        </w:r>
        <w:r>
          <w:instrText xml:space="preserve"> PAGEREF _Toc19583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_Toc19906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1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(三)、储罐行业及市场分析</w:t>
        </w:r>
        <w:r>
          <w:tab/>
        </w:r>
        <w:r>
          <w:fldChar w:fldCharType="begin"/>
        </w:r>
        <w:r>
          <w:instrText xml:space="preserve"> PAGEREF _Toc31812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七、制度运行与优化</w:t>
        </w:r>
        <w:r>
          <w:tab/>
        </w:r>
        <w:r>
          <w:fldChar w:fldCharType="begin"/>
        </w:r>
        <w:r>
          <w:instrText xml:space="preserve"> PAGEREF _Toc9491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_Toc8950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八、项目运营与管理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_Toc2622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_Toc3591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5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_Toc18252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_Toc21842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九、储罐行业人才招聘与发展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_Toc1401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_Toc21746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_Toc8675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5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十、储罐行业公司治理与社会责任</w:t>
        </w:r>
        <w:r>
          <w:tab/>
        </w:r>
        <w:r>
          <w:fldChar w:fldCharType="begin"/>
        </w:r>
        <w:r>
          <w:instrText xml:space="preserve"> PAGEREF _Toc28757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_Toc27359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(二)、董事会运作与决策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(三)、内部控制与审计</w:t>
        </w:r>
        <w:r>
          <w:tab/>
        </w:r>
        <w:r>
          <w:fldChar w:fldCharType="begin"/>
        </w:r>
        <w:r>
          <w:instrText xml:space="preserve"> PAGEREF _Toc2733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(四)、法律法规合规体系</w:t>
        </w:r>
        <w:r>
          <w:tab/>
        </w:r>
        <w:r>
          <w:fldChar w:fldCharType="begin"/>
        </w:r>
        <w:r>
          <w:instrText xml:space="preserve"> PAGEREF _Toc18731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(五)、企业社会责任与道德经营</w:t>
        </w:r>
        <w:r>
          <w:tab/>
        </w:r>
        <w:r>
          <w:fldChar w:fldCharType="begin"/>
        </w:r>
        <w:r>
          <w:instrText xml:space="preserve"> PAGEREF _Toc31744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18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十一、储罐行业项目管理与实施</w:t>
        </w:r>
        <w:r>
          <w:tab/>
        </w:r>
        <w:r>
          <w:fldChar w:fldCharType="begin"/>
        </w:r>
        <w:r>
          <w:instrText xml:space="preserve"> PAGEREF _Toc29318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_Toc18832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_Toc7784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1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十二、资金筹措与投资分析</w:t>
        </w:r>
        <w:r>
          <w:tab/>
        </w:r>
        <w:r>
          <w:fldChar w:fldCharType="begin"/>
        </w:r>
        <w:r>
          <w:instrText xml:space="preserve"> PAGEREF _Toc13510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(一)、资金需求与筹措计划</w:t>
        </w:r>
        <w:r>
          <w:tab/>
        </w:r>
        <w:r>
          <w:fldChar w:fldCharType="begin"/>
        </w:r>
        <w:r>
          <w:instrText xml:space="preserve"> PAGEREF _Toc5160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(二)、投资分析与回报预期</w:t>
        </w:r>
        <w:r>
          <w:tab/>
        </w:r>
        <w:r>
          <w:fldChar w:fldCharType="begin"/>
        </w:r>
        <w:r>
          <w:instrText xml:space="preserve"> PAGEREF _Toc11007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https://d.book118.com/038105051053006027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DAC44EE"/>
    <w:rsid w:val="453746B4"/>
    <w:rsid w:val="482775B3"/>
    <w:rsid w:val="49C53810"/>
    <w:rsid w:val="4E155AC7"/>
    <w:rsid w:val="50930768"/>
    <w:rsid w:val="62A91464"/>
    <w:rsid w:val="692E1C42"/>
    <w:rsid w:val="6BFE621A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038105051053006027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