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增敏化学发光免疫分析仪项目规划设计纲要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0" w:history="1">
        <w:r>
          <w:rPr>
            <w:rFonts w:ascii="仿宋" w:eastAsia="仿宋" w:hAnsi="仿宋" w:cs="仿宋" w:hint="eastAsia"/>
            <w:lang w:eastAsia="zh-CN"/>
          </w:rPr>
          <w:t>概论</w:t>
        </w:r>
        <w:r>
          <w:tab/>
        </w:r>
        <w:r>
          <w:fldChar w:fldCharType="begin"/>
        </w:r>
        <w:r>
          <w:instrText xml:space="preserve"> PAGEREF _Toc19480 \h </w:instrText>
        </w:r>
        <w:r>
          <w:fldChar w:fldCharType="separate"/>
        </w:r>
        <w:r>
          <w:t>3</w:t>
        </w:r>
        <w:r>
          <w:fldChar w:fldCharType="end"/>
        </w:r>
      </w:hyperlink>
    </w:p>
    <w:p>
      <w:pPr>
        <w:pStyle w:val="TOC1"/>
        <w:tabs>
          <w:tab w:val="right" w:leader="dot" w:pos="8306"/>
        </w:tabs>
      </w:pPr>
      <w:hyperlink w:anchor="_Toc4543" w:history="1">
        <w:r>
          <w:rPr>
            <w:rFonts w:ascii="仿宋" w:eastAsia="仿宋" w:hAnsi="仿宋" w:cs="仿宋" w:hint="eastAsia"/>
            <w:lang w:eastAsia="zh-CN"/>
          </w:rPr>
          <w:t>一、产品规划分析</w:t>
        </w:r>
        <w:r>
          <w:tab/>
        </w:r>
        <w:r>
          <w:fldChar w:fldCharType="begin"/>
        </w:r>
        <w:r>
          <w:instrText xml:space="preserve"> PAGEREF _Toc4543 \h </w:instrText>
        </w:r>
        <w:r>
          <w:fldChar w:fldCharType="separate"/>
        </w:r>
        <w:r>
          <w:t>3</w:t>
        </w:r>
        <w:r>
          <w:fldChar w:fldCharType="end"/>
        </w:r>
      </w:hyperlink>
    </w:p>
    <w:p>
      <w:pPr>
        <w:pStyle w:val="TOC2"/>
        <w:tabs>
          <w:tab w:val="right" w:leader="dot" w:pos="8306"/>
        </w:tabs>
      </w:pPr>
      <w:hyperlink w:anchor="_Toc18740" w:history="1">
        <w:r>
          <w:rPr>
            <w:rFonts w:ascii="仿宋" w:eastAsia="仿宋" w:hAnsi="仿宋" w:cs="仿宋" w:hint="eastAsia"/>
            <w:lang w:eastAsia="zh-CN"/>
          </w:rPr>
          <w:t>(一)、产品规划</w:t>
        </w:r>
        <w:r>
          <w:tab/>
        </w:r>
        <w:r>
          <w:fldChar w:fldCharType="begin"/>
        </w:r>
        <w:r>
          <w:instrText xml:space="preserve"> PAGEREF _Toc18740 \h </w:instrText>
        </w:r>
        <w:r>
          <w:fldChar w:fldCharType="separate"/>
        </w:r>
        <w:r>
          <w:t>3</w:t>
        </w:r>
        <w:r>
          <w:fldChar w:fldCharType="end"/>
        </w:r>
      </w:hyperlink>
    </w:p>
    <w:p>
      <w:pPr>
        <w:pStyle w:val="TOC2"/>
        <w:tabs>
          <w:tab w:val="right" w:leader="dot" w:pos="8306"/>
        </w:tabs>
      </w:pPr>
      <w:hyperlink w:anchor="_Toc28101" w:history="1">
        <w:r>
          <w:rPr>
            <w:rFonts w:ascii="仿宋" w:eastAsia="仿宋" w:hAnsi="仿宋" w:cs="仿宋" w:hint="eastAsia"/>
            <w:lang w:eastAsia="zh-CN"/>
          </w:rPr>
          <w:t>(二)、建设规模</w:t>
        </w:r>
        <w:r>
          <w:tab/>
        </w:r>
        <w:r>
          <w:fldChar w:fldCharType="begin"/>
        </w:r>
        <w:r>
          <w:instrText xml:space="preserve"> PAGEREF _Toc28101 \h </w:instrText>
        </w:r>
        <w:r>
          <w:fldChar w:fldCharType="separate"/>
        </w:r>
        <w:r>
          <w:t>4</w:t>
        </w:r>
        <w:r>
          <w:fldChar w:fldCharType="end"/>
        </w:r>
      </w:hyperlink>
    </w:p>
    <w:p>
      <w:pPr>
        <w:pStyle w:val="TOC1"/>
        <w:tabs>
          <w:tab w:val="right" w:leader="dot" w:pos="8306"/>
        </w:tabs>
      </w:pPr>
      <w:hyperlink w:anchor="_Toc12983" w:history="1">
        <w:r>
          <w:rPr>
            <w:rFonts w:ascii="仿宋" w:eastAsia="仿宋" w:hAnsi="仿宋" w:cs="仿宋" w:hint="eastAsia"/>
            <w:lang w:eastAsia="zh-CN"/>
          </w:rPr>
          <w:t>二、工艺说明</w:t>
        </w:r>
        <w:r>
          <w:tab/>
        </w:r>
        <w:r>
          <w:fldChar w:fldCharType="begin"/>
        </w:r>
        <w:r>
          <w:instrText xml:space="preserve"> PAGEREF _Toc12983 \h </w:instrText>
        </w:r>
        <w:r>
          <w:fldChar w:fldCharType="separate"/>
        </w:r>
        <w:r>
          <w:t>5</w:t>
        </w:r>
        <w:r>
          <w:fldChar w:fldCharType="end"/>
        </w:r>
      </w:hyperlink>
    </w:p>
    <w:p>
      <w:pPr>
        <w:pStyle w:val="TOC2"/>
        <w:tabs>
          <w:tab w:val="right" w:leader="dot" w:pos="8306"/>
        </w:tabs>
      </w:pPr>
      <w:hyperlink w:anchor="_Toc20896" w:history="1">
        <w:r>
          <w:rPr>
            <w:rFonts w:ascii="仿宋" w:eastAsia="仿宋" w:hAnsi="仿宋" w:cs="仿宋" w:hint="eastAsia"/>
            <w:lang w:eastAsia="zh-CN"/>
          </w:rPr>
          <w:t>(一)、技术管理特点</w:t>
        </w:r>
        <w:r>
          <w:tab/>
        </w:r>
        <w:r>
          <w:fldChar w:fldCharType="begin"/>
        </w:r>
        <w:r>
          <w:instrText xml:space="preserve"> PAGEREF _Toc20896 \h </w:instrText>
        </w:r>
        <w:r>
          <w:fldChar w:fldCharType="separate"/>
        </w:r>
        <w:r>
          <w:t>5</w:t>
        </w:r>
        <w:r>
          <w:fldChar w:fldCharType="end"/>
        </w:r>
      </w:hyperlink>
    </w:p>
    <w:p>
      <w:pPr>
        <w:pStyle w:val="TOC2"/>
        <w:tabs>
          <w:tab w:val="right" w:leader="dot" w:pos="8306"/>
        </w:tabs>
      </w:pPr>
      <w:hyperlink w:anchor="_Toc23192" w:history="1">
        <w:r>
          <w:rPr>
            <w:rFonts w:ascii="仿宋" w:eastAsia="仿宋" w:hAnsi="仿宋" w:cs="仿宋" w:hint="eastAsia"/>
            <w:lang w:eastAsia="zh-CN"/>
          </w:rPr>
          <w:t>(二)、增敏化学发光免疫分析仪项目工艺技术设计方案</w:t>
        </w:r>
        <w:r>
          <w:tab/>
        </w:r>
        <w:r>
          <w:fldChar w:fldCharType="begin"/>
        </w:r>
        <w:r>
          <w:instrText xml:space="preserve"> PAGEREF _Toc23192 \h </w:instrText>
        </w:r>
        <w:r>
          <w:fldChar w:fldCharType="separate"/>
        </w:r>
        <w:r>
          <w:t>6</w:t>
        </w:r>
        <w:r>
          <w:fldChar w:fldCharType="end"/>
        </w:r>
      </w:hyperlink>
    </w:p>
    <w:p>
      <w:pPr>
        <w:pStyle w:val="TOC2"/>
        <w:tabs>
          <w:tab w:val="right" w:leader="dot" w:pos="8306"/>
        </w:tabs>
      </w:pPr>
      <w:hyperlink w:anchor="_Toc16838" w:history="1">
        <w:r>
          <w:rPr>
            <w:rFonts w:ascii="仿宋" w:eastAsia="仿宋" w:hAnsi="仿宋" w:cs="仿宋" w:hint="eastAsia"/>
            <w:lang w:eastAsia="zh-CN"/>
          </w:rPr>
          <w:t>(三)、设备选型方案</w:t>
        </w:r>
        <w:r>
          <w:tab/>
        </w:r>
        <w:r>
          <w:fldChar w:fldCharType="begin"/>
        </w:r>
        <w:r>
          <w:instrText xml:space="preserve"> PAGEREF _Toc16838 \h </w:instrText>
        </w:r>
        <w:r>
          <w:fldChar w:fldCharType="separate"/>
        </w:r>
        <w:r>
          <w:t>8</w:t>
        </w:r>
        <w:r>
          <w:fldChar w:fldCharType="end"/>
        </w:r>
      </w:hyperlink>
    </w:p>
    <w:p>
      <w:pPr>
        <w:pStyle w:val="TOC1"/>
        <w:tabs>
          <w:tab w:val="right" w:leader="dot" w:pos="8306"/>
        </w:tabs>
      </w:pPr>
      <w:hyperlink w:anchor="_Toc11369" w:history="1">
        <w:r>
          <w:rPr>
            <w:rFonts w:ascii="仿宋" w:eastAsia="仿宋" w:hAnsi="仿宋" w:cs="仿宋" w:hint="eastAsia"/>
            <w:lang w:eastAsia="zh-CN"/>
          </w:rPr>
          <w:t>三、增敏化学发光免疫分析仪项目文档管理</w:t>
        </w:r>
        <w:r>
          <w:tab/>
        </w:r>
        <w:r>
          <w:fldChar w:fldCharType="begin"/>
        </w:r>
        <w:r>
          <w:instrText xml:space="preserve"> PAGEREF _Toc11369 \h </w:instrText>
        </w:r>
        <w:r>
          <w:fldChar w:fldCharType="separate"/>
        </w:r>
        <w:r>
          <w:t>9</w:t>
        </w:r>
        <w:r>
          <w:fldChar w:fldCharType="end"/>
        </w:r>
      </w:hyperlink>
    </w:p>
    <w:p>
      <w:pPr>
        <w:pStyle w:val="TOC2"/>
        <w:tabs>
          <w:tab w:val="right" w:leader="dot" w:pos="8306"/>
        </w:tabs>
      </w:pPr>
      <w:hyperlink w:anchor="_Toc22701" w:history="1">
        <w:r>
          <w:rPr>
            <w:rFonts w:ascii="仿宋" w:eastAsia="仿宋" w:hAnsi="仿宋" w:cs="仿宋" w:hint="eastAsia"/>
            <w:lang w:eastAsia="zh-CN"/>
          </w:rPr>
          <w:t>(一)、文档编制与审查</w:t>
        </w:r>
        <w:r>
          <w:tab/>
        </w:r>
        <w:r>
          <w:fldChar w:fldCharType="begin"/>
        </w:r>
        <w:r>
          <w:instrText xml:space="preserve"> PAGEREF _Toc22701 \h </w:instrText>
        </w:r>
        <w:r>
          <w:fldChar w:fldCharType="separate"/>
        </w:r>
        <w:r>
          <w:t>9</w:t>
        </w:r>
        <w:r>
          <w:fldChar w:fldCharType="end"/>
        </w:r>
      </w:hyperlink>
    </w:p>
    <w:p>
      <w:pPr>
        <w:pStyle w:val="TOC2"/>
        <w:tabs>
          <w:tab w:val="right" w:leader="dot" w:pos="8306"/>
        </w:tabs>
      </w:pPr>
      <w:hyperlink w:anchor="_Toc26953" w:history="1">
        <w:r>
          <w:rPr>
            <w:rFonts w:ascii="仿宋" w:eastAsia="仿宋" w:hAnsi="仿宋" w:cs="仿宋" w:hint="eastAsia"/>
            <w:lang w:eastAsia="zh-CN"/>
          </w:rPr>
          <w:t>(二)、文档发布与分发</w:t>
        </w:r>
        <w:r>
          <w:tab/>
        </w:r>
        <w:r>
          <w:fldChar w:fldCharType="begin"/>
        </w:r>
        <w:r>
          <w:instrText xml:space="preserve"> PAGEREF _Toc26953 \h </w:instrText>
        </w:r>
        <w:r>
          <w:fldChar w:fldCharType="separate"/>
        </w:r>
        <w:r>
          <w:t>11</w:t>
        </w:r>
        <w:r>
          <w:fldChar w:fldCharType="end"/>
        </w:r>
      </w:hyperlink>
    </w:p>
    <w:p>
      <w:pPr>
        <w:pStyle w:val="TOC2"/>
        <w:tabs>
          <w:tab w:val="right" w:leader="dot" w:pos="8306"/>
        </w:tabs>
      </w:pPr>
      <w:hyperlink w:anchor="_Toc10609" w:history="1">
        <w:r>
          <w:rPr>
            <w:rFonts w:ascii="仿宋" w:eastAsia="仿宋" w:hAnsi="仿宋" w:cs="仿宋" w:hint="eastAsia"/>
            <w:lang w:eastAsia="zh-CN"/>
          </w:rPr>
          <w:t>(三)、文档存档与归档</w:t>
        </w:r>
        <w:r>
          <w:tab/>
        </w:r>
        <w:r>
          <w:fldChar w:fldCharType="begin"/>
        </w:r>
        <w:r>
          <w:instrText xml:space="preserve"> PAGEREF _Toc10609 \h </w:instrText>
        </w:r>
        <w:r>
          <w:fldChar w:fldCharType="separate"/>
        </w:r>
        <w:r>
          <w:t>11</w:t>
        </w:r>
        <w:r>
          <w:fldChar w:fldCharType="end"/>
        </w:r>
      </w:hyperlink>
    </w:p>
    <w:p>
      <w:pPr>
        <w:pStyle w:val="TOC1"/>
        <w:tabs>
          <w:tab w:val="right" w:leader="dot" w:pos="8306"/>
        </w:tabs>
      </w:pPr>
      <w:hyperlink w:anchor="_Toc15477" w:history="1">
        <w:r>
          <w:rPr>
            <w:rFonts w:ascii="仿宋" w:eastAsia="仿宋" w:hAnsi="仿宋" w:cs="仿宋" w:hint="eastAsia"/>
            <w:lang w:eastAsia="zh-CN"/>
          </w:rPr>
          <w:t>四、增敏化学发光免疫分析仪项目选址可行性分析</w:t>
        </w:r>
        <w:r>
          <w:tab/>
        </w:r>
        <w:r>
          <w:fldChar w:fldCharType="begin"/>
        </w:r>
        <w:r>
          <w:instrText xml:space="preserve"> PAGEREF _Toc15477 \h </w:instrText>
        </w:r>
        <w:r>
          <w:fldChar w:fldCharType="separate"/>
        </w:r>
        <w:r>
          <w:t>13</w:t>
        </w:r>
        <w:r>
          <w:fldChar w:fldCharType="end"/>
        </w:r>
      </w:hyperlink>
    </w:p>
    <w:p>
      <w:pPr>
        <w:pStyle w:val="TOC2"/>
        <w:tabs>
          <w:tab w:val="right" w:leader="dot" w:pos="8306"/>
        </w:tabs>
      </w:pPr>
      <w:hyperlink w:anchor="_Toc19618" w:history="1">
        <w:r>
          <w:rPr>
            <w:rFonts w:ascii="仿宋" w:eastAsia="仿宋" w:hAnsi="仿宋" w:cs="仿宋" w:hint="eastAsia"/>
            <w:lang w:eastAsia="zh-CN"/>
          </w:rPr>
          <w:t>(一)、增敏化学发光免疫分析仪项目选址</w:t>
        </w:r>
        <w:r>
          <w:tab/>
        </w:r>
        <w:r>
          <w:fldChar w:fldCharType="begin"/>
        </w:r>
        <w:r>
          <w:instrText xml:space="preserve"> PAGEREF _Toc19618 \h </w:instrText>
        </w:r>
        <w:r>
          <w:fldChar w:fldCharType="separate"/>
        </w:r>
        <w:r>
          <w:t>13</w:t>
        </w:r>
        <w:r>
          <w:fldChar w:fldCharType="end"/>
        </w:r>
      </w:hyperlink>
    </w:p>
    <w:p>
      <w:pPr>
        <w:pStyle w:val="TOC2"/>
        <w:tabs>
          <w:tab w:val="right" w:leader="dot" w:pos="8306"/>
        </w:tabs>
      </w:pPr>
      <w:hyperlink w:anchor="_Toc13664" w:history="1">
        <w:r>
          <w:rPr>
            <w:rFonts w:ascii="仿宋" w:eastAsia="仿宋" w:hAnsi="仿宋" w:cs="仿宋" w:hint="eastAsia"/>
            <w:lang w:eastAsia="zh-CN"/>
          </w:rPr>
          <w:t>(二)、用地控制指标</w:t>
        </w:r>
        <w:r>
          <w:tab/>
        </w:r>
        <w:r>
          <w:fldChar w:fldCharType="begin"/>
        </w:r>
        <w:r>
          <w:instrText xml:space="preserve"> PAGEREF _Toc13664 \h </w:instrText>
        </w:r>
        <w:r>
          <w:fldChar w:fldCharType="separate"/>
        </w:r>
        <w:r>
          <w:t>13</w:t>
        </w:r>
        <w:r>
          <w:fldChar w:fldCharType="end"/>
        </w:r>
      </w:hyperlink>
    </w:p>
    <w:p>
      <w:pPr>
        <w:pStyle w:val="TOC2"/>
        <w:tabs>
          <w:tab w:val="right" w:leader="dot" w:pos="8306"/>
        </w:tabs>
      </w:pPr>
      <w:hyperlink w:anchor="_Toc4227" w:history="1">
        <w:r>
          <w:rPr>
            <w:rFonts w:ascii="仿宋" w:eastAsia="仿宋" w:hAnsi="仿宋" w:cs="仿宋" w:hint="eastAsia"/>
            <w:lang w:eastAsia="zh-CN"/>
          </w:rPr>
          <w:t>(三)、节约用地措施</w:t>
        </w:r>
        <w:r>
          <w:tab/>
        </w:r>
        <w:r>
          <w:fldChar w:fldCharType="begin"/>
        </w:r>
        <w:r>
          <w:instrText xml:space="preserve"> PAGEREF _Toc4227 \h </w:instrText>
        </w:r>
        <w:r>
          <w:fldChar w:fldCharType="separate"/>
        </w:r>
        <w:r>
          <w:t>15</w:t>
        </w:r>
        <w:r>
          <w:fldChar w:fldCharType="end"/>
        </w:r>
      </w:hyperlink>
    </w:p>
    <w:p>
      <w:pPr>
        <w:pStyle w:val="TOC2"/>
        <w:tabs>
          <w:tab w:val="right" w:leader="dot" w:pos="8306"/>
        </w:tabs>
      </w:pPr>
      <w:hyperlink w:anchor="_Toc23412" w:history="1">
        <w:r>
          <w:rPr>
            <w:rFonts w:ascii="仿宋" w:eastAsia="仿宋" w:hAnsi="仿宋" w:cs="仿宋" w:hint="eastAsia"/>
            <w:lang w:eastAsia="zh-CN"/>
          </w:rPr>
          <w:t>(四)、总图布置方案</w:t>
        </w:r>
        <w:r>
          <w:tab/>
        </w:r>
        <w:r>
          <w:fldChar w:fldCharType="begin"/>
        </w:r>
        <w:r>
          <w:instrText xml:space="preserve"> PAGEREF _Toc23412 \h </w:instrText>
        </w:r>
        <w:r>
          <w:fldChar w:fldCharType="separate"/>
        </w:r>
        <w:r>
          <w:t>16</w:t>
        </w:r>
        <w:r>
          <w:fldChar w:fldCharType="end"/>
        </w:r>
      </w:hyperlink>
    </w:p>
    <w:p>
      <w:pPr>
        <w:pStyle w:val="TOC2"/>
        <w:tabs>
          <w:tab w:val="right" w:leader="dot" w:pos="8306"/>
        </w:tabs>
      </w:pPr>
      <w:hyperlink w:anchor="_Toc20547" w:history="1">
        <w:r>
          <w:rPr>
            <w:rFonts w:ascii="仿宋" w:eastAsia="仿宋" w:hAnsi="仿宋" w:cs="仿宋" w:hint="eastAsia"/>
            <w:lang w:eastAsia="zh-CN"/>
          </w:rPr>
          <w:t>(五)、选址综合评价</w:t>
        </w:r>
        <w:r>
          <w:tab/>
        </w:r>
        <w:r>
          <w:fldChar w:fldCharType="begin"/>
        </w:r>
        <w:r>
          <w:instrText xml:space="preserve"> PAGEREF _Toc20547 \h </w:instrText>
        </w:r>
        <w:r>
          <w:fldChar w:fldCharType="separate"/>
        </w:r>
        <w:r>
          <w:t>17</w:t>
        </w:r>
        <w:r>
          <w:fldChar w:fldCharType="end"/>
        </w:r>
      </w:hyperlink>
    </w:p>
    <w:p>
      <w:pPr>
        <w:pStyle w:val="TOC1"/>
        <w:tabs>
          <w:tab w:val="right" w:leader="dot" w:pos="8306"/>
        </w:tabs>
      </w:pPr>
      <w:hyperlink w:anchor="_Toc28904" w:history="1">
        <w:r>
          <w:rPr>
            <w:rFonts w:ascii="仿宋" w:eastAsia="仿宋" w:hAnsi="仿宋" w:cs="仿宋" w:hint="eastAsia"/>
            <w:lang w:eastAsia="zh-CN"/>
          </w:rPr>
          <w:t>五、增敏化学发光免疫分析仪项目危机管理</w:t>
        </w:r>
        <w:r>
          <w:tab/>
        </w:r>
        <w:r>
          <w:fldChar w:fldCharType="begin"/>
        </w:r>
        <w:r>
          <w:instrText xml:space="preserve"> PAGEREF _Toc28904 \h </w:instrText>
        </w:r>
        <w:r>
          <w:fldChar w:fldCharType="separate"/>
        </w:r>
        <w:r>
          <w:t>18</w:t>
        </w:r>
        <w:r>
          <w:fldChar w:fldCharType="end"/>
        </w:r>
      </w:hyperlink>
    </w:p>
    <w:p>
      <w:pPr>
        <w:pStyle w:val="TOC2"/>
        <w:tabs>
          <w:tab w:val="right" w:leader="dot" w:pos="8306"/>
        </w:tabs>
      </w:pPr>
      <w:hyperlink w:anchor="_Toc20978" w:history="1">
        <w:r>
          <w:rPr>
            <w:rFonts w:ascii="仿宋" w:eastAsia="仿宋" w:hAnsi="仿宋" w:cs="仿宋" w:hint="eastAsia"/>
            <w:lang w:eastAsia="zh-CN"/>
          </w:rPr>
          <w:t>(一)、危机预警与识别</w:t>
        </w:r>
        <w:r>
          <w:tab/>
        </w:r>
        <w:r>
          <w:fldChar w:fldCharType="begin"/>
        </w:r>
        <w:r>
          <w:instrText xml:space="preserve"> PAGEREF _Toc20978 \h </w:instrText>
        </w:r>
        <w:r>
          <w:fldChar w:fldCharType="separate"/>
        </w:r>
        <w:r>
          <w:t>18</w:t>
        </w:r>
        <w:r>
          <w:fldChar w:fldCharType="end"/>
        </w:r>
      </w:hyperlink>
    </w:p>
    <w:p>
      <w:pPr>
        <w:pStyle w:val="TOC2"/>
        <w:tabs>
          <w:tab w:val="right" w:leader="dot" w:pos="8306"/>
        </w:tabs>
      </w:pPr>
      <w:hyperlink w:anchor="_Toc25943" w:history="1">
        <w:r>
          <w:rPr>
            <w:rFonts w:ascii="仿宋" w:eastAsia="仿宋" w:hAnsi="仿宋" w:cs="仿宋" w:hint="eastAsia"/>
            <w:lang w:eastAsia="zh-CN"/>
          </w:rPr>
          <w:t>(二)、危机应对与恢复</w:t>
        </w:r>
        <w:r>
          <w:tab/>
        </w:r>
        <w:r>
          <w:fldChar w:fldCharType="begin"/>
        </w:r>
        <w:r>
          <w:instrText xml:space="preserve"> PAGEREF _Toc25943 \h </w:instrText>
        </w:r>
        <w:r>
          <w:fldChar w:fldCharType="separate"/>
        </w:r>
        <w:r>
          <w:t>19</w:t>
        </w:r>
        <w:r>
          <w:fldChar w:fldCharType="end"/>
        </w:r>
      </w:hyperlink>
    </w:p>
    <w:p>
      <w:pPr>
        <w:pStyle w:val="TOC1"/>
        <w:tabs>
          <w:tab w:val="right" w:leader="dot" w:pos="8306"/>
        </w:tabs>
      </w:pPr>
      <w:hyperlink w:anchor="_Toc18763" w:history="1">
        <w:r>
          <w:rPr>
            <w:rFonts w:ascii="仿宋" w:eastAsia="仿宋" w:hAnsi="仿宋" w:cs="仿宋" w:hint="eastAsia"/>
            <w:lang w:eastAsia="zh-CN"/>
          </w:rPr>
          <w:t>六、增敏化学发光免疫分析仪项目建设背景及必要性分析</w:t>
        </w:r>
        <w:r>
          <w:tab/>
        </w:r>
        <w:r>
          <w:fldChar w:fldCharType="begin"/>
        </w:r>
        <w:r>
          <w:instrText xml:space="preserve"> PAGEREF _Toc18763 \h </w:instrText>
        </w:r>
        <w:r>
          <w:fldChar w:fldCharType="separate"/>
        </w:r>
        <w:r>
          <w:t>21</w:t>
        </w:r>
        <w:r>
          <w:fldChar w:fldCharType="end"/>
        </w:r>
      </w:hyperlink>
    </w:p>
    <w:p>
      <w:pPr>
        <w:pStyle w:val="TOC2"/>
        <w:tabs>
          <w:tab w:val="right" w:leader="dot" w:pos="8306"/>
        </w:tabs>
      </w:pPr>
      <w:hyperlink w:anchor="_Toc15866" w:history="1">
        <w:r>
          <w:rPr>
            <w:rFonts w:ascii="仿宋" w:eastAsia="仿宋" w:hAnsi="仿宋" w:cs="仿宋" w:hint="eastAsia"/>
            <w:lang w:eastAsia="zh-CN"/>
          </w:rPr>
          <w:t>(一)、增敏化学发光免疫分析仪项目背景分析</w:t>
        </w:r>
        <w:r>
          <w:tab/>
        </w:r>
        <w:r>
          <w:fldChar w:fldCharType="begin"/>
        </w:r>
        <w:r>
          <w:instrText xml:space="preserve"> PAGEREF _Toc15866 \h </w:instrText>
        </w:r>
        <w:r>
          <w:fldChar w:fldCharType="separate"/>
        </w:r>
        <w:r>
          <w:t>21</w:t>
        </w:r>
        <w:r>
          <w:fldChar w:fldCharType="end"/>
        </w:r>
      </w:hyperlink>
    </w:p>
    <w:p>
      <w:pPr>
        <w:pStyle w:val="TOC2"/>
        <w:tabs>
          <w:tab w:val="right" w:leader="dot" w:pos="8306"/>
        </w:tabs>
      </w:pPr>
      <w:hyperlink w:anchor="_Toc19838" w:history="1">
        <w:r>
          <w:rPr>
            <w:rFonts w:ascii="仿宋" w:eastAsia="仿宋" w:hAnsi="仿宋" w:cs="仿宋" w:hint="eastAsia"/>
            <w:lang w:eastAsia="zh-CN"/>
          </w:rPr>
          <w:t>(二)、增敏化学发光免疫分析仪项目建设必要性分析</w:t>
        </w:r>
        <w:r>
          <w:tab/>
        </w:r>
        <w:r>
          <w:fldChar w:fldCharType="begin"/>
        </w:r>
        <w:r>
          <w:instrText xml:space="preserve"> PAGEREF _Toc19838 \h </w:instrText>
        </w:r>
        <w:r>
          <w:fldChar w:fldCharType="separate"/>
        </w:r>
        <w:r>
          <w:t>23</w:t>
        </w:r>
        <w:r>
          <w:fldChar w:fldCharType="end"/>
        </w:r>
      </w:hyperlink>
    </w:p>
    <w:p>
      <w:pPr>
        <w:pStyle w:val="TOC1"/>
        <w:tabs>
          <w:tab w:val="right" w:leader="dot" w:pos="8306"/>
        </w:tabs>
      </w:pPr>
      <w:hyperlink w:anchor="_Toc10411" w:history="1">
        <w:r>
          <w:rPr>
            <w:rFonts w:ascii="仿宋" w:eastAsia="仿宋" w:hAnsi="仿宋" w:cs="仿宋" w:hint="eastAsia"/>
            <w:lang w:eastAsia="zh-CN"/>
          </w:rPr>
          <w:t>七、增敏化学发光免疫分析仪项目技术管理</w:t>
        </w:r>
        <w:r>
          <w:tab/>
        </w:r>
        <w:r>
          <w:fldChar w:fldCharType="begin"/>
        </w:r>
        <w:r>
          <w:instrText xml:space="preserve"> PAGEREF _Toc10411 \h </w:instrText>
        </w:r>
        <w:r>
          <w:fldChar w:fldCharType="separate"/>
        </w:r>
        <w:r>
          <w:t>24</w:t>
        </w:r>
        <w:r>
          <w:fldChar w:fldCharType="end"/>
        </w:r>
      </w:hyperlink>
    </w:p>
    <w:p>
      <w:pPr>
        <w:pStyle w:val="TOC2"/>
        <w:tabs>
          <w:tab w:val="right" w:leader="dot" w:pos="8306"/>
        </w:tabs>
      </w:pPr>
      <w:hyperlink w:anchor="_Toc17061" w:history="1">
        <w:r>
          <w:rPr>
            <w:rFonts w:ascii="仿宋" w:eastAsia="仿宋" w:hAnsi="仿宋" w:cs="仿宋" w:hint="eastAsia"/>
            <w:lang w:eastAsia="zh-CN"/>
          </w:rPr>
          <w:t>(一)、技术方案选用方向</w:t>
        </w:r>
        <w:r>
          <w:tab/>
        </w:r>
        <w:r>
          <w:fldChar w:fldCharType="begin"/>
        </w:r>
        <w:r>
          <w:instrText xml:space="preserve"> PAGEREF _Toc17061 \h </w:instrText>
        </w:r>
        <w:r>
          <w:fldChar w:fldCharType="separate"/>
        </w:r>
        <w:r>
          <w:t>24</w:t>
        </w:r>
        <w:r>
          <w:fldChar w:fldCharType="end"/>
        </w:r>
      </w:hyperlink>
    </w:p>
    <w:p>
      <w:pPr>
        <w:pStyle w:val="TOC2"/>
        <w:tabs>
          <w:tab w:val="right" w:leader="dot" w:pos="8306"/>
        </w:tabs>
      </w:pPr>
      <w:hyperlink w:anchor="_Toc22566" w:history="1">
        <w:r>
          <w:rPr>
            <w:rFonts w:ascii="仿宋" w:eastAsia="仿宋" w:hAnsi="仿宋" w:cs="仿宋" w:hint="eastAsia"/>
            <w:lang w:eastAsia="zh-CN"/>
          </w:rPr>
          <w:t>(二)、工艺技术方案选用原则</w:t>
        </w:r>
        <w:r>
          <w:tab/>
        </w:r>
        <w:r>
          <w:fldChar w:fldCharType="begin"/>
        </w:r>
        <w:r>
          <w:instrText xml:space="preserve"> PAGEREF _Toc22566 \h </w:instrText>
        </w:r>
        <w:r>
          <w:fldChar w:fldCharType="separate"/>
        </w:r>
        <w:r>
          <w:t>26</w:t>
        </w:r>
        <w:r>
          <w:fldChar w:fldCharType="end"/>
        </w:r>
      </w:hyperlink>
    </w:p>
    <w:p>
      <w:pPr>
        <w:pStyle w:val="TOC2"/>
        <w:tabs>
          <w:tab w:val="right" w:leader="dot" w:pos="8306"/>
        </w:tabs>
      </w:pPr>
      <w:hyperlink w:anchor="_Toc31625" w:history="1">
        <w:r>
          <w:rPr>
            <w:rFonts w:ascii="仿宋" w:eastAsia="仿宋" w:hAnsi="仿宋" w:cs="仿宋" w:hint="eastAsia"/>
            <w:lang w:eastAsia="zh-CN"/>
          </w:rPr>
          <w:t>(三)、工艺技术方案要求</w:t>
        </w:r>
        <w:r>
          <w:tab/>
        </w:r>
        <w:r>
          <w:fldChar w:fldCharType="begin"/>
        </w:r>
        <w:r>
          <w:instrText xml:space="preserve"> PAGEREF _Toc31625 \h </w:instrText>
        </w:r>
        <w:r>
          <w:fldChar w:fldCharType="separate"/>
        </w:r>
        <w:r>
          <w:t>28</w:t>
        </w:r>
        <w:r>
          <w:fldChar w:fldCharType="end"/>
        </w:r>
      </w:hyperlink>
    </w:p>
    <w:p>
      <w:pPr>
        <w:pStyle w:val="TOC1"/>
        <w:tabs>
          <w:tab w:val="right" w:leader="dot" w:pos="8306"/>
        </w:tabs>
      </w:pPr>
      <w:hyperlink w:anchor="_Toc31516" w:history="1">
        <w:r>
          <w:rPr>
            <w:rFonts w:ascii="仿宋" w:eastAsia="仿宋" w:hAnsi="仿宋" w:cs="仿宋" w:hint="eastAsia"/>
            <w:lang w:eastAsia="zh-CN"/>
          </w:rPr>
          <w:t>八、增敏化学发光免疫分析仪项目财务管理</w:t>
        </w:r>
        <w:r>
          <w:tab/>
        </w:r>
        <w:r>
          <w:fldChar w:fldCharType="begin"/>
        </w:r>
        <w:r>
          <w:instrText xml:space="preserve"> PAGEREF _Toc31516 \h </w:instrText>
        </w:r>
        <w:r>
          <w:fldChar w:fldCharType="separate"/>
        </w:r>
        <w:r>
          <w:t>31</w:t>
        </w:r>
        <w:r>
          <w:fldChar w:fldCharType="end"/>
        </w:r>
      </w:hyperlink>
    </w:p>
    <w:p>
      <w:pPr>
        <w:pStyle w:val="TOC2"/>
        <w:tabs>
          <w:tab w:val="right" w:leader="dot" w:pos="8306"/>
        </w:tabs>
      </w:pPr>
      <w:hyperlink w:anchor="_Toc16094" w:history="1">
        <w:r>
          <w:rPr>
            <w:rFonts w:ascii="仿宋" w:eastAsia="仿宋" w:hAnsi="仿宋" w:cs="仿宋" w:hint="eastAsia"/>
            <w:lang w:eastAsia="zh-CN"/>
          </w:rPr>
          <w:t>(一)、资金需求大</w:t>
        </w:r>
        <w:r>
          <w:tab/>
        </w:r>
        <w:r>
          <w:fldChar w:fldCharType="begin"/>
        </w:r>
        <w:r>
          <w:instrText xml:space="preserve"> PAGEREF _Toc16094 \h </w:instrText>
        </w:r>
        <w:r>
          <w:fldChar w:fldCharType="separate"/>
        </w:r>
        <w:r>
          <w:t>31</w:t>
        </w:r>
        <w:r>
          <w:fldChar w:fldCharType="end"/>
        </w:r>
      </w:hyperlink>
    </w:p>
    <w:p>
      <w:pPr>
        <w:pStyle w:val="TOC2"/>
        <w:tabs>
          <w:tab w:val="right" w:leader="dot" w:pos="8306"/>
        </w:tabs>
      </w:pPr>
      <w:hyperlink w:anchor="_Toc27925" w:history="1">
        <w:r>
          <w:rPr>
            <w:rFonts w:ascii="仿宋" w:eastAsia="仿宋" w:hAnsi="仿宋" w:cs="仿宋" w:hint="eastAsia"/>
            <w:lang w:eastAsia="zh-CN"/>
          </w:rPr>
          <w:t>(二)、研发周期长</w:t>
        </w:r>
        <w:r>
          <w:tab/>
        </w:r>
        <w:r>
          <w:fldChar w:fldCharType="begin"/>
        </w:r>
        <w:r>
          <w:instrText xml:space="preserve"> PAGEREF _Toc27925 \h </w:instrText>
        </w:r>
        <w:r>
          <w:fldChar w:fldCharType="separate"/>
        </w:r>
        <w:r>
          <w:t>32</w:t>
        </w:r>
        <w:r>
          <w:fldChar w:fldCharType="end"/>
        </w:r>
      </w:hyperlink>
    </w:p>
    <w:p>
      <w:pPr>
        <w:pStyle w:val="TOC2"/>
        <w:tabs>
          <w:tab w:val="right" w:leader="dot" w:pos="8306"/>
        </w:tabs>
      </w:pPr>
      <w:hyperlink w:anchor="_Toc29480" w:history="1">
        <w:r>
          <w:rPr>
            <w:rFonts w:ascii="仿宋" w:eastAsia="仿宋" w:hAnsi="仿宋" w:cs="仿宋" w:hint="eastAsia"/>
            <w:lang w:eastAsia="zh-CN"/>
          </w:rPr>
          <w:t>(三)、市场风险大</w:t>
        </w:r>
        <w:r>
          <w:tab/>
        </w:r>
        <w:r>
          <w:fldChar w:fldCharType="begin"/>
        </w:r>
        <w:r>
          <w:instrText xml:space="preserve"> PAGEREF _Toc29480 \h </w:instrText>
        </w:r>
        <w:r>
          <w:fldChar w:fldCharType="separate"/>
        </w:r>
        <w:r>
          <w:t>33</w:t>
        </w:r>
        <w:r>
          <w:fldChar w:fldCharType="end"/>
        </w:r>
      </w:hyperlink>
    </w:p>
    <w:p>
      <w:pPr>
        <w:pStyle w:val="TOC2"/>
        <w:tabs>
          <w:tab w:val="right" w:leader="dot" w:pos="8306"/>
        </w:tabs>
      </w:pPr>
      <w:hyperlink w:anchor="_Toc30520" w:history="1">
        <w:r>
          <w:rPr>
            <w:rFonts w:ascii="仿宋" w:eastAsia="仿宋" w:hAnsi="仿宋" w:cs="仿宋" w:hint="eastAsia"/>
            <w:lang w:eastAsia="zh-CN"/>
          </w:rPr>
          <w:t>(四)、利润率高</w:t>
        </w:r>
        <w:r>
          <w:tab/>
        </w:r>
        <w:r>
          <w:fldChar w:fldCharType="begin"/>
        </w:r>
        <w:r>
          <w:instrText xml:space="preserve"> PAGEREF _Toc30520 \h </w:instrText>
        </w:r>
        <w:r>
          <w:fldChar w:fldCharType="separate"/>
        </w:r>
        <w:r>
          <w:t>36</w:t>
        </w:r>
        <w:r>
          <w:fldChar w:fldCharType="end"/>
        </w:r>
      </w:hyperlink>
    </w:p>
    <w:p>
      <w:pPr>
        <w:pStyle w:val="TOC1"/>
        <w:tabs>
          <w:tab w:val="right" w:leader="dot" w:pos="8306"/>
        </w:tabs>
      </w:pPr>
      <w:hyperlink w:anchor="_Toc3803" w:history="1">
        <w:r>
          <w:rPr>
            <w:rFonts w:ascii="仿宋" w:eastAsia="仿宋" w:hAnsi="仿宋" w:cs="仿宋" w:hint="eastAsia"/>
            <w:lang w:eastAsia="zh-CN"/>
          </w:rPr>
          <w:t>九、增敏化学发光免疫分析仪项目创新与研发</w:t>
        </w:r>
        <w:r>
          <w:tab/>
        </w:r>
        <w:r>
          <w:fldChar w:fldCharType="begin"/>
        </w:r>
        <w:r>
          <w:instrText xml:space="preserve"> PAGEREF _Toc3803 \h </w:instrText>
        </w:r>
        <w:r>
          <w:fldChar w:fldCharType="separate"/>
        </w:r>
        <w:r>
          <w:t>38</w:t>
        </w:r>
        <w:r>
          <w:fldChar w:fldCharType="end"/>
        </w:r>
      </w:hyperlink>
    </w:p>
    <w:p>
      <w:pPr>
        <w:pStyle w:val="TOC2"/>
        <w:tabs>
          <w:tab w:val="right" w:leader="dot" w:pos="8306"/>
        </w:tabs>
      </w:pPr>
      <w:hyperlink w:anchor="_Toc26733" w:history="1">
        <w:r>
          <w:rPr>
            <w:rFonts w:ascii="仿宋" w:eastAsia="仿宋" w:hAnsi="仿宋" w:cs="仿宋" w:hint="eastAsia"/>
            <w:lang w:eastAsia="zh-CN"/>
          </w:rPr>
          <w:t>(一)、创新策略与方向</w:t>
        </w:r>
        <w:r>
          <w:tab/>
        </w:r>
        <w:r>
          <w:fldChar w:fldCharType="begin"/>
        </w:r>
        <w:r>
          <w:instrText xml:space="preserve"> PAGEREF _Toc26733 \h </w:instrText>
        </w:r>
        <w:r>
          <w:fldChar w:fldCharType="separate"/>
        </w:r>
        <w:r>
          <w:t>38</w:t>
        </w:r>
        <w:r>
          <w:fldChar w:fldCharType="end"/>
        </w:r>
      </w:hyperlink>
    </w:p>
    <w:p>
      <w:pPr>
        <w:pStyle w:val="TOC2"/>
        <w:tabs>
          <w:tab w:val="right" w:leader="dot" w:pos="8306"/>
        </w:tabs>
      </w:pPr>
      <w:hyperlink w:anchor="_Toc5754" w:history="1">
        <w:r>
          <w:rPr>
            <w:rFonts w:ascii="仿宋" w:eastAsia="仿宋" w:hAnsi="仿宋" w:cs="仿宋" w:hint="eastAsia"/>
            <w:lang w:eastAsia="zh-CN"/>
          </w:rPr>
          <w:t>(二)、研发规划与投入</w:t>
        </w:r>
        <w:r>
          <w:tab/>
        </w:r>
        <w:r>
          <w:fldChar w:fldCharType="begin"/>
        </w:r>
        <w:r>
          <w:instrText xml:space="preserve"> PAGEREF _Toc5754 \h </w:instrText>
        </w:r>
        <w:r>
          <w:fldChar w:fldCharType="separate"/>
        </w:r>
        <w:r>
          <w:t>40</w:t>
        </w:r>
        <w:r>
          <w:fldChar w:fldCharType="end"/>
        </w:r>
      </w:hyperlink>
    </w:p>
    <w:p>
      <w:pPr>
        <w:pStyle w:val="TOC1"/>
        <w:tabs>
          <w:tab w:val="right" w:leader="dot" w:pos="8306"/>
        </w:tabs>
      </w:pPr>
      <w:hyperlink w:anchor="_Toc18294" w:history="1">
        <w:r>
          <w:rPr>
            <w:rFonts w:ascii="仿宋" w:eastAsia="仿宋" w:hAnsi="仿宋" w:cs="仿宋" w:hint="eastAsia"/>
            <w:lang w:eastAsia="zh-CN"/>
          </w:rPr>
          <w:t>十、增敏化学发光免疫分析仪项目风险管理</w:t>
        </w:r>
        <w:r>
          <w:tab/>
        </w:r>
        <w:r>
          <w:fldChar w:fldCharType="begin"/>
        </w:r>
        <w:r>
          <w:instrText xml:space="preserve"> PAGEREF _Toc18294 \h </w:instrText>
        </w:r>
        <w:r>
          <w:fldChar w:fldCharType="separate"/>
        </w:r>
        <w:r>
          <w:t>42</w:t>
        </w:r>
        <w:r>
          <w:fldChar w:fldCharType="end"/>
        </w:r>
      </w:hyperlink>
    </w:p>
    <w:p>
      <w:pPr>
        <w:pStyle w:val="TOC2"/>
        <w:tabs>
          <w:tab w:val="right" w:leader="dot" w:pos="8306"/>
        </w:tabs>
      </w:pPr>
      <w:hyperlink w:anchor="_Toc199" w:history="1">
        <w:r>
          <w:rPr>
            <w:rFonts w:ascii="仿宋" w:eastAsia="仿宋" w:hAnsi="仿宋" w:cs="仿宋" w:hint="eastAsia"/>
            <w:lang w:eastAsia="zh-CN"/>
          </w:rPr>
          <w:t>(一)、风险识别与评估</w:t>
        </w:r>
        <w:r>
          <w:tab/>
        </w:r>
        <w:r>
          <w:fldChar w:fldCharType="begin"/>
        </w:r>
        <w:r>
          <w:instrText xml:space="preserve"> PAGEREF _Toc199 \h </w:instrText>
        </w:r>
        <w:r>
          <w:fldChar w:fldCharType="separate"/>
        </w:r>
        <w:r>
          <w:t>42</w:t>
        </w:r>
        <w:r>
          <w:fldChar w:fldCharType="end"/>
        </w:r>
      </w:hyperlink>
    </w:p>
    <w:p>
      <w:pPr>
        <w:pStyle w:val="TOC2"/>
        <w:tabs>
          <w:tab w:val="right" w:leader="dot" w:pos="8306"/>
        </w:tabs>
      </w:pPr>
      <w:hyperlink w:anchor="_Toc14069" w:history="1">
        <w:r>
          <w:rPr>
            <w:rFonts w:ascii="仿宋" w:eastAsia="仿宋" w:hAnsi="仿宋" w:cs="仿宋" w:hint="eastAsia"/>
            <w:lang w:eastAsia="zh-CN"/>
          </w:rPr>
          <w:t>(二)、风险应对策略</w:t>
        </w:r>
        <w:r>
          <w:tab/>
        </w:r>
        <w:r>
          <w:fldChar w:fldCharType="begin"/>
        </w:r>
        <w:r>
          <w:instrText xml:space="preserve"> PAGEREF _Toc14069 \h </w:instrText>
        </w:r>
        <w:r>
          <w:fldChar w:fldCharType="separate"/>
        </w:r>
        <w:r>
          <w:t>43</w:t>
        </w:r>
        <w:r>
          <w:fldChar w:fldCharType="end"/>
        </w:r>
      </w:hyperlink>
    </w:p>
    <w:p>
      <w:pPr>
        <w:pStyle w:val="TOC2"/>
        <w:tabs>
          <w:tab w:val="right" w:leader="dot" w:pos="8306"/>
        </w:tabs>
      </w:pPr>
      <w:hyperlink w:anchor="_Toc22841" w:history="1">
        <w:r>
          <w:rPr>
            <w:rFonts w:ascii="仿宋" w:eastAsia="仿宋" w:hAnsi="仿宋" w:cs="仿宋" w:hint="eastAsia"/>
            <w:lang w:eastAsia="zh-CN"/>
          </w:rPr>
          <w:t>(三)、风险监控与控制</w:t>
        </w:r>
        <w:r>
          <w:tab/>
        </w:r>
        <w:r>
          <w:fldChar w:fldCharType="begin"/>
        </w:r>
        <w:r>
          <w:instrText xml:space="preserve"> PAGEREF _Toc22841 \h </w:instrText>
        </w:r>
        <w:r>
          <w:fldChar w:fldCharType="separate"/>
        </w:r>
        <w:r>
          <w:t>45</w:t>
        </w:r>
        <w:r>
          <w:fldChar w:fldCharType="end"/>
        </w:r>
      </w:hyperlink>
    </w:p>
    <w:p>
      <w:pPr>
        <w:pStyle w:val="TOC1"/>
        <w:tabs>
          <w:tab w:val="right" w:leader="dot" w:pos="8306"/>
        </w:tabs>
      </w:pPr>
      <w:hyperlink w:anchor="_Toc8823" w:history="1">
        <w:r>
          <w:rPr>
            <w:rFonts w:ascii="仿宋" w:eastAsia="仿宋" w:hAnsi="仿宋" w:cs="仿宋" w:hint="eastAsia"/>
            <w:lang w:eastAsia="zh-CN"/>
          </w:rPr>
          <w:t>十一、增敏化学发光免疫分析仪项目计划安排</w:t>
        </w:r>
        <w:r>
          <w:tab/>
        </w:r>
        <w:r>
          <w:fldChar w:fldCharType="begin"/>
        </w:r>
        <w:r>
          <w:instrText xml:space="preserve"> PAGEREF _Toc8823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68" w:history="1">
        <w:r>
          <w:rPr>
            <w:rFonts w:ascii="仿宋" w:eastAsia="仿宋" w:hAnsi="仿宋" w:cs="仿宋" w:hint="eastAsia"/>
            <w:lang w:eastAsia="zh-CN"/>
          </w:rPr>
          <w:t>(一)、建设周期</w:t>
        </w:r>
        <w:r>
          <w:tab/>
        </w:r>
        <w:r>
          <w:fldChar w:fldCharType="begin"/>
        </w:r>
        <w:r>
          <w:instrText xml:space="preserve"> PAGEREF _Toc31568 \h </w:instrText>
        </w:r>
        <w:r>
          <w:fldChar w:fldCharType="separate"/>
        </w:r>
        <w:r>
          <w:t>46</w:t>
        </w:r>
        <w:r>
          <w:fldChar w:fldCharType="end"/>
        </w:r>
      </w:hyperlink>
    </w:p>
    <w:p>
      <w:pPr>
        <w:pStyle w:val="TOC2"/>
        <w:tabs>
          <w:tab w:val="right" w:leader="dot" w:pos="8306"/>
        </w:tabs>
      </w:pPr>
      <w:hyperlink w:anchor="_Toc17658" w:history="1">
        <w:r>
          <w:rPr>
            <w:rFonts w:ascii="仿宋" w:eastAsia="仿宋" w:hAnsi="仿宋" w:cs="仿宋" w:hint="eastAsia"/>
            <w:lang w:eastAsia="zh-CN"/>
          </w:rPr>
          <w:t>(二)、建设进度</w:t>
        </w:r>
        <w:r>
          <w:tab/>
        </w:r>
        <w:r>
          <w:fldChar w:fldCharType="begin"/>
        </w:r>
        <w:r>
          <w:instrText xml:space="preserve"> PAGEREF _Toc17658 \h </w:instrText>
        </w:r>
        <w:r>
          <w:fldChar w:fldCharType="separate"/>
        </w:r>
        <w:r>
          <w:t>47</w:t>
        </w:r>
        <w:r>
          <w:fldChar w:fldCharType="end"/>
        </w:r>
      </w:hyperlink>
    </w:p>
    <w:p>
      <w:pPr>
        <w:pStyle w:val="TOC2"/>
        <w:tabs>
          <w:tab w:val="right" w:leader="dot" w:pos="8306"/>
        </w:tabs>
      </w:pPr>
      <w:hyperlink w:anchor="_Toc21902" w:history="1">
        <w:r>
          <w:rPr>
            <w:rFonts w:ascii="仿宋" w:eastAsia="仿宋" w:hAnsi="仿宋" w:cs="仿宋" w:hint="eastAsia"/>
            <w:lang w:eastAsia="zh-CN"/>
          </w:rPr>
          <w:t>(三)、进度安排注意事项</w:t>
        </w:r>
        <w:r>
          <w:tab/>
        </w:r>
        <w:r>
          <w:fldChar w:fldCharType="begin"/>
        </w:r>
        <w:r>
          <w:instrText xml:space="preserve"> PAGEREF _Toc21902 \h </w:instrText>
        </w:r>
        <w:r>
          <w:fldChar w:fldCharType="separate"/>
        </w:r>
        <w:r>
          <w:t>48</w:t>
        </w:r>
        <w:r>
          <w:fldChar w:fldCharType="end"/>
        </w:r>
      </w:hyperlink>
    </w:p>
    <w:p>
      <w:pPr>
        <w:pStyle w:val="TOC2"/>
        <w:tabs>
          <w:tab w:val="right" w:leader="dot" w:pos="8306"/>
        </w:tabs>
      </w:pPr>
      <w:hyperlink w:anchor="_Toc23691" w:history="1">
        <w:r>
          <w:rPr>
            <w:rFonts w:ascii="仿宋" w:eastAsia="仿宋" w:hAnsi="仿宋" w:cs="仿宋" w:hint="eastAsia"/>
            <w:lang w:eastAsia="zh-CN"/>
          </w:rPr>
          <w:t>(四)、人力资源配置</w:t>
        </w:r>
        <w:r>
          <w:tab/>
        </w:r>
        <w:r>
          <w:fldChar w:fldCharType="begin"/>
        </w:r>
        <w:r>
          <w:instrText xml:space="preserve"> PAGEREF _Toc23691 \h </w:instrText>
        </w:r>
        <w:r>
          <w:fldChar w:fldCharType="separate"/>
        </w:r>
        <w:r>
          <w:t>50</w:t>
        </w:r>
        <w:r>
          <w:fldChar w:fldCharType="end"/>
        </w:r>
      </w:hyperlink>
    </w:p>
    <w:p>
      <w:pPr>
        <w:pStyle w:val="TOC1"/>
        <w:tabs>
          <w:tab w:val="right" w:leader="dot" w:pos="8306"/>
        </w:tabs>
      </w:pPr>
      <w:hyperlink w:anchor="_Toc22803" w:history="1">
        <w:r>
          <w:rPr>
            <w:rFonts w:ascii="仿宋" w:eastAsia="仿宋" w:hAnsi="仿宋" w:cs="仿宋" w:hint="eastAsia"/>
            <w:lang w:eastAsia="zh-CN"/>
          </w:rPr>
          <w:t>十二、增敏化学发光免疫分析仪项目投资规划</w:t>
        </w:r>
        <w:r>
          <w:tab/>
        </w:r>
        <w:r>
          <w:fldChar w:fldCharType="begin"/>
        </w:r>
        <w:r>
          <w:instrText xml:space="preserve"> PAGEREF _Toc22803 \h </w:instrText>
        </w:r>
        <w:r>
          <w:fldChar w:fldCharType="separate"/>
        </w:r>
        <w:r>
          <w:t>50</w:t>
        </w:r>
        <w:r>
          <w:fldChar w:fldCharType="end"/>
        </w:r>
      </w:hyperlink>
    </w:p>
    <w:p>
      <w:pPr>
        <w:pStyle w:val="TOC2"/>
        <w:tabs>
          <w:tab w:val="right" w:leader="dot" w:pos="8306"/>
        </w:tabs>
      </w:pPr>
      <w:hyperlink w:anchor="_Toc15345" w:history="1">
        <w:r>
          <w:rPr>
            <w:rFonts w:ascii="仿宋" w:eastAsia="仿宋" w:hAnsi="仿宋" w:cs="仿宋" w:hint="eastAsia"/>
            <w:lang w:eastAsia="zh-CN"/>
          </w:rPr>
          <w:t>(一)、增敏化学发光免疫分析仪项目总投资估算</w:t>
        </w:r>
        <w:r>
          <w:tab/>
        </w:r>
        <w:r>
          <w:fldChar w:fldCharType="begin"/>
        </w:r>
        <w:r>
          <w:instrText xml:space="preserve"> PAGEREF _Toc15345 \h </w:instrText>
        </w:r>
        <w:r>
          <w:fldChar w:fldCharType="separate"/>
        </w:r>
        <w:r>
          <w:t>50</w:t>
        </w:r>
        <w:r>
          <w:fldChar w:fldCharType="end"/>
        </w:r>
      </w:hyperlink>
    </w:p>
    <w:p>
      <w:pPr>
        <w:pStyle w:val="TOC2"/>
        <w:tabs>
          <w:tab w:val="right" w:leader="dot" w:pos="8306"/>
        </w:tabs>
      </w:pPr>
      <w:hyperlink w:anchor="_Toc9002" w:history="1">
        <w:r>
          <w:rPr>
            <w:rFonts w:ascii="仿宋" w:eastAsia="仿宋" w:hAnsi="仿宋" w:cs="仿宋" w:hint="eastAsia"/>
            <w:lang w:eastAsia="zh-CN"/>
          </w:rPr>
          <w:t>(二)、资金筹措</w:t>
        </w:r>
        <w:r>
          <w:tab/>
        </w:r>
        <w:r>
          <w:fldChar w:fldCharType="begin"/>
        </w:r>
        <w:r>
          <w:instrText xml:space="preserve"> PAGEREF _Toc9002 \h </w:instrText>
        </w:r>
        <w:r>
          <w:fldChar w:fldCharType="separate"/>
        </w:r>
        <w:r>
          <w:t>52</w:t>
        </w:r>
        <w:r>
          <w:fldChar w:fldCharType="end"/>
        </w:r>
      </w:hyperlink>
    </w:p>
    <w:p>
      <w:pPr>
        <w:pStyle w:val="TOC1"/>
        <w:tabs>
          <w:tab w:val="right" w:leader="dot" w:pos="8306"/>
        </w:tabs>
      </w:pPr>
      <w:hyperlink w:anchor="_Toc12919" w:history="1">
        <w:r>
          <w:rPr>
            <w:rFonts w:ascii="仿宋" w:eastAsia="仿宋" w:hAnsi="仿宋" w:cs="仿宋" w:hint="eastAsia"/>
            <w:lang w:eastAsia="zh-CN"/>
          </w:rPr>
          <w:t>十三、供应链管理</w:t>
        </w:r>
        <w:r>
          <w:tab/>
        </w:r>
        <w:r>
          <w:fldChar w:fldCharType="begin"/>
        </w:r>
        <w:r>
          <w:instrText xml:space="preserve"> PAGEREF _Toc12919 \h </w:instrText>
        </w:r>
        <w:r>
          <w:fldChar w:fldCharType="separate"/>
        </w:r>
        <w:r>
          <w:t>52</w:t>
        </w:r>
        <w:r>
          <w:fldChar w:fldCharType="end"/>
        </w:r>
      </w:hyperlink>
    </w:p>
    <w:p>
      <w:pPr>
        <w:pStyle w:val="TOC2"/>
        <w:tabs>
          <w:tab w:val="right" w:leader="dot" w:pos="8306"/>
        </w:tabs>
      </w:pPr>
      <w:hyperlink w:anchor="_Toc6228" w:history="1">
        <w:r>
          <w:rPr>
            <w:rFonts w:ascii="仿宋" w:eastAsia="仿宋" w:hAnsi="仿宋" w:cs="仿宋" w:hint="eastAsia"/>
            <w:lang w:eastAsia="zh-CN"/>
          </w:rPr>
          <w:t>(一)、供应链战略规划</w:t>
        </w:r>
        <w:r>
          <w:tab/>
        </w:r>
        <w:r>
          <w:fldChar w:fldCharType="begin"/>
        </w:r>
        <w:r>
          <w:instrText xml:space="preserve"> PAGEREF _Toc6228 \h </w:instrText>
        </w:r>
        <w:r>
          <w:fldChar w:fldCharType="separate"/>
        </w:r>
        <w:r>
          <w:t>52</w:t>
        </w:r>
        <w:r>
          <w:fldChar w:fldCharType="end"/>
        </w:r>
      </w:hyperlink>
    </w:p>
    <w:p>
      <w:pPr>
        <w:pStyle w:val="TOC2"/>
        <w:tabs>
          <w:tab w:val="right" w:leader="dot" w:pos="8306"/>
        </w:tabs>
      </w:pPr>
      <w:hyperlink w:anchor="_Toc17245" w:history="1">
        <w:r>
          <w:rPr>
            <w:rFonts w:ascii="仿宋" w:eastAsia="仿宋" w:hAnsi="仿宋" w:cs="仿宋" w:hint="eastAsia"/>
            <w:lang w:eastAsia="zh-CN"/>
          </w:rPr>
          <w:t>(二)、供应商选择与合作</w:t>
        </w:r>
        <w:r>
          <w:tab/>
        </w:r>
        <w:r>
          <w:fldChar w:fldCharType="begin"/>
        </w:r>
        <w:r>
          <w:instrText xml:space="preserve"> PAGEREF _Toc17245 \h </w:instrText>
        </w:r>
        <w:r>
          <w:fldChar w:fldCharType="separate"/>
        </w:r>
        <w:r>
          <w:t>54</w:t>
        </w:r>
        <w:r>
          <w:fldChar w:fldCharType="end"/>
        </w:r>
      </w:hyperlink>
    </w:p>
    <w:p>
      <w:pPr>
        <w:pStyle w:val="TOC2"/>
        <w:tabs>
          <w:tab w:val="right" w:leader="dot" w:pos="8306"/>
        </w:tabs>
      </w:pPr>
      <w:hyperlink w:anchor="_Toc9362" w:history="1">
        <w:r>
          <w:rPr>
            <w:rFonts w:ascii="仿宋" w:eastAsia="仿宋" w:hAnsi="仿宋" w:cs="仿宋" w:hint="eastAsia"/>
            <w:lang w:eastAsia="zh-CN"/>
          </w:rPr>
          <w:t>(三)、物流与库存管理</w:t>
        </w:r>
        <w:r>
          <w:tab/>
        </w:r>
        <w:r>
          <w:fldChar w:fldCharType="begin"/>
        </w:r>
        <w:r>
          <w:instrText xml:space="preserve"> PAGEREF _Toc9362 \h </w:instrText>
        </w:r>
        <w:r>
          <w:fldChar w:fldCharType="separate"/>
        </w:r>
        <w:r>
          <w:t>55</w:t>
        </w:r>
        <w:r>
          <w:fldChar w:fldCharType="end"/>
        </w:r>
      </w:hyperlink>
    </w:p>
    <w:p>
      <w:pPr>
        <w:pStyle w:val="TOC1"/>
        <w:tabs>
          <w:tab w:val="right" w:leader="dot" w:pos="8306"/>
        </w:tabs>
      </w:pPr>
      <w:hyperlink w:anchor="_Toc12662" w:history="1">
        <w:r>
          <w:rPr>
            <w:rFonts w:ascii="仿宋" w:eastAsia="仿宋" w:hAnsi="仿宋" w:cs="仿宋" w:hint="eastAsia"/>
            <w:lang w:eastAsia="zh-CN"/>
          </w:rPr>
          <w:t>十四、营销与推广策略</w:t>
        </w:r>
        <w:r>
          <w:tab/>
        </w:r>
        <w:r>
          <w:fldChar w:fldCharType="begin"/>
        </w:r>
        <w:r>
          <w:instrText xml:space="preserve"> PAGEREF _Toc12662 \h </w:instrText>
        </w:r>
        <w:r>
          <w:fldChar w:fldCharType="separate"/>
        </w:r>
        <w:r>
          <w:t>57</w:t>
        </w:r>
        <w:r>
          <w:fldChar w:fldCharType="end"/>
        </w:r>
      </w:hyperlink>
    </w:p>
    <w:p>
      <w:pPr>
        <w:pStyle w:val="TOC2"/>
        <w:tabs>
          <w:tab w:val="right" w:leader="dot" w:pos="8306"/>
        </w:tabs>
      </w:pPr>
      <w:hyperlink w:anchor="_Toc13043" w:history="1">
        <w:r>
          <w:rPr>
            <w:rFonts w:ascii="仿宋" w:eastAsia="仿宋" w:hAnsi="仿宋" w:cs="仿宋" w:hint="eastAsia"/>
            <w:lang w:eastAsia="zh-CN"/>
          </w:rPr>
          <w:t>(一)、产品/服务定位与特点</w:t>
        </w:r>
        <w:r>
          <w:tab/>
        </w:r>
        <w:r>
          <w:fldChar w:fldCharType="begin"/>
        </w:r>
        <w:r>
          <w:instrText xml:space="preserve"> PAGEREF _Toc13043 \h </w:instrText>
        </w:r>
        <w:r>
          <w:fldChar w:fldCharType="separate"/>
        </w:r>
        <w:r>
          <w:t>57</w:t>
        </w:r>
        <w:r>
          <w:fldChar w:fldCharType="end"/>
        </w:r>
      </w:hyperlink>
    </w:p>
    <w:p>
      <w:pPr>
        <w:pStyle w:val="TOC2"/>
        <w:tabs>
          <w:tab w:val="right" w:leader="dot" w:pos="8306"/>
        </w:tabs>
      </w:pPr>
      <w:hyperlink w:anchor="_Toc18675" w:history="1">
        <w:r>
          <w:rPr>
            <w:rFonts w:ascii="仿宋" w:eastAsia="仿宋" w:hAnsi="仿宋" w:cs="仿宋" w:hint="eastAsia"/>
            <w:lang w:eastAsia="zh-CN"/>
          </w:rPr>
          <w:t>(二)、市场定位与竞争分析</w:t>
        </w:r>
        <w:r>
          <w:tab/>
        </w:r>
        <w:r>
          <w:fldChar w:fldCharType="begin"/>
        </w:r>
        <w:r>
          <w:instrText xml:space="preserve"> PAGEREF _Toc18675 \h </w:instrText>
        </w:r>
        <w:r>
          <w:fldChar w:fldCharType="separate"/>
        </w:r>
        <w:r>
          <w:t>58</w:t>
        </w:r>
        <w:r>
          <w:fldChar w:fldCharType="end"/>
        </w:r>
      </w:hyperlink>
    </w:p>
    <w:p>
      <w:pPr>
        <w:pStyle w:val="TOC2"/>
        <w:tabs>
          <w:tab w:val="right" w:leader="dot" w:pos="8306"/>
        </w:tabs>
      </w:pPr>
      <w:hyperlink w:anchor="_Toc16058" w:history="1">
        <w:r>
          <w:rPr>
            <w:rFonts w:ascii="仿宋" w:eastAsia="仿宋" w:hAnsi="仿宋" w:cs="仿宋" w:hint="eastAsia"/>
            <w:lang w:eastAsia="zh-CN"/>
          </w:rPr>
          <w:t>(三)、营销渠道与策略</w:t>
        </w:r>
        <w:r>
          <w:tab/>
        </w:r>
        <w:r>
          <w:fldChar w:fldCharType="begin"/>
        </w:r>
        <w:r>
          <w:instrText xml:space="preserve"> PAGEREF _Toc16058 \h </w:instrText>
        </w:r>
        <w:r>
          <w:fldChar w:fldCharType="separate"/>
        </w:r>
        <w:r>
          <w:t>59</w:t>
        </w:r>
        <w:r>
          <w:fldChar w:fldCharType="end"/>
        </w:r>
      </w:hyperlink>
    </w:p>
    <w:p>
      <w:pPr>
        <w:pStyle w:val="TOC2"/>
        <w:tabs>
          <w:tab w:val="right" w:leader="dot" w:pos="8306"/>
        </w:tabs>
      </w:pPr>
      <w:hyperlink w:anchor="_Toc24701" w:history="1">
        <w:r>
          <w:rPr>
            <w:rFonts w:ascii="仿宋" w:eastAsia="仿宋" w:hAnsi="仿宋" w:cs="仿宋" w:hint="eastAsia"/>
            <w:lang w:eastAsia="zh-CN"/>
          </w:rPr>
          <w:t>(四)、推广与宣传活动</w:t>
        </w:r>
        <w:r>
          <w:tab/>
        </w:r>
        <w:r>
          <w:fldChar w:fldCharType="begin"/>
        </w:r>
        <w:r>
          <w:instrText xml:space="preserve"> PAGEREF _Toc24701 \h </w:instrText>
        </w:r>
        <w:r>
          <w:fldChar w:fldCharType="separate"/>
        </w:r>
        <w:r>
          <w:t>61</w:t>
        </w:r>
        <w:r>
          <w:fldChar w:fldCharType="end"/>
        </w:r>
      </w:hyperlink>
    </w:p>
    <w:p>
      <w:pPr>
        <w:pStyle w:val="TOC1"/>
        <w:tabs>
          <w:tab w:val="right" w:leader="dot" w:pos="8306"/>
        </w:tabs>
      </w:pPr>
      <w:hyperlink w:anchor="_Toc12955" w:history="1">
        <w:r>
          <w:rPr>
            <w:rFonts w:ascii="仿宋" w:eastAsia="仿宋" w:hAnsi="仿宋" w:cs="仿宋" w:hint="eastAsia"/>
            <w:lang w:eastAsia="zh-CN"/>
          </w:rPr>
          <w:t>十五、利益相关者分析与沟通计划</w:t>
        </w:r>
        <w:r>
          <w:tab/>
        </w:r>
        <w:r>
          <w:fldChar w:fldCharType="begin"/>
        </w:r>
        <w:r>
          <w:instrText xml:space="preserve"> PAGEREF _Toc12955 \h </w:instrText>
        </w:r>
        <w:r>
          <w:fldChar w:fldCharType="separate"/>
        </w:r>
        <w:r>
          <w:t>66</w:t>
        </w:r>
        <w:r>
          <w:fldChar w:fldCharType="end"/>
        </w:r>
      </w:hyperlink>
    </w:p>
    <w:p>
      <w:pPr>
        <w:pStyle w:val="TOC2"/>
        <w:tabs>
          <w:tab w:val="right" w:leader="dot" w:pos="8306"/>
        </w:tabs>
      </w:pPr>
      <w:hyperlink w:anchor="_Toc5116" w:history="1">
        <w:r>
          <w:rPr>
            <w:rFonts w:ascii="仿宋" w:eastAsia="仿宋" w:hAnsi="仿宋" w:cs="仿宋" w:hint="eastAsia"/>
            <w:lang w:eastAsia="zh-CN"/>
          </w:rPr>
          <w:t>(一)、利益相关者分析</w:t>
        </w:r>
        <w:r>
          <w:tab/>
        </w:r>
        <w:r>
          <w:fldChar w:fldCharType="begin"/>
        </w:r>
        <w:r>
          <w:instrText xml:space="preserve"> PAGEREF _Toc5116 \h </w:instrText>
        </w:r>
        <w:r>
          <w:fldChar w:fldCharType="separate"/>
        </w:r>
        <w:r>
          <w:t>66</w:t>
        </w:r>
        <w:r>
          <w:fldChar w:fldCharType="end"/>
        </w:r>
      </w:hyperlink>
    </w:p>
    <w:p>
      <w:pPr>
        <w:pStyle w:val="TOC2"/>
        <w:tabs>
          <w:tab w:val="right" w:leader="dot" w:pos="8306"/>
        </w:tabs>
      </w:pPr>
      <w:hyperlink w:anchor="_Toc11990" w:history="1">
        <w:r>
          <w:rPr>
            <w:rFonts w:ascii="仿宋" w:eastAsia="仿宋" w:hAnsi="仿宋" w:cs="仿宋" w:hint="eastAsia"/>
            <w:lang w:eastAsia="zh-CN"/>
          </w:rPr>
          <w:t>(二)、沟通计划</w:t>
        </w:r>
        <w:r>
          <w:tab/>
        </w:r>
        <w:r>
          <w:fldChar w:fldCharType="begin"/>
        </w:r>
        <w:r>
          <w:instrText xml:space="preserve"> PAGEREF _Toc11990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7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增敏化学发光免疫分析仪项目的主要产品是XXXX，预计年产值为XXX万元。这一产品在市场中占据着重要的地位，其广泛的应用范围使得该增敏化学发光免疫分析仪项目的市场前景非常广阔。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敏化学发光免疫分析仪项目的xxx产品作为重要的原材料之一，将在多个领域发挥关键作用。其在建筑、交通、能源等方面的广泛应用将为整个产业链提供强大的支持，形成产业协同效应。增敏化学发光免疫分析仪项目的年产值XXX万XXX万XXX万万元不仅反映了其在市场上的巨大潜力，更预示着它对国民经济的积极贡献。这种关联度高、涉及面广的产业关系，使得该增敏化学发光免疫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1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总征地面积为XXXX平方米，相当于约XX.XX亩，其中净用地面积为XXXX平方米，红线范围内相当于约XX.XX亩。这一用地规模充分考虑了增敏化学发光免疫分析仪项目的建设需求，保障了增敏化学发光免疫分析仪项目在合适的空间内得以充分发展。增敏化学发光免疫分析仪项目规划的总建筑面积为XXXX平方米，其中主体工程建设占XXXX平方米，计容建筑面积达XXXX平方米。预计建筑工程的投资将达到XXXX万元，为增敏化学发光免疫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增敏化学发光免疫分析仪项目计划购置的设备共计XXXX台（套），设备购置费用为XXXX万元。这一设备购置计划充分考虑到增敏化学发光免疫分析仪项目的生产需求和技术要求，确保了增敏化学发光免疫分析仪项目在生产运营中具备先进的技术装备和高效的生产能力。设备的合理配置将为增敏化学发光免疫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计划总投资为XXXX万元，预计年实现营业收入为XXXX万元。这一产能规模的设定旨在确保增敏化学发光免疫分析仪项目能够在投资与回报之间取得平衡，实现长期可持续的发展。增敏化学发光免疫分析仪项目的总投资充分考虑到各个方面的需求，包括用地建设、设备购置等多个环节，以确保增敏化学发光免疫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9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8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技术管理特点体现在其创新导向。通过引入最先进的技术趋势和解决方案，增敏化学发光免疫分析仪项目致力于提升科技含量、提高质量和效率水平。这意味着我们将采用最新的工具和方法，确保增敏化学发光免疫分析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次，整合性策略是增敏化学发光免疫分析仪项目技术管理的显著特征。通过整合不同领域的技术资源，我们实现了跨学科的协同工作。这有助于优化技术架构，提高整体效能。此外，整合性策略还促进了不同技术团队之间的紧密沟通和高效合作，确保增敏化学发光免疫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增敏化学发光免疫分析仪项目所采用的技术。通过不断优化技术方案，增敏化学发光免疫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增敏化学发光免疫分析仪项目团队将在增敏化学发光免疫分析仪项目初期识别可能的技术风险，并采取相应的预防和应对措施。通过建立健全的风险评估机制，增敏化学发光免疫分析仪项目能够在实施过程中及时发现并解决潜在的技术问题，保障增敏化学发光免疫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增敏化学发光免疫分析仪项目中，技术将成为增敏化学发光免疫分析仪项目成功的有力支持。这一深度剖析揭示了技术管理在增敏化学发光免疫分析仪项目实施中的关键作用，为增敏化学发光免疫分析仪项目的技术基础奠定了坚实的基础。</w:t>
      </w:r>
    </w:p>
    <w:p>
      <w:pPr>
        <w:pStyle w:val="Heading2"/>
        <w:ind w:firstLine="560" w:firstLineChars="200"/>
        <w:rPr>
          <w:rFonts w:ascii="仿宋" w:eastAsia="仿宋" w:hAnsi="仿宋" w:cs="仿宋" w:hint="eastAsia"/>
          <w:sz w:val="28"/>
          <w:lang w:eastAsia="zh-CN"/>
        </w:rPr>
      </w:pPr>
      <w:bookmarkStart w:id="7" w:name="_Toc23192"/>
      <w:r>
        <w:rPr>
          <w:rFonts w:ascii="仿宋" w:eastAsia="仿宋" w:hAnsi="仿宋" w:cs="仿宋" w:hint="eastAsia"/>
          <w:sz w:val="28"/>
          <w:lang w:eastAsia="zh-CN"/>
        </w:rPr>
        <w:t>(二)、增敏化学发光免疫分析仪项目工艺技术设计方案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增敏化学发光免疫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增敏化学发光免疫分析仪项目将严格按照相关行业规范要求进行组织。通过有效控制产品质量，增敏化学发光免疫分析仪项目将致力于为顾客提供优质的增敏化学发光免疫分析仪项目产品和良好的服务。这体现了增敏化学发光免疫分析仪项目对于生产活动合规性和质量标准的高度重视，为增敏化学发光免疫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增敏化学发光免疫分析仪项目注重生态效益和清洁生产原则。增敏化学发光免疫分析仪项目建设将紧密结合地方特色经济发展，与社会经济发展规划和区域环境保护规划方案相协调一致。通过与当地区域自然生态系统的结合，增敏化学发光免疫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增敏化学发光免疫分析仪项目产品具有多样化的客户需求和个性化的特点。因此，增敏化学发光免疫分析仪项目产品规格品种多样，且单批生产数量较小。为满足这一特点，增敏化学发光免疫分析仪项目承办单位将建设先进的柔性制造生产线。通过广泛应用柔性制造技术，增敏化学发光免疫分析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敏化学发光免疫分析仪项目采用的技术具有较高的技术含量和自动化水平，处于国内先进水平。这一技术选用不仅体现了对生产效率、质量和环境友好性的高标准要求，同时为增敏化学发光免疫分析仪项目的可持续发展奠定了坚实的基础。</w:t>
      </w:r>
    </w:p>
    <w:p>
      <w:pPr>
        <w:pStyle w:val="Heading2"/>
        <w:ind w:firstLine="560" w:firstLineChars="200"/>
        <w:rPr>
          <w:rFonts w:ascii="仿宋" w:eastAsia="仿宋" w:hAnsi="仿宋" w:cs="仿宋" w:hint="eastAsia"/>
          <w:sz w:val="28"/>
          <w:lang w:eastAsia="zh-CN"/>
        </w:rPr>
      </w:pPr>
      <w:bookmarkStart w:id="8" w:name="_Toc1683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为确保增敏化学发光免疫分析仪项目的高效生产和技术实施，我们制定了一套精心设计的设备选型方案，以满足增敏化学发光免疫分析仪项目生产、质量和环保的要求。该方案的主要特点如下：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增敏化学发光免疫分析仪项目在生产过程中实现更高的生态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增敏化学发光免疫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369"/>
      <w:r>
        <w:rPr>
          <w:rFonts w:ascii="仿宋" w:eastAsia="仿宋" w:hAnsi="仿宋" w:cs="仿宋" w:hint="eastAsia"/>
          <w:sz w:val="28"/>
          <w:lang w:eastAsia="zh-CN"/>
        </w:rPr>
        <w:t>三、增敏化学发光免疫分析仪项目文档管理</w:t>
      </w:r>
      <w:bookmarkEnd w:id="9"/>
    </w:p>
    <w:p>
      <w:pPr>
        <w:pStyle w:val="Heading2"/>
        <w:rPr>
          <w:rFonts w:ascii="仿宋" w:eastAsia="仿宋" w:hAnsi="仿宋" w:cs="仿宋" w:hint="eastAsia"/>
          <w:lang w:eastAsia="zh-CN"/>
        </w:rPr>
      </w:pPr>
      <w:bookmarkStart w:id="10" w:name="_Toc2270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增敏化学发光免疫分析仪项目高度重视文档的质量和准确性，以支持增敏化学发光免疫分析仪项目的各项活动和决策。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文档的编制始于增敏化学发光免疫分析仪项目计划的初期，我们制定了详细的文档编制计划，明确了每个文档的内容、格式和编写责任人。在增敏化学发光免疫分析仪项目启动阶段，我们首先编制了增敏化学发光免疫分析仪项目章程，明确定义了增敏化学发光免疫分析仪项目的目标、范围、风险等关键要素。随后，增敏化学发光免疫分析仪项目团队根据计划陆续编制了需求文档、设计文档、测试文档等各类文档，确保增敏化学发光免疫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敏化学发光免疫分析仪项目管理中的重要环节，旨在确保增敏化学发光免疫分析仪项目文档符合质量标准和增敏化学发光免疫分析仪项目需求。在增敏化学发光免疫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敏化学发光免疫分析仪项目相关利益方和专业领域的专家对文档进行独立审查。这有助于获取更全面、客观的反馈，确保增敏化学发光免疫分析仪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增敏化学发光免疫分析仪项目在文档编制与审查方面建立了严格的管理机制，通过规范的流程和多维度的审查，确保增敏化学发光免疫分析仪项目文档的质量、准确性和可靠性，为增敏化学发光免疫分析仪项目的顺利推进提供了有力支持。</w:t>
      </w:r>
    </w:p>
    <w:p>
      <w:pPr>
        <w:pStyle w:val="Heading2"/>
        <w:ind w:firstLine="560" w:firstLineChars="200"/>
        <w:rPr>
          <w:rFonts w:ascii="仿宋" w:eastAsia="仿宋" w:hAnsi="仿宋" w:cs="仿宋" w:hint="eastAsia"/>
          <w:sz w:val="28"/>
          <w:lang w:eastAsia="zh-CN"/>
        </w:rPr>
      </w:pPr>
      <w:bookmarkStart w:id="11" w:name="_Toc2695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我们通过多渠道发布文档，包括电子邮件、增敏化学发光免疫分析仪项目管理平台、内部网站等，以满足不同团队成员的偏好和需求。多渠道发布确保了信息的全面覆盖。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我们采用了精细的权限控制，确保只有授权人员可以访问敏感信息。这种安全措施保护了增敏化学发光免疫分析仪项目文档的机密性，防止了未经授权的信息泄露。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060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敏化学发光免疫分析仪项目生命周期中一个至关重要的环节，直接关系到增敏化学发光免疫分析仪项目信息的长期保存和历史记录的完整性。在增敏化学发光免疫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477"/>
      <w:r>
        <w:rPr>
          <w:rFonts w:ascii="仿宋" w:eastAsia="仿宋" w:hAnsi="仿宋" w:cs="仿宋" w:hint="eastAsia"/>
          <w:sz w:val="28"/>
          <w:lang w:eastAsia="zh-CN"/>
        </w:rPr>
        <w:t>四、增敏化学发光免疫分析仪项目选址可行性分析</w:t>
      </w:r>
      <w:bookmarkEnd w:id="13"/>
    </w:p>
    <w:p>
      <w:pPr>
        <w:pStyle w:val="Heading2"/>
        <w:rPr>
          <w:rFonts w:ascii="仿宋" w:eastAsia="仿宋" w:hAnsi="仿宋" w:cs="仿宋" w:hint="eastAsia"/>
          <w:lang w:eastAsia="zh-CN"/>
        </w:rPr>
      </w:pPr>
      <w:bookmarkStart w:id="14" w:name="_Toc19618"/>
      <w:r>
        <w:rPr>
          <w:rFonts w:ascii="仿宋" w:eastAsia="仿宋" w:hAnsi="仿宋" w:cs="仿宋" w:hint="eastAsia"/>
          <w:lang w:eastAsia="zh-CN"/>
        </w:rPr>
        <w:t>(一)、增敏化学发光免疫分析仪项目选址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该增敏化学发光免疫分析仪项目选址位于XX省XX市XX区XXX街道</w:t>
      </w:r>
    </w:p>
    <w:p>
      <w:pPr>
        <w:pStyle w:val="Heading2"/>
        <w:ind w:firstLine="560" w:firstLineChars="200"/>
        <w:rPr>
          <w:rFonts w:ascii="仿宋" w:eastAsia="仿宋" w:hAnsi="仿宋" w:cs="仿宋" w:hint="eastAsia"/>
          <w:sz w:val="28"/>
          <w:lang w:eastAsia="zh-CN"/>
        </w:rPr>
      </w:pPr>
      <w:bookmarkStart w:id="15" w:name="_Toc1366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敏化学发光免疫分析仪项目的征地面积将根据增敏化学发光免疫分析仪项目的实际规模和需求进行精确规划。具体面积XXX平方米，旨在确保增敏化学发光免疫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净用地面积是在征地面积基础上去除不可利用面积后的实际可开发用地。具体面积XXX平方米，考虑到环保、交通、安全等多方面因素，以确保增敏化学发光免疫分析仪项目在整体利用效率上达到最优。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增敏化学发光免疫分析仪项目计划建设的建筑总规模具体面积XXX平方米。这一规模的确定综合考虑了增敏化学发光免疫分析仪项目的性质、规模，以及城市规划的相关要求，确保建筑布局与周边环境协调一致。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绿地率是增敏化学发光免疫分析仪项目用地中被规划为绿地的比例。具体面积XXX平方米，旨在通过合理规划绿地，改善增敏化学发光免疫分析仪项目周边环境，提升居民生活质量，并符合城市整体绿化规划。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容积率是用地上可以建设的建筑总体积与用地面积之比。具体面积XXX，通过合理的容积率规划，确保增敏化学发光免疫分析仪项目建筑规模与周边环境和谐共生。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敏化学发光免疫分析仪项目选址与当地城市规划相一致，具体面积XXX平方米。通过与城市规划部门深入沟通，确保增敏化学发光免疫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敏化学发光免疫分析仪项目选址符合当地产业政策，具体面积XXX平方米。这包括增敏化学发光免疫分析仪项目对当地经济的促进作用，以及对相关产业的带动效应，确保增敏化学发光免疫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敏化学发光免疫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确保增敏化学发光免疫分析仪项目选址具备必要的公共设施配套，具体面积XXX平方米。这包括交通便利性、教育、医疗等基础设施，以提高居民生活品质，使得增敏化学发光免疫分析仪项目选址更具吸引力。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考虑用地总体要求对当地社会稳定性的影响，具体面积XXX平方米。通过深入了解当地社区反馈，确保增敏化学发光免疫分析仪项目的选址和建设过程对当地社会和谐稳定产生积极作用。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增敏化学发光免疫分析仪项目选址不仅符合法规和规划，还在实际操作中具有可行性。这一全面规划将为增敏化学发光免疫分析仪项目的成功实施提供坚实的基础，确保增敏化学发光免疫分析仪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22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敏化学发光免疫分析仪项目的设备规划和空间设计中，我们将采取灵活设备布局的措施。设备布局将根据实际需求进行灵活设计，避免不必要的浪费。通过合理规划设备摆放位置，我们将提高设备的利用率，减少设备间距，以确保增敏化学发光免疫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敏化学发光免疫分析仪项目内部引入共享设施的概念，例如共享会议室、办公区等。通过这种方式，我们可以减少对资源的重复建设，提高资源共享效率，从而减小增敏化学发光免疫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341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增敏化学发光免疫分析仪项目的总图布置中，我们将不同功能区域进行明确的规划，以最大程度满足增敏化学发光免疫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https://d.book118.com/038107002117006023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C26165"/>
    <w:rsid w:val="71C261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0700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2024-01-04T15:31:00Z</dcterms:created>
  <dcterms:modified xsi:type="dcterms:W3CDTF">2024-01-04T15:31:19Z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3A665331FE9441DDBB4CCA691D3A19A2_11</vt:lpwstr>
  </property>
  <property fmtid="{D5CDD505-2E9C-101B-9397-08002B2CF9AE}" pid="3" name="KSOProductBuildVer">
    <vt:lpwstr>2052-12.1.0.16120</vt:lpwstr>
  </property>
</Properties>
</file>