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6"/>
        <w:rPr>
          <w:rFonts w:ascii="Times New Roman"/>
          <w:sz w:val="25"/>
        </w:rPr>
      </w:pPr>
    </w:p>
    <w:p>
      <w:pPr>
        <w:spacing w:before="0" w:line="1332" w:lineRule="exact"/>
        <w:ind w:left="0" w:right="900" w:firstLine="0"/>
        <w:jc w:val="center"/>
        <w:rPr>
          <w:sz w:val="108"/>
        </w:rPr>
      </w:pPr>
      <w:r>
        <w:rPr>
          <w:sz w:val="108"/>
        </w:rPr>
        <w:t>市政工程预算员培训</w:t>
      </w:r>
    </w:p>
    <w:p>
      <w:pPr>
        <w:pStyle w:val="BodyText"/>
        <w:rPr>
          <w:sz w:val="108"/>
        </w:rPr>
      </w:pPr>
    </w:p>
    <w:p>
      <w:pPr>
        <w:pStyle w:val="BodyText"/>
        <w:spacing w:before="6"/>
        <w:rPr>
          <w:sz w:val="139"/>
        </w:rPr>
      </w:pPr>
    </w:p>
    <w:p>
      <w:pPr>
        <w:pStyle w:val="Title"/>
        <w:spacing w:line="487" w:lineRule="auto"/>
      </w:pPr>
      <w:r>
        <w:rPr>
          <w:w w:val="95"/>
        </w:rPr>
        <w:t>讲义</w:t>
      </w:r>
    </w:p>
    <w:p>
      <w:pPr>
        <w:pStyle w:val="BodyText"/>
        <w:spacing w:before="7"/>
        <w:rPr>
          <w:rFonts w:ascii="黑体"/>
          <w:b/>
          <w:sz w:val="180"/>
        </w:rPr>
      </w:pPr>
    </w:p>
    <w:p>
      <w:pPr>
        <w:spacing w:before="1"/>
        <w:ind w:left="0" w:right="920" w:firstLine="0"/>
        <w:jc w:val="center"/>
        <w:rPr>
          <w:b/>
          <w:sz w:val="72"/>
        </w:rPr>
      </w:pPr>
      <w:r>
        <w:rPr>
          <w:b/>
          <w:sz w:val="72"/>
        </w:rPr>
        <w:t>二〇〇五年一月</w:t>
      </w:r>
    </w:p>
    <w:p>
      <w:pPr>
        <w:spacing w:after="0"/>
        <w:jc w:val="center"/>
        <w:rPr>
          <w:sz w:val="72"/>
        </w:rPr>
        <w:sectPr>
          <w:type w:val="continuous"/>
          <w:pgSz w:w="17860" w:h="25260"/>
          <w:pgMar w:top="2420" w:right="1080" w:bottom="280" w:left="1980" w:header="708" w:footer="708"/>
          <w:cols w:space="708"/>
        </w:sectPr>
      </w:pPr>
    </w:p>
    <w:p>
      <w:pPr>
        <w:tabs>
          <w:tab w:val="left" w:pos="11756"/>
        </w:tabs>
        <w:spacing w:before="48"/>
        <w:ind w:left="0" w:right="890" w:firstLine="0"/>
        <w:jc w:val="center"/>
        <w:rPr>
          <w:rFonts w:ascii="Times New Roman" w:eastAsia="Times New Roman" w:hAnsi="Times New Roman"/>
          <w:i/>
          <w:sz w:val="27"/>
        </w:rPr>
      </w:pPr>
      <w:r>
        <w:pict>
          <v:line id="_x0000_s1025" style="mso-position-horizontal-relative:page;position:absolute;z-index:251658240"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rPr>
          <w:rFonts w:ascii="Times New Roman"/>
          <w:i/>
          <w:sz w:val="31"/>
        </w:rPr>
      </w:pPr>
    </w:p>
    <w:p>
      <w:pPr>
        <w:tabs>
          <w:tab w:val="left" w:pos="2260"/>
        </w:tabs>
        <w:spacing w:before="0"/>
        <w:ind w:left="0" w:right="909" w:firstLine="0"/>
        <w:jc w:val="center"/>
        <w:rPr>
          <w:b/>
          <w:sz w:val="45"/>
        </w:rPr>
      </w:pPr>
      <w:r>
        <w:rPr>
          <w:b/>
          <w:sz w:val="45"/>
        </w:rPr>
        <w:t>第一部分</w:t>
        <w:tab/>
        <w:t>相关知识及费用定额</w:t>
      </w:r>
    </w:p>
    <w:p>
      <w:pPr>
        <w:pStyle w:val="BodyText"/>
        <w:spacing w:before="376"/>
        <w:ind w:left="148"/>
      </w:pPr>
      <w:r>
        <w:t>一、工程造价的构成</w:t>
      </w:r>
    </w:p>
    <w:p>
      <w:pPr>
        <w:pStyle w:val="BodyText"/>
        <w:spacing w:before="7"/>
        <w:rPr>
          <w:sz w:val="20"/>
        </w:rPr>
      </w:pPr>
    </w:p>
    <w:p>
      <w:pPr>
        <w:pStyle w:val="BodyText"/>
        <w:spacing w:before="50"/>
        <w:ind w:left="2146"/>
      </w:pPr>
      <w:r>
        <w:drawing>
          <wp:anchor distT="0" distB="0" distL="0" distR="0" simplePos="0" relativeHeight="251660288" behindDoc="1" locked="0" layoutInCell="1" allowOverlap="1">
            <wp:simplePos x="0" y="0"/>
            <wp:positionH relativeFrom="page">
              <wp:posOffset>2095500</wp:posOffset>
            </wp:positionH>
            <wp:positionV relativeFrom="paragraph">
              <wp:posOffset>217296</wp:posOffset>
            </wp:positionV>
            <wp:extent cx="368300" cy="37973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68300" cy="3797300"/>
                    </a:xfrm>
                    <a:prstGeom prst="rect">
                      <a:avLst/>
                    </a:prstGeom>
                  </pic:spPr>
                </pic:pic>
              </a:graphicData>
            </a:graphic>
          </wp:anchor>
        </w:drawing>
      </w:r>
      <w:r>
        <w:t>设备及工、器具购置费</w:t>
      </w:r>
    </w:p>
    <w:p>
      <w:pPr>
        <w:pStyle w:val="Heading1"/>
        <w:spacing w:before="240"/>
        <w:ind w:left="9153"/>
        <w:rPr>
          <w:rFonts w:ascii="黑体" w:eastAsia="黑体" w:hint="eastAsia"/>
        </w:rPr>
      </w:pPr>
      <w:r>
        <w:drawing>
          <wp:anchor distT="0" distB="0" distL="0" distR="0" simplePos="0" relativeHeight="251659264" behindDoc="1" locked="0" layoutInCell="1" allowOverlap="1">
            <wp:simplePos x="0" y="0"/>
            <wp:positionH relativeFrom="page">
              <wp:posOffset>6553200</wp:posOffset>
            </wp:positionH>
            <wp:positionV relativeFrom="paragraph">
              <wp:posOffset>260477</wp:posOffset>
            </wp:positionV>
            <wp:extent cx="330200" cy="1193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330200" cy="1193800"/>
                    </a:xfrm>
                    <a:prstGeom prst="rect">
                      <a:avLst/>
                    </a:prstGeom>
                  </pic:spPr>
                </pic:pic>
              </a:graphicData>
            </a:graphic>
          </wp:anchor>
        </w:drawing>
      </w:r>
      <w:r>
        <w:rPr>
          <w:rFonts w:ascii="黑体" w:eastAsia="黑体" w:hint="eastAsia"/>
        </w:rPr>
        <w:t>直接工程费</w:t>
      </w:r>
    </w:p>
    <w:p>
      <w:pPr>
        <w:pStyle w:val="BodyText"/>
        <w:spacing w:before="10"/>
        <w:rPr>
          <w:rFonts w:ascii="黑体"/>
          <w:b/>
          <w:sz w:val="8"/>
        </w:rPr>
      </w:pPr>
    </w:p>
    <w:p>
      <w:pPr>
        <w:tabs>
          <w:tab w:val="left" w:pos="9153"/>
        </w:tabs>
        <w:spacing w:before="49"/>
        <w:ind w:left="2185" w:right="0" w:firstLine="0"/>
        <w:jc w:val="left"/>
        <w:rPr>
          <w:rFonts w:ascii="黑体" w:eastAsia="黑体" w:hint="eastAsia"/>
          <w:b/>
          <w:sz w:val="36"/>
        </w:rPr>
      </w:pPr>
      <w:r>
        <w:rPr>
          <w:rFonts w:ascii="黑体" w:eastAsia="黑体" w:hint="eastAsia"/>
          <w:b/>
          <w:sz w:val="36"/>
        </w:rPr>
        <w:t>建筑安装工程费</w:t>
        <w:tab/>
        <w:t>间接费</w:t>
      </w:r>
    </w:p>
    <w:p>
      <w:pPr>
        <w:tabs>
          <w:tab w:val="left" w:pos="9153"/>
        </w:tabs>
        <w:spacing w:before="68" w:line="455" w:lineRule="exact"/>
        <w:ind w:left="497" w:right="0" w:firstLine="0"/>
        <w:jc w:val="left"/>
        <w:rPr>
          <w:rFonts w:ascii="黑体" w:eastAsia="黑体" w:hint="eastAsia"/>
          <w:b/>
          <w:sz w:val="36"/>
        </w:rPr>
      </w:pPr>
      <w:r>
        <w:rPr>
          <w:position w:val="9"/>
          <w:sz w:val="36"/>
        </w:rPr>
        <w:t>工</w:t>
        <w:tab/>
      </w:r>
      <w:r>
        <w:rPr>
          <w:rFonts w:ascii="黑体" w:eastAsia="黑体" w:hint="eastAsia"/>
          <w:b/>
          <w:sz w:val="36"/>
        </w:rPr>
        <w:t>计划利润及税金</w:t>
      </w:r>
    </w:p>
    <w:p>
      <w:pPr>
        <w:pStyle w:val="BodyText"/>
        <w:spacing w:line="315" w:lineRule="exact"/>
        <w:ind w:left="497"/>
      </w:pPr>
      <w:r>
        <w:t>程</w:t>
      </w:r>
    </w:p>
    <w:p>
      <w:pPr>
        <w:pStyle w:val="BodyText"/>
        <w:spacing w:line="360" w:lineRule="exact"/>
        <w:ind w:left="497"/>
      </w:pPr>
      <w:r>
        <w:t>造</w:t>
      </w:r>
    </w:p>
    <w:p>
      <w:pPr>
        <w:pStyle w:val="BodyText"/>
        <w:tabs>
          <w:tab w:val="left" w:pos="2146"/>
        </w:tabs>
        <w:spacing w:line="580" w:lineRule="exact"/>
        <w:ind w:left="497"/>
      </w:pPr>
      <w:r>
        <w:rPr>
          <w:position w:val="17"/>
        </w:rPr>
        <w:t>价</w:t>
        <w:tab/>
      </w:r>
      <w:r>
        <w:t>工程建设其他费（土地使用、拆迁、设计、监理）</w:t>
      </w:r>
    </w:p>
    <w:p>
      <w:pPr>
        <w:pStyle w:val="BodyText"/>
        <w:spacing w:before="8"/>
        <w:rPr>
          <w:sz w:val="41"/>
        </w:rPr>
      </w:pPr>
    </w:p>
    <w:p>
      <w:pPr>
        <w:pStyle w:val="BodyText"/>
        <w:spacing w:line="451" w:lineRule="auto"/>
        <w:ind w:left="2279" w:right="6891" w:hanging="134"/>
      </w:pPr>
      <w:r>
        <w:t>预备费（基本预备费、涨价预备费） 建设期贷款利息</w:t>
      </w:r>
    </w:p>
    <w:p>
      <w:pPr>
        <w:pStyle w:val="BodyText"/>
        <w:spacing w:before="3"/>
        <w:ind w:left="2279"/>
      </w:pPr>
      <w:r>
        <w:t>固定资产投资方向调节税（</w:t>
      </w:r>
      <w:r>
        <w:rPr>
          <w:rFonts w:ascii="Verdana" w:eastAsia="Verdana"/>
        </w:rPr>
        <w:t>0</w:t>
      </w:r>
      <w:r>
        <w:t>％、</w:t>
      </w:r>
      <w:r>
        <w:rPr>
          <w:rFonts w:ascii="Verdana" w:eastAsia="Verdana"/>
        </w:rPr>
        <w:t>5</w:t>
      </w:r>
      <w:r>
        <w:t>％、</w:t>
      </w:r>
      <w:r>
        <w:rPr>
          <w:rFonts w:ascii="Verdana" w:eastAsia="Verdana"/>
        </w:rPr>
        <w:t>10</w:t>
      </w:r>
      <w:r>
        <w:t>％、</w:t>
      </w:r>
      <w:r>
        <w:rPr>
          <w:rFonts w:ascii="Verdana" w:eastAsia="Verdana"/>
        </w:rPr>
        <w:t>15</w:t>
      </w:r>
      <w:r>
        <w:t>％、</w:t>
      </w:r>
      <w:r>
        <w:rPr>
          <w:rFonts w:ascii="Verdana" w:eastAsia="Verdana"/>
        </w:rPr>
        <w:t>30</w:t>
      </w:r>
      <w:r>
        <w:t>％）</w:t>
      </w:r>
    </w:p>
    <w:p>
      <w:pPr>
        <w:pStyle w:val="BodyText"/>
        <w:rPr>
          <w:sz w:val="20"/>
        </w:rPr>
      </w:pPr>
    </w:p>
    <w:p>
      <w:pPr>
        <w:pStyle w:val="BodyText"/>
        <w:rPr>
          <w:sz w:val="20"/>
        </w:rPr>
      </w:pPr>
    </w:p>
    <w:p>
      <w:pPr>
        <w:pStyle w:val="BodyText"/>
        <w:rPr>
          <w:sz w:val="20"/>
        </w:rPr>
      </w:pPr>
    </w:p>
    <w:p>
      <w:pPr>
        <w:pStyle w:val="BodyText"/>
        <w:spacing w:before="12"/>
        <w:rPr>
          <w:sz w:val="27"/>
        </w:rPr>
      </w:pPr>
    </w:p>
    <w:p>
      <w:pPr>
        <w:pStyle w:val="BodyText"/>
        <w:spacing w:before="50"/>
        <w:ind w:left="148"/>
      </w:pPr>
      <w:r>
        <w:t>二、建筑安装工程费的构成</w:t>
      </w:r>
    </w:p>
    <w:p>
      <w:pPr>
        <w:pStyle w:val="BodyText"/>
        <w:spacing w:before="12"/>
        <w:rPr>
          <w:sz w:val="21"/>
        </w:rPr>
      </w:pPr>
    </w:p>
    <w:p>
      <w:pPr>
        <w:spacing w:after="0"/>
        <w:rPr>
          <w:sz w:val="21"/>
        </w:rPr>
        <w:sectPr>
          <w:footerReference w:type="default" r:id="rId6"/>
          <w:pgSz w:w="17860" w:h="25260"/>
          <w:pgMar w:top="960" w:right="1080" w:bottom="2000" w:left="1980" w:header="0" w:footer="1820"/>
          <w:pgNumType w:start="1"/>
          <w:cols w:space="708"/>
        </w:sectPr>
      </w:pPr>
    </w:p>
    <w:p>
      <w:pPr>
        <w:pStyle w:val="BodyText"/>
      </w:pPr>
    </w:p>
    <w:p>
      <w:pPr>
        <w:pStyle w:val="BodyText"/>
      </w:pPr>
    </w:p>
    <w:p>
      <w:pPr>
        <w:pStyle w:val="BodyText"/>
        <w:spacing w:before="8"/>
        <w:rPr>
          <w:sz w:val="31"/>
        </w:rPr>
      </w:pPr>
    </w:p>
    <w:p>
      <w:pPr>
        <w:pStyle w:val="BodyText"/>
        <w:ind w:left="1836"/>
      </w:pPr>
      <w:r>
        <w:drawing>
          <wp:anchor distT="0" distB="0" distL="0" distR="0" simplePos="0" relativeHeight="251664384" behindDoc="1" locked="0" layoutInCell="1" allowOverlap="1">
            <wp:simplePos x="0" y="0"/>
            <wp:positionH relativeFrom="page">
              <wp:posOffset>2070100</wp:posOffset>
            </wp:positionH>
            <wp:positionV relativeFrom="paragraph">
              <wp:posOffset>-185928</wp:posOffset>
            </wp:positionV>
            <wp:extent cx="203200" cy="48768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7" cstate="print"/>
                    <a:stretch>
                      <a:fillRect/>
                    </a:stretch>
                  </pic:blipFill>
                  <pic:spPr>
                    <a:xfrm>
                      <a:off x="0" y="0"/>
                      <a:ext cx="203200" cy="4876800"/>
                    </a:xfrm>
                    <a:prstGeom prst="rect">
                      <a:avLst/>
                    </a:prstGeom>
                  </pic:spPr>
                </pic:pic>
              </a:graphicData>
            </a:graphic>
          </wp:anchor>
        </w:drawing>
      </w:r>
      <w:r>
        <w:t>直接工程费</w:t>
      </w:r>
    </w:p>
    <w:p>
      <w:pPr>
        <w:pStyle w:val="BodyText"/>
        <w:spacing w:before="12"/>
        <w:rPr>
          <w:sz w:val="46"/>
        </w:rPr>
      </w:pPr>
    </w:p>
    <w:p>
      <w:pPr>
        <w:pStyle w:val="BodyText"/>
        <w:spacing w:line="242" w:lineRule="auto"/>
        <w:ind w:left="310" w:right="3004"/>
        <w:jc w:val="both"/>
      </w:pPr>
      <w:r>
        <w:t>建筑安装工</w:t>
      </w:r>
    </w:p>
    <w:p>
      <w:pPr>
        <w:pStyle w:val="BodyText"/>
        <w:spacing w:before="6"/>
        <w:rPr>
          <w:sz w:val="45"/>
        </w:rPr>
      </w:pPr>
      <w:r>
        <w:br w:type="column"/>
      </w:r>
    </w:p>
    <w:p>
      <w:pPr>
        <w:pStyle w:val="BodyText"/>
        <w:ind w:left="986"/>
      </w:pPr>
      <w:r>
        <w:t>基本工程费</w:t>
      </w:r>
    </w:p>
    <w:p>
      <w:pPr>
        <w:pStyle w:val="BodyText"/>
      </w:pPr>
    </w:p>
    <w:p>
      <w:pPr>
        <w:pStyle w:val="BodyText"/>
        <w:spacing w:before="6"/>
        <w:rPr>
          <w:sz w:val="52"/>
        </w:rPr>
      </w:pPr>
    </w:p>
    <w:p>
      <w:pPr>
        <w:pStyle w:val="BodyText"/>
        <w:spacing w:line="388" w:lineRule="auto"/>
        <w:ind w:left="1115" w:right="38" w:hanging="130"/>
      </w:pPr>
      <w:r>
        <w:drawing>
          <wp:anchor distT="0" distB="0" distL="0" distR="0" simplePos="0" relativeHeight="251663360" behindDoc="0" locked="0" layoutInCell="1" allowOverlap="1">
            <wp:simplePos x="0" y="0"/>
            <wp:positionH relativeFrom="page">
              <wp:posOffset>4406900</wp:posOffset>
            </wp:positionH>
            <wp:positionV relativeFrom="paragraph">
              <wp:posOffset>-1335023</wp:posOffset>
            </wp:positionV>
            <wp:extent cx="520700" cy="21082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8" cstate="print"/>
                    <a:stretch>
                      <a:fillRect/>
                    </a:stretch>
                  </pic:blipFill>
                  <pic:spPr>
                    <a:xfrm>
                      <a:off x="0" y="0"/>
                      <a:ext cx="520700" cy="2108200"/>
                    </a:xfrm>
                    <a:prstGeom prst="rect">
                      <a:avLst/>
                    </a:prstGeom>
                  </pic:spPr>
                </pic:pic>
              </a:graphicData>
            </a:graphic>
          </wp:anchor>
        </w:drawing>
      </w:r>
      <w:r>
        <w:rPr>
          <w:spacing w:val="-4"/>
        </w:rPr>
        <w:t>其他工程费</w:t>
      </w:r>
      <w:r>
        <w:t>现场经费</w:t>
      </w:r>
    </w:p>
    <w:p>
      <w:pPr>
        <w:pStyle w:val="BodyText"/>
        <w:rPr>
          <w:sz w:val="41"/>
        </w:rPr>
      </w:pPr>
    </w:p>
    <w:p>
      <w:pPr>
        <w:pStyle w:val="BodyText"/>
        <w:ind w:left="860"/>
      </w:pPr>
      <w:r>
        <w:drawing>
          <wp:anchor distT="0" distB="0" distL="0" distR="0" simplePos="0" relativeHeight="251665408" behindDoc="1" locked="0" layoutInCell="1" allowOverlap="1">
            <wp:simplePos x="0" y="0"/>
            <wp:positionH relativeFrom="page">
              <wp:posOffset>4495800</wp:posOffset>
            </wp:positionH>
            <wp:positionV relativeFrom="paragraph">
              <wp:posOffset>-52070</wp:posOffset>
            </wp:positionV>
            <wp:extent cx="177800" cy="13335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9" cstate="print"/>
                    <a:stretch>
                      <a:fillRect/>
                    </a:stretch>
                  </pic:blipFill>
                  <pic:spPr>
                    <a:xfrm>
                      <a:off x="0" y="0"/>
                      <a:ext cx="177800" cy="1333500"/>
                    </a:xfrm>
                    <a:prstGeom prst="rect">
                      <a:avLst/>
                    </a:prstGeom>
                  </pic:spPr>
                </pic:pic>
              </a:graphicData>
            </a:graphic>
          </wp:anchor>
        </w:drawing>
      </w:r>
      <w:r>
        <w:t>企业管理费</w:t>
      </w:r>
    </w:p>
    <w:p>
      <w:pPr>
        <w:pStyle w:val="BodyText"/>
        <w:spacing w:before="50" w:line="388" w:lineRule="auto"/>
        <w:ind w:left="1002" w:right="4126" w:hanging="130"/>
      </w:pPr>
      <w:r>
        <w:br w:type="column"/>
      </w:r>
      <w:r>
        <w:t>人工费</w:t>
      </w:r>
      <w:r>
        <w:rPr>
          <w:spacing w:val="-7"/>
        </w:rPr>
        <w:t>材料费</w:t>
      </w:r>
    </w:p>
    <w:p>
      <w:pPr>
        <w:pStyle w:val="BodyText"/>
        <w:spacing w:before="100"/>
        <w:ind w:left="1002"/>
      </w:pPr>
      <w:r>
        <w:drawing>
          <wp:anchor distT="0" distB="0" distL="0" distR="0" simplePos="0" relativeHeight="251661312" behindDoc="0" locked="0" layoutInCell="1" allowOverlap="1">
            <wp:simplePos x="0" y="0"/>
            <wp:positionH relativeFrom="page">
              <wp:posOffset>6908800</wp:posOffset>
            </wp:positionH>
            <wp:positionV relativeFrom="paragraph">
              <wp:posOffset>-996695</wp:posOffset>
            </wp:positionV>
            <wp:extent cx="190500" cy="13335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0" cstate="print"/>
                    <a:stretch>
                      <a:fillRect/>
                    </a:stretch>
                  </pic:blipFill>
                  <pic:spPr>
                    <a:xfrm>
                      <a:off x="0" y="0"/>
                      <a:ext cx="190500" cy="1333500"/>
                    </a:xfrm>
                    <a:prstGeom prst="rect">
                      <a:avLst/>
                    </a:prstGeom>
                  </pic:spPr>
                </pic:pic>
              </a:graphicData>
            </a:graphic>
          </wp:anchor>
        </w:drawing>
      </w:r>
      <w:r>
        <w:t>机械费</w:t>
      </w:r>
    </w:p>
    <w:p>
      <w:pPr>
        <w:pStyle w:val="BodyText"/>
        <w:spacing w:before="1"/>
        <w:rPr>
          <w:sz w:val="39"/>
        </w:rPr>
      </w:pPr>
    </w:p>
    <w:p>
      <w:pPr>
        <w:pStyle w:val="BodyText"/>
        <w:spacing w:line="441" w:lineRule="auto"/>
        <w:ind w:left="1128" w:right="3279"/>
      </w:pPr>
      <w:r>
        <w:drawing>
          <wp:anchor distT="0" distB="0" distL="0" distR="0" simplePos="0" relativeHeight="251662336" behindDoc="0" locked="0" layoutInCell="1" allowOverlap="1">
            <wp:simplePos x="0" y="0"/>
            <wp:positionH relativeFrom="page">
              <wp:posOffset>6997700</wp:posOffset>
            </wp:positionH>
            <wp:positionV relativeFrom="paragraph">
              <wp:posOffset>18542</wp:posOffset>
            </wp:positionV>
            <wp:extent cx="177800" cy="8128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1" cstate="print"/>
                    <a:stretch>
                      <a:fillRect/>
                    </a:stretch>
                  </pic:blipFill>
                  <pic:spPr>
                    <a:xfrm>
                      <a:off x="0" y="0"/>
                      <a:ext cx="177800" cy="812800"/>
                    </a:xfrm>
                    <a:prstGeom prst="rect">
                      <a:avLst/>
                    </a:prstGeom>
                  </pic:spPr>
                </pic:pic>
              </a:graphicData>
            </a:graphic>
          </wp:anchor>
        </w:drawing>
      </w:r>
      <w:r>
        <w:t>临时设施费现场管理费</w:t>
      </w:r>
    </w:p>
    <w:p>
      <w:pPr>
        <w:spacing w:after="0" w:line="441" w:lineRule="auto"/>
        <w:sectPr>
          <w:footerReference w:type="default" r:id="rId12"/>
          <w:type w:val="continuous"/>
          <w:pgSz w:w="17860" w:h="25260"/>
          <w:pgMar w:top="2420" w:right="1080" w:bottom="280" w:left="1980" w:header="708" w:footer="708"/>
          <w:pgNumType w:start="2"/>
          <w:cols w:num="3" w:space="708" w:equalWidth="0">
            <w:col w:w="3677" w:space="1112"/>
            <w:col w:w="2827" w:space="974"/>
            <w:col w:w="6210" w:space="0"/>
          </w:cols>
        </w:sectPr>
      </w:pPr>
    </w:p>
    <w:p>
      <w:pPr>
        <w:pStyle w:val="BodyText"/>
        <w:spacing w:before="7" w:line="339" w:lineRule="exact"/>
        <w:ind w:left="310"/>
      </w:pPr>
      <w:r>
        <w:t>程</w:t>
      </w:r>
    </w:p>
    <w:p>
      <w:pPr>
        <w:pStyle w:val="BodyText"/>
        <w:tabs>
          <w:tab w:val="left" w:pos="1710"/>
          <w:tab w:val="left" w:pos="5775"/>
        </w:tabs>
        <w:spacing w:line="156" w:lineRule="auto"/>
        <w:ind w:left="310"/>
      </w:pPr>
      <w:r>
        <w:rPr>
          <w:position w:val="-24"/>
        </w:rPr>
        <w:t>费</w:t>
        <w:tab/>
      </w:r>
      <w:r>
        <w:t>间接费</w:t>
        <w:tab/>
      </w:r>
      <w:r>
        <w:rPr>
          <w:position w:val="-10"/>
        </w:rPr>
        <w:t>财务费</w:t>
      </w:r>
    </w:p>
    <w:p>
      <w:pPr>
        <w:pStyle w:val="BodyText"/>
        <w:spacing w:before="280"/>
        <w:ind w:right="1807"/>
        <w:jc w:val="center"/>
      </w:pPr>
      <w:r>
        <w:drawing>
          <wp:anchor distT="0" distB="0" distL="0" distR="0" simplePos="0" relativeHeight="251666432" behindDoc="0" locked="0" layoutInCell="1" allowOverlap="1">
            <wp:simplePos x="0" y="0"/>
            <wp:positionH relativeFrom="page">
              <wp:posOffset>4330700</wp:posOffset>
            </wp:positionH>
            <wp:positionV relativeFrom="paragraph">
              <wp:posOffset>733552</wp:posOffset>
            </wp:positionV>
            <wp:extent cx="190500" cy="13335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3" cstate="print"/>
                    <a:stretch>
                      <a:fillRect/>
                    </a:stretch>
                  </pic:blipFill>
                  <pic:spPr>
                    <a:xfrm>
                      <a:off x="0" y="0"/>
                      <a:ext cx="190500" cy="1333500"/>
                    </a:xfrm>
                    <a:prstGeom prst="rect">
                      <a:avLst/>
                    </a:prstGeom>
                  </pic:spPr>
                </pic:pic>
              </a:graphicData>
            </a:graphic>
          </wp:anchor>
        </w:drawing>
      </w:r>
      <w:r>
        <w:t>其他费用</w:t>
      </w:r>
    </w:p>
    <w:p>
      <w:pPr>
        <w:pStyle w:val="BodyText"/>
        <w:rPr>
          <w:sz w:val="20"/>
        </w:rPr>
      </w:pPr>
    </w:p>
    <w:p>
      <w:pPr>
        <w:pStyle w:val="BodyText"/>
        <w:rPr>
          <w:sz w:val="15"/>
        </w:rPr>
      </w:pPr>
    </w:p>
    <w:p>
      <w:pPr>
        <w:spacing w:after="0"/>
        <w:rPr>
          <w:sz w:val="15"/>
        </w:rPr>
        <w:sectPr>
          <w:footerReference w:type="default" r:id="rId14"/>
          <w:type w:val="continuous"/>
          <w:pgSz w:w="17860" w:h="25260"/>
          <w:pgMar w:top="2420" w:right="1080" w:bottom="280" w:left="1980" w:header="708" w:footer="708"/>
          <w:pgNumType w:start="3"/>
          <w:cols w:space="708"/>
        </w:sectPr>
      </w:pPr>
    </w:p>
    <w:p>
      <w:pPr>
        <w:pStyle w:val="BodyText"/>
        <w:spacing w:before="7"/>
        <w:rPr>
          <w:sz w:val="53"/>
        </w:rPr>
      </w:pPr>
    </w:p>
    <w:p>
      <w:pPr>
        <w:pStyle w:val="BodyText"/>
        <w:ind w:left="1710"/>
      </w:pPr>
      <w:r>
        <w:t>利润及税金</w:t>
      </w:r>
    </w:p>
    <w:p>
      <w:pPr>
        <w:pStyle w:val="BodyText"/>
        <w:spacing w:before="49" w:line="609" w:lineRule="auto"/>
        <w:ind w:left="1960"/>
      </w:pPr>
      <w:r>
        <w:br w:type="column"/>
      </w:r>
      <w:r>
        <w:t>计划利润税金</w:t>
      </w:r>
    </w:p>
    <w:p>
      <w:pPr>
        <w:pStyle w:val="BodyText"/>
        <w:spacing w:before="4"/>
        <w:rPr>
          <w:sz w:val="37"/>
        </w:rPr>
      </w:pPr>
      <w:r>
        <w:br w:type="column"/>
      </w:r>
    </w:p>
    <w:p>
      <w:pPr>
        <w:pStyle w:val="BodyText"/>
        <w:ind w:left="1832"/>
      </w:pPr>
      <w:r>
        <w:drawing>
          <wp:anchor distT="0" distB="0" distL="0" distR="0" simplePos="0" relativeHeight="251667456" behindDoc="0" locked="0" layoutInCell="1" allowOverlap="1">
            <wp:simplePos x="0" y="0"/>
            <wp:positionH relativeFrom="page">
              <wp:posOffset>6515100</wp:posOffset>
            </wp:positionH>
            <wp:positionV relativeFrom="paragraph">
              <wp:posOffset>208407</wp:posOffset>
            </wp:positionV>
            <wp:extent cx="177800" cy="8255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5" cstate="print"/>
                    <a:stretch>
                      <a:fillRect/>
                    </a:stretch>
                  </pic:blipFill>
                  <pic:spPr>
                    <a:xfrm>
                      <a:off x="0" y="0"/>
                      <a:ext cx="177800" cy="825500"/>
                    </a:xfrm>
                    <a:prstGeom prst="rect">
                      <a:avLst/>
                    </a:prstGeom>
                  </pic:spPr>
                </pic:pic>
              </a:graphicData>
            </a:graphic>
          </wp:anchor>
        </w:drawing>
      </w:r>
      <w:r>
        <w:t>营业税</w:t>
      </w:r>
    </w:p>
    <w:p>
      <w:pPr>
        <w:pStyle w:val="BodyText"/>
        <w:spacing w:before="280" w:line="441" w:lineRule="auto"/>
        <w:ind w:left="1832" w:right="3444"/>
      </w:pPr>
      <w:r>
        <w:t>城市维护建设税教育费附加</w:t>
      </w:r>
    </w:p>
    <w:p>
      <w:pPr>
        <w:spacing w:after="0" w:line="441" w:lineRule="auto"/>
        <w:sectPr>
          <w:footerReference w:type="default" r:id="rId16"/>
          <w:type w:val="continuous"/>
          <w:pgSz w:w="17860" w:h="25260"/>
          <w:pgMar w:top="2420" w:right="1080" w:bottom="280" w:left="1980" w:header="708" w:footer="708"/>
          <w:pgNumType w:start="4"/>
          <w:cols w:num="3" w:space="708" w:equalWidth="0">
            <w:col w:w="3511" w:space="49"/>
            <w:col w:w="3401" w:space="40"/>
            <w:col w:w="7799" w:space="0"/>
          </w:cols>
        </w:sectPr>
      </w:pPr>
    </w:p>
    <w:p>
      <w:pPr>
        <w:pStyle w:val="BodyText"/>
        <w:rPr>
          <w:sz w:val="20"/>
        </w:rPr>
      </w:pPr>
    </w:p>
    <w:p>
      <w:pPr>
        <w:pStyle w:val="BodyText"/>
        <w:rPr>
          <w:sz w:val="20"/>
        </w:rPr>
      </w:pPr>
    </w:p>
    <w:p>
      <w:pPr>
        <w:pStyle w:val="BodyText"/>
        <w:spacing w:before="6"/>
        <w:rPr>
          <w:sz w:val="28"/>
        </w:rPr>
      </w:pPr>
    </w:p>
    <w:p>
      <w:pPr>
        <w:pStyle w:val="BodyText"/>
        <w:spacing w:before="50"/>
        <w:ind w:left="688"/>
      </w:pPr>
      <w:r>
        <w:t>（一）基本直接费：</w:t>
      </w:r>
    </w:p>
    <w:p>
      <w:pPr>
        <w:spacing w:after="0"/>
        <w:sectPr>
          <w:footerReference w:type="default" r:id="rId17"/>
          <w:type w:val="continuous"/>
          <w:pgSz w:w="17860" w:h="25260"/>
          <w:pgMar w:top="2420" w:right="1080" w:bottom="280" w:left="1980" w:header="708" w:footer="708"/>
          <w:pgNumType w:start="5"/>
          <w:cols w:space="708"/>
        </w:sectPr>
      </w:pPr>
    </w:p>
    <w:p>
      <w:pPr>
        <w:pStyle w:val="BodyText"/>
        <w:spacing w:before="21" w:line="364" w:lineRule="auto"/>
        <w:ind w:left="148" w:right="861" w:firstLine="540"/>
      </w:pPr>
      <w:r>
        <w:rPr>
          <w:spacing w:val="3"/>
        </w:rPr>
        <w:t>1</w:t>
      </w:r>
      <w:r>
        <w:t>、 基本直接费是指在工程施工过程中直接耗费的构成工程实体或有助于工程形成</w:t>
      </w:r>
      <w:r>
        <w:rPr>
          <w:spacing w:val="-18"/>
        </w:rPr>
        <w:t>的各种费用，包括人工费、材料费、机械费。它可以通过定额直接查得，计算公式如下：</w:t>
      </w:r>
    </w:p>
    <w:p>
      <w:pPr>
        <w:pStyle w:val="BodyText"/>
        <w:spacing w:line="460" w:lineRule="exact"/>
        <w:ind w:left="688"/>
      </w:pPr>
      <w:r>
        <w:t>人工费＝定额工日*工日单价</w:t>
      </w:r>
    </w:p>
    <w:p>
      <w:pPr>
        <w:pStyle w:val="BodyText"/>
        <w:spacing w:before="237" w:line="364" w:lineRule="auto"/>
        <w:ind w:left="688" w:right="5019"/>
      </w:pPr>
      <w:r>
        <w:t>材料费＝定额消耗*材料单价（</w:t>
      </w:r>
      <w:r>
        <w:rPr>
          <w:spacing w:val="-9"/>
        </w:rPr>
        <w:t xml:space="preserve">原价+运费+采保费 </w:t>
      </w:r>
      <w:r>
        <w:rPr>
          <w:spacing w:val="-4"/>
        </w:rPr>
        <w:t xml:space="preserve">2.5％） </w:t>
      </w:r>
      <w:r>
        <w:t>机械费＝定额消耗*机械台班综合单价+机械进出场费</w:t>
      </w:r>
    </w:p>
    <w:p>
      <w:pPr>
        <w:pStyle w:val="BodyText"/>
        <w:spacing w:line="459" w:lineRule="exact"/>
        <w:ind w:left="688"/>
      </w:pPr>
      <w:r>
        <w:t>2、人工、材料、机械消耗量取定原则</w:t>
      </w:r>
    </w:p>
    <w:p>
      <w:pPr>
        <w:pStyle w:val="BodyText"/>
        <w:spacing w:before="240"/>
        <w:ind w:left="688"/>
      </w:pPr>
      <w:r>
        <w:t>*人工工日</w:t>
      </w:r>
    </w:p>
    <w:p>
      <w:pPr>
        <w:pStyle w:val="BodyText"/>
        <w:spacing w:before="241"/>
        <w:ind w:left="688"/>
      </w:pPr>
      <w:r>
        <w:t>定额中人工以综合工日数表示，不再分工种及技术等级。</w:t>
      </w:r>
    </w:p>
    <w:p>
      <w:pPr>
        <w:pStyle w:val="BodyText"/>
        <w:spacing w:before="238" w:line="364" w:lineRule="auto"/>
        <w:ind w:left="148" w:right="969" w:firstLine="1439"/>
      </w:pPr>
      <w:r>
        <w:t>工日消耗量包括基本用工和其他用工，基本用工以全国市政工程《劳动定额》为基础计算（85 年）其他用工包括人工幅度差、超运距用工及辅助用工。</w:t>
      </w:r>
    </w:p>
    <w:p>
      <w:pPr>
        <w:pStyle w:val="BodyText"/>
        <w:spacing w:line="364" w:lineRule="auto"/>
        <w:ind w:left="148" w:right="958" w:firstLine="899"/>
      </w:pPr>
      <w:r>
        <w:t>综合工日＝基本用工（来源于劳动定额）×（1＋人工幅度差）＋超运距用工＋辅助用工</w:t>
      </w:r>
    </w:p>
    <w:p>
      <w:pPr>
        <w:pStyle w:val="BodyText"/>
        <w:spacing w:line="459" w:lineRule="exact"/>
        <w:ind w:left="1048"/>
      </w:pPr>
      <w:r>
        <w:t>其中：</w:t>
      </w:r>
    </w:p>
    <w:p>
      <w:pPr>
        <w:pStyle w:val="BodyText"/>
        <w:spacing w:before="239" w:line="362" w:lineRule="auto"/>
        <w:ind w:left="148" w:right="1138" w:firstLine="899"/>
      </w:pPr>
      <w:r>
        <w:t>（ 1）人工幅度差是指在劳动定额作业时间之外在预算定额应考虑的在正常施工条件下所发生的各种工时损失，包括：</w:t>
      </w:r>
    </w:p>
    <w:p>
      <w:pPr>
        <w:pStyle w:val="ListParagraph"/>
        <w:numPr>
          <w:ilvl w:val="0"/>
          <w:numId w:val="11"/>
        </w:numPr>
        <w:tabs>
          <w:tab w:val="left" w:pos="1948"/>
          <w:tab w:val="left" w:pos="1949"/>
        </w:tabs>
        <w:spacing w:before="0" w:after="0" w:line="457" w:lineRule="exact"/>
        <w:ind w:left="1948" w:right="0" w:hanging="721"/>
        <w:jc w:val="left"/>
        <w:rPr>
          <w:sz w:val="36"/>
        </w:rPr>
      </w:pPr>
      <w:r>
        <w:rPr>
          <w:sz w:val="36"/>
        </w:rPr>
        <w:t>a 各工种间的工序搭接及交叉作业相互配合所发生的停歇用工；</w:t>
      </w:r>
    </w:p>
    <w:p>
      <w:pPr>
        <w:pStyle w:val="ListParagraph"/>
        <w:numPr>
          <w:ilvl w:val="0"/>
          <w:numId w:val="11"/>
        </w:numPr>
        <w:tabs>
          <w:tab w:val="left" w:pos="1948"/>
          <w:tab w:val="left" w:pos="1949"/>
        </w:tabs>
        <w:spacing w:before="238" w:after="0" w:line="240" w:lineRule="auto"/>
        <w:ind w:left="1948" w:right="0" w:hanging="721"/>
        <w:jc w:val="left"/>
        <w:rPr>
          <w:sz w:val="36"/>
        </w:rPr>
      </w:pPr>
      <w:r>
        <w:rPr>
          <w:sz w:val="36"/>
        </w:rPr>
        <w:t>b 施工机械在单位工程之间转移及临时水电线路移动造成的停工；</w:t>
      </w:r>
    </w:p>
    <w:p>
      <w:pPr>
        <w:pStyle w:val="ListParagraph"/>
        <w:numPr>
          <w:ilvl w:val="0"/>
          <w:numId w:val="11"/>
        </w:numPr>
        <w:tabs>
          <w:tab w:val="left" w:pos="1948"/>
          <w:tab w:val="left" w:pos="1949"/>
        </w:tabs>
        <w:spacing w:before="241" w:after="0" w:line="240" w:lineRule="auto"/>
        <w:ind w:left="1948" w:right="0" w:hanging="721"/>
        <w:jc w:val="left"/>
        <w:rPr>
          <w:sz w:val="36"/>
        </w:rPr>
      </w:pPr>
      <w:r>
        <w:rPr>
          <w:sz w:val="36"/>
        </w:rPr>
        <w:t>c 质量检查和隐蔽工程验收工作的影响；</w:t>
      </w:r>
    </w:p>
    <w:p>
      <w:pPr>
        <w:pStyle w:val="ListParagraph"/>
        <w:numPr>
          <w:ilvl w:val="0"/>
          <w:numId w:val="11"/>
        </w:numPr>
        <w:tabs>
          <w:tab w:val="left" w:pos="1948"/>
          <w:tab w:val="left" w:pos="1949"/>
        </w:tabs>
        <w:spacing w:before="237" w:after="0" w:line="240" w:lineRule="auto"/>
        <w:ind w:left="1948" w:right="0" w:hanging="721"/>
        <w:jc w:val="left"/>
        <w:rPr>
          <w:sz w:val="36"/>
        </w:rPr>
      </w:pPr>
      <w:r>
        <w:rPr>
          <w:sz w:val="36"/>
        </w:rPr>
        <w:t>d 班组操作地点转移用工；</w:t>
      </w:r>
    </w:p>
    <w:p>
      <w:pPr>
        <w:pStyle w:val="ListParagraph"/>
        <w:numPr>
          <w:ilvl w:val="0"/>
          <w:numId w:val="11"/>
        </w:numPr>
        <w:tabs>
          <w:tab w:val="left" w:pos="1948"/>
          <w:tab w:val="left" w:pos="1949"/>
        </w:tabs>
        <w:spacing w:before="240" w:after="0" w:line="240" w:lineRule="auto"/>
        <w:ind w:left="1948" w:right="0" w:hanging="721"/>
        <w:jc w:val="left"/>
        <w:rPr>
          <w:sz w:val="36"/>
        </w:rPr>
      </w:pPr>
      <w:r>
        <w:rPr>
          <w:sz w:val="36"/>
        </w:rPr>
        <w:t>e 工序交接时对前一工序不可避免的修整用工；</w:t>
      </w:r>
    </w:p>
    <w:p>
      <w:pPr>
        <w:pStyle w:val="ListParagraph"/>
        <w:numPr>
          <w:ilvl w:val="0"/>
          <w:numId w:val="11"/>
        </w:numPr>
        <w:tabs>
          <w:tab w:val="left" w:pos="1948"/>
          <w:tab w:val="left" w:pos="1949"/>
        </w:tabs>
        <w:spacing w:before="238" w:after="0" w:line="240" w:lineRule="auto"/>
        <w:ind w:left="1948" w:right="0" w:hanging="721"/>
        <w:jc w:val="left"/>
        <w:rPr>
          <w:sz w:val="36"/>
        </w:rPr>
      </w:pPr>
      <w:r>
        <w:rPr>
          <w:sz w:val="36"/>
        </w:rPr>
        <w:t>f 施工中不可避免的其他零星用工。</w:t>
      </w:r>
    </w:p>
    <w:p>
      <w:pPr>
        <w:pStyle w:val="BodyText"/>
        <w:spacing w:before="252" w:line="364" w:lineRule="auto"/>
        <w:ind w:left="148" w:right="968" w:firstLine="1979"/>
      </w:pPr>
      <w:r>
        <w:t>本册人工幅度差综合取定为 10％，人工随机械产量计算的，人工幅度差按机械幅度差率计算。</w:t>
      </w:r>
    </w:p>
    <w:p>
      <w:pPr>
        <w:pStyle w:val="ListParagraph"/>
        <w:numPr>
          <w:ilvl w:val="0"/>
          <w:numId w:val="9"/>
        </w:numPr>
        <w:tabs>
          <w:tab w:val="left" w:pos="1409"/>
        </w:tabs>
        <w:spacing w:before="0" w:after="0" w:line="364" w:lineRule="auto"/>
        <w:ind w:left="688" w:right="1509" w:firstLine="0"/>
        <w:jc w:val="left"/>
        <w:rPr>
          <w:sz w:val="36"/>
        </w:rPr>
      </w:pPr>
      <w:r>
        <w:rPr>
          <w:spacing w:val="-1"/>
          <w:sz w:val="36"/>
        </w:rPr>
        <w:t>超运距用工是指预算定额的平均水平运距超过劳动定额规定水平运距部分。</w:t>
      </w:r>
      <w:r>
        <w:rPr>
          <w:sz w:val="36"/>
        </w:rPr>
        <w:t>超运距＝预算定额取定运距－劳动定额已包括的运距</w:t>
      </w:r>
    </w:p>
    <w:p>
      <w:pPr>
        <w:pStyle w:val="BodyText"/>
        <w:spacing w:line="460" w:lineRule="exact"/>
        <w:ind w:left="1948"/>
      </w:pPr>
      <w:r>
        <w:rPr>
          <w:spacing w:val="-9"/>
        </w:rPr>
        <w:t xml:space="preserve">本册超运距综合取定为 </w:t>
      </w:r>
      <w:r>
        <w:t>100</w:t>
      </w:r>
      <w:r>
        <w:rPr>
          <w:spacing w:val="-45"/>
        </w:rPr>
        <w:t xml:space="preserve"> 米</w:t>
      </w:r>
      <w:r>
        <w:t>（按交底资料数据</w:t>
      </w:r>
      <w:r>
        <w:rPr>
          <w:spacing w:val="-180"/>
        </w:rPr>
        <w:t>）</w:t>
      </w:r>
      <w:r>
        <w:t>。</w:t>
      </w:r>
    </w:p>
    <w:p>
      <w:pPr>
        <w:pStyle w:val="ListParagraph"/>
        <w:numPr>
          <w:ilvl w:val="0"/>
          <w:numId w:val="9"/>
        </w:numPr>
        <w:tabs>
          <w:tab w:val="left" w:pos="1589"/>
        </w:tabs>
        <w:spacing w:before="239" w:after="0" w:line="240" w:lineRule="auto"/>
        <w:ind w:left="1588" w:right="0" w:hanging="721"/>
        <w:jc w:val="left"/>
        <w:rPr>
          <w:sz w:val="36"/>
        </w:rPr>
      </w:pPr>
      <w:r>
        <w:rPr>
          <w:sz w:val="36"/>
        </w:rPr>
        <w:t>辅助用工指为保证基本工作顺利进行而采取的必要辅助用工。</w:t>
      </w:r>
    </w:p>
    <w:p>
      <w:pPr>
        <w:pStyle w:val="BodyText"/>
        <w:spacing w:before="237"/>
        <w:ind w:left="688"/>
      </w:pPr>
      <w:r>
        <w:t>* 材料消耗</w:t>
      </w:r>
    </w:p>
    <w:p>
      <w:pPr>
        <w:pStyle w:val="BodyText"/>
        <w:spacing w:before="241" w:line="362" w:lineRule="auto"/>
        <w:ind w:left="148" w:right="1149" w:firstLine="540"/>
      </w:pPr>
      <w:r>
        <w:t>材料消耗量包含了必要的材料损耗，对于次要、零星材料，以占材料费的百分比表示，不再计入定额材料消耗量。</w:t>
      </w:r>
    </w:p>
    <w:p>
      <w:pPr>
        <w:spacing w:after="0" w:line="362" w:lineRule="auto"/>
        <w:sectPr>
          <w:footerReference w:type="default" r:id="rId18"/>
          <w:pgSz w:w="17860" w:h="25260"/>
          <w:pgMar w:top="1780" w:right="1080" w:bottom="2040" w:left="1980" w:header="0" w:footer="1820"/>
          <w:pgNumType w:start="6"/>
          <w:cols w:space="708"/>
        </w:sectPr>
      </w:pPr>
    </w:p>
    <w:p>
      <w:pPr>
        <w:tabs>
          <w:tab w:val="left" w:pos="12156"/>
        </w:tabs>
        <w:spacing w:before="48"/>
        <w:ind w:left="400" w:right="0" w:firstLine="0"/>
        <w:jc w:val="left"/>
        <w:rPr>
          <w:rFonts w:ascii="Times New Roman" w:eastAsia="Times New Roman" w:hAnsi="Times New Roman"/>
          <w:i/>
          <w:sz w:val="27"/>
        </w:rPr>
      </w:pPr>
      <w:r>
        <w:pict>
          <v:line id="_x0000_s1026" style="mso-position-horizontal-relative:page;position:absolute;z-index:251668480"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spacing w:before="8"/>
        <w:rPr>
          <w:rFonts w:ascii="Times New Roman"/>
          <w:i/>
          <w:sz w:val="37"/>
        </w:rPr>
      </w:pPr>
    </w:p>
    <w:p>
      <w:pPr>
        <w:pStyle w:val="BodyText"/>
        <w:spacing w:line="364" w:lineRule="auto"/>
        <w:ind w:left="1048" w:right="4208"/>
      </w:pPr>
      <w:r>
        <w:t>周转性材料已考虑了材料的正常周转次数并计入了定额中。定额中凡带“（ ）”仅表示消耗量，其价格未计入价目表。</w:t>
      </w:r>
    </w:p>
    <w:p>
      <w:pPr>
        <w:pStyle w:val="ListParagraph"/>
        <w:numPr>
          <w:ilvl w:val="0"/>
          <w:numId w:val="8"/>
        </w:numPr>
        <w:tabs>
          <w:tab w:val="left" w:pos="1049"/>
        </w:tabs>
        <w:spacing w:before="0" w:after="0" w:line="460" w:lineRule="exact"/>
        <w:ind w:left="1048" w:right="0" w:hanging="361"/>
        <w:jc w:val="left"/>
        <w:rPr>
          <w:sz w:val="36"/>
        </w:rPr>
      </w:pPr>
      <w:r>
        <w:rPr>
          <w:sz w:val="36"/>
        </w:rPr>
        <w:t>机械台班使用量</w:t>
      </w:r>
    </w:p>
    <w:p>
      <w:pPr>
        <w:pStyle w:val="BodyText"/>
        <w:spacing w:before="237" w:line="364" w:lineRule="auto"/>
        <w:ind w:left="148" w:right="1149" w:firstLine="540"/>
      </w:pPr>
      <w:r>
        <w:t>定额中所列机械，综合考虑了目前市政行业普遍使用的机型、规格。如实际使用的机械种类、规格与定额规定不同时，不得进行换算。</w:t>
      </w:r>
    </w:p>
    <w:p>
      <w:pPr>
        <w:pStyle w:val="BodyText"/>
        <w:spacing w:line="459" w:lineRule="exact"/>
        <w:ind w:left="688"/>
      </w:pPr>
      <w:r>
        <w:t>定额在确定机械台班使用量时，均计入了机械幅度差：</w:t>
      </w:r>
    </w:p>
    <w:p>
      <w:pPr>
        <w:pStyle w:val="BodyText"/>
        <w:spacing w:before="241"/>
        <w:ind w:left="688"/>
      </w:pPr>
      <w:r>
        <w:t>机械耗用量＝劳动定额机械台班耗用台班×（1＋机械幅度差）</w:t>
      </w:r>
    </w:p>
    <w:p>
      <w:pPr>
        <w:pStyle w:val="BodyText"/>
        <w:spacing w:before="241" w:line="364" w:lineRule="auto"/>
        <w:ind w:left="148" w:right="969" w:firstLine="540"/>
      </w:pPr>
      <w:r>
        <w:t>2000 元以下的辅助机械（如振捣棒）计入工具用具使用费中，定额中仅列入动力费用。</w:t>
      </w:r>
    </w:p>
    <w:p>
      <w:pPr>
        <w:pStyle w:val="BodyText"/>
        <w:spacing w:line="460" w:lineRule="exact"/>
        <w:ind w:left="688"/>
      </w:pPr>
      <w:r>
        <w:t>各册机械幅度差率根据不同的机械分别取定，范围为 25％～33％。</w:t>
      </w:r>
    </w:p>
    <w:p>
      <w:pPr>
        <w:pStyle w:val="BodyText"/>
        <w:spacing w:before="237"/>
        <w:ind w:left="688"/>
      </w:pPr>
      <w:r>
        <w:t>（二）其他直接费：</w:t>
      </w:r>
    </w:p>
    <w:p>
      <w:pPr>
        <w:pStyle w:val="BodyText"/>
        <w:spacing w:before="241" w:line="364" w:lineRule="auto"/>
        <w:ind w:left="148" w:right="969" w:firstLine="540"/>
      </w:pPr>
      <w:r>
        <w:t>其他直接费是指除了基本直接费之外的，在施工过程中直接发生的其他费用，同基本直接费相比，它有更大的弹性，就具体工程而言，可能发生，也可能不发生，但实际成本中将最终体现为人工、材料、机械费的增加，主要包括：</w:t>
      </w:r>
    </w:p>
    <w:p>
      <w:pPr>
        <w:pStyle w:val="BodyText"/>
        <w:spacing w:line="457" w:lineRule="exact"/>
        <w:ind w:left="688"/>
      </w:pPr>
      <w:r>
        <w:t>1、冬雨季施工增加费</w:t>
      </w:r>
    </w:p>
    <w:p>
      <w:pPr>
        <w:pStyle w:val="BodyText"/>
        <w:spacing w:before="241"/>
        <w:ind w:left="688"/>
      </w:pPr>
      <w:r>
        <w:t>2、夜间施工增加费</w:t>
      </w:r>
    </w:p>
    <w:p>
      <w:pPr>
        <w:pStyle w:val="BodyText"/>
        <w:spacing w:before="237"/>
        <w:ind w:left="688"/>
      </w:pPr>
      <w:r>
        <w:t>3、材料二次倒运：因场地狭小而发生的二次倒运</w:t>
      </w:r>
    </w:p>
    <w:p>
      <w:pPr>
        <w:pStyle w:val="BodyText"/>
        <w:spacing w:before="241"/>
        <w:ind w:left="688"/>
      </w:pPr>
      <w:r>
        <w:t>4、仪器仪表使用费</w:t>
      </w:r>
    </w:p>
    <w:p>
      <w:pPr>
        <w:pStyle w:val="BodyText"/>
        <w:spacing w:before="237"/>
        <w:ind w:left="688"/>
      </w:pPr>
      <w:r>
        <w:t>5、生产工具用具使用费（包括振捣棒等不构成固定资产的生产工具和检验试验用具）</w:t>
      </w:r>
    </w:p>
    <w:p>
      <w:pPr>
        <w:pStyle w:val="BodyText"/>
        <w:spacing w:before="241"/>
        <w:ind w:left="688"/>
      </w:pPr>
      <w:r>
        <w:t>6、检验试验费</w:t>
      </w:r>
    </w:p>
    <w:p>
      <w:pPr>
        <w:pStyle w:val="BodyText"/>
        <w:spacing w:before="237"/>
        <w:ind w:left="688"/>
      </w:pPr>
      <w:r>
        <w:t>7、工程定位复测、工程交点、场地清理费</w:t>
      </w:r>
    </w:p>
    <w:p>
      <w:pPr>
        <w:pStyle w:val="BodyText"/>
        <w:spacing w:before="241" w:line="364" w:lineRule="auto"/>
        <w:ind w:left="688" w:right="9609"/>
      </w:pPr>
      <w:r>
        <w:t>8、特殊工程地区施工增加费其他直接费记取：</w:t>
      </w:r>
    </w:p>
    <w:p>
      <w:pPr>
        <w:pStyle w:val="BodyText"/>
        <w:spacing w:line="459" w:lineRule="exact"/>
        <w:ind w:left="688"/>
      </w:pPr>
      <w:r>
        <w:t>其他直接费=计费价格*费率</w:t>
      </w:r>
    </w:p>
    <w:p>
      <w:pPr>
        <w:pStyle w:val="BodyText"/>
        <w:spacing w:before="242"/>
        <w:ind w:left="688"/>
      </w:pPr>
      <w:r>
        <w:t>（三）现场经费：</w:t>
      </w:r>
    </w:p>
    <w:p>
      <w:pPr>
        <w:pStyle w:val="BodyText"/>
        <w:spacing w:before="237" w:line="364" w:lineRule="auto"/>
        <w:ind w:left="148" w:right="1149" w:firstLine="540"/>
      </w:pPr>
      <w:r>
        <w:t>现场经费是指为施工准备、组织施工生产和管理所需的费用，包括临时设施费用和现场管理费用：</w:t>
      </w:r>
    </w:p>
    <w:p>
      <w:pPr>
        <w:pStyle w:val="BodyText"/>
        <w:spacing w:line="459" w:lineRule="exact"/>
        <w:ind w:left="688"/>
      </w:pPr>
      <w:r>
        <w:t>临时设施费用：如宿舍、文化福利等。</w:t>
      </w:r>
    </w:p>
    <w:p>
      <w:pPr>
        <w:pStyle w:val="BodyText"/>
        <w:spacing w:before="241" w:line="362" w:lineRule="auto"/>
        <w:ind w:left="148" w:right="789" w:firstLine="540"/>
      </w:pPr>
      <w:r>
        <w:t>现场管理费：发生在施工现场（项目部）一级的，针对特定工程施工而发生的费用， 包括项目部人员工资、奖金、补贴、现场办公费、差旅交通、工程保修等。</w:t>
      </w:r>
    </w:p>
    <w:p>
      <w:pPr>
        <w:spacing w:after="0" w:line="362" w:lineRule="auto"/>
        <w:sectPr>
          <w:footerReference w:type="default" r:id="rId19"/>
          <w:pgSz w:w="17860" w:h="25260"/>
          <w:pgMar w:top="960" w:right="1080" w:bottom="2040" w:left="1980" w:header="0" w:footer="1820"/>
          <w:pgNumType w:start="7"/>
          <w:cols w:space="708"/>
        </w:sectPr>
      </w:pPr>
    </w:p>
    <w:p>
      <w:pPr>
        <w:pStyle w:val="BodyText"/>
        <w:spacing w:before="21"/>
        <w:ind w:left="688"/>
      </w:pPr>
      <w:r>
        <w:t>现场经费记取：</w:t>
      </w:r>
    </w:p>
    <w:p>
      <w:pPr>
        <w:pStyle w:val="BodyText"/>
        <w:spacing w:before="237"/>
        <w:ind w:left="688"/>
      </w:pPr>
      <w:r>
        <w:t>现场经费=计费价格*费率</w:t>
      </w:r>
    </w:p>
    <w:p>
      <w:pPr>
        <w:pStyle w:val="BodyText"/>
        <w:spacing w:before="241"/>
        <w:ind w:left="688"/>
      </w:pPr>
      <w:r>
        <w:t>（四）间接费：</w:t>
      </w:r>
    </w:p>
    <w:p>
      <w:pPr>
        <w:pStyle w:val="BodyText"/>
        <w:spacing w:before="237" w:line="364" w:lineRule="auto"/>
        <w:ind w:left="148" w:right="1149" w:firstLine="540"/>
      </w:pPr>
      <w:r>
        <w:t>间接费是指虽不直接由施工工艺过程所引起，但却与工程的总体条件有关的，建筑安装企业为组织和进行经营管理以及间接为施工生产服务的各项费用：</w:t>
      </w:r>
    </w:p>
    <w:p>
      <w:pPr>
        <w:pStyle w:val="BodyText"/>
        <w:spacing w:line="459" w:lineRule="exact"/>
        <w:ind w:left="688"/>
      </w:pPr>
      <w:r>
        <w:t>企业管理费：发生在企业一级的管理费用。</w:t>
      </w:r>
    </w:p>
    <w:p>
      <w:pPr>
        <w:pStyle w:val="BodyText"/>
        <w:spacing w:before="241" w:line="364" w:lineRule="auto"/>
        <w:ind w:left="688" w:right="2949"/>
      </w:pPr>
      <w:r>
        <w:t>财务费：指企业筹集资金所发生的费用，如贷款利息、汇兑净损失等。其他费用：定额测定费及上缴的上级管理费等。</w:t>
      </w:r>
    </w:p>
    <w:p>
      <w:pPr>
        <w:pStyle w:val="BodyText"/>
        <w:spacing w:line="460" w:lineRule="exact"/>
        <w:ind w:left="688"/>
      </w:pPr>
      <w:r>
        <w:t>间接费记取：</w:t>
      </w:r>
    </w:p>
    <w:p>
      <w:pPr>
        <w:pStyle w:val="BodyText"/>
        <w:spacing w:before="241"/>
        <w:ind w:left="688"/>
      </w:pPr>
      <w:r>
        <w:t>间接费=计费价格*费率</w:t>
      </w:r>
    </w:p>
    <w:p>
      <w:pPr>
        <w:pStyle w:val="BodyText"/>
        <w:spacing w:before="237"/>
        <w:ind w:left="688"/>
      </w:pPr>
      <w:r>
        <w:t>（五）税金及利润：</w:t>
      </w:r>
    </w:p>
    <w:p>
      <w:pPr>
        <w:pStyle w:val="BodyText"/>
        <w:spacing w:before="241"/>
        <w:ind w:left="688"/>
      </w:pPr>
      <w:r>
        <w:t>税金及利润是施工企业职工为社会创造的价值：</w:t>
      </w:r>
    </w:p>
    <w:p>
      <w:pPr>
        <w:pStyle w:val="BodyText"/>
        <w:spacing w:before="237"/>
        <w:ind w:left="688"/>
      </w:pPr>
      <w:r>
        <w:t>（1)利润：计划利润＝计费价格*费率</w:t>
      </w:r>
    </w:p>
    <w:p>
      <w:pPr>
        <w:pStyle w:val="BodyText"/>
        <w:spacing w:before="240" w:line="362" w:lineRule="auto"/>
        <w:ind w:left="148" w:right="1142" w:firstLine="540"/>
      </w:pPr>
      <w:r>
        <w:t>（2)税金：特指营业税、城乡建设维护税及教育费附加，不包括所得税及土地使用税、车船使用税等。</w:t>
      </w:r>
    </w:p>
    <w:p>
      <w:pPr>
        <w:pStyle w:val="BodyText"/>
        <w:spacing w:before="8"/>
        <w:ind w:left="688"/>
      </w:pPr>
      <w:r>
        <w:t>营业税=应税营业额*3％</w:t>
      </w:r>
    </w:p>
    <w:p>
      <w:pPr>
        <w:pStyle w:val="BodyText"/>
        <w:spacing w:before="238" w:line="364" w:lineRule="auto"/>
        <w:ind w:left="688" w:right="2318"/>
      </w:pPr>
      <w:r>
        <w:t>城乡建设维护税=应纳营业税额*适用税率（</w:t>
      </w:r>
      <w:r>
        <w:rPr>
          <w:spacing w:val="-31"/>
        </w:rPr>
        <w:t xml:space="preserve">市区 </w:t>
      </w:r>
      <w:r>
        <w:t>7％；</w:t>
      </w:r>
      <w:r>
        <w:rPr>
          <w:spacing w:val="-30"/>
        </w:rPr>
        <w:t xml:space="preserve">县镇 </w:t>
      </w:r>
      <w:r>
        <w:t>5%；</w:t>
      </w:r>
      <w:r>
        <w:rPr>
          <w:spacing w:val="-30"/>
        </w:rPr>
        <w:t xml:space="preserve">农村 </w:t>
      </w:r>
      <w:r>
        <w:t>1%</w:t>
      </w:r>
      <w:r>
        <w:rPr>
          <w:spacing w:val="-180"/>
        </w:rPr>
        <w:t>。</w:t>
      </w:r>
      <w:r>
        <w:rPr>
          <w:spacing w:val="-17"/>
        </w:rPr>
        <w:t xml:space="preserve">） </w:t>
      </w:r>
      <w:r>
        <w:t>教育费附加=应纳营业税额*3%</w:t>
      </w:r>
    </w:p>
    <w:p>
      <w:pPr>
        <w:pStyle w:val="BodyText"/>
        <w:spacing w:line="459" w:lineRule="exact"/>
        <w:ind w:left="148"/>
      </w:pPr>
      <w:r>
        <w:t>三、建筑工程定额的层次</w:t>
      </w:r>
    </w:p>
    <w:p>
      <w:pPr>
        <w:pStyle w:val="BodyText"/>
        <w:spacing w:before="240"/>
        <w:ind w:left="688"/>
      </w:pPr>
      <w:r>
        <w:t>（一）施工定额</w:t>
      </w:r>
    </w:p>
    <w:p>
      <w:pPr>
        <w:pStyle w:val="BodyText"/>
        <w:spacing w:before="238"/>
        <w:ind w:left="688"/>
      </w:pPr>
      <w:r>
        <w:t>也叫劳动定额，指导施工，是编制预算定额的数据基础</w:t>
      </w:r>
    </w:p>
    <w:p>
      <w:pPr>
        <w:pStyle w:val="Heading1"/>
        <w:spacing w:before="240"/>
        <w:ind w:left="688"/>
        <w:rPr>
          <w:rFonts w:ascii="幼圆" w:eastAsia="幼圆" w:hint="eastAsia"/>
        </w:rPr>
      </w:pPr>
      <w:r>
        <w:rPr>
          <w:rFonts w:ascii="幼圆" w:eastAsia="幼圆" w:hint="eastAsia"/>
        </w:rPr>
        <w:t>（二）预算定额</w:t>
      </w:r>
    </w:p>
    <w:p>
      <w:pPr>
        <w:pStyle w:val="BodyText"/>
        <w:spacing w:before="241"/>
        <w:ind w:left="688"/>
      </w:pPr>
      <w:r>
        <w:t>施工图阶段计算造价，是概算定额的编制基础</w:t>
      </w:r>
    </w:p>
    <w:p>
      <w:pPr>
        <w:pStyle w:val="BodyText"/>
        <w:spacing w:before="237"/>
        <w:ind w:left="688"/>
      </w:pPr>
      <w:r>
        <w:t>（三）概算定额</w:t>
      </w:r>
    </w:p>
    <w:p>
      <w:pPr>
        <w:pStyle w:val="BodyText"/>
        <w:spacing w:before="242"/>
        <w:ind w:left="688"/>
      </w:pPr>
      <w:r>
        <w:t>扩大初步设计阶段，是预算定额的综合扩大</w:t>
      </w:r>
    </w:p>
    <w:p>
      <w:pPr>
        <w:pStyle w:val="BodyText"/>
        <w:spacing w:before="237"/>
        <w:ind w:left="688"/>
      </w:pPr>
      <w:r>
        <w:t>（四）概算指标</w:t>
      </w:r>
    </w:p>
    <w:p>
      <w:pPr>
        <w:pStyle w:val="BodyText"/>
        <w:spacing w:before="241"/>
        <w:ind w:left="688"/>
      </w:pPr>
      <w:r>
        <w:t>初步设计阶段编制概算，在概算及预算定额基础上编制，控制投资</w:t>
      </w:r>
    </w:p>
    <w:p>
      <w:pPr>
        <w:pStyle w:val="BodyText"/>
        <w:spacing w:before="237"/>
        <w:ind w:left="688"/>
      </w:pPr>
      <w:r>
        <w:t>（五）投资估算指标</w:t>
      </w:r>
    </w:p>
    <w:p>
      <w:pPr>
        <w:pStyle w:val="BodyText"/>
        <w:spacing w:before="241" w:line="362" w:lineRule="auto"/>
        <w:ind w:left="688" w:right="7989"/>
      </w:pPr>
      <w:r>
        <w:t>可行性研究阶段，根据历史资料编制。四、预算定额的表现形式</w:t>
      </w:r>
    </w:p>
    <w:p>
      <w:pPr>
        <w:spacing w:after="0" w:line="362" w:lineRule="auto"/>
        <w:sectPr>
          <w:footerReference w:type="default" r:id="rId20"/>
          <w:pgSz w:w="17860" w:h="25260"/>
          <w:pgMar w:top="1780" w:right="1080" w:bottom="2040" w:left="1980" w:header="0" w:footer="1820"/>
          <w:pgNumType w:start="8"/>
          <w:cols w:space="708"/>
        </w:sectPr>
      </w:pPr>
    </w:p>
    <w:tbl>
      <w:tblPr>
        <w:tblStyle w:val="TableNormal0"/>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42"/>
        <w:gridCol w:w="5523"/>
        <w:gridCol w:w="5256"/>
      </w:tblGrid>
      <w:tr>
        <w:tblPrEx>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83"/>
          <w:jc w:val="left"/>
        </w:trPr>
        <w:tc>
          <w:tcPr>
            <w:tcW w:w="2942" w:type="dxa"/>
            <w:tcBorders>
              <w:bottom w:val="dashed" w:sz="18" w:space="0" w:color="000000"/>
            </w:tcBorders>
          </w:tcPr>
          <w:p>
            <w:pPr>
              <w:pStyle w:val="TableParagraph"/>
              <w:spacing w:line="258" w:lineRule="exact"/>
              <w:ind w:left="300"/>
              <w:jc w:val="left"/>
              <w:rPr>
                <w:rFonts w:ascii="宋体" w:eastAsia="宋体" w:hint="eastAsia"/>
                <w:sz w:val="28"/>
              </w:rPr>
            </w:pPr>
            <w:r>
              <w:rPr>
                <w:rFonts w:ascii="宋体" w:eastAsia="宋体" w:hint="eastAsia"/>
                <w:sz w:val="28"/>
              </w:rPr>
              <w:t>市政定额应用培训</w:t>
            </w:r>
          </w:p>
        </w:tc>
        <w:tc>
          <w:tcPr>
            <w:tcW w:w="5523" w:type="dxa"/>
            <w:tcBorders>
              <w:bottom w:val="dashed" w:sz="18" w:space="0" w:color="000000"/>
            </w:tcBorders>
          </w:tcPr>
          <w:p>
            <w:pPr>
              <w:pStyle w:val="TableParagraph"/>
              <w:jc w:val="left"/>
              <w:rPr>
                <w:rFonts w:ascii="Times New Roman"/>
                <w:sz w:val="20"/>
              </w:rPr>
            </w:pPr>
          </w:p>
        </w:tc>
        <w:tc>
          <w:tcPr>
            <w:tcW w:w="5256" w:type="dxa"/>
            <w:tcBorders>
              <w:bottom w:val="dashed" w:sz="18" w:space="0" w:color="000000"/>
            </w:tcBorders>
          </w:tcPr>
          <w:p>
            <w:pPr>
              <w:pStyle w:val="TableParagraph"/>
              <w:spacing w:line="258" w:lineRule="exact"/>
              <w:ind w:right="312"/>
              <w:rPr>
                <w:rFonts w:ascii="Times New Roman" w:eastAsia="Times New Roman" w:hAnsi="Times New Roman"/>
                <w:i/>
                <w:sz w:val="27"/>
              </w:rPr>
            </w:pPr>
            <w:r>
              <w:rPr>
                <w:rFonts w:ascii="宋体" w:eastAsia="宋体" w:hAnsi="宋体" w:hint="eastAsia"/>
                <w:position w:val="1"/>
                <w:sz w:val="28"/>
              </w:rPr>
              <w:t>讲义·</w:t>
            </w:r>
            <w:r>
              <w:rPr>
                <w:rFonts w:ascii="Times New Roman" w:eastAsia="Times New Roman" w:hAnsi="Times New Roman"/>
                <w:i/>
                <w:sz w:val="27"/>
              </w:rPr>
              <w:t>LQG</w:t>
            </w:r>
          </w:p>
        </w:tc>
      </w:tr>
      <w:tr>
        <w:tblPrEx>
          <w:tblW w:w="0" w:type="auto"/>
          <w:jc w:val="left"/>
          <w:tblInd w:w="107" w:type="dxa"/>
          <w:tblLayout w:type="fixed"/>
          <w:tblCellMar>
            <w:top w:w="0" w:type="dxa"/>
            <w:left w:w="0" w:type="dxa"/>
            <w:bottom w:w="0" w:type="dxa"/>
            <w:right w:w="0" w:type="dxa"/>
          </w:tblCellMar>
          <w:tblLook w:val="01E0"/>
        </w:tblPrEx>
        <w:trPr>
          <w:trHeight w:val="1795"/>
          <w:jc w:val="left"/>
        </w:trPr>
        <w:tc>
          <w:tcPr>
            <w:tcW w:w="2942" w:type="dxa"/>
            <w:tcBorders>
              <w:top w:val="dashed" w:sz="18" w:space="0" w:color="000000"/>
            </w:tcBorders>
          </w:tcPr>
          <w:p>
            <w:pPr>
              <w:pStyle w:val="TableParagraph"/>
              <w:jc w:val="left"/>
              <w:rPr>
                <w:rFonts w:ascii="宋体"/>
                <w:sz w:val="36"/>
              </w:rPr>
            </w:pPr>
          </w:p>
          <w:p>
            <w:pPr>
              <w:pStyle w:val="TableParagraph"/>
              <w:jc w:val="left"/>
              <w:rPr>
                <w:rFonts w:ascii="宋体"/>
                <w:sz w:val="36"/>
              </w:rPr>
            </w:pPr>
          </w:p>
          <w:p>
            <w:pPr>
              <w:pStyle w:val="TableParagraph"/>
              <w:spacing w:before="6"/>
              <w:jc w:val="left"/>
              <w:rPr>
                <w:rFonts w:ascii="宋体"/>
                <w:sz w:val="36"/>
              </w:rPr>
            </w:pPr>
          </w:p>
          <w:p>
            <w:pPr>
              <w:pStyle w:val="TableParagraph"/>
              <w:spacing w:line="391" w:lineRule="exact"/>
              <w:ind w:left="444"/>
              <w:jc w:val="left"/>
              <w:rPr>
                <w:rFonts w:ascii="宋体" w:eastAsia="宋体" w:hint="eastAsia"/>
                <w:sz w:val="36"/>
              </w:rPr>
            </w:pPr>
            <w:r>
              <w:rPr>
                <w:rFonts w:ascii="宋体" w:eastAsia="宋体" w:hint="eastAsia"/>
                <w:sz w:val="36"/>
              </w:rPr>
              <w:t>项目</w:t>
            </w:r>
          </w:p>
        </w:tc>
        <w:tc>
          <w:tcPr>
            <w:tcW w:w="5523" w:type="dxa"/>
            <w:tcBorders>
              <w:top w:val="dashed" w:sz="18" w:space="0" w:color="000000"/>
            </w:tcBorders>
          </w:tcPr>
          <w:p>
            <w:pPr>
              <w:pStyle w:val="TableParagraph"/>
              <w:spacing w:before="32" w:line="954" w:lineRule="exact"/>
              <w:ind w:left="364" w:right="353" w:firstLine="2283"/>
              <w:jc w:val="left"/>
              <w:rPr>
                <w:rFonts w:ascii="宋体" w:eastAsia="宋体" w:hint="eastAsia"/>
                <w:sz w:val="36"/>
              </w:rPr>
            </w:pPr>
            <w:r>
              <w:rPr>
                <w:rFonts w:ascii="宋体" w:eastAsia="宋体" w:hint="eastAsia"/>
                <w:sz w:val="36"/>
              </w:rPr>
              <w:t>两类定额的特点估价表（九 O 定额）</w:t>
            </w:r>
          </w:p>
        </w:tc>
        <w:tc>
          <w:tcPr>
            <w:tcW w:w="5256" w:type="dxa"/>
            <w:tcBorders>
              <w:top w:val="dashed" w:sz="18" w:space="0" w:color="000000"/>
            </w:tcBorders>
          </w:tcPr>
          <w:p>
            <w:pPr>
              <w:pStyle w:val="TableParagraph"/>
              <w:jc w:val="left"/>
              <w:rPr>
                <w:rFonts w:ascii="宋体"/>
                <w:sz w:val="36"/>
              </w:rPr>
            </w:pPr>
          </w:p>
          <w:p>
            <w:pPr>
              <w:pStyle w:val="TableParagraph"/>
              <w:jc w:val="left"/>
              <w:rPr>
                <w:rFonts w:ascii="宋体"/>
                <w:sz w:val="36"/>
              </w:rPr>
            </w:pPr>
          </w:p>
          <w:p>
            <w:pPr>
              <w:pStyle w:val="TableParagraph"/>
              <w:spacing w:before="6"/>
              <w:jc w:val="left"/>
              <w:rPr>
                <w:rFonts w:ascii="宋体"/>
                <w:sz w:val="36"/>
              </w:rPr>
            </w:pPr>
          </w:p>
          <w:p>
            <w:pPr>
              <w:pStyle w:val="TableParagraph"/>
              <w:spacing w:line="391" w:lineRule="exact"/>
              <w:ind w:left="354"/>
              <w:jc w:val="left"/>
              <w:rPr>
                <w:rFonts w:ascii="宋体" w:eastAsia="宋体" w:hint="eastAsia"/>
                <w:sz w:val="36"/>
              </w:rPr>
            </w:pPr>
            <w:r>
              <w:rPr>
                <w:rFonts w:ascii="宋体" w:eastAsia="宋体" w:hint="eastAsia"/>
                <w:sz w:val="36"/>
              </w:rPr>
              <w:t>消耗量定额（02 定额）</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BodyText"/>
        <w:spacing w:before="50"/>
        <w:ind w:left="688"/>
      </w:pPr>
      <w:r>
        <w:pict>
          <v:group id="_x0000_s1027" style="width:712.55pt;height:399pt;margin-top:-419.87pt;margin-left:104pt;mso-position-horizontal-relative:page;position:absolute;z-index:-251646976" coordorigin="2080,-8397" coordsize="14251,7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4140;height:7980;left:2080;position:absolute;top:-8398" stroked="f">
              <v:imagedata r:id="rId21" o:title=""/>
            </v:shape>
            <v:shapetype id="_x0000_t202" coordsize="21600,21600" o:spt="202" path="m,l,21600r21600,l21600,xe">
              <v:stroke joinstyle="miter"/>
              <v:path gradientshapeok="t" o:connecttype="rect"/>
            </v:shapetype>
            <v:shape id="_x0000_s1029" type="#_x0000_t202" style="width:1640;height:360;left:3701;position:absolute;top:-6589" filled="f" stroked="f">
              <v:textbox inset="0,0,0,0">
                <w:txbxContent>
                  <w:p>
                    <w:pPr>
                      <w:spacing w:before="0" w:line="360" w:lineRule="exact"/>
                      <w:ind w:left="0" w:right="0" w:firstLine="0"/>
                      <w:jc w:val="left"/>
                      <w:rPr>
                        <w:sz w:val="36"/>
                      </w:rPr>
                    </w:pPr>
                    <w:r>
                      <w:rPr>
                        <w:sz w:val="36"/>
                      </w:rPr>
                      <w:t>1、估价表</w:t>
                    </w:r>
                  </w:p>
                </w:txbxContent>
              </v:textbox>
            </v:shape>
            <v:shape id="_x0000_s1030" type="#_x0000_t202" style="width:740;height:360;left:2524;position:absolute;top:-5887" filled="f" stroked="f">
              <v:textbox inset="0,0,0,0">
                <w:txbxContent>
                  <w:p>
                    <w:pPr>
                      <w:spacing w:before="0" w:line="360" w:lineRule="exact"/>
                      <w:ind w:left="0" w:right="0" w:firstLine="0"/>
                      <w:jc w:val="left"/>
                      <w:rPr>
                        <w:sz w:val="36"/>
                      </w:rPr>
                    </w:pPr>
                    <w:r>
                      <w:rPr>
                        <w:sz w:val="36"/>
                      </w:rPr>
                      <w:t>组成</w:t>
                    </w:r>
                  </w:p>
                </w:txbxContent>
              </v:textbox>
            </v:shape>
            <v:shape id="_x0000_s1031" type="#_x0000_t202" style="width:3080;height:828;left:3701;position:absolute;top:-6121" filled="f" stroked="f">
              <v:textbox inset="0,0,0,0">
                <w:txbxContent>
                  <w:p>
                    <w:pPr>
                      <w:spacing w:before="0" w:line="411" w:lineRule="exact"/>
                      <w:ind w:left="0" w:right="0" w:firstLine="0"/>
                      <w:jc w:val="left"/>
                      <w:rPr>
                        <w:sz w:val="36"/>
                      </w:rPr>
                    </w:pPr>
                    <w:r>
                      <w:rPr>
                        <w:sz w:val="36"/>
                      </w:rPr>
                      <w:t>2、费用定额</w:t>
                    </w:r>
                  </w:p>
                  <w:p>
                    <w:pPr>
                      <w:spacing w:before="6" w:line="411" w:lineRule="exact"/>
                      <w:ind w:left="0" w:right="0" w:firstLine="0"/>
                      <w:jc w:val="left"/>
                      <w:rPr>
                        <w:sz w:val="36"/>
                      </w:rPr>
                    </w:pPr>
                    <w:r>
                      <w:rPr>
                        <w:sz w:val="36"/>
                      </w:rPr>
                      <w:t>3、调整系数（年）</w:t>
                    </w:r>
                  </w:p>
                </w:txbxContent>
              </v:textbox>
            </v:shape>
            <v:shape id="_x0000_s1032" type="#_x0000_t202" style="width:3440;height:2225;left:10370;position:absolute;top:-7054" filled="f" stroked="f">
              <v:textbox inset="0,0,0,0">
                <w:txbxContent>
                  <w:p>
                    <w:pPr>
                      <w:spacing w:before="0" w:line="411" w:lineRule="exact"/>
                      <w:ind w:left="0" w:right="0" w:firstLine="0"/>
                      <w:jc w:val="left"/>
                      <w:rPr>
                        <w:sz w:val="36"/>
                      </w:rPr>
                    </w:pPr>
                    <w:r>
                      <w:rPr>
                        <w:sz w:val="36"/>
                      </w:rPr>
                      <w:t>1、消耗量定额</w:t>
                    </w:r>
                  </w:p>
                  <w:p>
                    <w:pPr>
                      <w:spacing w:before="3"/>
                      <w:ind w:left="0" w:right="0" w:firstLine="0"/>
                      <w:jc w:val="left"/>
                      <w:rPr>
                        <w:sz w:val="36"/>
                      </w:rPr>
                    </w:pPr>
                    <w:r>
                      <w:rPr>
                        <w:sz w:val="36"/>
                      </w:rPr>
                      <w:t>2、价目表</w:t>
                    </w:r>
                  </w:p>
                  <w:p>
                    <w:pPr>
                      <w:spacing w:before="7"/>
                      <w:ind w:left="0" w:right="0" w:firstLine="0"/>
                      <w:jc w:val="left"/>
                      <w:rPr>
                        <w:sz w:val="36"/>
                      </w:rPr>
                    </w:pPr>
                    <w:r>
                      <w:rPr>
                        <w:sz w:val="36"/>
                      </w:rPr>
                      <w:t>3、费用定额</w:t>
                    </w:r>
                  </w:p>
                  <w:p>
                    <w:pPr>
                      <w:spacing w:before="6"/>
                      <w:ind w:left="0" w:right="0" w:firstLine="0"/>
                      <w:jc w:val="left"/>
                      <w:rPr>
                        <w:sz w:val="36"/>
                      </w:rPr>
                    </w:pPr>
                    <w:r>
                      <w:rPr>
                        <w:sz w:val="36"/>
                      </w:rPr>
                      <w:t>4、机械台班单价定额</w:t>
                    </w:r>
                  </w:p>
                  <w:p>
                    <w:pPr>
                      <w:spacing w:before="3" w:line="411" w:lineRule="exact"/>
                      <w:ind w:left="0" w:right="0" w:firstLine="0"/>
                      <w:jc w:val="left"/>
                      <w:rPr>
                        <w:sz w:val="36"/>
                      </w:rPr>
                    </w:pPr>
                    <w:r>
                      <w:rPr>
                        <w:sz w:val="36"/>
                      </w:rPr>
                      <w:t>5、市场价格</w:t>
                    </w:r>
                  </w:p>
                </w:txbxContent>
              </v:textbox>
            </v:shape>
            <v:shape id="_x0000_s1033" type="#_x0000_t202" style="width:2360;height:360;left:3701;position:absolute;top:-3663" filled="f" stroked="f">
              <v:textbox inset="0,0,0,0">
                <w:txbxContent>
                  <w:p>
                    <w:pPr>
                      <w:spacing w:before="0" w:line="360" w:lineRule="exact"/>
                      <w:ind w:left="0" w:right="0" w:firstLine="0"/>
                      <w:jc w:val="left"/>
                      <w:rPr>
                        <w:sz w:val="36"/>
                      </w:rPr>
                    </w:pPr>
                    <w:r>
                      <w:rPr>
                        <w:sz w:val="36"/>
                      </w:rPr>
                      <w:t>1、量价合一。</w:t>
                    </w:r>
                  </w:p>
                </w:txbxContent>
              </v:textbox>
            </v:shape>
            <v:shape id="_x0000_s1034" type="#_x0000_t202" style="width:740;height:360;left:2524;position:absolute;top:-2963" filled="f" stroked="f">
              <v:textbox inset="0,0,0,0">
                <w:txbxContent>
                  <w:p>
                    <w:pPr>
                      <w:spacing w:before="0" w:line="360" w:lineRule="exact"/>
                      <w:ind w:left="0" w:right="0" w:firstLine="0"/>
                      <w:jc w:val="left"/>
                      <w:rPr>
                        <w:sz w:val="36"/>
                      </w:rPr>
                    </w:pPr>
                    <w:r>
                      <w:rPr>
                        <w:sz w:val="36"/>
                      </w:rPr>
                      <w:t>特点</w:t>
                    </w:r>
                  </w:p>
                </w:txbxContent>
              </v:textbox>
            </v:shape>
            <v:shape id="_x0000_s1035" type="#_x0000_t202" style="width:5960;height:825;left:3701;position:absolute;top:-3194" filled="f" stroked="f">
              <v:textbox inset="0,0,0,0">
                <w:txbxContent>
                  <w:p>
                    <w:pPr>
                      <w:spacing w:before="0" w:line="411" w:lineRule="exact"/>
                      <w:ind w:left="0" w:right="0" w:firstLine="0"/>
                      <w:jc w:val="left"/>
                      <w:rPr>
                        <w:sz w:val="36"/>
                      </w:rPr>
                    </w:pPr>
                    <w:r>
                      <w:rPr>
                        <w:sz w:val="36"/>
                      </w:rPr>
                      <w:t>2、综合费率，无法计算单项工程单价</w:t>
                    </w:r>
                  </w:p>
                  <w:p>
                    <w:pPr>
                      <w:spacing w:before="3" w:line="411" w:lineRule="exact"/>
                      <w:ind w:left="0" w:right="0" w:firstLine="0"/>
                      <w:jc w:val="left"/>
                      <w:rPr>
                        <w:sz w:val="36"/>
                      </w:rPr>
                    </w:pPr>
                    <w:r>
                      <w:rPr>
                        <w:sz w:val="36"/>
                      </w:rPr>
                      <w:t>3、不能适应清单计价的要求。</w:t>
                    </w:r>
                  </w:p>
                </w:txbxContent>
              </v:textbox>
            </v:shape>
            <v:shape id="_x0000_s1036" type="#_x0000_t202" style="width:5960;height:1294;left:10370;position:absolute;top:-3663" filled="f" stroked="f">
              <v:textbox inset="0,0,0,0">
                <w:txbxContent>
                  <w:p>
                    <w:pPr>
                      <w:spacing w:before="0" w:line="411" w:lineRule="exact"/>
                      <w:ind w:left="0" w:right="0" w:firstLine="0"/>
                      <w:jc w:val="left"/>
                      <w:rPr>
                        <w:sz w:val="36"/>
                      </w:rPr>
                    </w:pPr>
                    <w:r>
                      <w:rPr>
                        <w:sz w:val="36"/>
                      </w:rPr>
                      <w:t>1、量价分离。</w:t>
                    </w:r>
                  </w:p>
                  <w:p>
                    <w:pPr>
                      <w:spacing w:before="7"/>
                      <w:ind w:left="0" w:right="0" w:firstLine="0"/>
                      <w:jc w:val="left"/>
                      <w:rPr>
                        <w:sz w:val="36"/>
                      </w:rPr>
                    </w:pPr>
                    <w:r>
                      <w:rPr>
                        <w:sz w:val="36"/>
                      </w:rPr>
                      <w:t>2、可灵活准确的计算单项工程单价。</w:t>
                    </w:r>
                  </w:p>
                  <w:p>
                    <w:pPr>
                      <w:spacing w:before="3" w:line="411" w:lineRule="exact"/>
                      <w:ind w:left="0" w:right="0" w:firstLine="0"/>
                      <w:jc w:val="left"/>
                      <w:rPr>
                        <w:sz w:val="36"/>
                      </w:rPr>
                    </w:pPr>
                    <w:r>
                      <w:rPr>
                        <w:sz w:val="36"/>
                      </w:rPr>
                      <w:t>3、适应清单计价</w:t>
                    </w:r>
                  </w:p>
                </w:txbxContent>
              </v:textbox>
            </v:shape>
            <v:shape id="_x0000_s1037" type="#_x0000_t202" style="width:740;height:360;left:2524;position:absolute;top:-1199" filled="f" stroked="f">
              <v:textbox inset="0,0,0,0">
                <w:txbxContent>
                  <w:p>
                    <w:pPr>
                      <w:spacing w:before="0" w:line="360" w:lineRule="exact"/>
                      <w:ind w:left="0" w:right="0" w:firstLine="0"/>
                      <w:jc w:val="left"/>
                      <w:rPr>
                        <w:sz w:val="36"/>
                      </w:rPr>
                    </w:pPr>
                    <w:r>
                      <w:rPr>
                        <w:sz w:val="36"/>
                      </w:rPr>
                      <w:t>用法</w:t>
                    </w:r>
                  </w:p>
                </w:txbxContent>
              </v:textbox>
            </v:shape>
            <v:shape id="_x0000_s1038" type="#_x0000_t202" style="width:1100;height:360;left:3701;position:absolute;top:-1199" filled="f" stroked="f">
              <v:textbox inset="0,0,0,0">
                <w:txbxContent>
                  <w:p>
                    <w:pPr>
                      <w:spacing w:before="0" w:line="360" w:lineRule="exact"/>
                      <w:ind w:left="0" w:right="0" w:firstLine="0"/>
                      <w:jc w:val="left"/>
                      <w:rPr>
                        <w:sz w:val="36"/>
                      </w:rPr>
                    </w:pPr>
                    <w:r>
                      <w:rPr>
                        <w:sz w:val="36"/>
                      </w:rPr>
                      <w:t>单价法</w:t>
                    </w:r>
                  </w:p>
                </w:txbxContent>
              </v:textbox>
            </v:shape>
            <v:shape id="_x0000_s1039" type="#_x0000_t202" style="width:1820;height:360;left:10370;position:absolute;top:-1199" filled="f" stroked="f">
              <v:textbox inset="0,0,0,0">
                <w:txbxContent>
                  <w:p>
                    <w:pPr>
                      <w:spacing w:before="0" w:line="360" w:lineRule="exact"/>
                      <w:ind w:left="0" w:right="0" w:firstLine="0"/>
                      <w:jc w:val="left"/>
                      <w:rPr>
                        <w:sz w:val="36"/>
                      </w:rPr>
                    </w:pPr>
                    <w:r>
                      <w:rPr>
                        <w:sz w:val="36"/>
                      </w:rPr>
                      <w:t>定额实物法</w:t>
                    </w:r>
                  </w:p>
                </w:txbxContent>
              </v:textbox>
            </v:shape>
          </v:group>
        </w:pict>
      </w:r>
      <w:r>
        <w:t>五、工程费用定额</w:t>
      </w:r>
    </w:p>
    <w:p>
      <w:pPr>
        <w:pStyle w:val="BodyText"/>
        <w:spacing w:before="237" w:line="364" w:lineRule="auto"/>
        <w:ind w:left="148" w:right="969" w:firstLine="540"/>
      </w:pPr>
      <w:r>
        <w:t>目前，我国的计价管理改革的方向是“控制量、指导价、竞争费”，在一般的投标中，费用定额中的其他直接费率、间接费率、利润往往是竞报项目，费用定额仅作为参考。但在目前新旧计价体系转换过程中，定额（包括费用定额）有时还作为指令性标准使用，因此应进行掌握如下内容：</w:t>
      </w:r>
    </w:p>
    <w:p>
      <w:pPr>
        <w:pStyle w:val="BodyText"/>
        <w:spacing w:line="458" w:lineRule="exact"/>
        <w:ind w:left="688"/>
      </w:pPr>
      <w:r>
        <w:t>1、能够正确划分工程类别</w:t>
      </w:r>
    </w:p>
    <w:p>
      <w:pPr>
        <w:pStyle w:val="BodyText"/>
        <w:spacing w:before="240"/>
        <w:ind w:left="688"/>
      </w:pPr>
      <w:r>
        <w:t>2、能够正确确定各类费率</w:t>
      </w:r>
    </w:p>
    <w:p>
      <w:pPr>
        <w:pStyle w:val="BodyText"/>
        <w:spacing w:before="238"/>
        <w:ind w:left="688"/>
      </w:pPr>
      <w:r>
        <w:t>3、能够熟练掌握取费程序</w:t>
      </w:r>
    </w:p>
    <w:p>
      <w:pPr>
        <w:pStyle w:val="BodyText"/>
        <w:spacing w:before="240"/>
        <w:ind w:left="688"/>
      </w:pPr>
      <w:r>
        <w:t>*工程费用计算程序</w:t>
      </w:r>
    </w:p>
    <w:p>
      <w:pPr>
        <w:pStyle w:val="BodyText"/>
        <w:spacing w:before="237"/>
        <w:ind w:left="688"/>
      </w:pPr>
      <w:r>
        <w:t>（见费用定额）</w:t>
      </w:r>
    </w:p>
    <w:p>
      <w:pPr>
        <w:spacing w:after="0"/>
        <w:sectPr>
          <w:footerReference w:type="default" r:id="rId22"/>
          <w:pgSz w:w="17860" w:h="25260"/>
          <w:pgMar w:top="1040" w:right="1080" w:bottom="2040" w:left="1980" w:header="0" w:footer="1820"/>
          <w:pgNumType w:start="9"/>
          <w:cols w:space="708"/>
        </w:sectPr>
      </w:pPr>
    </w:p>
    <w:p>
      <w:pPr>
        <w:pStyle w:val="BodyText"/>
        <w:tabs>
          <w:tab w:val="left" w:pos="1439"/>
        </w:tabs>
        <w:spacing w:before="21"/>
        <w:ind w:right="898"/>
        <w:jc w:val="center"/>
      </w:pPr>
      <w:r>
        <w:t>第一册</w:t>
        <w:tab/>
        <w:t>通用工程</w:t>
      </w:r>
    </w:p>
    <w:p>
      <w:pPr>
        <w:pStyle w:val="BodyText"/>
        <w:spacing w:before="237"/>
        <w:ind w:left="688"/>
      </w:pPr>
      <w:r>
        <w:t>一、定额总说明</w:t>
      </w:r>
    </w:p>
    <w:p>
      <w:pPr>
        <w:pStyle w:val="BodyText"/>
        <w:spacing w:before="12"/>
        <w:rPr>
          <w:sz w:val="14"/>
        </w:rPr>
      </w:pPr>
    </w:p>
    <w:p>
      <w:pPr>
        <w:pStyle w:val="BodyText"/>
        <w:spacing w:before="50" w:line="364" w:lineRule="auto"/>
        <w:ind w:left="148" w:right="969" w:firstLine="540"/>
      </w:pPr>
      <w:r>
        <w:t>1、 本定额是完成规定计量单位分部分项工程所需人工、材料、机械台班消耗量的标准，是编制招标标底的依据；是编制施工图预算，进行工程招投标及编制概算定额、估算指标的基础。P1 二</w:t>
      </w:r>
    </w:p>
    <w:p>
      <w:pPr>
        <w:pStyle w:val="BodyText"/>
        <w:spacing w:line="364" w:lineRule="auto"/>
        <w:ind w:left="148" w:right="969" w:firstLine="540"/>
      </w:pPr>
      <w:r>
        <w:t>2、 本定额是按照正常的施工条件，目前多数市政施工机械装备程度，合理的施工工期、施工工艺、劳动组织为基础编制的，体现的是社会平均消耗水平，与企业定额有区别。 P1 四</w:t>
      </w:r>
    </w:p>
    <w:p>
      <w:pPr>
        <w:pStyle w:val="BodyText"/>
        <w:spacing w:line="364" w:lineRule="auto"/>
        <w:ind w:left="148" w:right="1138" w:firstLine="540"/>
      </w:pPr>
      <w:r>
        <w:t>3、 本定额人工工日消耗不分工种、技术等级、以综合工日表示，包括基本用工、辅助用工、超运距用工及人工幅度差。 P1 六</w:t>
      </w:r>
    </w:p>
    <w:p>
      <w:pPr>
        <w:pStyle w:val="BodyText"/>
        <w:spacing w:line="364" w:lineRule="auto"/>
        <w:ind w:left="148" w:right="1044" w:firstLine="540"/>
        <w:jc w:val="both"/>
      </w:pPr>
      <w:r>
        <w:rPr>
          <w:spacing w:val="3"/>
        </w:rPr>
        <w:t>4</w:t>
      </w:r>
      <w:r>
        <w:t>、 定额中已包括材料、成品、半成品从工地仓库、现场集中堆放地点或现场加工</w:t>
      </w:r>
      <w:r>
        <w:rPr>
          <w:spacing w:val="-4"/>
        </w:rPr>
        <w:t>地点至操作安装地点的水平和垂直运输所需要的人工和机械消耗。材料的二次搬运费记</w:t>
      </w:r>
      <w:r>
        <w:t>入了费用定额中其他直接费，以费率的形式体现。 P1</w:t>
      </w:r>
      <w:r>
        <w:rPr>
          <w:spacing w:val="-60"/>
        </w:rPr>
        <w:t xml:space="preserve"> 七 </w:t>
      </w:r>
      <w:r>
        <w:t>1</w:t>
      </w:r>
    </w:p>
    <w:p>
      <w:pPr>
        <w:pStyle w:val="BodyText"/>
        <w:spacing w:line="362" w:lineRule="auto"/>
        <w:ind w:left="148" w:right="1035" w:firstLine="540"/>
        <w:jc w:val="both"/>
      </w:pPr>
      <w:r>
        <w:t>5</w:t>
      </w:r>
      <w:r>
        <w:rPr>
          <w:spacing w:val="-8"/>
        </w:rPr>
        <w:t>、 定额中的砼均按现场搅拌考虑，若采用商品砼，则在抽换材料的同时，扣减</w:t>
      </w:r>
      <w:r>
        <w:rPr>
          <w:spacing w:val="-6"/>
        </w:rPr>
        <w:t xml:space="preserve">3.5 </w:t>
      </w:r>
      <w:r>
        <w:t>工日/m3</w:t>
      </w:r>
      <w:r>
        <w:rPr>
          <w:spacing w:val="-11"/>
        </w:rPr>
        <w:t xml:space="preserve"> 个工日及所有的搅拌机台班数量。</w:t>
      </w:r>
      <w:r>
        <w:t>P1</w:t>
      </w:r>
      <w:r>
        <w:rPr>
          <w:spacing w:val="-60"/>
        </w:rPr>
        <w:t xml:space="preserve"> 七 </w:t>
      </w:r>
      <w:r>
        <w:t>3</w:t>
      </w:r>
    </w:p>
    <w:p>
      <w:pPr>
        <w:pStyle w:val="BodyText"/>
        <w:spacing w:line="364" w:lineRule="auto"/>
        <w:ind w:left="148" w:right="1138" w:firstLine="540"/>
        <w:jc w:val="both"/>
      </w:pPr>
      <w:r>
        <w:rPr>
          <w:spacing w:val="3"/>
        </w:rPr>
        <w:t>6</w:t>
      </w:r>
      <w:r>
        <w:rPr>
          <w:spacing w:val="-1"/>
        </w:rPr>
        <w:t>、 预制砼的养护，除另有说明外，均按自然养护考虑，若采用蒸汽养护，则需要</w:t>
      </w:r>
      <w:r>
        <w:rPr>
          <w:spacing w:val="-13"/>
        </w:rPr>
        <w:t xml:space="preserve">参照公路定额 </w:t>
      </w:r>
      <w:r>
        <w:t>4-107-1、4-107-2</w:t>
      </w:r>
      <w:r>
        <w:rPr>
          <w:spacing w:val="-10"/>
        </w:rPr>
        <w:t xml:space="preserve"> 增加蒸养室建设及蒸汽养生项目。</w:t>
      </w:r>
      <w:r>
        <w:t>P1</w:t>
      </w:r>
      <w:r>
        <w:rPr>
          <w:spacing w:val="-60"/>
        </w:rPr>
        <w:t xml:space="preserve"> 七 </w:t>
      </w:r>
      <w:r>
        <w:t>3</w:t>
      </w:r>
    </w:p>
    <w:p>
      <w:pPr>
        <w:pStyle w:val="BodyText"/>
        <w:spacing w:line="460" w:lineRule="exact"/>
        <w:ind w:left="688"/>
        <w:jc w:val="both"/>
      </w:pPr>
      <w:r>
        <w:t>7</w:t>
      </w:r>
      <w:r>
        <w:rPr>
          <w:spacing w:val="-1"/>
        </w:rPr>
        <w:t>、 本定额的施工台班消耗量已包括了机械幅度差的内容。</w:t>
      </w:r>
      <w:r>
        <w:t>P1</w:t>
      </w:r>
      <w:r>
        <w:rPr>
          <w:spacing w:val="-60"/>
        </w:rPr>
        <w:t xml:space="preserve"> 八 </w:t>
      </w:r>
      <w:r>
        <w:t>1</w:t>
      </w:r>
    </w:p>
    <w:p>
      <w:pPr>
        <w:pStyle w:val="BodyText"/>
        <w:spacing w:before="237" w:line="364" w:lineRule="auto"/>
        <w:ind w:left="148" w:right="1042" w:firstLine="540"/>
        <w:jc w:val="both"/>
      </w:pPr>
      <w:r>
        <w:rPr>
          <w:spacing w:val="3"/>
        </w:rPr>
        <w:t>8</w:t>
      </w:r>
      <w:r>
        <w:t>、 本定额的机械仅列主要施工机械，辅助机械（随工人班组配备并依班组产量计</w:t>
      </w:r>
      <w:r>
        <w:rPr>
          <w:spacing w:val="-5"/>
        </w:rPr>
        <w:t xml:space="preserve">算的单位价值在 </w:t>
      </w:r>
      <w:r>
        <w:t>2000</w:t>
      </w:r>
      <w:r>
        <w:rPr>
          <w:spacing w:val="-7"/>
        </w:rPr>
        <w:t xml:space="preserve"> 元以下的小型施工机械</w:t>
      </w:r>
      <w:r>
        <w:t>）已包括在费用定额的其他直接费中。</w:t>
      </w:r>
      <w:r>
        <w:rPr>
          <w:spacing w:val="-8"/>
        </w:rPr>
        <w:t xml:space="preserve">P1 </w:t>
      </w:r>
      <w:r>
        <w:rPr>
          <w:spacing w:val="-45"/>
        </w:rPr>
        <w:t xml:space="preserve">八 </w:t>
      </w:r>
      <w:r>
        <w:t>1</w:t>
      </w:r>
    </w:p>
    <w:p>
      <w:pPr>
        <w:pStyle w:val="BodyText"/>
        <w:spacing w:line="364" w:lineRule="auto"/>
        <w:ind w:left="148" w:right="1138" w:firstLine="540"/>
        <w:jc w:val="both"/>
      </w:pPr>
      <w:r>
        <w:t>9、 本定额施工用水，用电是按现场有水有电考虑的，如施工现场采用其他方法供水、供电时费用可按实调整。 P1 九</w:t>
      </w:r>
    </w:p>
    <w:p>
      <w:pPr>
        <w:pStyle w:val="BodyText"/>
        <w:spacing w:line="364" w:lineRule="auto"/>
        <w:ind w:left="148" w:right="1129" w:firstLine="540"/>
        <w:jc w:val="both"/>
      </w:pPr>
      <w:r>
        <w:t>10、定额中半成品均不包括其运输人工及机械台班消耗量（拌和场至施工现场，如砼、沥青砼等</w:t>
      </w:r>
      <w:r>
        <w:rPr>
          <w:spacing w:val="-161"/>
        </w:rPr>
        <w:t>）</w:t>
      </w:r>
      <w:r>
        <w:rPr>
          <w:spacing w:val="-1"/>
        </w:rPr>
        <w:t>，在编制预算时可套用第一册“通用项目”相关子目或根据本地区的运</w:t>
      </w:r>
      <w:r>
        <w:t>输价格另行计算。</w:t>
      </w:r>
    </w:p>
    <w:p>
      <w:pPr>
        <w:pStyle w:val="BodyText"/>
        <w:ind w:left="688"/>
      </w:pPr>
      <w:r>
        <w:t>但厂拌拌多合土运输套用本册定额</w:t>
      </w:r>
    </w:p>
    <w:p>
      <w:pPr>
        <w:pStyle w:val="BodyText"/>
        <w:spacing w:before="234"/>
        <w:ind w:left="688"/>
      </w:pPr>
      <w:r>
        <w:t>11、 本定额中凡“××以内”或“××以下”均包括“××”本身，如钢筋“</w:t>
      </w:r>
      <w:r>
        <w:rPr>
          <w:rFonts w:ascii="Arial" w:eastAsia="Arial" w:hAnsi="Arial"/>
        </w:rPr>
        <w:t xml:space="preserve">φ </w:t>
      </w:r>
      <w:r>
        <w:t>10</w:t>
      </w:r>
    </w:p>
    <w:p>
      <w:pPr>
        <w:pStyle w:val="BodyText"/>
        <w:spacing w:before="241" w:line="362" w:lineRule="auto"/>
        <w:ind w:left="688" w:right="6028" w:hanging="540"/>
      </w:pPr>
      <w:r>
        <w:t>以下”包括</w:t>
      </w:r>
      <w:r>
        <w:rPr>
          <w:rFonts w:ascii="Arial" w:eastAsia="Arial" w:hAnsi="Arial"/>
        </w:rPr>
        <w:t xml:space="preserve">φ </w:t>
      </w:r>
      <w:r>
        <w:t>10 ，否则不包括“××”本身。P2 十一二、通用册说明</w:t>
      </w:r>
    </w:p>
    <w:p>
      <w:pPr>
        <w:spacing w:after="0" w:line="362" w:lineRule="auto"/>
        <w:sectPr>
          <w:footerReference w:type="default" r:id="rId23"/>
          <w:pgSz w:w="17860" w:h="25260"/>
          <w:pgMar w:top="1780" w:right="1080" w:bottom="2040" w:left="1980" w:header="0" w:footer="1820"/>
          <w:pgNumType w:start="10"/>
          <w:cols w:space="708"/>
        </w:sectPr>
      </w:pPr>
    </w:p>
    <w:p>
      <w:pPr>
        <w:tabs>
          <w:tab w:val="left" w:pos="12156"/>
        </w:tabs>
        <w:spacing w:before="48"/>
        <w:ind w:left="400" w:right="0" w:firstLine="0"/>
        <w:jc w:val="left"/>
        <w:rPr>
          <w:rFonts w:ascii="Times New Roman" w:eastAsia="Times New Roman" w:hAnsi="Times New Roman"/>
          <w:i/>
          <w:sz w:val="27"/>
        </w:rPr>
      </w:pPr>
      <w:r>
        <w:pict>
          <v:line id="_x0000_s1040" style="mso-position-horizontal-relative:page;position:absolute;z-index:251670528"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spacing w:before="8"/>
        <w:rPr>
          <w:rFonts w:ascii="Times New Roman"/>
          <w:i/>
          <w:sz w:val="37"/>
        </w:rPr>
      </w:pPr>
    </w:p>
    <w:p>
      <w:pPr>
        <w:pStyle w:val="BodyText"/>
        <w:spacing w:line="364" w:lineRule="auto"/>
        <w:ind w:left="148" w:right="1138" w:firstLine="540"/>
      </w:pPr>
      <w:r>
        <w:t>1、 通用册包括土石方工程、打拔工具桩工程、围堰工程、支撑工程、拆除工程、脚手架及其他工程、护坡挡土墙工程。P3 一</w:t>
      </w:r>
    </w:p>
    <w:p>
      <w:pPr>
        <w:pStyle w:val="BodyText"/>
        <w:spacing w:line="460" w:lineRule="exact"/>
        <w:ind w:left="688"/>
      </w:pPr>
      <w:r>
        <w:t>2</w:t>
      </w:r>
      <w:r>
        <w:rPr>
          <w:spacing w:val="-1"/>
        </w:rPr>
        <w:t>、 通用册子项为共性内容，适用于各专业册。</w:t>
      </w:r>
      <w:r>
        <w:t>P3</w:t>
      </w:r>
      <w:r>
        <w:rPr>
          <w:spacing w:val="-45"/>
        </w:rPr>
        <w:t xml:space="preserve"> 二</w:t>
      </w:r>
    </w:p>
    <w:p>
      <w:pPr>
        <w:pStyle w:val="BodyText"/>
        <w:tabs>
          <w:tab w:val="left" w:pos="1799"/>
        </w:tabs>
        <w:spacing w:before="237"/>
        <w:ind w:right="358"/>
        <w:jc w:val="center"/>
      </w:pPr>
      <w:r>
        <w:t>第一章</w:t>
        <w:tab/>
        <w:t>土石方工程</w:t>
      </w:r>
    </w:p>
    <w:p>
      <w:pPr>
        <w:pStyle w:val="BodyText"/>
        <w:spacing w:before="12"/>
        <w:rPr>
          <w:sz w:val="14"/>
        </w:rPr>
      </w:pPr>
    </w:p>
    <w:p>
      <w:pPr>
        <w:pStyle w:val="BodyText"/>
        <w:spacing w:before="50" w:line="362" w:lineRule="auto"/>
        <w:ind w:left="688" w:right="10869"/>
      </w:pPr>
      <w:r>
        <w:t>一、土方及岩石分类祥见定额 P9</w:t>
      </w:r>
    </w:p>
    <w:p>
      <w:pPr>
        <w:pStyle w:val="BodyText"/>
        <w:spacing w:before="7" w:line="364" w:lineRule="auto"/>
        <w:ind w:left="148" w:right="1149" w:firstLine="540"/>
      </w:pPr>
      <w:r>
        <w:t>普氏系数：是硬度计量单位，指物质抵抗另一种较坚硬的具有一定形状和尺寸的物体压入其表面的能力。</w:t>
      </w:r>
    </w:p>
    <w:p>
      <w:pPr>
        <w:pStyle w:val="BodyText"/>
        <w:spacing w:line="364" w:lineRule="auto"/>
        <w:ind w:left="148" w:right="968" w:firstLine="540"/>
        <w:jc w:val="both"/>
      </w:pPr>
      <w:r>
        <w:t>注：公路工程中规定，土石方在挖方中用不小于112.5kw(150</w:t>
      </w:r>
      <w:r>
        <w:rPr>
          <w:spacing w:val="-10"/>
        </w:rPr>
        <w:t xml:space="preserve"> 马力)推土机单齿松土</w:t>
      </w:r>
      <w:r>
        <w:rPr>
          <w:spacing w:val="-13"/>
        </w:rPr>
        <w:t xml:space="preserve">器无法松动，须用爆破或用气钻方法开挖的，以及体积大于或等于 </w:t>
      </w:r>
      <w:r>
        <w:t>1m3</w:t>
      </w:r>
      <w:r>
        <w:rPr>
          <w:spacing w:val="-15"/>
        </w:rPr>
        <w:t xml:space="preserve"> 的孤石为石方， </w:t>
      </w:r>
      <w:r>
        <w:t>其余为土方。</w:t>
      </w:r>
    </w:p>
    <w:p>
      <w:pPr>
        <w:pStyle w:val="BodyText"/>
        <w:spacing w:line="460" w:lineRule="exact"/>
        <w:ind w:left="688"/>
      </w:pPr>
      <w:r>
        <w:t>二、沟槽、基坑、一般土石方分类</w:t>
      </w:r>
    </w:p>
    <w:p>
      <w:pPr>
        <w:pStyle w:val="BodyText"/>
        <w:spacing w:before="236" w:line="364" w:lineRule="auto"/>
        <w:ind w:left="688" w:right="6728"/>
      </w:pPr>
      <w:r>
        <w:rPr>
          <w:spacing w:val="-16"/>
        </w:rPr>
        <w:t xml:space="preserve">沟槽：底宽 </w:t>
      </w:r>
      <w:r>
        <w:t>7m</w:t>
      </w:r>
      <w:r>
        <w:rPr>
          <w:spacing w:val="-19"/>
        </w:rPr>
        <w:t xml:space="preserve"> 以内，底长大于底宽 </w:t>
      </w:r>
      <w:r>
        <w:t>3</w:t>
      </w:r>
      <w:r>
        <w:rPr>
          <w:spacing w:val="-22"/>
        </w:rPr>
        <w:t xml:space="preserve"> 倍以上； </w:t>
      </w:r>
      <w:r>
        <w:rPr>
          <w:spacing w:val="-9"/>
        </w:rPr>
        <w:t xml:space="preserve">基坑：底长小于底宽 </w:t>
      </w:r>
      <w:r>
        <w:t>3</w:t>
      </w:r>
      <w:r>
        <w:rPr>
          <w:spacing w:val="-22"/>
        </w:rPr>
        <w:t xml:space="preserve"> 倍，底面积小于 </w:t>
      </w:r>
      <w:r>
        <w:t>100m2;</w:t>
      </w:r>
    </w:p>
    <w:p>
      <w:pPr>
        <w:pStyle w:val="BodyText"/>
        <w:spacing w:line="364" w:lineRule="auto"/>
        <w:ind w:left="688" w:right="5648"/>
      </w:pPr>
      <w:r>
        <w:rPr>
          <w:spacing w:val="-6"/>
        </w:rPr>
        <w:t xml:space="preserve">场地平整：超过上述范围，厚度在 </w:t>
      </w:r>
      <w:r>
        <w:t>30cm</w:t>
      </w:r>
      <w:r>
        <w:rPr>
          <w:spacing w:val="-17"/>
        </w:rPr>
        <w:t xml:space="preserve"> 以内就地挖填</w:t>
      </w:r>
      <w:r>
        <w:t>一般土石方：超过以上范围的土石方工程。</w:t>
      </w:r>
    </w:p>
    <w:p>
      <w:pPr>
        <w:pStyle w:val="BodyText"/>
        <w:spacing w:line="460" w:lineRule="exact"/>
        <w:ind w:left="688"/>
      </w:pPr>
      <w:r>
        <w:t>三、应用中需注意的问题</w:t>
      </w:r>
    </w:p>
    <w:p>
      <w:pPr>
        <w:pStyle w:val="BodyText"/>
        <w:spacing w:before="239" w:line="362" w:lineRule="auto"/>
        <w:ind w:left="148" w:right="868" w:firstLine="540"/>
      </w:pPr>
      <w:r>
        <w:drawing>
          <wp:anchor distT="0" distB="0" distL="0" distR="0" simplePos="0" relativeHeight="251671552" behindDoc="1" locked="0" layoutInCell="1" allowOverlap="1">
            <wp:simplePos x="0" y="0"/>
            <wp:positionH relativeFrom="page">
              <wp:posOffset>1320800</wp:posOffset>
            </wp:positionH>
            <wp:positionV relativeFrom="paragraph">
              <wp:posOffset>1037208</wp:posOffset>
            </wp:positionV>
            <wp:extent cx="8563737" cy="3420427"/>
            <wp:effectExtent l="0" t="0" r="0" b="0"/>
            <wp:wrapNone/>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png"/>
                    <pic:cNvPicPr/>
                  </pic:nvPicPr>
                  <pic:blipFill>
                    <a:blip xmlns:r="http://schemas.openxmlformats.org/officeDocument/2006/relationships" r:embed="rId24" cstate="print"/>
                    <a:stretch>
                      <a:fillRect/>
                    </a:stretch>
                  </pic:blipFill>
                  <pic:spPr>
                    <a:xfrm>
                      <a:off x="0" y="0"/>
                      <a:ext cx="8563737" cy="3420427"/>
                    </a:xfrm>
                    <a:prstGeom prst="rect">
                      <a:avLst/>
                    </a:prstGeom>
                  </pic:spPr>
                </pic:pic>
              </a:graphicData>
            </a:graphic>
          </wp:anchor>
        </w:drawing>
      </w:r>
      <w:r>
        <w:t>1</w:t>
      </w:r>
      <w:r>
        <w:rPr>
          <w:spacing w:val="-17"/>
        </w:rPr>
        <w:t xml:space="preserve">、 土石方的开挖及运输，均按开挖前的天然密实体积计算 </w:t>
      </w:r>
      <w:r>
        <w:t>P7</w:t>
      </w:r>
      <w:r>
        <w:rPr>
          <w:spacing w:val="-19"/>
        </w:rPr>
        <w:t xml:space="preserve"> 一，填土夯实或压实， </w:t>
      </w:r>
      <w:r>
        <w:t>按照压实体积计算。不同状态的土方体积按下表换算：</w:t>
      </w:r>
    </w:p>
    <w:p>
      <w:pPr>
        <w:pStyle w:val="BodyText"/>
        <w:spacing w:before="7"/>
        <w:rPr>
          <w:sz w:val="29"/>
        </w:rPr>
      </w:pPr>
    </w:p>
    <w:tbl>
      <w:tblPr>
        <w:tblStyle w:val="TableNormal1"/>
        <w:tblW w:w="0" w:type="auto"/>
        <w:jc w:val="left"/>
        <w:tblInd w:w="1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88"/>
        <w:gridCol w:w="3183"/>
        <w:gridCol w:w="3725"/>
        <w:gridCol w:w="1910"/>
      </w:tblGrid>
      <w:tr>
        <w:tblPrEx>
          <w:tblW w:w="0" w:type="auto"/>
          <w:jc w:val="left"/>
          <w:tblInd w:w="1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14"/>
          <w:jc w:val="left"/>
        </w:trPr>
        <w:tc>
          <w:tcPr>
            <w:tcW w:w="2088" w:type="dxa"/>
          </w:tcPr>
          <w:p>
            <w:pPr>
              <w:pStyle w:val="TableParagraph"/>
              <w:spacing w:line="411" w:lineRule="exact"/>
              <w:ind w:left="50"/>
              <w:jc w:val="left"/>
              <w:rPr>
                <w:rFonts w:ascii="宋体" w:eastAsia="宋体" w:hint="eastAsia"/>
                <w:sz w:val="36"/>
              </w:rPr>
            </w:pPr>
            <w:r>
              <w:rPr>
                <w:rFonts w:ascii="宋体" w:eastAsia="宋体" w:hint="eastAsia"/>
                <w:sz w:val="36"/>
              </w:rPr>
              <w:t>虚方</w:t>
            </w:r>
          </w:p>
        </w:tc>
        <w:tc>
          <w:tcPr>
            <w:tcW w:w="3183" w:type="dxa"/>
          </w:tcPr>
          <w:p>
            <w:pPr>
              <w:pStyle w:val="TableParagraph"/>
              <w:spacing w:line="411" w:lineRule="exact"/>
              <w:ind w:right="1144"/>
              <w:rPr>
                <w:rFonts w:ascii="宋体" w:eastAsia="宋体" w:hint="eastAsia"/>
                <w:sz w:val="36"/>
              </w:rPr>
            </w:pPr>
            <w:r>
              <w:rPr>
                <w:rFonts w:ascii="宋体" w:eastAsia="宋体" w:hint="eastAsia"/>
                <w:sz w:val="36"/>
              </w:rPr>
              <w:t>松填</w:t>
            </w:r>
          </w:p>
        </w:tc>
        <w:tc>
          <w:tcPr>
            <w:tcW w:w="3725" w:type="dxa"/>
          </w:tcPr>
          <w:p>
            <w:pPr>
              <w:pStyle w:val="TableParagraph"/>
              <w:spacing w:line="411" w:lineRule="exact"/>
              <w:ind w:left="1125" w:right="1120"/>
              <w:jc w:val="center"/>
              <w:rPr>
                <w:rFonts w:ascii="宋体" w:eastAsia="宋体" w:hint="eastAsia"/>
                <w:sz w:val="36"/>
              </w:rPr>
            </w:pPr>
            <w:r>
              <w:rPr>
                <w:rFonts w:ascii="宋体" w:eastAsia="宋体" w:hint="eastAsia"/>
                <w:sz w:val="36"/>
              </w:rPr>
              <w:t>天然密实</w:t>
            </w:r>
          </w:p>
        </w:tc>
        <w:tc>
          <w:tcPr>
            <w:tcW w:w="1910" w:type="dxa"/>
          </w:tcPr>
          <w:p>
            <w:pPr>
              <w:pStyle w:val="TableParagraph"/>
              <w:spacing w:line="411" w:lineRule="exact"/>
              <w:ind w:right="49"/>
              <w:rPr>
                <w:rFonts w:ascii="宋体" w:eastAsia="宋体" w:hint="eastAsia"/>
                <w:sz w:val="36"/>
              </w:rPr>
            </w:pPr>
            <w:r>
              <w:rPr>
                <w:rFonts w:ascii="宋体" w:eastAsia="宋体" w:hint="eastAsia"/>
                <w:sz w:val="36"/>
              </w:rPr>
              <w:t>夯实</w:t>
            </w:r>
          </w:p>
        </w:tc>
      </w:tr>
      <w:tr>
        <w:tblPrEx>
          <w:tblW w:w="0" w:type="auto"/>
          <w:jc w:val="left"/>
          <w:tblInd w:w="1398" w:type="dxa"/>
          <w:tblLayout w:type="fixed"/>
          <w:tblCellMar>
            <w:top w:w="0" w:type="dxa"/>
            <w:left w:w="0" w:type="dxa"/>
            <w:bottom w:w="0" w:type="dxa"/>
            <w:right w:w="0" w:type="dxa"/>
          </w:tblCellMar>
          <w:tblLook w:val="01E0"/>
        </w:tblPrEx>
        <w:trPr>
          <w:trHeight w:val="1067"/>
          <w:jc w:val="left"/>
        </w:trPr>
        <w:tc>
          <w:tcPr>
            <w:tcW w:w="2088" w:type="dxa"/>
          </w:tcPr>
          <w:p>
            <w:pPr>
              <w:pStyle w:val="TableParagraph"/>
              <w:spacing w:before="304"/>
              <w:ind w:left="50"/>
              <w:jc w:val="left"/>
              <w:rPr>
                <w:rFonts w:ascii="宋体"/>
                <w:sz w:val="36"/>
              </w:rPr>
            </w:pPr>
            <w:r>
              <w:rPr>
                <w:rFonts w:ascii="宋体"/>
                <w:sz w:val="36"/>
              </w:rPr>
              <w:t>1.00</w:t>
            </w:r>
          </w:p>
        </w:tc>
        <w:tc>
          <w:tcPr>
            <w:tcW w:w="3183" w:type="dxa"/>
          </w:tcPr>
          <w:p>
            <w:pPr>
              <w:pStyle w:val="TableParagraph"/>
              <w:spacing w:before="304"/>
              <w:ind w:right="1144"/>
              <w:rPr>
                <w:rFonts w:ascii="宋体"/>
                <w:sz w:val="36"/>
              </w:rPr>
            </w:pPr>
            <w:r>
              <w:rPr>
                <w:rFonts w:ascii="宋体"/>
                <w:sz w:val="36"/>
              </w:rPr>
              <w:t>0.83</w:t>
            </w:r>
          </w:p>
        </w:tc>
        <w:tc>
          <w:tcPr>
            <w:tcW w:w="3725" w:type="dxa"/>
          </w:tcPr>
          <w:p>
            <w:pPr>
              <w:pStyle w:val="TableParagraph"/>
              <w:spacing w:before="304"/>
              <w:ind w:left="1125" w:right="1120"/>
              <w:jc w:val="center"/>
              <w:rPr>
                <w:rFonts w:ascii="宋体"/>
                <w:sz w:val="36"/>
              </w:rPr>
            </w:pPr>
            <w:r>
              <w:rPr>
                <w:rFonts w:ascii="宋体"/>
                <w:sz w:val="36"/>
              </w:rPr>
              <w:t>0.77</w:t>
            </w:r>
          </w:p>
        </w:tc>
        <w:tc>
          <w:tcPr>
            <w:tcW w:w="1910" w:type="dxa"/>
          </w:tcPr>
          <w:p>
            <w:pPr>
              <w:pStyle w:val="TableParagraph"/>
              <w:spacing w:before="304"/>
              <w:ind w:right="49"/>
              <w:rPr>
                <w:rFonts w:ascii="宋体"/>
                <w:sz w:val="36"/>
              </w:rPr>
            </w:pPr>
            <w:r>
              <w:rPr>
                <w:rFonts w:ascii="宋体"/>
                <w:sz w:val="36"/>
              </w:rPr>
              <w:t>0.67</w:t>
            </w:r>
          </w:p>
        </w:tc>
      </w:tr>
      <w:tr>
        <w:tblPrEx>
          <w:tblW w:w="0" w:type="auto"/>
          <w:jc w:val="left"/>
          <w:tblInd w:w="1398" w:type="dxa"/>
          <w:tblLayout w:type="fixed"/>
          <w:tblCellMar>
            <w:top w:w="0" w:type="dxa"/>
            <w:left w:w="0" w:type="dxa"/>
            <w:bottom w:w="0" w:type="dxa"/>
            <w:right w:w="0" w:type="dxa"/>
          </w:tblCellMar>
          <w:tblLook w:val="01E0"/>
        </w:tblPrEx>
        <w:trPr>
          <w:trHeight w:val="1066"/>
          <w:jc w:val="left"/>
        </w:trPr>
        <w:tc>
          <w:tcPr>
            <w:tcW w:w="2088" w:type="dxa"/>
          </w:tcPr>
          <w:p>
            <w:pPr>
              <w:pStyle w:val="TableParagraph"/>
              <w:spacing w:before="302"/>
              <w:ind w:left="50"/>
              <w:jc w:val="left"/>
              <w:rPr>
                <w:rFonts w:ascii="宋体"/>
                <w:sz w:val="36"/>
              </w:rPr>
            </w:pPr>
            <w:r>
              <w:rPr>
                <w:rFonts w:ascii="宋体"/>
                <w:sz w:val="36"/>
              </w:rPr>
              <w:t>1.20</w:t>
            </w:r>
          </w:p>
        </w:tc>
        <w:tc>
          <w:tcPr>
            <w:tcW w:w="3183" w:type="dxa"/>
          </w:tcPr>
          <w:p>
            <w:pPr>
              <w:pStyle w:val="TableParagraph"/>
              <w:spacing w:before="302"/>
              <w:ind w:right="1144"/>
              <w:rPr>
                <w:rFonts w:ascii="宋体"/>
                <w:sz w:val="36"/>
              </w:rPr>
            </w:pPr>
            <w:r>
              <w:rPr>
                <w:rFonts w:ascii="宋体"/>
                <w:sz w:val="36"/>
              </w:rPr>
              <w:t>1.00</w:t>
            </w:r>
          </w:p>
        </w:tc>
        <w:tc>
          <w:tcPr>
            <w:tcW w:w="3725" w:type="dxa"/>
          </w:tcPr>
          <w:p>
            <w:pPr>
              <w:pStyle w:val="TableParagraph"/>
              <w:spacing w:before="302"/>
              <w:ind w:left="1125" w:right="1120"/>
              <w:jc w:val="center"/>
              <w:rPr>
                <w:rFonts w:ascii="宋体"/>
                <w:sz w:val="36"/>
              </w:rPr>
            </w:pPr>
            <w:r>
              <w:rPr>
                <w:rFonts w:ascii="宋体"/>
                <w:sz w:val="36"/>
              </w:rPr>
              <w:t>0.92</w:t>
            </w:r>
          </w:p>
        </w:tc>
        <w:tc>
          <w:tcPr>
            <w:tcW w:w="1910" w:type="dxa"/>
          </w:tcPr>
          <w:p>
            <w:pPr>
              <w:pStyle w:val="TableParagraph"/>
              <w:spacing w:before="302"/>
              <w:ind w:right="49"/>
              <w:rPr>
                <w:rFonts w:ascii="宋体"/>
                <w:sz w:val="36"/>
              </w:rPr>
            </w:pPr>
            <w:r>
              <w:rPr>
                <w:rFonts w:ascii="宋体"/>
                <w:sz w:val="36"/>
              </w:rPr>
              <w:t>0.80</w:t>
            </w:r>
          </w:p>
        </w:tc>
      </w:tr>
      <w:tr>
        <w:tblPrEx>
          <w:tblW w:w="0" w:type="auto"/>
          <w:jc w:val="left"/>
          <w:tblInd w:w="1398" w:type="dxa"/>
          <w:tblLayout w:type="fixed"/>
          <w:tblCellMar>
            <w:top w:w="0" w:type="dxa"/>
            <w:left w:w="0" w:type="dxa"/>
            <w:bottom w:w="0" w:type="dxa"/>
            <w:right w:w="0" w:type="dxa"/>
          </w:tblCellMar>
          <w:tblLook w:val="01E0"/>
        </w:tblPrEx>
        <w:trPr>
          <w:trHeight w:val="1066"/>
          <w:jc w:val="left"/>
        </w:trPr>
        <w:tc>
          <w:tcPr>
            <w:tcW w:w="2088" w:type="dxa"/>
          </w:tcPr>
          <w:p>
            <w:pPr>
              <w:pStyle w:val="TableParagraph"/>
              <w:spacing w:before="302"/>
              <w:ind w:left="50"/>
              <w:jc w:val="left"/>
              <w:rPr>
                <w:rFonts w:ascii="宋体"/>
                <w:sz w:val="36"/>
              </w:rPr>
            </w:pPr>
            <w:r>
              <w:rPr>
                <w:rFonts w:ascii="宋体"/>
                <w:sz w:val="36"/>
              </w:rPr>
              <w:t>1.30</w:t>
            </w:r>
          </w:p>
        </w:tc>
        <w:tc>
          <w:tcPr>
            <w:tcW w:w="3183" w:type="dxa"/>
          </w:tcPr>
          <w:p>
            <w:pPr>
              <w:pStyle w:val="TableParagraph"/>
              <w:spacing w:before="302"/>
              <w:ind w:right="1144"/>
              <w:rPr>
                <w:rFonts w:ascii="宋体"/>
                <w:sz w:val="36"/>
              </w:rPr>
            </w:pPr>
            <w:r>
              <w:rPr>
                <w:rFonts w:ascii="宋体"/>
                <w:sz w:val="36"/>
              </w:rPr>
              <w:t>1.08</w:t>
            </w:r>
          </w:p>
        </w:tc>
        <w:tc>
          <w:tcPr>
            <w:tcW w:w="3725" w:type="dxa"/>
          </w:tcPr>
          <w:p>
            <w:pPr>
              <w:pStyle w:val="TableParagraph"/>
              <w:spacing w:before="302"/>
              <w:ind w:left="1125" w:right="1120"/>
              <w:jc w:val="center"/>
              <w:rPr>
                <w:rFonts w:ascii="宋体"/>
                <w:sz w:val="36"/>
              </w:rPr>
            </w:pPr>
            <w:r>
              <w:rPr>
                <w:rFonts w:ascii="宋体"/>
                <w:sz w:val="36"/>
              </w:rPr>
              <w:t>1.00</w:t>
            </w:r>
          </w:p>
        </w:tc>
        <w:tc>
          <w:tcPr>
            <w:tcW w:w="1910" w:type="dxa"/>
          </w:tcPr>
          <w:p>
            <w:pPr>
              <w:pStyle w:val="TableParagraph"/>
              <w:spacing w:before="302"/>
              <w:ind w:right="49"/>
              <w:rPr>
                <w:rFonts w:ascii="宋体"/>
                <w:sz w:val="36"/>
              </w:rPr>
            </w:pPr>
            <w:r>
              <w:rPr>
                <w:rFonts w:ascii="宋体"/>
                <w:sz w:val="36"/>
              </w:rPr>
              <w:t>0.87</w:t>
            </w:r>
          </w:p>
        </w:tc>
      </w:tr>
      <w:tr>
        <w:tblPrEx>
          <w:tblW w:w="0" w:type="auto"/>
          <w:jc w:val="left"/>
          <w:tblInd w:w="1398" w:type="dxa"/>
          <w:tblLayout w:type="fixed"/>
          <w:tblCellMar>
            <w:top w:w="0" w:type="dxa"/>
            <w:left w:w="0" w:type="dxa"/>
            <w:bottom w:w="0" w:type="dxa"/>
            <w:right w:w="0" w:type="dxa"/>
          </w:tblCellMar>
          <w:tblLook w:val="01E0"/>
        </w:tblPrEx>
        <w:trPr>
          <w:trHeight w:val="712"/>
          <w:jc w:val="left"/>
        </w:trPr>
        <w:tc>
          <w:tcPr>
            <w:tcW w:w="2088" w:type="dxa"/>
          </w:tcPr>
          <w:p>
            <w:pPr>
              <w:pStyle w:val="TableParagraph"/>
              <w:spacing w:before="302" w:line="391" w:lineRule="exact"/>
              <w:ind w:left="50"/>
              <w:jc w:val="left"/>
              <w:rPr>
                <w:rFonts w:ascii="宋体"/>
                <w:sz w:val="36"/>
              </w:rPr>
            </w:pPr>
            <w:r>
              <w:rPr>
                <w:rFonts w:ascii="宋体"/>
                <w:sz w:val="36"/>
              </w:rPr>
              <w:t>1.50</w:t>
            </w:r>
          </w:p>
        </w:tc>
        <w:tc>
          <w:tcPr>
            <w:tcW w:w="3183" w:type="dxa"/>
          </w:tcPr>
          <w:p>
            <w:pPr>
              <w:pStyle w:val="TableParagraph"/>
              <w:spacing w:before="302" w:line="391" w:lineRule="exact"/>
              <w:ind w:right="1144"/>
              <w:rPr>
                <w:rFonts w:ascii="宋体"/>
                <w:sz w:val="36"/>
              </w:rPr>
            </w:pPr>
            <w:r>
              <w:rPr>
                <w:rFonts w:ascii="宋体"/>
                <w:sz w:val="36"/>
              </w:rPr>
              <w:t>1.25</w:t>
            </w:r>
          </w:p>
        </w:tc>
        <w:tc>
          <w:tcPr>
            <w:tcW w:w="3725" w:type="dxa"/>
          </w:tcPr>
          <w:p>
            <w:pPr>
              <w:pStyle w:val="TableParagraph"/>
              <w:spacing w:before="302" w:line="391" w:lineRule="exact"/>
              <w:ind w:left="1125" w:right="1120"/>
              <w:jc w:val="center"/>
              <w:rPr>
                <w:rFonts w:ascii="宋体"/>
                <w:sz w:val="36"/>
              </w:rPr>
            </w:pPr>
            <w:r>
              <w:rPr>
                <w:rFonts w:ascii="宋体"/>
                <w:sz w:val="36"/>
              </w:rPr>
              <w:t>1.15</w:t>
            </w:r>
          </w:p>
        </w:tc>
        <w:tc>
          <w:tcPr>
            <w:tcW w:w="1910" w:type="dxa"/>
          </w:tcPr>
          <w:p>
            <w:pPr>
              <w:pStyle w:val="TableParagraph"/>
              <w:spacing w:before="302" w:line="391" w:lineRule="exact"/>
              <w:ind w:right="49"/>
              <w:rPr>
                <w:rFonts w:ascii="宋体"/>
                <w:sz w:val="36"/>
              </w:rPr>
            </w:pPr>
            <w:r>
              <w:rPr>
                <w:rFonts w:ascii="宋体"/>
                <w:sz w:val="36"/>
              </w:rPr>
              <w:t>1.00</w:t>
            </w:r>
          </w:p>
        </w:tc>
      </w:tr>
    </w:tbl>
    <w:p>
      <w:pPr>
        <w:pStyle w:val="BodyText"/>
        <w:spacing w:before="9"/>
        <w:rPr>
          <w:sz w:val="29"/>
        </w:rPr>
      </w:pPr>
    </w:p>
    <w:p>
      <w:pPr>
        <w:pStyle w:val="BodyText"/>
        <w:spacing w:before="1"/>
        <w:ind w:left="688"/>
      </w:pPr>
      <w:r>
        <w:rPr>
          <w:spacing w:val="-7"/>
        </w:rPr>
        <w:t xml:space="preserve">挖余松土和堆积土按堆积方乘 </w:t>
      </w:r>
      <w:r>
        <w:t>0.8</w:t>
      </w:r>
      <w:r>
        <w:rPr>
          <w:spacing w:val="-12"/>
        </w:rPr>
        <w:t xml:space="preserve"> 执行一、二类土。</w:t>
      </w:r>
    </w:p>
    <w:p>
      <w:pPr>
        <w:pStyle w:val="BodyText"/>
        <w:spacing w:before="237" w:line="364" w:lineRule="auto"/>
        <w:ind w:left="148" w:right="1044" w:firstLine="540"/>
        <w:jc w:val="both"/>
      </w:pPr>
      <w:r>
        <w:t>2</w:t>
      </w:r>
      <w:r>
        <w:rPr>
          <w:spacing w:val="-15"/>
        </w:rPr>
        <w:t xml:space="preserve">、基坑深度 </w:t>
      </w:r>
      <w:r>
        <w:t>3m</w:t>
      </w:r>
      <w:r>
        <w:rPr>
          <w:spacing w:val="-18"/>
        </w:rPr>
        <w:t xml:space="preserve"> 以外，坑底面积大于 </w:t>
      </w:r>
      <w:r>
        <w:t>50m2，</w:t>
      </w:r>
      <w:r>
        <w:rPr>
          <w:spacing w:val="-1"/>
        </w:rPr>
        <w:t>修建机械上下坡的便道土方量并入土方</w:t>
      </w:r>
      <w:r>
        <w:rPr>
          <w:spacing w:val="-6"/>
        </w:rPr>
        <w:t xml:space="preserve">工程量内；人工挖土方深度超过 </w:t>
      </w:r>
      <w:r>
        <w:t>1.5</w:t>
      </w:r>
      <w:r>
        <w:rPr>
          <w:spacing w:val="-10"/>
        </w:rPr>
        <w:t xml:space="preserve"> 米时所修建的运输坡道并入土方工程量内。</w:t>
      </w:r>
      <w:r>
        <w:t>P7</w:t>
      </w:r>
      <w:r>
        <w:rPr>
          <w:spacing w:val="-45"/>
        </w:rPr>
        <w:t xml:space="preserve"> 一</w:t>
      </w:r>
    </w:p>
    <w:p>
      <w:pPr>
        <w:spacing w:after="0" w:line="364" w:lineRule="auto"/>
        <w:jc w:val="both"/>
        <w:sectPr>
          <w:footerReference w:type="default" r:id="rId25"/>
          <w:pgSz w:w="17860" w:h="25260"/>
          <w:pgMar w:top="960" w:right="1080" w:bottom="2040" w:left="1980" w:header="0" w:footer="1820"/>
          <w:pgNumType w:start="11"/>
          <w:cols w:space="708"/>
        </w:sectPr>
      </w:pPr>
    </w:p>
    <w:p>
      <w:pPr>
        <w:pStyle w:val="BodyText"/>
        <w:spacing w:before="21"/>
        <w:ind w:left="688"/>
      </w:pPr>
      <w:r>
        <w:t>3、石方工程量按照图纸尺寸加允许超挖量。开挖坡面每侧允许超挖量：松、次坚石</w:t>
      </w:r>
    </w:p>
    <w:p>
      <w:pPr>
        <w:pStyle w:val="BodyText"/>
        <w:spacing w:before="237"/>
        <w:ind w:left="148"/>
      </w:pPr>
      <w:r>
        <w:t>20cm，普、特坚石 15cm。P7 一</w:t>
      </w:r>
    </w:p>
    <w:p>
      <w:pPr>
        <w:pStyle w:val="BodyText"/>
        <w:spacing w:before="241" w:line="364" w:lineRule="auto"/>
        <w:ind w:left="148" w:right="862" w:firstLine="540"/>
      </w:pPr>
      <w:r>
        <w:t>4</w:t>
      </w:r>
      <w:r>
        <w:rPr>
          <w:spacing w:val="-17"/>
        </w:rPr>
        <w:t xml:space="preserve">、管道接口作业坑和沿线井室所增加的工程量，按沟槽全部土石方量的 </w:t>
      </w:r>
      <w:r>
        <w:t>2.5％</w:t>
      </w:r>
      <w:r>
        <w:rPr>
          <w:spacing w:val="-6"/>
        </w:rPr>
        <w:t>计算。</w:t>
      </w:r>
      <w:r>
        <w:rPr>
          <w:spacing w:val="3"/>
        </w:rPr>
        <w:t xml:space="preserve">管沟回填应扣除管径在 </w:t>
      </w:r>
      <w:r>
        <w:t>200mm</w:t>
      </w:r>
      <w:r>
        <w:rPr>
          <w:spacing w:val="-5"/>
        </w:rPr>
        <w:t xml:space="preserve"> 以上的管道、基础、垫层和各种构筑物所占的体积。 </w:t>
      </w:r>
      <w:r>
        <w:t>P8 七</w:t>
      </w:r>
    </w:p>
    <w:p>
      <w:pPr>
        <w:pStyle w:val="BodyText"/>
        <w:spacing w:line="457" w:lineRule="exact"/>
        <w:ind w:left="688"/>
      </w:pPr>
      <w:r>
        <w:drawing>
          <wp:anchor distT="0" distB="0" distL="0" distR="0" simplePos="0" relativeHeight="251673600" behindDoc="0" locked="0" layoutInCell="1" allowOverlap="1">
            <wp:simplePos x="0" y="0"/>
            <wp:positionH relativeFrom="page">
              <wp:posOffset>9855200</wp:posOffset>
            </wp:positionH>
            <wp:positionV relativeFrom="paragraph">
              <wp:posOffset>-10287</wp:posOffset>
            </wp:positionV>
            <wp:extent cx="317500" cy="1257300"/>
            <wp:effectExtent l="0" t="0" r="0" b="0"/>
            <wp:wrapNone/>
            <wp:docPr id="2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2.png"/>
                    <pic:cNvPicPr/>
                  </pic:nvPicPr>
                  <pic:blipFill>
                    <a:blip xmlns:r="http://schemas.openxmlformats.org/officeDocument/2006/relationships" r:embed="rId26" cstate="print"/>
                    <a:stretch>
                      <a:fillRect/>
                    </a:stretch>
                  </pic:blipFill>
                  <pic:spPr>
                    <a:xfrm>
                      <a:off x="0" y="0"/>
                      <a:ext cx="317500" cy="1257300"/>
                    </a:xfrm>
                    <a:prstGeom prst="rect">
                      <a:avLst/>
                    </a:prstGeom>
                  </pic:spPr>
                </pic:pic>
              </a:graphicData>
            </a:graphic>
          </wp:anchor>
        </w:drawing>
      </w:r>
      <w:r>
        <w:pict>
          <v:group id="_x0000_s1041" style="width:119pt;height:100pt;margin-top:-3.62pt;margin-left:641pt;mso-position-horizontal-relative:page;position:absolute;z-index:-251637760" coordorigin="12820,-72" coordsize="2380,2000">
            <v:shape id="_x0000_s1042" type="#_x0000_t75" style="width:2380;height:2000;left:12820;position:absolute;top:-73" stroked="f">
              <v:imagedata r:id="rId27" o:title=""/>
            </v:shape>
            <v:shape id="_x0000_s1043" type="#_x0000_t202" style="width:424;height:227;left:13405;position:absolute;top:968" filled="f" stroked="f">
              <v:textbox inset="0,0,0,0">
                <w:txbxContent>
                  <w:p>
                    <w:pPr>
                      <w:spacing w:before="15" w:line="212" w:lineRule="exact"/>
                      <w:ind w:left="0" w:right="0" w:firstLine="0"/>
                      <w:jc w:val="left"/>
                      <w:rPr>
                        <w:rFonts w:ascii="Arial"/>
                        <w:b/>
                        <w:sz w:val="22"/>
                      </w:rPr>
                    </w:pPr>
                    <w:r>
                      <w:rPr>
                        <w:rFonts w:ascii="Arial"/>
                        <w:b/>
                        <w:w w:val="105"/>
                        <w:sz w:val="22"/>
                      </w:rPr>
                      <w:t>1:m</w:t>
                    </w:r>
                  </w:p>
                </w:txbxContent>
              </v:textbox>
            </v:shape>
          </v:group>
        </w:pict>
      </w:r>
      <w:r>
        <w:t>5、坡度与放坡系数</w:t>
      </w:r>
    </w:p>
    <w:p>
      <w:pPr>
        <w:pStyle w:val="BodyText"/>
        <w:tabs>
          <w:tab w:val="left" w:pos="2488"/>
          <w:tab w:val="left" w:pos="3388"/>
          <w:tab w:val="left" w:pos="13315"/>
        </w:tabs>
        <w:spacing w:before="240"/>
        <w:ind w:left="688"/>
        <w:rPr>
          <w:rFonts w:ascii="幼圆" w:eastAsia="幼圆" w:hint="eastAsia"/>
        </w:rPr>
      </w:pPr>
      <w:r>
        <w:t>放坡坡度</w:t>
        <w:tab/>
        <w:t>H:d</w:t>
        <w:tab/>
        <w:t>常用</w:t>
      </w:r>
      <w:r>
        <w:rPr>
          <w:spacing w:val="-90"/>
        </w:rPr>
        <w:t xml:space="preserve"> </w:t>
      </w:r>
      <w:r>
        <w:t>1:m</w:t>
      </w:r>
      <w:r>
        <w:rPr>
          <w:spacing w:val="-90"/>
        </w:rPr>
        <w:t xml:space="preserve"> </w:t>
      </w:r>
      <w:r>
        <w:t>的形式表示，如</w:t>
      </w:r>
      <w:r>
        <w:rPr>
          <w:spacing w:val="-90"/>
        </w:rPr>
        <w:t xml:space="preserve"> </w:t>
      </w:r>
      <w:r>
        <w:t>1:1.5</w:t>
      </w:r>
      <w:r>
        <w:rPr>
          <w:spacing w:val="-90"/>
        </w:rPr>
        <w:t xml:space="preserve"> </w:t>
      </w:r>
      <w:r>
        <w:t>等</w:t>
        <w:tab/>
      </w:r>
      <w:r>
        <w:rPr>
          <w:rFonts w:ascii="幼圆" w:eastAsia="幼圆" w:hint="eastAsia"/>
          <w:vertAlign w:val="subscript"/>
        </w:rPr>
        <w:t>H</w:t>
      </w:r>
    </w:p>
    <w:p>
      <w:pPr>
        <w:pStyle w:val="BodyText"/>
        <w:spacing w:before="241"/>
        <w:ind w:left="688"/>
      </w:pPr>
      <w:r>
        <w:t>放坡系数 m＝d/H</w:t>
      </w:r>
    </w:p>
    <w:p>
      <w:pPr>
        <w:spacing w:before="138" w:line="151" w:lineRule="exact"/>
        <w:ind w:left="0" w:right="2696" w:firstLine="0"/>
        <w:jc w:val="right"/>
        <w:rPr>
          <w:rFonts w:ascii="Arial"/>
          <w:b/>
          <w:sz w:val="22"/>
        </w:rPr>
      </w:pPr>
      <w:r>
        <w:rPr>
          <w:rFonts w:ascii="Arial"/>
          <w:b/>
          <w:w w:val="103"/>
          <w:sz w:val="22"/>
        </w:rPr>
        <w:t>d</w:t>
      </w:r>
    </w:p>
    <w:p>
      <w:pPr>
        <w:pStyle w:val="BodyText"/>
        <w:spacing w:line="411" w:lineRule="exact"/>
        <w:ind w:left="688"/>
      </w:pPr>
      <w:r>
        <w:drawing>
          <wp:anchor distT="0" distB="0" distL="0" distR="0" simplePos="0" relativeHeight="251677696" behindDoc="1" locked="0" layoutInCell="1" allowOverlap="1">
            <wp:simplePos x="0" y="0"/>
            <wp:positionH relativeFrom="page">
              <wp:posOffset>8639936</wp:posOffset>
            </wp:positionH>
            <wp:positionV relativeFrom="paragraph">
              <wp:posOffset>18076</wp:posOffset>
            </wp:positionV>
            <wp:extent cx="690626" cy="294131"/>
            <wp:effectExtent l="0" t="0" r="0" b="0"/>
            <wp:wrapNone/>
            <wp:docPr id="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4.png"/>
                    <pic:cNvPicPr/>
                  </pic:nvPicPr>
                  <pic:blipFill>
                    <a:blip xmlns:r="http://schemas.openxmlformats.org/officeDocument/2006/relationships" r:embed="rId28" cstate="print"/>
                    <a:stretch>
                      <a:fillRect/>
                    </a:stretch>
                  </pic:blipFill>
                  <pic:spPr>
                    <a:xfrm>
                      <a:off x="0" y="0"/>
                      <a:ext cx="690626" cy="294131"/>
                    </a:xfrm>
                    <a:prstGeom prst="rect">
                      <a:avLst/>
                    </a:prstGeom>
                  </pic:spPr>
                </pic:pic>
              </a:graphicData>
            </a:graphic>
          </wp:anchor>
        </w:drawing>
      </w:r>
      <w:r>
        <w:t>6、坑内作业与坑上作业：机械始终在自然地平以上，不下坑，为坑上作业；反之，</w:t>
      </w:r>
    </w:p>
    <w:p>
      <w:pPr>
        <w:pStyle w:val="BodyText"/>
        <w:spacing w:before="240"/>
        <w:ind w:left="148"/>
      </w:pPr>
      <w:r>
        <w:t>机械一直在坑内作业，并设有机械上下坡道，为坑内作业。</w:t>
      </w:r>
    </w:p>
    <w:p>
      <w:pPr>
        <w:pStyle w:val="BodyText"/>
        <w:spacing w:before="238" w:line="364" w:lineRule="auto"/>
        <w:ind w:left="148" w:right="969" w:firstLine="540"/>
      </w:pPr>
      <w:r>
        <w:t>7、放坡起点：根据土质条件，在一定挖土深度内可以不放坡，这个深度称为放坡起点 P8。</w:t>
      </w:r>
    </w:p>
    <w:p>
      <w:pPr>
        <w:pStyle w:val="BodyText"/>
        <w:ind w:left="100"/>
        <w:rPr>
          <w:sz w:val="20"/>
        </w:rPr>
      </w:pPr>
      <w:r>
        <w:rPr>
          <w:sz w:val="20"/>
        </w:rPr>
        <w:pict>
          <v:group id="_x0000_i1044" style="width:700pt;height:91pt;mso-position-horizontal-relative:char;mso-position-vertical-relative:line" coordorigin="0,0" coordsize="14000,1820">
            <v:shape id="_x0000_s1045" type="#_x0000_t75" style="width:14000;height:1820;position:absolute" stroked="f">
              <v:imagedata r:id="rId29" o:title=""/>
            </v:shape>
            <v:shape id="_x0000_s1046" type="#_x0000_t202" style="width:1460;height:360;left:1711;position:absolute;top:276" filled="f" stroked="f">
              <v:textbox inset="0,0,0,0">
                <w:txbxContent>
                  <w:p>
                    <w:pPr>
                      <w:spacing w:before="0" w:line="360" w:lineRule="exact"/>
                      <w:ind w:left="0" w:right="0" w:firstLine="0"/>
                      <w:jc w:val="left"/>
                      <w:rPr>
                        <w:sz w:val="36"/>
                      </w:rPr>
                    </w:pPr>
                    <w:r>
                      <w:rPr>
                        <w:sz w:val="36"/>
                      </w:rPr>
                      <w:t>土壤类别</w:t>
                    </w:r>
                  </w:p>
                </w:txbxContent>
              </v:textbox>
            </v:shape>
            <v:shape id="_x0000_s1047" type="#_x0000_t202" style="width:1460;height:360;left:5189;position:absolute;top:276" filled="f" stroked="f">
              <v:textbox inset="0,0,0,0">
                <w:txbxContent>
                  <w:p>
                    <w:pPr>
                      <w:spacing w:before="0" w:line="360" w:lineRule="exact"/>
                      <w:ind w:left="0" w:right="0" w:firstLine="0"/>
                      <w:jc w:val="left"/>
                      <w:rPr>
                        <w:sz w:val="36"/>
                      </w:rPr>
                    </w:pPr>
                    <w:r>
                      <w:rPr>
                        <w:sz w:val="36"/>
                      </w:rPr>
                      <w:t>一、二类</w:t>
                    </w:r>
                  </w:p>
                </w:txbxContent>
              </v:textbox>
            </v:shape>
            <v:shape id="_x0000_s1048" type="#_x0000_t202" style="width:740;height:360;left:8635;position:absolute;top:276" filled="f" stroked="f">
              <v:textbox inset="0,0,0,0">
                <w:txbxContent>
                  <w:p>
                    <w:pPr>
                      <w:spacing w:before="0" w:line="360" w:lineRule="exact"/>
                      <w:ind w:left="0" w:right="0" w:firstLine="0"/>
                      <w:jc w:val="left"/>
                      <w:rPr>
                        <w:sz w:val="36"/>
                      </w:rPr>
                    </w:pPr>
                    <w:r>
                      <w:rPr>
                        <w:sz w:val="36"/>
                      </w:rPr>
                      <w:t>三类</w:t>
                    </w:r>
                  </w:p>
                </w:txbxContent>
              </v:textbox>
            </v:shape>
            <v:shape id="_x0000_s1049" type="#_x0000_t202" style="width:740;height:360;left:12117;position:absolute;top:276" filled="f" stroked="f">
              <v:textbox inset="0,0,0,0">
                <w:txbxContent>
                  <w:p>
                    <w:pPr>
                      <w:spacing w:before="0" w:line="360" w:lineRule="exact"/>
                      <w:ind w:left="0" w:right="0" w:firstLine="0"/>
                      <w:jc w:val="left"/>
                      <w:rPr>
                        <w:sz w:val="36"/>
                      </w:rPr>
                    </w:pPr>
                    <w:r>
                      <w:rPr>
                        <w:sz w:val="36"/>
                      </w:rPr>
                      <w:t>四类</w:t>
                    </w:r>
                  </w:p>
                </w:txbxContent>
              </v:textbox>
            </v:shape>
            <v:shape id="_x0000_s1050" type="#_x0000_t202" style="width:2990;height:360;left:948;position:absolute;top:1165" filled="f" stroked="f">
              <v:textbox inset="0,0,0,0">
                <w:txbxContent>
                  <w:p>
                    <w:pPr>
                      <w:spacing w:before="0" w:line="360" w:lineRule="exact"/>
                      <w:ind w:left="0" w:right="0" w:firstLine="0"/>
                      <w:jc w:val="left"/>
                      <w:rPr>
                        <w:sz w:val="36"/>
                      </w:rPr>
                    </w:pPr>
                    <w:r>
                      <w:rPr>
                        <w:spacing w:val="-13"/>
                        <w:sz w:val="36"/>
                      </w:rPr>
                      <w:t xml:space="preserve">放坡起点深度 </w:t>
                    </w:r>
                    <w:r>
                      <w:rPr>
                        <w:sz w:val="36"/>
                      </w:rPr>
                      <w:t>h(m)</w:t>
                    </w:r>
                  </w:p>
                </w:txbxContent>
              </v:textbox>
            </v:shape>
            <v:shape id="_x0000_s1051" type="#_x0000_t202" style="width:560;height:360;left:5639;position:absolute;top:1165" filled="f" stroked="f">
              <v:textbox inset="0,0,0,0">
                <w:txbxContent>
                  <w:p>
                    <w:pPr>
                      <w:spacing w:before="0" w:line="360" w:lineRule="exact"/>
                      <w:ind w:left="0" w:right="0" w:firstLine="0"/>
                      <w:jc w:val="left"/>
                      <w:rPr>
                        <w:sz w:val="36"/>
                      </w:rPr>
                    </w:pPr>
                    <w:r>
                      <w:rPr>
                        <w:sz w:val="36"/>
                      </w:rPr>
                      <w:t>1.2</w:t>
                    </w:r>
                  </w:p>
                </w:txbxContent>
              </v:textbox>
            </v:shape>
            <v:shape id="_x0000_s1052" type="#_x0000_t202" style="width:560;height:360;left:8725;position:absolute;top:1165" filled="f" stroked="f">
              <v:textbox inset="0,0,0,0">
                <w:txbxContent>
                  <w:p>
                    <w:pPr>
                      <w:spacing w:before="0" w:line="360" w:lineRule="exact"/>
                      <w:ind w:left="0" w:right="0" w:firstLine="0"/>
                      <w:jc w:val="left"/>
                      <w:rPr>
                        <w:sz w:val="36"/>
                      </w:rPr>
                    </w:pPr>
                    <w:r>
                      <w:rPr>
                        <w:sz w:val="36"/>
                      </w:rPr>
                      <w:t>1.5</w:t>
                    </w:r>
                  </w:p>
                </w:txbxContent>
              </v:textbox>
            </v:shape>
            <v:shape id="_x0000_s1053" type="#_x0000_t202" style="width:560;height:360;left:12207;position:absolute;top:1165" filled="f" stroked="f">
              <v:textbox inset="0,0,0,0">
                <w:txbxContent>
                  <w:p>
                    <w:pPr>
                      <w:spacing w:before="0" w:line="360" w:lineRule="exact"/>
                      <w:ind w:left="0" w:right="0" w:firstLine="0"/>
                      <w:jc w:val="left"/>
                      <w:rPr>
                        <w:sz w:val="36"/>
                      </w:rPr>
                    </w:pPr>
                    <w:r>
                      <w:rPr>
                        <w:sz w:val="36"/>
                      </w:rPr>
                      <w:t>2.0</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9"/>
        </w:rPr>
      </w:pPr>
    </w:p>
    <w:p>
      <w:pPr>
        <w:tabs>
          <w:tab w:val="left" w:pos="12556"/>
        </w:tabs>
        <w:spacing w:before="113"/>
        <w:ind w:left="4800" w:right="0" w:firstLine="0"/>
        <w:jc w:val="left"/>
        <w:rPr>
          <w:rFonts w:ascii="Arial"/>
          <w:b/>
          <w:sz w:val="36"/>
        </w:rPr>
      </w:pPr>
      <w:r>
        <w:drawing>
          <wp:anchor distT="0" distB="0" distL="0" distR="0" simplePos="0" relativeHeight="251674624" behindDoc="1" locked="0" layoutInCell="1" allowOverlap="1">
            <wp:simplePos x="0" y="0"/>
            <wp:positionH relativeFrom="page">
              <wp:posOffset>9613900</wp:posOffset>
            </wp:positionH>
            <wp:positionV relativeFrom="paragraph">
              <wp:posOffset>-228247</wp:posOffset>
            </wp:positionV>
            <wp:extent cx="558800" cy="1231900"/>
            <wp:effectExtent l="0" t="0" r="0" b="0"/>
            <wp:wrapNone/>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6.png"/>
                    <pic:cNvPicPr/>
                  </pic:nvPicPr>
                  <pic:blipFill>
                    <a:blip xmlns:r="http://schemas.openxmlformats.org/officeDocument/2006/relationships" r:embed="rId30" cstate="print"/>
                    <a:stretch>
                      <a:fillRect/>
                    </a:stretch>
                  </pic:blipFill>
                  <pic:spPr>
                    <a:xfrm>
                      <a:off x="0" y="0"/>
                      <a:ext cx="558800" cy="12319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4686300</wp:posOffset>
            </wp:positionH>
            <wp:positionV relativeFrom="paragraph">
              <wp:posOffset>-152047</wp:posOffset>
            </wp:positionV>
            <wp:extent cx="558800" cy="1231900"/>
            <wp:effectExtent l="0" t="0" r="0" b="0"/>
            <wp:wrapNone/>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7.png"/>
                    <pic:cNvPicPr/>
                  </pic:nvPicPr>
                  <pic:blipFill>
                    <a:blip xmlns:r="http://schemas.openxmlformats.org/officeDocument/2006/relationships" r:embed="rId31" cstate="print"/>
                    <a:stretch>
                      <a:fillRect/>
                    </a:stretch>
                  </pic:blipFill>
                  <pic:spPr>
                    <a:xfrm>
                      <a:off x="0" y="0"/>
                      <a:ext cx="558800" cy="1231900"/>
                    </a:xfrm>
                    <a:prstGeom prst="rect">
                      <a:avLst/>
                    </a:prstGeom>
                  </pic:spPr>
                </pic:pic>
              </a:graphicData>
            </a:graphic>
          </wp:anchor>
        </w:drawing>
      </w:r>
      <w:r>
        <w:drawing>
          <wp:anchor distT="0" distB="0" distL="0" distR="0" simplePos="0" relativeHeight="251676672" behindDoc="1" locked="0" layoutInCell="1" allowOverlap="1">
            <wp:simplePos x="0" y="0"/>
            <wp:positionH relativeFrom="page">
              <wp:posOffset>6921500</wp:posOffset>
            </wp:positionH>
            <wp:positionV relativeFrom="paragraph">
              <wp:posOffset>-144935</wp:posOffset>
            </wp:positionV>
            <wp:extent cx="2438400" cy="1282700"/>
            <wp:effectExtent l="0" t="0" r="0" b="0"/>
            <wp:wrapNone/>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8.png"/>
                    <pic:cNvPicPr/>
                  </pic:nvPicPr>
                  <pic:blipFill>
                    <a:blip xmlns:r="http://schemas.openxmlformats.org/officeDocument/2006/relationships" r:embed="rId32" cstate="print"/>
                    <a:stretch>
                      <a:fillRect/>
                    </a:stretch>
                  </pic:blipFill>
                  <pic:spPr>
                    <a:xfrm>
                      <a:off x="0" y="0"/>
                      <a:ext cx="2438400" cy="1282700"/>
                    </a:xfrm>
                    <a:prstGeom prst="rect">
                      <a:avLst/>
                    </a:prstGeom>
                  </pic:spPr>
                </pic:pic>
              </a:graphicData>
            </a:graphic>
          </wp:anchor>
        </w:drawing>
      </w:r>
      <w:r>
        <w:drawing>
          <wp:anchor distT="0" distB="0" distL="0" distR="0" simplePos="0" relativeHeight="251672576" behindDoc="0" locked="0" layoutInCell="1" allowOverlap="1">
            <wp:simplePos x="0" y="0"/>
            <wp:positionH relativeFrom="page">
              <wp:posOffset>2095500</wp:posOffset>
            </wp:positionH>
            <wp:positionV relativeFrom="paragraph">
              <wp:posOffset>-221135</wp:posOffset>
            </wp:positionV>
            <wp:extent cx="2082800" cy="1320800"/>
            <wp:effectExtent l="0" t="0" r="0" b="0"/>
            <wp:wrapNone/>
            <wp:docPr id="3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9.png"/>
                    <pic:cNvPicPr/>
                  </pic:nvPicPr>
                  <pic:blipFill>
                    <a:blip xmlns:r="http://schemas.openxmlformats.org/officeDocument/2006/relationships" r:embed="rId33" cstate="print"/>
                    <a:stretch>
                      <a:fillRect/>
                    </a:stretch>
                  </pic:blipFill>
                  <pic:spPr>
                    <a:xfrm>
                      <a:off x="0" y="0"/>
                      <a:ext cx="2082800" cy="1320800"/>
                    </a:xfrm>
                    <a:prstGeom prst="rect">
                      <a:avLst/>
                    </a:prstGeom>
                  </pic:spPr>
                </pic:pic>
              </a:graphicData>
            </a:graphic>
          </wp:anchor>
        </w:drawing>
      </w:r>
      <w:r>
        <w:rPr>
          <w:rFonts w:ascii="Arial"/>
          <w:b/>
          <w:sz w:val="36"/>
        </w:rPr>
        <w:t>H&gt;h</w:t>
        <w:tab/>
      </w:r>
      <w:r>
        <w:rPr>
          <w:rFonts w:ascii="Arial"/>
          <w:b/>
          <w:position w:val="10"/>
          <w:sz w:val="42"/>
        </w:rPr>
        <w:t>H&gt;</w:t>
      </w:r>
      <w:r>
        <w:rPr>
          <w:rFonts w:ascii="Arial"/>
          <w:b/>
          <w:position w:val="4"/>
          <w:sz w:val="36"/>
        </w:rPr>
        <w:t>h</w:t>
      </w:r>
    </w:p>
    <w:p>
      <w:pPr>
        <w:spacing w:before="237"/>
        <w:ind w:left="710" w:right="0" w:firstLine="0"/>
        <w:jc w:val="left"/>
        <w:rPr>
          <w:rFonts w:ascii="Arial"/>
          <w:b/>
          <w:sz w:val="70"/>
        </w:rPr>
      </w:pPr>
      <w:r>
        <w:rPr>
          <w:rFonts w:ascii="Arial"/>
          <w:b/>
          <w:w w:val="100"/>
          <w:sz w:val="70"/>
        </w:rPr>
        <w:t>h</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3"/>
        <w:rPr>
          <w:rFonts w:ascii="Arial"/>
          <w:b/>
          <w:sz w:val="22"/>
        </w:rPr>
      </w:pPr>
    </w:p>
    <w:p>
      <w:pPr>
        <w:pStyle w:val="BodyText"/>
        <w:spacing w:before="49"/>
        <w:ind w:left="688"/>
      </w:pPr>
      <w:r>
        <w:t>8、放坡系数表：当槽深达到放坡起点后，设计无明确说明时，按下表计算放坡系数</w:t>
      </w:r>
    </w:p>
    <w:p>
      <w:pPr>
        <w:pStyle w:val="BodyText"/>
        <w:spacing w:before="237"/>
        <w:ind w:left="148"/>
      </w:pPr>
      <w:r>
        <w:t>P8</w:t>
      </w:r>
    </w:p>
    <w:p>
      <w:pPr>
        <w:pStyle w:val="BodyText"/>
        <w:spacing w:before="11"/>
        <w:rPr>
          <w:sz w:val="15"/>
        </w:rPr>
      </w:pPr>
      <w:r>
        <w:pict>
          <v:group id="_x0000_s1054" style="width:699pt;height:206pt;margin-top:12.11pt;margin-left:104pt;mso-position-horizontal-relative:page;mso-wrap-distance-left:0;mso-wrap-distance-right:0;position:absolute;z-index:-251636736" coordorigin="2080,242" coordsize="13980,4120">
            <v:shape id="_x0000_s1055" type="#_x0000_t75" style="width:13980;height:4120;left:2080;position:absolute;top:242" stroked="f">
              <v:imagedata r:id="rId34" o:title=""/>
            </v:shape>
            <v:shape id="_x0000_s1056" type="#_x0000_t202" style="width:1460;height:360;left:8616;position:absolute;top:487" filled="f" stroked="f">
              <v:textbox inset="0,0,0,0">
                <w:txbxContent>
                  <w:p>
                    <w:pPr>
                      <w:spacing w:before="0" w:line="360" w:lineRule="exact"/>
                      <w:ind w:left="0" w:right="0" w:firstLine="0"/>
                      <w:jc w:val="left"/>
                      <w:rPr>
                        <w:sz w:val="36"/>
                      </w:rPr>
                    </w:pPr>
                    <w:r>
                      <w:rPr>
                        <w:sz w:val="36"/>
                      </w:rPr>
                      <w:t>机械挖土</w:t>
                    </w:r>
                  </w:p>
                </w:txbxContent>
              </v:textbox>
            </v:shape>
            <v:shape id="_x0000_s1057" type="#_x0000_t202" style="width:1460;height:360;left:3384;position:absolute;top:901" filled="f" stroked="f">
              <v:textbox inset="0,0,0,0">
                <w:txbxContent>
                  <w:p>
                    <w:pPr>
                      <w:spacing w:before="0" w:line="360" w:lineRule="exact"/>
                      <w:ind w:left="0" w:right="0" w:firstLine="0"/>
                      <w:jc w:val="left"/>
                      <w:rPr>
                        <w:sz w:val="36"/>
                      </w:rPr>
                    </w:pPr>
                    <w:r>
                      <w:rPr>
                        <w:sz w:val="36"/>
                      </w:rPr>
                      <w:t>土壤类别</w:t>
                    </w:r>
                  </w:p>
                </w:txbxContent>
              </v:textbox>
            </v:shape>
            <v:shape id="_x0000_s1058" type="#_x0000_t202" style="width:1460;height:360;left:13830;position:absolute;top:901" filled="f" stroked="f">
              <v:textbox inset="0,0,0,0">
                <w:txbxContent>
                  <w:p>
                    <w:pPr>
                      <w:spacing w:before="0" w:line="360" w:lineRule="exact"/>
                      <w:ind w:left="0" w:right="0" w:firstLine="0"/>
                      <w:jc w:val="left"/>
                      <w:rPr>
                        <w:sz w:val="36"/>
                      </w:rPr>
                    </w:pPr>
                    <w:r>
                      <w:rPr>
                        <w:sz w:val="36"/>
                      </w:rPr>
                      <w:t>人工挖土</w:t>
                    </w:r>
                  </w:p>
                </w:txbxContent>
              </v:textbox>
            </v:shape>
            <v:shape id="_x0000_s1059" type="#_x0000_t202" style="width:4953;height:360;left:6859;position:absolute;top:1319" filled="f" stroked="f">
              <v:textbox inset="0,0,0,0">
                <w:txbxContent>
                  <w:p>
                    <w:pPr>
                      <w:tabs>
                        <w:tab w:val="left" w:pos="3492"/>
                      </w:tabs>
                      <w:spacing w:before="0" w:line="360" w:lineRule="exact"/>
                      <w:ind w:left="0" w:right="0" w:firstLine="0"/>
                      <w:jc w:val="left"/>
                      <w:rPr>
                        <w:sz w:val="36"/>
                      </w:rPr>
                    </w:pPr>
                    <w:r>
                      <w:rPr>
                        <w:sz w:val="36"/>
                      </w:rPr>
                      <w:t>坑内作业</w:t>
                      <w:tab/>
                      <w:t>坑上作业</w:t>
                    </w:r>
                  </w:p>
                </w:txbxContent>
              </v:textbox>
            </v:shape>
            <v:shape id="_x0000_s1060" type="#_x0000_t202" style="width:1460;height:360;left:3384;position:absolute;top:2129" filled="f" stroked="f">
              <v:textbox inset="0,0,0,0">
                <w:txbxContent>
                  <w:p>
                    <w:pPr>
                      <w:spacing w:before="0" w:line="360" w:lineRule="exact"/>
                      <w:ind w:left="0" w:right="0" w:firstLine="0"/>
                      <w:jc w:val="left"/>
                      <w:rPr>
                        <w:sz w:val="36"/>
                      </w:rPr>
                    </w:pPr>
                    <w:r>
                      <w:rPr>
                        <w:sz w:val="36"/>
                      </w:rPr>
                      <w:t>一、二类</w:t>
                    </w:r>
                  </w:p>
                </w:txbxContent>
              </v:textbox>
            </v:shape>
            <v:shape id="_x0000_s1061" type="#_x0000_t202" style="width:1100;height:360;left:7039;position:absolute;top:2129" filled="f" stroked="f">
              <v:textbox inset="0,0,0,0">
                <w:txbxContent>
                  <w:p>
                    <w:pPr>
                      <w:spacing w:before="0" w:line="360" w:lineRule="exact"/>
                      <w:ind w:left="0" w:right="0" w:firstLine="0"/>
                      <w:jc w:val="left"/>
                      <w:rPr>
                        <w:sz w:val="36"/>
                      </w:rPr>
                    </w:pPr>
                    <w:r>
                      <w:rPr>
                        <w:sz w:val="36"/>
                      </w:rPr>
                      <w:t>1:0.33</w:t>
                    </w:r>
                  </w:p>
                </w:txbxContent>
              </v:textbox>
            </v:shape>
            <v:shape id="_x0000_s1062" type="#_x0000_t202" style="width:1100;height:360;left:10532;position:absolute;top:2129" filled="f" stroked="f">
              <v:textbox inset="0,0,0,0">
                <w:txbxContent>
                  <w:p>
                    <w:pPr>
                      <w:spacing w:before="0" w:line="360" w:lineRule="exact"/>
                      <w:ind w:left="0" w:right="0" w:firstLine="0"/>
                      <w:jc w:val="left"/>
                      <w:rPr>
                        <w:sz w:val="36"/>
                      </w:rPr>
                    </w:pPr>
                    <w:r>
                      <w:rPr>
                        <w:sz w:val="36"/>
                      </w:rPr>
                      <w:t>1:0.75</w:t>
                    </w:r>
                  </w:p>
                </w:txbxContent>
              </v:textbox>
            </v:shape>
            <v:shape id="_x0000_s1063" type="#_x0000_t202" style="width:920;height:360;left:14100;position:absolute;top:2129" filled="f" stroked="f">
              <v:textbox inset="0,0,0,0">
                <w:txbxContent>
                  <w:p>
                    <w:pPr>
                      <w:spacing w:before="0" w:line="360" w:lineRule="exact"/>
                      <w:ind w:left="0" w:right="0" w:firstLine="0"/>
                      <w:jc w:val="left"/>
                      <w:rPr>
                        <w:sz w:val="36"/>
                      </w:rPr>
                    </w:pPr>
                    <w:r>
                      <w:rPr>
                        <w:sz w:val="36"/>
                      </w:rPr>
                      <w:t>1:0.5</w:t>
                    </w:r>
                  </w:p>
                </w:txbxContent>
              </v:textbox>
            </v:shape>
            <v:shape id="_x0000_s1064" type="#_x0000_t202" style="width:740;height:360;left:3744;position:absolute;top:2939" filled="f" stroked="f">
              <v:textbox inset="0,0,0,0">
                <w:txbxContent>
                  <w:p>
                    <w:pPr>
                      <w:spacing w:before="0" w:line="360" w:lineRule="exact"/>
                      <w:ind w:left="0" w:right="0" w:firstLine="0"/>
                      <w:jc w:val="left"/>
                      <w:rPr>
                        <w:sz w:val="36"/>
                      </w:rPr>
                    </w:pPr>
                    <w:r>
                      <w:rPr>
                        <w:sz w:val="36"/>
                      </w:rPr>
                      <w:t>三类</w:t>
                    </w:r>
                  </w:p>
                </w:txbxContent>
              </v:textbox>
            </v:shape>
            <v:shape id="_x0000_s1065" type="#_x0000_t202" style="width:1100;height:360;left:7039;position:absolute;top:2939" filled="f" stroked="f">
              <v:textbox inset="0,0,0,0">
                <w:txbxContent>
                  <w:p>
                    <w:pPr>
                      <w:spacing w:before="0" w:line="360" w:lineRule="exact"/>
                      <w:ind w:left="0" w:right="0" w:firstLine="0"/>
                      <w:jc w:val="left"/>
                      <w:rPr>
                        <w:sz w:val="36"/>
                      </w:rPr>
                    </w:pPr>
                    <w:r>
                      <w:rPr>
                        <w:sz w:val="36"/>
                      </w:rPr>
                      <w:t>1:0.25</w:t>
                    </w:r>
                  </w:p>
                </w:txbxContent>
              </v:textbox>
            </v:shape>
            <v:shape id="_x0000_s1066" type="#_x0000_t202" style="width:1100;height:360;left:10532;position:absolute;top:2939" filled="f" stroked="f">
              <v:textbox inset="0,0,0,0">
                <w:txbxContent>
                  <w:p>
                    <w:pPr>
                      <w:spacing w:before="0" w:line="360" w:lineRule="exact"/>
                      <w:ind w:left="0" w:right="0" w:firstLine="0"/>
                      <w:jc w:val="left"/>
                      <w:rPr>
                        <w:sz w:val="36"/>
                      </w:rPr>
                    </w:pPr>
                    <w:r>
                      <w:rPr>
                        <w:sz w:val="36"/>
                      </w:rPr>
                      <w:t>1:0.67</w:t>
                    </w:r>
                  </w:p>
                </w:txbxContent>
              </v:textbox>
            </v:shape>
            <v:shape id="_x0000_s1067" type="#_x0000_t202" style="width:1100;height:360;left:14010;position:absolute;top:2939" filled="f" stroked="f">
              <v:textbox inset="0,0,0,0">
                <w:txbxContent>
                  <w:p>
                    <w:pPr>
                      <w:spacing w:before="0" w:line="360" w:lineRule="exact"/>
                      <w:ind w:left="0" w:right="0" w:firstLine="0"/>
                      <w:jc w:val="left"/>
                      <w:rPr>
                        <w:sz w:val="36"/>
                      </w:rPr>
                    </w:pPr>
                    <w:r>
                      <w:rPr>
                        <w:sz w:val="36"/>
                      </w:rPr>
                      <w:t>1:0.33</w:t>
                    </w:r>
                  </w:p>
                </w:txbxContent>
              </v:textbox>
            </v:shape>
            <v:shape id="_x0000_s1068" type="#_x0000_t202" style="width:740;height:360;left:3744;position:absolute;top:3748" filled="f" stroked="f">
              <v:textbox inset="0,0,0,0">
                <w:txbxContent>
                  <w:p>
                    <w:pPr>
                      <w:spacing w:before="0" w:line="360" w:lineRule="exact"/>
                      <w:ind w:left="0" w:right="0" w:firstLine="0"/>
                      <w:jc w:val="left"/>
                      <w:rPr>
                        <w:sz w:val="36"/>
                      </w:rPr>
                    </w:pPr>
                    <w:r>
                      <w:rPr>
                        <w:sz w:val="36"/>
                      </w:rPr>
                      <w:t>四类</w:t>
                    </w:r>
                  </w:p>
                </w:txbxContent>
              </v:textbox>
            </v:shape>
            <v:shape id="_x0000_s1069" type="#_x0000_t202" style="width:1100;height:360;left:7039;position:absolute;top:3748" filled="f" stroked="f">
              <v:textbox inset="0,0,0,0">
                <w:txbxContent>
                  <w:p>
                    <w:pPr>
                      <w:spacing w:before="0" w:line="360" w:lineRule="exact"/>
                      <w:ind w:left="0" w:right="0" w:firstLine="0"/>
                      <w:jc w:val="left"/>
                      <w:rPr>
                        <w:sz w:val="36"/>
                      </w:rPr>
                    </w:pPr>
                    <w:r>
                      <w:rPr>
                        <w:sz w:val="36"/>
                      </w:rPr>
                      <w:t>1:0.10</w:t>
                    </w:r>
                  </w:p>
                </w:txbxContent>
              </v:textbox>
            </v:shape>
            <v:shape id="_x0000_s1070" type="#_x0000_t202" style="width:1100;height:360;left:10532;position:absolute;top:3748" filled="f" stroked="f">
              <v:textbox inset="0,0,0,0">
                <w:txbxContent>
                  <w:p>
                    <w:pPr>
                      <w:spacing w:before="0" w:line="360" w:lineRule="exact"/>
                      <w:ind w:left="0" w:right="0" w:firstLine="0"/>
                      <w:jc w:val="left"/>
                      <w:rPr>
                        <w:sz w:val="36"/>
                      </w:rPr>
                    </w:pPr>
                    <w:r>
                      <w:rPr>
                        <w:sz w:val="36"/>
                      </w:rPr>
                      <w:t>1:0.33</w:t>
                    </w:r>
                  </w:p>
                </w:txbxContent>
              </v:textbox>
            </v:shape>
            <v:shape id="_x0000_s1071" type="#_x0000_t202" style="width:1100;height:360;left:14010;position:absolute;top:3748" filled="f" stroked="f">
              <v:textbox inset="0,0,0,0">
                <w:txbxContent>
                  <w:p>
                    <w:pPr>
                      <w:spacing w:before="0" w:line="360" w:lineRule="exact"/>
                      <w:ind w:left="0" w:right="0" w:firstLine="0"/>
                      <w:jc w:val="left"/>
                      <w:rPr>
                        <w:sz w:val="36"/>
                      </w:rPr>
                    </w:pPr>
                    <w:r>
                      <w:rPr>
                        <w:sz w:val="36"/>
                      </w:rPr>
                      <w:t>1:0.25</w:t>
                    </w:r>
                  </w:p>
                </w:txbxContent>
              </v:textbox>
            </v:shape>
            <w10:wrap type="topAndBottom"/>
          </v:group>
        </w:pict>
      </w:r>
    </w:p>
    <w:p>
      <w:pPr>
        <w:spacing w:after="0"/>
        <w:rPr>
          <w:sz w:val="15"/>
        </w:rPr>
        <w:sectPr>
          <w:footerReference w:type="default" r:id="rId35"/>
          <w:pgSz w:w="17860" w:h="25260"/>
          <w:pgMar w:top="1780" w:right="1080" w:bottom="2040" w:left="1980" w:header="0" w:footer="1820"/>
          <w:pgNumType w:start="12"/>
          <w:cols w:space="708"/>
        </w:sectPr>
      </w:pPr>
    </w:p>
    <w:p>
      <w:pPr>
        <w:tabs>
          <w:tab w:val="left" w:pos="11756"/>
        </w:tabs>
        <w:spacing w:before="48"/>
        <w:ind w:left="0" w:right="890" w:firstLine="0"/>
        <w:jc w:val="center"/>
        <w:rPr>
          <w:rFonts w:ascii="Times New Roman" w:eastAsia="Times New Roman" w:hAnsi="Times New Roman"/>
          <w:i/>
          <w:sz w:val="27"/>
        </w:rPr>
      </w:pPr>
      <w:r>
        <w:pict>
          <v:line id="_x0000_s1072" style="mso-position-horizontal-relative:page;position:absolute;z-index:251680768"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spacing w:before="8"/>
        <w:rPr>
          <w:rFonts w:ascii="Times New Roman"/>
          <w:i/>
          <w:sz w:val="37"/>
        </w:rPr>
      </w:pPr>
    </w:p>
    <w:p>
      <w:pPr>
        <w:pStyle w:val="BodyText"/>
        <w:spacing w:line="364" w:lineRule="auto"/>
        <w:ind w:left="148" w:right="939" w:firstLine="540"/>
      </w:pPr>
      <w:r>
        <w:t>注意：1、若施工中实际未放坡，或实际放坡系数小于本表规定，应仍按规定的放坡系数计算土方工程量</w:t>
      </w:r>
    </w:p>
    <w:p>
      <w:pPr>
        <w:pStyle w:val="BodyText"/>
        <w:spacing w:line="460" w:lineRule="exact"/>
        <w:ind w:left="688"/>
      </w:pPr>
      <w:r>
        <w:t>2、同一断面内土类不同时，放坡系数加权平均</w:t>
      </w:r>
    </w:p>
    <w:p>
      <w:pPr>
        <w:pStyle w:val="BodyText"/>
        <w:spacing w:before="237" w:line="364" w:lineRule="auto"/>
        <w:ind w:left="148" w:right="969" w:firstLine="540"/>
      </w:pPr>
      <w:r>
        <w:drawing>
          <wp:anchor distT="0" distB="0" distL="0" distR="0" simplePos="0" relativeHeight="251681792" behindDoc="1" locked="0" layoutInCell="1" allowOverlap="1">
            <wp:simplePos x="0" y="0"/>
            <wp:positionH relativeFrom="page">
              <wp:posOffset>1320800</wp:posOffset>
            </wp:positionH>
            <wp:positionV relativeFrom="paragraph">
              <wp:posOffset>1040891</wp:posOffset>
            </wp:positionV>
            <wp:extent cx="8563786" cy="2698337"/>
            <wp:effectExtent l="0" t="0" r="0" b="0"/>
            <wp:wrapNone/>
            <wp:docPr id="3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1.png"/>
                    <pic:cNvPicPr/>
                  </pic:nvPicPr>
                  <pic:blipFill>
                    <a:blip xmlns:r="http://schemas.openxmlformats.org/officeDocument/2006/relationships" r:embed="rId36" cstate="print"/>
                    <a:stretch>
                      <a:fillRect/>
                    </a:stretch>
                  </pic:blipFill>
                  <pic:spPr>
                    <a:xfrm>
                      <a:off x="0" y="0"/>
                      <a:ext cx="8563786" cy="2698337"/>
                    </a:xfrm>
                    <a:prstGeom prst="rect">
                      <a:avLst/>
                    </a:prstGeom>
                  </pic:spPr>
                </pic:pic>
              </a:graphicData>
            </a:graphic>
          </wp:anchor>
        </w:drawing>
      </w:r>
      <w:r>
        <w:t>9、管沟底部每侧工作面宽度：为便于施工，管道或构筑物两侧应留有足够的工作面宽度 P8 八</w:t>
      </w:r>
    </w:p>
    <w:p>
      <w:pPr>
        <w:pStyle w:val="BodyText"/>
        <w:spacing w:before="5"/>
        <w:rPr>
          <w:sz w:val="20"/>
        </w:rPr>
      </w:pPr>
    </w:p>
    <w:tbl>
      <w:tblPr>
        <w:tblStyle w:val="TableNormal2"/>
        <w:tblW w:w="0" w:type="auto"/>
        <w:jc w:val="left"/>
        <w:tblInd w:w="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57"/>
        <w:gridCol w:w="3120"/>
        <w:gridCol w:w="3219"/>
        <w:gridCol w:w="2176"/>
      </w:tblGrid>
      <w:tr>
        <w:tblPrEx>
          <w:tblW w:w="0" w:type="auto"/>
          <w:jc w:val="left"/>
          <w:tblInd w:w="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01"/>
          <w:jc w:val="left"/>
        </w:trPr>
        <w:tc>
          <w:tcPr>
            <w:tcW w:w="3157" w:type="dxa"/>
          </w:tcPr>
          <w:p>
            <w:pPr>
              <w:pStyle w:val="TableParagraph"/>
              <w:spacing w:line="411" w:lineRule="exact"/>
              <w:ind w:left="334"/>
              <w:jc w:val="left"/>
              <w:rPr>
                <w:rFonts w:ascii="宋体" w:eastAsia="宋体" w:hint="eastAsia"/>
                <w:sz w:val="36"/>
              </w:rPr>
            </w:pPr>
            <w:r>
              <w:rPr>
                <w:rFonts w:ascii="宋体" w:eastAsia="宋体" w:hint="eastAsia"/>
                <w:sz w:val="36"/>
              </w:rPr>
              <w:t>管道结构宽</w:t>
            </w:r>
          </w:p>
        </w:tc>
        <w:tc>
          <w:tcPr>
            <w:tcW w:w="3120" w:type="dxa"/>
          </w:tcPr>
          <w:p>
            <w:pPr>
              <w:pStyle w:val="TableParagraph"/>
              <w:spacing w:line="411" w:lineRule="exact"/>
              <w:ind w:left="568" w:right="711"/>
              <w:jc w:val="center"/>
              <w:rPr>
                <w:rFonts w:ascii="宋体" w:eastAsia="宋体" w:hint="eastAsia"/>
                <w:sz w:val="36"/>
              </w:rPr>
            </w:pPr>
            <w:r>
              <w:rPr>
                <w:rFonts w:ascii="宋体" w:eastAsia="宋体" w:hint="eastAsia"/>
                <w:sz w:val="36"/>
              </w:rPr>
              <w:t>非金属管道</w:t>
            </w:r>
          </w:p>
        </w:tc>
        <w:tc>
          <w:tcPr>
            <w:tcW w:w="3219" w:type="dxa"/>
          </w:tcPr>
          <w:p>
            <w:pPr>
              <w:pStyle w:val="TableParagraph"/>
              <w:spacing w:line="411" w:lineRule="exact"/>
              <w:ind w:left="713" w:right="1025"/>
              <w:jc w:val="center"/>
              <w:rPr>
                <w:rFonts w:ascii="宋体" w:eastAsia="宋体" w:hint="eastAsia"/>
                <w:sz w:val="36"/>
              </w:rPr>
            </w:pPr>
            <w:r>
              <w:rPr>
                <w:rFonts w:ascii="宋体" w:eastAsia="宋体" w:hint="eastAsia"/>
                <w:sz w:val="36"/>
              </w:rPr>
              <w:t>金属管道</w:t>
            </w:r>
          </w:p>
        </w:tc>
        <w:tc>
          <w:tcPr>
            <w:tcW w:w="2176" w:type="dxa"/>
          </w:tcPr>
          <w:p>
            <w:pPr>
              <w:pStyle w:val="TableParagraph"/>
              <w:spacing w:line="411" w:lineRule="exact"/>
              <w:ind w:left="1025" w:right="30"/>
              <w:jc w:val="center"/>
              <w:rPr>
                <w:rFonts w:ascii="宋体" w:eastAsia="宋体" w:hint="eastAsia"/>
                <w:sz w:val="36"/>
              </w:rPr>
            </w:pPr>
            <w:r>
              <w:rPr>
                <w:rFonts w:ascii="宋体" w:eastAsia="宋体" w:hint="eastAsia"/>
                <w:sz w:val="36"/>
              </w:rPr>
              <w:t>构筑物</w:t>
            </w:r>
          </w:p>
        </w:tc>
      </w:tr>
      <w:tr>
        <w:tblPrEx>
          <w:tblW w:w="0" w:type="auto"/>
          <w:jc w:val="left"/>
          <w:tblInd w:w="645" w:type="dxa"/>
          <w:tblLayout w:type="fixed"/>
          <w:tblCellMar>
            <w:top w:w="0" w:type="dxa"/>
            <w:left w:w="0" w:type="dxa"/>
            <w:bottom w:w="0" w:type="dxa"/>
            <w:right w:w="0" w:type="dxa"/>
          </w:tblCellMar>
          <w:tblLook w:val="01E0"/>
        </w:tblPrEx>
        <w:trPr>
          <w:trHeight w:val="842"/>
          <w:jc w:val="left"/>
        </w:trPr>
        <w:tc>
          <w:tcPr>
            <w:tcW w:w="3157" w:type="dxa"/>
          </w:tcPr>
          <w:p>
            <w:pPr>
              <w:pStyle w:val="TableParagraph"/>
              <w:spacing w:before="190"/>
              <w:ind w:left="471"/>
              <w:jc w:val="left"/>
              <w:rPr>
                <w:rFonts w:ascii="宋体" w:eastAsia="宋体" w:hint="eastAsia"/>
                <w:sz w:val="36"/>
              </w:rPr>
            </w:pPr>
            <w:r>
              <w:rPr>
                <w:rFonts w:ascii="宋体" w:eastAsia="宋体" w:hint="eastAsia"/>
                <w:sz w:val="36"/>
              </w:rPr>
              <w:t>50cm 以内</w:t>
            </w:r>
          </w:p>
        </w:tc>
        <w:tc>
          <w:tcPr>
            <w:tcW w:w="3120" w:type="dxa"/>
          </w:tcPr>
          <w:p>
            <w:pPr>
              <w:pStyle w:val="TableParagraph"/>
              <w:spacing w:before="190"/>
              <w:ind w:left="568" w:right="711"/>
              <w:jc w:val="center"/>
              <w:rPr>
                <w:rFonts w:ascii="宋体"/>
                <w:sz w:val="36"/>
              </w:rPr>
            </w:pPr>
            <w:r>
              <w:rPr>
                <w:rFonts w:ascii="宋体"/>
                <w:sz w:val="36"/>
              </w:rPr>
              <w:t>40</w:t>
            </w:r>
          </w:p>
        </w:tc>
        <w:tc>
          <w:tcPr>
            <w:tcW w:w="3219" w:type="dxa"/>
          </w:tcPr>
          <w:p>
            <w:pPr>
              <w:pStyle w:val="TableParagraph"/>
              <w:spacing w:before="190"/>
              <w:ind w:left="713" w:right="1025"/>
              <w:jc w:val="center"/>
              <w:rPr>
                <w:rFonts w:ascii="宋体"/>
                <w:sz w:val="36"/>
              </w:rPr>
            </w:pPr>
            <w:r>
              <w:rPr>
                <w:rFonts w:ascii="宋体"/>
                <w:sz w:val="36"/>
              </w:rPr>
              <w:t>30</w:t>
            </w:r>
          </w:p>
        </w:tc>
        <w:tc>
          <w:tcPr>
            <w:tcW w:w="2176" w:type="dxa"/>
          </w:tcPr>
          <w:p>
            <w:pPr>
              <w:pStyle w:val="TableParagraph"/>
              <w:jc w:val="left"/>
              <w:rPr>
                <w:rFonts w:ascii="Times New Roman"/>
                <w:sz w:val="34"/>
              </w:rPr>
            </w:pPr>
          </w:p>
        </w:tc>
      </w:tr>
      <w:tr>
        <w:tblPrEx>
          <w:tblW w:w="0" w:type="auto"/>
          <w:jc w:val="left"/>
          <w:tblInd w:w="645" w:type="dxa"/>
          <w:tblLayout w:type="fixed"/>
          <w:tblCellMar>
            <w:top w:w="0" w:type="dxa"/>
            <w:left w:w="0" w:type="dxa"/>
            <w:bottom w:w="0" w:type="dxa"/>
            <w:right w:w="0" w:type="dxa"/>
          </w:tblCellMar>
          <w:tblLook w:val="01E0"/>
        </w:tblPrEx>
        <w:trPr>
          <w:trHeight w:val="1687"/>
          <w:jc w:val="left"/>
        </w:trPr>
        <w:tc>
          <w:tcPr>
            <w:tcW w:w="3157" w:type="dxa"/>
          </w:tcPr>
          <w:p>
            <w:pPr>
              <w:pStyle w:val="TableParagraph"/>
              <w:spacing w:before="190"/>
              <w:ind w:left="381"/>
              <w:jc w:val="left"/>
              <w:rPr>
                <w:rFonts w:ascii="宋体" w:eastAsia="宋体" w:hint="eastAsia"/>
                <w:sz w:val="36"/>
              </w:rPr>
            </w:pPr>
            <w:r>
              <w:rPr>
                <w:rFonts w:ascii="宋体" w:eastAsia="宋体" w:hint="eastAsia"/>
                <w:sz w:val="36"/>
              </w:rPr>
              <w:t>100cm</w:t>
            </w:r>
            <w:r>
              <w:rPr>
                <w:rFonts w:ascii="宋体" w:eastAsia="宋体" w:hint="eastAsia"/>
                <w:spacing w:val="-31"/>
                <w:sz w:val="36"/>
              </w:rPr>
              <w:t xml:space="preserve"> 以内</w:t>
            </w:r>
          </w:p>
          <w:p>
            <w:pPr>
              <w:pStyle w:val="TableParagraph"/>
              <w:spacing w:before="10"/>
              <w:jc w:val="left"/>
              <w:rPr>
                <w:rFonts w:ascii="宋体"/>
                <w:sz w:val="29"/>
              </w:rPr>
            </w:pPr>
          </w:p>
          <w:p>
            <w:pPr>
              <w:pStyle w:val="TableParagraph"/>
              <w:spacing w:before="1"/>
              <w:ind w:left="381"/>
              <w:jc w:val="left"/>
              <w:rPr>
                <w:rFonts w:ascii="宋体" w:eastAsia="宋体" w:hint="eastAsia"/>
                <w:sz w:val="36"/>
              </w:rPr>
            </w:pPr>
            <w:r>
              <w:rPr>
                <w:rFonts w:ascii="宋体" w:eastAsia="宋体" w:hint="eastAsia"/>
                <w:sz w:val="36"/>
              </w:rPr>
              <w:t>150cm</w:t>
            </w:r>
            <w:r>
              <w:rPr>
                <w:rFonts w:ascii="宋体" w:eastAsia="宋体" w:hint="eastAsia"/>
                <w:spacing w:val="-31"/>
                <w:sz w:val="36"/>
              </w:rPr>
              <w:t xml:space="preserve"> 以内</w:t>
            </w:r>
          </w:p>
        </w:tc>
        <w:tc>
          <w:tcPr>
            <w:tcW w:w="3120" w:type="dxa"/>
          </w:tcPr>
          <w:p>
            <w:pPr>
              <w:pStyle w:val="TableParagraph"/>
              <w:spacing w:before="190"/>
              <w:ind w:left="568" w:right="711"/>
              <w:jc w:val="center"/>
              <w:rPr>
                <w:rFonts w:ascii="宋体"/>
                <w:sz w:val="36"/>
              </w:rPr>
            </w:pPr>
            <w:r>
              <w:rPr>
                <w:rFonts w:ascii="宋体"/>
                <w:sz w:val="36"/>
              </w:rPr>
              <w:t>50</w:t>
            </w:r>
          </w:p>
          <w:p>
            <w:pPr>
              <w:pStyle w:val="TableParagraph"/>
              <w:spacing w:before="10"/>
              <w:jc w:val="left"/>
              <w:rPr>
                <w:rFonts w:ascii="宋体"/>
                <w:sz w:val="29"/>
              </w:rPr>
            </w:pPr>
          </w:p>
          <w:p>
            <w:pPr>
              <w:pStyle w:val="TableParagraph"/>
              <w:spacing w:before="1"/>
              <w:ind w:left="568" w:right="711"/>
              <w:jc w:val="center"/>
              <w:rPr>
                <w:rFonts w:ascii="宋体"/>
                <w:sz w:val="36"/>
              </w:rPr>
            </w:pPr>
            <w:r>
              <w:rPr>
                <w:rFonts w:ascii="宋体"/>
                <w:sz w:val="36"/>
              </w:rPr>
              <w:t>60</w:t>
            </w:r>
          </w:p>
        </w:tc>
        <w:tc>
          <w:tcPr>
            <w:tcW w:w="3219" w:type="dxa"/>
          </w:tcPr>
          <w:p>
            <w:pPr>
              <w:pStyle w:val="TableParagraph"/>
              <w:spacing w:before="190"/>
              <w:ind w:left="713" w:right="1025"/>
              <w:jc w:val="center"/>
              <w:rPr>
                <w:rFonts w:ascii="宋体"/>
                <w:sz w:val="36"/>
              </w:rPr>
            </w:pPr>
            <w:r>
              <w:rPr>
                <w:rFonts w:ascii="宋体"/>
                <w:sz w:val="36"/>
              </w:rPr>
              <w:t>40</w:t>
            </w:r>
          </w:p>
          <w:p>
            <w:pPr>
              <w:pStyle w:val="TableParagraph"/>
              <w:spacing w:before="10"/>
              <w:jc w:val="left"/>
              <w:rPr>
                <w:rFonts w:ascii="宋体"/>
                <w:sz w:val="29"/>
              </w:rPr>
            </w:pPr>
          </w:p>
          <w:p>
            <w:pPr>
              <w:pStyle w:val="TableParagraph"/>
              <w:spacing w:before="1"/>
              <w:ind w:left="713" w:right="1025"/>
              <w:jc w:val="center"/>
              <w:rPr>
                <w:rFonts w:ascii="宋体"/>
                <w:sz w:val="36"/>
              </w:rPr>
            </w:pPr>
            <w:r>
              <w:rPr>
                <w:rFonts w:ascii="宋体"/>
                <w:sz w:val="36"/>
              </w:rPr>
              <w:t>60</w:t>
            </w:r>
          </w:p>
        </w:tc>
        <w:tc>
          <w:tcPr>
            <w:tcW w:w="2176" w:type="dxa"/>
          </w:tcPr>
          <w:p>
            <w:pPr>
              <w:pStyle w:val="TableParagraph"/>
              <w:spacing w:before="10"/>
              <w:jc w:val="left"/>
              <w:rPr>
                <w:rFonts w:ascii="宋体"/>
                <w:sz w:val="47"/>
              </w:rPr>
            </w:pPr>
          </w:p>
          <w:p>
            <w:pPr>
              <w:pStyle w:val="TableParagraph"/>
              <w:ind w:left="1025" w:right="7"/>
              <w:jc w:val="center"/>
              <w:rPr>
                <w:rFonts w:ascii="宋体"/>
                <w:sz w:val="36"/>
              </w:rPr>
            </w:pPr>
            <w:r>
              <w:rPr>
                <w:rFonts w:ascii="宋体"/>
                <w:sz w:val="36"/>
              </w:rPr>
              <w:t>40</w:t>
            </w:r>
          </w:p>
        </w:tc>
      </w:tr>
      <w:tr>
        <w:tblPrEx>
          <w:tblW w:w="0" w:type="auto"/>
          <w:jc w:val="left"/>
          <w:tblInd w:w="645" w:type="dxa"/>
          <w:tblLayout w:type="fixed"/>
          <w:tblCellMar>
            <w:top w:w="0" w:type="dxa"/>
            <w:left w:w="0" w:type="dxa"/>
            <w:bottom w:w="0" w:type="dxa"/>
            <w:right w:w="0" w:type="dxa"/>
          </w:tblCellMar>
          <w:tblLook w:val="01E0"/>
        </w:tblPrEx>
        <w:trPr>
          <w:trHeight w:val="761"/>
          <w:jc w:val="left"/>
        </w:trPr>
        <w:tc>
          <w:tcPr>
            <w:tcW w:w="3157" w:type="dxa"/>
          </w:tcPr>
          <w:p>
            <w:pPr>
              <w:pStyle w:val="TableParagraph"/>
              <w:spacing w:before="192"/>
              <w:ind w:left="381"/>
              <w:jc w:val="left"/>
              <w:rPr>
                <w:rFonts w:ascii="宋体" w:eastAsia="宋体" w:hint="eastAsia"/>
                <w:sz w:val="36"/>
              </w:rPr>
            </w:pPr>
            <w:r>
              <w:rPr>
                <w:rFonts w:ascii="宋体" w:eastAsia="宋体" w:hint="eastAsia"/>
                <w:sz w:val="36"/>
              </w:rPr>
              <w:t>250cm 以外</w:t>
            </w:r>
          </w:p>
        </w:tc>
        <w:tc>
          <w:tcPr>
            <w:tcW w:w="3120" w:type="dxa"/>
          </w:tcPr>
          <w:p>
            <w:pPr>
              <w:pStyle w:val="TableParagraph"/>
              <w:spacing w:before="192"/>
              <w:ind w:left="568" w:right="711"/>
              <w:jc w:val="center"/>
              <w:rPr>
                <w:rFonts w:ascii="宋体"/>
                <w:sz w:val="36"/>
              </w:rPr>
            </w:pPr>
            <w:r>
              <w:rPr>
                <w:rFonts w:ascii="宋体"/>
                <w:sz w:val="36"/>
              </w:rPr>
              <w:t>80</w:t>
            </w:r>
          </w:p>
        </w:tc>
        <w:tc>
          <w:tcPr>
            <w:tcW w:w="3219" w:type="dxa"/>
          </w:tcPr>
          <w:p>
            <w:pPr>
              <w:pStyle w:val="TableParagraph"/>
              <w:spacing w:before="192"/>
              <w:ind w:left="713" w:right="1025"/>
              <w:jc w:val="center"/>
              <w:rPr>
                <w:rFonts w:ascii="宋体"/>
                <w:sz w:val="36"/>
              </w:rPr>
            </w:pPr>
            <w:r>
              <w:rPr>
                <w:rFonts w:ascii="宋体"/>
                <w:sz w:val="36"/>
              </w:rPr>
              <w:t>80</w:t>
            </w:r>
          </w:p>
        </w:tc>
        <w:tc>
          <w:tcPr>
            <w:tcW w:w="2176" w:type="dxa"/>
          </w:tcPr>
          <w:p>
            <w:pPr>
              <w:pStyle w:val="TableParagraph"/>
              <w:jc w:val="left"/>
              <w:rPr>
                <w:rFonts w:ascii="Times New Roman"/>
                <w:sz w:val="34"/>
              </w:rPr>
            </w:pPr>
          </w:p>
        </w:tc>
      </w:tr>
      <w:tr>
        <w:tblPrEx>
          <w:tblW w:w="0" w:type="auto"/>
          <w:jc w:val="left"/>
          <w:tblInd w:w="645" w:type="dxa"/>
          <w:tblLayout w:type="fixed"/>
          <w:tblCellMar>
            <w:top w:w="0" w:type="dxa"/>
            <w:left w:w="0" w:type="dxa"/>
            <w:bottom w:w="0" w:type="dxa"/>
            <w:right w:w="0" w:type="dxa"/>
          </w:tblCellMar>
          <w:tblLook w:val="01E0"/>
        </w:tblPrEx>
        <w:trPr>
          <w:trHeight w:val="518"/>
          <w:jc w:val="left"/>
        </w:trPr>
        <w:tc>
          <w:tcPr>
            <w:tcW w:w="3157" w:type="dxa"/>
          </w:tcPr>
          <w:p>
            <w:pPr>
              <w:pStyle w:val="TableParagraph"/>
              <w:spacing w:before="107" w:line="391" w:lineRule="exact"/>
              <w:ind w:left="50"/>
              <w:jc w:val="left"/>
              <w:rPr>
                <w:rFonts w:ascii="宋体" w:eastAsia="宋体" w:hint="eastAsia"/>
                <w:sz w:val="36"/>
              </w:rPr>
            </w:pPr>
            <w:r>
              <w:rPr>
                <w:rFonts w:ascii="宋体" w:eastAsia="宋体" w:hint="eastAsia"/>
                <w:sz w:val="36"/>
              </w:rPr>
              <w:t>10、运距的确定</w:t>
            </w:r>
          </w:p>
        </w:tc>
        <w:tc>
          <w:tcPr>
            <w:tcW w:w="3120" w:type="dxa"/>
          </w:tcPr>
          <w:p>
            <w:pPr>
              <w:pStyle w:val="TableParagraph"/>
              <w:jc w:val="left"/>
              <w:rPr>
                <w:rFonts w:ascii="Times New Roman"/>
                <w:sz w:val="34"/>
              </w:rPr>
            </w:pPr>
          </w:p>
        </w:tc>
        <w:tc>
          <w:tcPr>
            <w:tcW w:w="3219" w:type="dxa"/>
          </w:tcPr>
          <w:p>
            <w:pPr>
              <w:pStyle w:val="TableParagraph"/>
              <w:jc w:val="left"/>
              <w:rPr>
                <w:rFonts w:ascii="Times New Roman"/>
                <w:sz w:val="34"/>
              </w:rPr>
            </w:pPr>
          </w:p>
        </w:tc>
        <w:tc>
          <w:tcPr>
            <w:tcW w:w="2176" w:type="dxa"/>
          </w:tcPr>
          <w:p>
            <w:pPr>
              <w:pStyle w:val="TableParagraph"/>
              <w:jc w:val="left"/>
              <w:rPr>
                <w:rFonts w:ascii="Times New Roman"/>
                <w:sz w:val="34"/>
              </w:rPr>
            </w:pPr>
          </w:p>
        </w:tc>
      </w:tr>
    </w:tbl>
    <w:p>
      <w:pPr>
        <w:pStyle w:val="BodyText"/>
        <w:spacing w:before="287"/>
        <w:ind w:right="820"/>
        <w:jc w:val="center"/>
      </w:pPr>
      <w:r>
        <w:t>土石方运距应按挖方重心至弃方重心的距离计算，但下面两种情况应调整运距：</w:t>
      </w:r>
    </w:p>
    <w:p>
      <w:pPr>
        <w:pStyle w:val="ListParagraph"/>
        <w:numPr>
          <w:ilvl w:val="0"/>
          <w:numId w:val="12"/>
        </w:numPr>
        <w:tabs>
          <w:tab w:val="left" w:pos="1409"/>
        </w:tabs>
        <w:spacing w:before="241" w:after="0" w:line="240" w:lineRule="auto"/>
        <w:ind w:left="1408" w:right="0" w:hanging="721"/>
        <w:jc w:val="left"/>
        <w:rPr>
          <w:sz w:val="36"/>
        </w:rPr>
      </w:pPr>
      <w:r>
        <w:rPr>
          <w:sz w:val="36"/>
        </w:rPr>
        <w:t>机械坡道&gt;5%、人工坡道&gt;15%</w:t>
      </w:r>
      <w:r>
        <w:rPr>
          <w:spacing w:val="-6"/>
          <w:sz w:val="36"/>
        </w:rPr>
        <w:t xml:space="preserve">时，斜道运距按斜道长度乘下列系数 </w:t>
      </w:r>
      <w:r>
        <w:rPr>
          <w:sz w:val="36"/>
        </w:rPr>
        <w:t>P8</w:t>
      </w:r>
      <w:r>
        <w:rPr>
          <w:spacing w:val="-60"/>
          <w:sz w:val="36"/>
        </w:rPr>
        <w:t xml:space="preserve"> 九 </w:t>
      </w:r>
      <w:r>
        <w:rPr>
          <w:sz w:val="36"/>
        </w:rPr>
        <w:t>1</w:t>
      </w:r>
    </w:p>
    <w:p>
      <w:pPr>
        <w:pStyle w:val="BodyText"/>
        <w:spacing w:before="6"/>
        <w:rPr>
          <w:sz w:val="15"/>
        </w:rPr>
      </w:pPr>
      <w:r>
        <w:pict>
          <v:group id="_x0000_s1073" style="width:699pt;height:128pt;margin-top:11.87pt;margin-left:104pt;mso-position-horizontal-relative:page;mso-wrap-distance-left:0;mso-wrap-distance-right:0;position:absolute;z-index:-251633664" coordorigin="2080,237" coordsize="13980,2560">
            <v:shape id="_x0000_s1074" type="#_x0000_t75" style="width:13980;height:2560;left:2080;position:absolute;top:237" stroked="f">
              <v:imagedata r:id="rId37" o:title=""/>
            </v:shape>
            <v:shape id="_x0000_s1075" type="#_x0000_t202" style="width:740;height:360;left:3154;position:absolute;top:497" filled="f" stroked="f">
              <v:textbox inset="0,0,0,0">
                <w:txbxContent>
                  <w:p>
                    <w:pPr>
                      <w:spacing w:before="0" w:line="360" w:lineRule="exact"/>
                      <w:ind w:left="0" w:right="0" w:firstLine="0"/>
                      <w:jc w:val="left"/>
                      <w:rPr>
                        <w:sz w:val="36"/>
                      </w:rPr>
                    </w:pPr>
                    <w:r>
                      <w:rPr>
                        <w:sz w:val="36"/>
                      </w:rPr>
                      <w:t>项目</w:t>
                    </w:r>
                  </w:p>
                </w:txbxContent>
              </v:textbox>
            </v:shape>
            <v:shape id="_x0000_s1076" type="#_x0000_t202" style="width:2540;height:360;left:8069;position:absolute;top:497" filled="f" stroked="f">
              <v:textbox inset="0,0,0,0">
                <w:txbxContent>
                  <w:p>
                    <w:pPr>
                      <w:spacing w:before="0" w:line="360" w:lineRule="exact"/>
                      <w:ind w:left="0" w:right="0" w:firstLine="0"/>
                      <w:jc w:val="left"/>
                      <w:rPr>
                        <w:sz w:val="36"/>
                      </w:rPr>
                    </w:pPr>
                    <w:r>
                      <w:rPr>
                        <w:sz w:val="36"/>
                      </w:rPr>
                      <w:t>推土机、铲运机</w:t>
                    </w:r>
                  </w:p>
                </w:txbxContent>
              </v:textbox>
            </v:shape>
            <v:shape id="_x0000_s1077" type="#_x0000_t202" style="width:740;height:360;left:14770;position:absolute;top:497" filled="f" stroked="f">
              <v:textbox inset="0,0,0,0">
                <w:txbxContent>
                  <w:p>
                    <w:pPr>
                      <w:spacing w:before="0" w:line="360" w:lineRule="exact"/>
                      <w:ind w:left="0" w:right="0" w:firstLine="0"/>
                      <w:jc w:val="left"/>
                      <w:rPr>
                        <w:sz w:val="36"/>
                      </w:rPr>
                    </w:pPr>
                    <w:r>
                      <w:rPr>
                        <w:sz w:val="36"/>
                      </w:rPr>
                      <w:t>人力</w:t>
                    </w:r>
                  </w:p>
                </w:txbxContent>
              </v:textbox>
            </v:shape>
            <v:shape id="_x0000_s1078" type="#_x0000_t202" style="width:740;height:360;left:3154;position:absolute;top:1329" filled="f" stroked="f">
              <v:textbox inset="0,0,0,0">
                <w:txbxContent>
                  <w:p>
                    <w:pPr>
                      <w:spacing w:before="0" w:line="360" w:lineRule="exact"/>
                      <w:ind w:left="0" w:right="0" w:firstLine="0"/>
                      <w:jc w:val="left"/>
                      <w:rPr>
                        <w:sz w:val="36"/>
                      </w:rPr>
                    </w:pPr>
                    <w:r>
                      <w:rPr>
                        <w:sz w:val="36"/>
                      </w:rPr>
                      <w:t>坡度</w:t>
                    </w:r>
                  </w:p>
                </w:txbxContent>
              </v:textbox>
            </v:shape>
            <v:shape id="_x0000_s1079" type="#_x0000_t202" style="width:1100;height:360;left:5425;position:absolute;top:1329" filled="f" stroked="f">
              <v:textbox inset="0,0,0,0">
                <w:txbxContent>
                  <w:p>
                    <w:pPr>
                      <w:spacing w:before="0" w:line="360" w:lineRule="exact"/>
                      <w:ind w:left="0" w:right="0" w:firstLine="0"/>
                      <w:jc w:val="left"/>
                      <w:rPr>
                        <w:sz w:val="36"/>
                      </w:rPr>
                    </w:pPr>
                    <w:r>
                      <w:rPr>
                        <w:sz w:val="36"/>
                      </w:rPr>
                      <w:t>5%~10%</w:t>
                    </w:r>
                  </w:p>
                </w:txbxContent>
              </v:textbox>
            </v:shape>
            <v:shape id="_x0000_s1080" type="#_x0000_t202" style="width:740;height:360;left:7943;position:absolute;top:1329" filled="f" stroked="f">
              <v:textbox inset="0,0,0,0">
                <w:txbxContent>
                  <w:p>
                    <w:pPr>
                      <w:spacing w:before="0" w:line="360" w:lineRule="exact"/>
                      <w:ind w:left="0" w:right="0" w:firstLine="0"/>
                      <w:jc w:val="left"/>
                      <w:rPr>
                        <w:sz w:val="36"/>
                      </w:rPr>
                    </w:pPr>
                    <w:r>
                      <w:rPr>
                        <w:sz w:val="36"/>
                      </w:rPr>
                      <w:t>&lt;15%</w:t>
                    </w:r>
                  </w:p>
                </w:txbxContent>
              </v:textbox>
            </v:shape>
            <v:shape id="_x0000_s1081" type="#_x0000_t202" style="width:740;height:360;left:10129;position:absolute;top:1329" filled="f" stroked="f">
              <v:textbox inset="0,0,0,0">
                <w:txbxContent>
                  <w:p>
                    <w:pPr>
                      <w:spacing w:before="0" w:line="360" w:lineRule="exact"/>
                      <w:ind w:left="0" w:right="0" w:firstLine="0"/>
                      <w:jc w:val="left"/>
                      <w:rPr>
                        <w:sz w:val="36"/>
                      </w:rPr>
                    </w:pPr>
                    <w:r>
                      <w:rPr>
                        <w:sz w:val="36"/>
                      </w:rPr>
                      <w:t>&lt;20%</w:t>
                    </w:r>
                  </w:p>
                </w:txbxContent>
              </v:textbox>
            </v:shape>
            <v:shape id="_x0000_s1082" type="#_x0000_t202" style="width:740;height:360;left:12454;position:absolute;top:1329" filled="f" stroked="f">
              <v:textbox inset="0,0,0,0">
                <w:txbxContent>
                  <w:p>
                    <w:pPr>
                      <w:spacing w:before="0" w:line="360" w:lineRule="exact"/>
                      <w:ind w:left="0" w:right="0" w:firstLine="0"/>
                      <w:jc w:val="left"/>
                      <w:rPr>
                        <w:sz w:val="36"/>
                      </w:rPr>
                    </w:pPr>
                    <w:r>
                      <w:rPr>
                        <w:sz w:val="36"/>
                      </w:rPr>
                      <w:t>&lt;25%</w:t>
                    </w:r>
                  </w:p>
                </w:txbxContent>
              </v:textbox>
            </v:shape>
            <v:shape id="_x0000_s1083" type="#_x0000_t202" style="width:740;height:360;left:14770;position:absolute;top:1329" filled="f" stroked="f">
              <v:textbox inset="0,0,0,0">
                <w:txbxContent>
                  <w:p>
                    <w:pPr>
                      <w:spacing w:before="0" w:line="360" w:lineRule="exact"/>
                      <w:ind w:left="0" w:right="0" w:firstLine="0"/>
                      <w:jc w:val="left"/>
                      <w:rPr>
                        <w:sz w:val="36"/>
                      </w:rPr>
                    </w:pPr>
                    <w:r>
                      <w:rPr>
                        <w:sz w:val="36"/>
                      </w:rPr>
                      <w:t>&gt;15%</w:t>
                    </w:r>
                  </w:p>
                </w:txbxContent>
              </v:textbox>
            </v:shape>
            <v:shape id="_x0000_s1084" type="#_x0000_t202" style="width:740;height:360;left:3154;position:absolute;top:2164" filled="f" stroked="f">
              <v:textbox inset="0,0,0,0">
                <w:txbxContent>
                  <w:p>
                    <w:pPr>
                      <w:spacing w:before="0" w:line="360" w:lineRule="exact"/>
                      <w:ind w:left="0" w:right="0" w:firstLine="0"/>
                      <w:jc w:val="left"/>
                      <w:rPr>
                        <w:sz w:val="36"/>
                      </w:rPr>
                    </w:pPr>
                    <w:r>
                      <w:rPr>
                        <w:sz w:val="36"/>
                      </w:rPr>
                      <w:t>系数</w:t>
                    </w:r>
                  </w:p>
                </w:txbxContent>
              </v:textbox>
            </v:shape>
            <v:shape id="_x0000_s1085" type="#_x0000_t202" style="width:740;height:360;left:5605;position:absolute;top:2164" filled="f" stroked="f">
              <v:textbox inset="0,0,0,0">
                <w:txbxContent>
                  <w:p>
                    <w:pPr>
                      <w:spacing w:before="0" w:line="360" w:lineRule="exact"/>
                      <w:ind w:left="0" w:right="0" w:firstLine="0"/>
                      <w:jc w:val="left"/>
                      <w:rPr>
                        <w:sz w:val="36"/>
                      </w:rPr>
                    </w:pPr>
                    <w:r>
                      <w:rPr>
                        <w:sz w:val="36"/>
                      </w:rPr>
                      <w:t>1.75</w:t>
                    </w:r>
                  </w:p>
                </w:txbxContent>
              </v:textbox>
            </v:shape>
            <v:shape id="_x0000_s1086" type="#_x0000_t202" style="width:200;height:360;left:8213;position:absolute;top:2164" filled="f" stroked="f">
              <v:textbox inset="0,0,0,0">
                <w:txbxContent>
                  <w:p>
                    <w:pPr>
                      <w:spacing w:before="0" w:line="360" w:lineRule="exact"/>
                      <w:ind w:left="0" w:right="0" w:firstLine="0"/>
                      <w:jc w:val="left"/>
                      <w:rPr>
                        <w:sz w:val="36"/>
                      </w:rPr>
                    </w:pPr>
                    <w:r>
                      <w:rPr>
                        <w:sz w:val="36"/>
                      </w:rPr>
                      <w:t>2</w:t>
                    </w:r>
                  </w:p>
                </w:txbxContent>
              </v:textbox>
            </v:shape>
            <v:shape id="_x0000_s1087" type="#_x0000_t202" style="width:740;height:360;left:10129;position:absolute;top:2164" filled="f" stroked="f">
              <v:textbox inset="0,0,0,0">
                <w:txbxContent>
                  <w:p>
                    <w:pPr>
                      <w:spacing w:before="0" w:line="360" w:lineRule="exact"/>
                      <w:ind w:left="0" w:right="0" w:firstLine="0"/>
                      <w:jc w:val="left"/>
                      <w:rPr>
                        <w:sz w:val="36"/>
                      </w:rPr>
                    </w:pPr>
                    <w:r>
                      <w:rPr>
                        <w:sz w:val="36"/>
                      </w:rPr>
                      <w:t>2.25</w:t>
                    </w:r>
                  </w:p>
                </w:txbxContent>
              </v:textbox>
            </v:shape>
            <v:shape id="_x0000_s1088" type="#_x0000_t202" style="width:560;height:360;left:12544;position:absolute;top:2164" filled="f" stroked="f">
              <v:textbox inset="0,0,0,0">
                <w:txbxContent>
                  <w:p>
                    <w:pPr>
                      <w:spacing w:before="0" w:line="360" w:lineRule="exact"/>
                      <w:ind w:left="0" w:right="0" w:firstLine="0"/>
                      <w:jc w:val="left"/>
                      <w:rPr>
                        <w:sz w:val="36"/>
                      </w:rPr>
                    </w:pPr>
                    <w:r>
                      <w:rPr>
                        <w:sz w:val="36"/>
                      </w:rPr>
                      <w:t>2.5</w:t>
                    </w:r>
                  </w:p>
                </w:txbxContent>
              </v:textbox>
            </v:shape>
            <v:shape id="_x0000_s1089" type="#_x0000_t202" style="width:200;height:360;left:15040;position:absolute;top:2164" filled="f" stroked="f">
              <v:textbox inset="0,0,0,0">
                <w:txbxContent>
                  <w:p>
                    <w:pPr>
                      <w:spacing w:before="0" w:line="360" w:lineRule="exact"/>
                      <w:ind w:left="0" w:right="0" w:firstLine="0"/>
                      <w:jc w:val="left"/>
                      <w:rPr>
                        <w:sz w:val="36"/>
                      </w:rPr>
                    </w:pPr>
                    <w:r>
                      <w:rPr>
                        <w:sz w:val="36"/>
                      </w:rPr>
                      <w:t>5</w:t>
                    </w:r>
                  </w:p>
                </w:txbxContent>
              </v:textbox>
            </v:shape>
            <w10:wrap type="topAndBottom"/>
          </v:group>
        </w:pict>
      </w:r>
    </w:p>
    <w:p>
      <w:pPr>
        <w:pStyle w:val="ListParagraph"/>
        <w:numPr>
          <w:ilvl w:val="0"/>
          <w:numId w:val="12"/>
        </w:numPr>
        <w:tabs>
          <w:tab w:val="left" w:pos="1409"/>
        </w:tabs>
        <w:spacing w:before="0" w:after="0" w:line="422" w:lineRule="exact"/>
        <w:ind w:left="1408" w:right="0" w:hanging="721"/>
        <w:jc w:val="left"/>
        <w:rPr>
          <w:sz w:val="36"/>
        </w:rPr>
      </w:pPr>
      <w:r>
        <w:rPr>
          <w:spacing w:val="-3"/>
          <w:sz w:val="36"/>
        </w:rPr>
        <w:t xml:space="preserve">人工挖沟槽土方，挖深超过定额规定时，超过部分按垂直深度每米折合水平 </w:t>
      </w:r>
      <w:r>
        <w:rPr>
          <w:sz w:val="36"/>
        </w:rPr>
        <w:t>7m</w:t>
      </w:r>
    </w:p>
    <w:p>
      <w:pPr>
        <w:pStyle w:val="BodyText"/>
        <w:spacing w:before="237"/>
        <w:ind w:left="148"/>
      </w:pPr>
      <w:r>
        <w:t>计算运距。</w:t>
      </w:r>
    </w:p>
    <w:p>
      <w:pPr>
        <w:pStyle w:val="BodyText"/>
        <w:spacing w:before="241"/>
        <w:ind w:left="688"/>
      </w:pPr>
      <w:r>
        <w:t>11、干湿土的划分</w:t>
      </w:r>
    </w:p>
    <w:p>
      <w:pPr>
        <w:pStyle w:val="BodyText"/>
        <w:spacing w:before="240" w:line="364" w:lineRule="auto"/>
        <w:ind w:left="148" w:right="1110" w:firstLine="540"/>
        <w:jc w:val="both"/>
      </w:pPr>
      <w:r>
        <w:t>干、湿土划分以地质勘探报告的地下水位为标准，常水位上为干土，常水位以下为</w:t>
      </w:r>
      <w:r>
        <w:rPr>
          <w:spacing w:val="-57"/>
        </w:rPr>
        <w:t>湿土，</w:t>
      </w:r>
      <w:r>
        <w:t>（</w:t>
      </w:r>
      <w:r>
        <w:rPr>
          <w:spacing w:val="2"/>
        </w:rPr>
        <w:t xml:space="preserve">另外，含水量大于 </w:t>
      </w:r>
      <w:r>
        <w:t>25%的也当作湿土计算）</w:t>
      </w:r>
      <w:r>
        <w:rPr>
          <w:spacing w:val="-2"/>
        </w:rPr>
        <w:t>采用降水后的挖土，应按干土计算</w:t>
      </w:r>
      <w:r>
        <w:t xml:space="preserve"> P7</w:t>
      </w:r>
      <w:r>
        <w:rPr>
          <w:spacing w:val="-30"/>
        </w:rPr>
        <w:t xml:space="preserve"> 一。</w:t>
      </w:r>
    </w:p>
    <w:p>
      <w:pPr>
        <w:pStyle w:val="BodyText"/>
        <w:spacing w:line="364" w:lineRule="auto"/>
        <w:ind w:left="688" w:right="5829" w:firstLine="180"/>
        <w:jc w:val="both"/>
      </w:pPr>
      <w:r>
        <w:rPr>
          <w:spacing w:val="-5"/>
        </w:rPr>
        <w:t xml:space="preserve">湿土工程量按地下水位以下部分开挖数量计算 </w:t>
      </w:r>
      <w:r>
        <w:t>P7</w:t>
      </w:r>
      <w:r>
        <w:rPr>
          <w:spacing w:val="-55"/>
        </w:rPr>
        <w:t xml:space="preserve"> 九</w:t>
      </w:r>
      <w:r>
        <w:t>12、其他需要说明的部分</w:t>
      </w:r>
    </w:p>
    <w:p>
      <w:pPr>
        <w:pStyle w:val="ListParagraph"/>
        <w:numPr>
          <w:ilvl w:val="0"/>
          <w:numId w:val="6"/>
        </w:numPr>
        <w:tabs>
          <w:tab w:val="left" w:pos="1590"/>
        </w:tabs>
        <w:spacing w:before="0" w:after="0" w:line="364" w:lineRule="auto"/>
        <w:ind w:left="148" w:right="1040" w:firstLine="540"/>
        <w:jc w:val="left"/>
        <w:rPr>
          <w:sz w:val="36"/>
        </w:rPr>
      </w:pPr>
      <w:r>
        <w:rPr>
          <w:spacing w:val="-2"/>
          <w:sz w:val="36"/>
        </w:rPr>
        <w:t xml:space="preserve">石方爆破按炮眼法松动爆破，采用的是电雷管，若采用火雷管，可按 </w:t>
      </w:r>
      <w:r>
        <w:rPr>
          <w:sz w:val="36"/>
        </w:rPr>
        <w:t>P7</w:t>
      </w:r>
      <w:r>
        <w:rPr>
          <w:spacing w:val="-18"/>
          <w:sz w:val="36"/>
        </w:rPr>
        <w:t xml:space="preserve"> 五换</w:t>
      </w:r>
      <w:r>
        <w:rPr>
          <w:sz w:val="36"/>
        </w:rPr>
        <w:t>算。</w:t>
      </w:r>
    </w:p>
    <w:p>
      <w:pPr>
        <w:pStyle w:val="ListParagraph"/>
        <w:numPr>
          <w:ilvl w:val="0"/>
          <w:numId w:val="6"/>
        </w:numPr>
        <w:tabs>
          <w:tab w:val="left" w:pos="1590"/>
        </w:tabs>
        <w:spacing w:before="0" w:after="0" w:line="364" w:lineRule="auto"/>
        <w:ind w:left="148" w:right="969" w:firstLine="540"/>
        <w:jc w:val="left"/>
        <w:rPr>
          <w:sz w:val="36"/>
        </w:rPr>
      </w:pPr>
      <w:r>
        <w:rPr>
          <w:spacing w:val="-1"/>
          <w:sz w:val="36"/>
        </w:rPr>
        <w:t>定额中不包括障碍物的清理工作，发生时另行计算。弃方及建筑垃圾的场地占</w:t>
      </w:r>
      <w:r>
        <w:rPr>
          <w:sz w:val="36"/>
        </w:rPr>
        <w:t>用费按当地规定执行</w:t>
      </w:r>
    </w:p>
    <w:p>
      <w:pPr>
        <w:spacing w:after="0" w:line="364" w:lineRule="auto"/>
        <w:jc w:val="left"/>
        <w:rPr>
          <w:sz w:val="36"/>
        </w:rPr>
        <w:sectPr>
          <w:footerReference w:type="default" r:id="rId38"/>
          <w:pgSz w:w="17860" w:h="25260"/>
          <w:pgMar w:top="960" w:right="1080" w:bottom="2040" w:left="1980" w:header="0" w:footer="1820"/>
          <w:pgNumType w:start="13"/>
          <w:cols w:space="708"/>
        </w:sectPr>
      </w:pPr>
    </w:p>
    <w:p>
      <w:pPr>
        <w:pStyle w:val="ListParagraph"/>
        <w:numPr>
          <w:ilvl w:val="0"/>
          <w:numId w:val="6"/>
        </w:numPr>
        <w:tabs>
          <w:tab w:val="left" w:pos="1590"/>
        </w:tabs>
        <w:spacing w:before="21" w:after="0" w:line="364" w:lineRule="auto"/>
        <w:ind w:left="148" w:right="969" w:firstLine="540"/>
        <w:jc w:val="left"/>
        <w:rPr>
          <w:sz w:val="36"/>
        </w:rPr>
      </w:pPr>
      <w:r>
        <w:rPr>
          <w:spacing w:val="-1"/>
          <w:sz w:val="36"/>
        </w:rPr>
        <w:t>机械挖土方包括挖沟槽土方。需要人工辅助开挖的切边、修整槽壁、槽底用工</w:t>
      </w:r>
      <w:r>
        <w:rPr>
          <w:sz w:val="36"/>
        </w:rPr>
        <w:t>已综合考虑。</w:t>
      </w:r>
    </w:p>
    <w:p>
      <w:pPr>
        <w:pStyle w:val="ListParagraph"/>
        <w:numPr>
          <w:ilvl w:val="0"/>
          <w:numId w:val="6"/>
        </w:numPr>
        <w:tabs>
          <w:tab w:val="left" w:pos="1590"/>
        </w:tabs>
        <w:spacing w:before="0" w:after="0" w:line="460" w:lineRule="exact"/>
        <w:ind w:left="1589" w:right="0" w:hanging="902"/>
        <w:jc w:val="left"/>
        <w:rPr>
          <w:sz w:val="36"/>
        </w:rPr>
      </w:pPr>
      <w:r>
        <w:rPr>
          <w:sz w:val="36"/>
        </w:rPr>
        <w:t>挖土采用明排水法时，可增计施工排水费。</w:t>
      </w:r>
    </w:p>
    <w:p>
      <w:pPr>
        <w:pStyle w:val="ListParagraph"/>
        <w:numPr>
          <w:ilvl w:val="0"/>
          <w:numId w:val="6"/>
        </w:numPr>
        <w:tabs>
          <w:tab w:val="left" w:pos="1590"/>
        </w:tabs>
        <w:spacing w:before="237" w:after="0" w:line="240" w:lineRule="auto"/>
        <w:ind w:left="1589" w:right="0" w:hanging="902"/>
        <w:jc w:val="left"/>
        <w:rPr>
          <w:sz w:val="36"/>
        </w:rPr>
      </w:pPr>
      <w:r>
        <w:rPr>
          <w:sz w:val="36"/>
        </w:rPr>
        <w:t>定额中已综合考虑了槽坑的单双面抛土。</w:t>
      </w:r>
    </w:p>
    <w:p>
      <w:pPr>
        <w:pStyle w:val="BodyText"/>
        <w:spacing w:before="240"/>
        <w:ind w:left="688"/>
      </w:pPr>
      <w:r>
        <w:t>12、爆破分类</w:t>
      </w:r>
    </w:p>
    <w:p>
      <w:pPr>
        <w:pStyle w:val="ListParagraph"/>
        <w:numPr>
          <w:ilvl w:val="0"/>
          <w:numId w:val="8"/>
        </w:numPr>
        <w:tabs>
          <w:tab w:val="left" w:pos="1052"/>
        </w:tabs>
        <w:spacing w:before="238" w:after="0" w:line="364" w:lineRule="auto"/>
        <w:ind w:left="148" w:right="969" w:firstLine="540"/>
        <w:jc w:val="left"/>
        <w:rPr>
          <w:sz w:val="36"/>
        </w:rPr>
      </w:pPr>
      <w:r>
        <w:rPr>
          <w:sz w:val="36"/>
        </w:rPr>
        <w:t>一般石方爆破采用松动爆破，而很少采用抛掷爆破及定向爆破。松动爆破作业程</w:t>
      </w:r>
      <w:r>
        <w:rPr>
          <w:spacing w:val="-1"/>
          <w:sz w:val="36"/>
        </w:rPr>
        <w:t>序是先在被爆破的岩石上钻凿一定深度和直径的炮孔，然后在孔内装药及雷管。一般炮</w:t>
      </w:r>
      <w:r>
        <w:rPr>
          <w:spacing w:val="-19"/>
          <w:sz w:val="36"/>
        </w:rPr>
        <w:t xml:space="preserve">孔直径在 </w:t>
      </w:r>
      <w:r>
        <w:rPr>
          <w:sz w:val="36"/>
        </w:rPr>
        <w:t>50mm，深度&lt;4.5m</w:t>
      </w:r>
      <w:r>
        <w:rPr>
          <w:spacing w:val="-17"/>
          <w:sz w:val="36"/>
        </w:rPr>
        <w:t xml:space="preserve"> 者称为浅孔爆破，孔径 </w:t>
      </w:r>
      <w:r>
        <w:rPr>
          <w:sz w:val="36"/>
        </w:rPr>
        <w:t>75mm</w:t>
      </w:r>
      <w:r>
        <w:rPr>
          <w:spacing w:val="-16"/>
          <w:sz w:val="36"/>
        </w:rPr>
        <w:t xml:space="preserve"> 以上，深度</w:t>
      </w:r>
      <w:r>
        <w:rPr>
          <w:sz w:val="36"/>
        </w:rPr>
        <w:t>&gt;5m</w:t>
      </w:r>
      <w:r>
        <w:rPr>
          <w:spacing w:val="-14"/>
          <w:sz w:val="36"/>
        </w:rPr>
        <w:t xml:space="preserve"> 为深孔爆破。</w:t>
      </w:r>
    </w:p>
    <w:p>
      <w:pPr>
        <w:pStyle w:val="BodyText"/>
        <w:ind w:left="1228"/>
      </w:pPr>
      <w:r>
        <w:t>炮孔分为人工打眼及机械打眼；按雷管类型又分为火雷管起爆及电雷管起爆。</w:t>
      </w:r>
    </w:p>
    <w:p>
      <w:pPr>
        <w:pStyle w:val="BodyText"/>
        <w:spacing w:before="240"/>
        <w:ind w:left="688"/>
      </w:pPr>
      <w:r>
        <w:t>13、一组系数</w:t>
      </w:r>
    </w:p>
    <w:p>
      <w:pPr>
        <w:pStyle w:val="ListParagraph"/>
        <w:numPr>
          <w:ilvl w:val="0"/>
          <w:numId w:val="5"/>
        </w:numPr>
        <w:tabs>
          <w:tab w:val="left" w:pos="1409"/>
        </w:tabs>
        <w:spacing w:before="237" w:after="0" w:line="240" w:lineRule="auto"/>
        <w:ind w:left="1408" w:right="0" w:hanging="721"/>
        <w:jc w:val="left"/>
        <w:rPr>
          <w:sz w:val="36"/>
        </w:rPr>
      </w:pPr>
      <w:r>
        <w:rPr>
          <w:sz w:val="36"/>
        </w:rPr>
        <w:t>挖湿土时（地下常水位以下土方</w:t>
      </w:r>
      <w:r>
        <w:rPr>
          <w:spacing w:val="-180"/>
          <w:sz w:val="36"/>
        </w:rPr>
        <w:t>）</w:t>
      </w:r>
      <w:r>
        <w:rPr>
          <w:spacing w:val="-9"/>
          <w:sz w:val="36"/>
        </w:rPr>
        <w:t xml:space="preserve">，人工及机械乘以系数 </w:t>
      </w:r>
      <w:r>
        <w:rPr>
          <w:sz w:val="36"/>
        </w:rPr>
        <w:t>1.18。</w:t>
      </w:r>
    </w:p>
    <w:p>
      <w:pPr>
        <w:pStyle w:val="ListParagraph"/>
        <w:numPr>
          <w:ilvl w:val="0"/>
          <w:numId w:val="5"/>
        </w:numPr>
        <w:tabs>
          <w:tab w:val="left" w:pos="1409"/>
        </w:tabs>
        <w:spacing w:before="241" w:after="0" w:line="362" w:lineRule="auto"/>
        <w:ind w:left="148" w:right="1043" w:firstLine="540"/>
        <w:jc w:val="left"/>
        <w:rPr>
          <w:sz w:val="36"/>
        </w:rPr>
      </w:pPr>
      <w:r>
        <w:rPr>
          <w:spacing w:val="-4"/>
          <w:sz w:val="36"/>
        </w:rPr>
        <w:t xml:space="preserve">挖掘机在垫板上作业，人工和机械乘以系数 </w:t>
      </w:r>
      <w:r>
        <w:rPr>
          <w:sz w:val="36"/>
        </w:rPr>
        <w:t>1.25，</w:t>
      </w:r>
      <w:r>
        <w:rPr>
          <w:spacing w:val="-2"/>
          <w:sz w:val="36"/>
        </w:rPr>
        <w:t>搭拆垫板的人工、材料和辅</w:t>
      </w:r>
      <w:r>
        <w:rPr>
          <w:spacing w:val="-6"/>
          <w:sz w:val="36"/>
        </w:rPr>
        <w:t xml:space="preserve">机摊消费另行计算。木质垫板按 </w:t>
      </w:r>
      <w:r>
        <w:rPr>
          <w:sz w:val="36"/>
        </w:rPr>
        <w:t>30％</w:t>
      </w:r>
      <w:r>
        <w:rPr>
          <w:spacing w:val="-12"/>
          <w:sz w:val="36"/>
        </w:rPr>
        <w:t xml:space="preserve">摊销，钢垫板按 </w:t>
      </w:r>
      <w:r>
        <w:rPr>
          <w:sz w:val="36"/>
        </w:rPr>
        <w:t>15%摊销。</w:t>
      </w:r>
    </w:p>
    <w:p>
      <w:pPr>
        <w:pStyle w:val="ListParagraph"/>
        <w:numPr>
          <w:ilvl w:val="0"/>
          <w:numId w:val="5"/>
        </w:numPr>
        <w:tabs>
          <w:tab w:val="left" w:pos="1409"/>
        </w:tabs>
        <w:spacing w:before="8" w:after="0" w:line="362" w:lineRule="auto"/>
        <w:ind w:left="688" w:right="4839" w:firstLine="0"/>
        <w:jc w:val="left"/>
        <w:rPr>
          <w:sz w:val="36"/>
        </w:rPr>
      </w:pPr>
      <w:r>
        <w:rPr>
          <w:spacing w:val="-5"/>
          <w:sz w:val="36"/>
        </w:rPr>
        <w:t xml:space="preserve">推土机推堆积土时，推土机按一、二类土乘系数 </w:t>
      </w:r>
      <w:r>
        <w:rPr>
          <w:sz w:val="36"/>
        </w:rPr>
        <w:t>0.8</w:t>
      </w:r>
      <w:r>
        <w:rPr>
          <w:spacing w:val="-18"/>
          <w:sz w:val="36"/>
        </w:rPr>
        <w:t>。</w:t>
      </w:r>
      <w:r>
        <w:rPr>
          <w:sz w:val="36"/>
        </w:rPr>
        <w:t>四、常用土石方机械及选用</w:t>
      </w:r>
    </w:p>
    <w:p>
      <w:pPr>
        <w:pStyle w:val="BodyText"/>
        <w:spacing w:before="7"/>
        <w:ind w:left="688"/>
      </w:pPr>
      <w:r>
        <w:t>1、挖掘机</w:t>
      </w:r>
    </w:p>
    <w:p>
      <w:pPr>
        <w:pStyle w:val="ListParagraph"/>
        <w:numPr>
          <w:ilvl w:val="0"/>
          <w:numId w:val="4"/>
        </w:numPr>
        <w:tabs>
          <w:tab w:val="left" w:pos="1590"/>
        </w:tabs>
        <w:spacing w:before="238" w:after="0" w:line="240" w:lineRule="auto"/>
        <w:ind w:left="1589" w:right="0" w:hanging="902"/>
        <w:jc w:val="left"/>
        <w:rPr>
          <w:sz w:val="36"/>
        </w:rPr>
      </w:pPr>
      <w:r>
        <w:rPr>
          <w:sz w:val="36"/>
        </w:rPr>
        <w:t>正铲挖掘机</w:t>
      </w:r>
    </w:p>
    <w:p>
      <w:pPr>
        <w:pStyle w:val="BodyText"/>
        <w:spacing w:before="240" w:line="362" w:lineRule="auto"/>
        <w:ind w:left="148" w:right="966" w:firstLine="540"/>
      </w:pPr>
      <w:r>
        <w:t>特点：前进向上，强制切土，挖掘力大，生产率高，能开挖停机面以上的 I～IV 类土；坑内作业。</w:t>
      </w:r>
    </w:p>
    <w:p>
      <w:pPr>
        <w:pStyle w:val="ListParagraph"/>
        <w:numPr>
          <w:ilvl w:val="0"/>
          <w:numId w:val="4"/>
        </w:numPr>
        <w:tabs>
          <w:tab w:val="left" w:pos="1590"/>
        </w:tabs>
        <w:spacing w:before="8" w:after="0" w:line="240" w:lineRule="auto"/>
        <w:ind w:left="1589" w:right="0" w:hanging="902"/>
        <w:jc w:val="left"/>
        <w:rPr>
          <w:sz w:val="36"/>
        </w:rPr>
      </w:pPr>
      <w:r>
        <w:rPr>
          <w:sz w:val="36"/>
        </w:rPr>
        <w:t>反铲挖掘机</w:t>
      </w:r>
    </w:p>
    <w:p>
      <w:pPr>
        <w:pStyle w:val="BodyText"/>
        <w:spacing w:before="237" w:line="364" w:lineRule="auto"/>
        <w:ind w:left="148" w:right="966" w:firstLine="540"/>
      </w:pPr>
      <w:r>
        <w:t>特点：后退向下，强制切土，挖掘机较正铲小，能开挖停机面以下的 I～IV 类土； 深度在 4m 以内的坑槽。可与自卸车配合装土，也可甩土。</w:t>
      </w:r>
    </w:p>
    <w:p>
      <w:pPr>
        <w:pStyle w:val="ListParagraph"/>
        <w:numPr>
          <w:ilvl w:val="0"/>
          <w:numId w:val="4"/>
        </w:numPr>
        <w:tabs>
          <w:tab w:val="left" w:pos="1590"/>
        </w:tabs>
        <w:spacing w:before="2" w:after="0" w:line="240" w:lineRule="auto"/>
        <w:ind w:left="1589" w:right="0" w:hanging="902"/>
        <w:jc w:val="left"/>
        <w:rPr>
          <w:sz w:val="36"/>
        </w:rPr>
      </w:pPr>
      <w:r>
        <w:rPr>
          <w:sz w:val="36"/>
        </w:rPr>
        <w:t>抓铲挖掘机</w:t>
      </w:r>
    </w:p>
    <w:p>
      <w:pPr>
        <w:pStyle w:val="BodyText"/>
        <w:spacing w:before="237" w:line="364" w:lineRule="auto"/>
        <w:ind w:left="148" w:right="1042" w:firstLine="540"/>
        <w:jc w:val="both"/>
      </w:pPr>
      <w:r>
        <w:t>特点：后退向下，自重切土，土斗用钢丝绳悬挂在挖掘机的长臂上，挖土时土斗在</w:t>
      </w:r>
      <w:r>
        <w:rPr>
          <w:spacing w:val="1"/>
        </w:rPr>
        <w:t>重力作用下落到地面切入土中，挖土半径及深度均较大，可开挖停机面以下的</w:t>
      </w:r>
      <w:r>
        <w:t>I</w:t>
      </w:r>
      <w:r>
        <w:rPr>
          <w:spacing w:val="-26"/>
        </w:rPr>
        <w:t>、</w:t>
      </w:r>
      <w:r>
        <w:t>II</w:t>
      </w:r>
      <w:r>
        <w:rPr>
          <w:spacing w:val="-53"/>
        </w:rPr>
        <w:t xml:space="preserve"> 类</w:t>
      </w:r>
      <w:r>
        <w:t>土，但不如反铲挖掘机灵活。适用于大型基坑开挖及水下取土。</w:t>
      </w:r>
    </w:p>
    <w:p>
      <w:pPr>
        <w:pStyle w:val="ListParagraph"/>
        <w:numPr>
          <w:ilvl w:val="0"/>
          <w:numId w:val="4"/>
        </w:numPr>
        <w:tabs>
          <w:tab w:val="left" w:pos="1590"/>
        </w:tabs>
        <w:spacing w:before="0" w:after="0" w:line="240" w:lineRule="auto"/>
        <w:ind w:left="1589" w:right="0" w:hanging="902"/>
        <w:jc w:val="left"/>
        <w:rPr>
          <w:sz w:val="36"/>
        </w:rPr>
      </w:pPr>
      <w:r>
        <w:rPr>
          <w:sz w:val="36"/>
        </w:rPr>
        <w:t>拉铲挖掘机</w:t>
      </w:r>
    </w:p>
    <w:p>
      <w:pPr>
        <w:pStyle w:val="BodyText"/>
        <w:spacing w:before="237" w:line="364" w:lineRule="auto"/>
        <w:ind w:left="148" w:right="864" w:firstLine="540"/>
      </w:pPr>
      <w:r>
        <w:t>特点：又成抓斗挖掘机，是在挖掘机臂端用钢丝绳吊一抓斗，特点是直上直下、自</w:t>
      </w:r>
      <w:r>
        <w:rPr>
          <w:spacing w:val="-18"/>
        </w:rPr>
        <w:t xml:space="preserve">重切土，挖掘机较小，只能开挖 </w:t>
      </w:r>
      <w:r>
        <w:t>I～II</w:t>
      </w:r>
      <w:r>
        <w:rPr>
          <w:spacing w:val="-17"/>
        </w:rPr>
        <w:t xml:space="preserve"> 类土；用于开挖窄而深的独立基坑或基槽、沉井， </w:t>
      </w:r>
      <w:r>
        <w:t>特别适用于水下挖土，是地下连续墙施工的专用机械</w:t>
      </w:r>
    </w:p>
    <w:p>
      <w:pPr>
        <w:spacing w:after="0" w:line="364" w:lineRule="auto"/>
        <w:sectPr>
          <w:footerReference w:type="default" r:id="rId39"/>
          <w:pgSz w:w="17860" w:h="25260"/>
          <w:pgMar w:top="1780" w:right="1080" w:bottom="2040" w:left="1980" w:header="0" w:footer="1820"/>
          <w:pgNumType w:start="14"/>
          <w:cols w:space="708"/>
        </w:sectPr>
      </w:pPr>
    </w:p>
    <w:p>
      <w:pPr>
        <w:tabs>
          <w:tab w:val="left" w:pos="12156"/>
        </w:tabs>
        <w:spacing w:before="48"/>
        <w:ind w:left="400" w:right="0" w:firstLine="0"/>
        <w:jc w:val="left"/>
        <w:rPr>
          <w:rFonts w:ascii="Times New Roman" w:eastAsia="Times New Roman" w:hAnsi="Times New Roman"/>
          <w:i/>
          <w:sz w:val="27"/>
        </w:rPr>
      </w:pPr>
      <w:r>
        <w:pict>
          <v:line id="_x0000_s1090" style="mso-position-horizontal-relative:page;position:absolute;z-index:251683840"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spacing w:before="8"/>
        <w:rPr>
          <w:rFonts w:ascii="Times New Roman"/>
          <w:i/>
          <w:sz w:val="37"/>
        </w:rPr>
      </w:pPr>
    </w:p>
    <w:p>
      <w:pPr>
        <w:pStyle w:val="BodyText"/>
        <w:spacing w:line="364" w:lineRule="auto"/>
        <w:ind w:left="148" w:right="969" w:firstLine="540"/>
      </w:pPr>
      <w:r>
        <w:t>2、推土机：能够单独进行挖土、运土和卸土工作，适用于场地清理、路槽整形、路基填土平整、开挖深度不大的基坑及回填作业。</w:t>
      </w:r>
    </w:p>
    <w:p>
      <w:pPr>
        <w:pStyle w:val="BodyText"/>
        <w:spacing w:line="364" w:lineRule="auto"/>
        <w:ind w:left="148" w:right="969" w:firstLine="540"/>
        <w:jc w:val="both"/>
      </w:pPr>
      <w:r>
        <w:t>3、液压锤：一种新型的岩石破碎机械，它实际上仅是一个机头，装在卸下铲斗的挖掘机上，与挖掘机油路连通，通过气泵利用压缩氮气瞬间产生极强的爆发力，用于岩石数量小，或不允许爆破的场所</w:t>
      </w:r>
    </w:p>
    <w:p>
      <w:pPr>
        <w:pStyle w:val="BodyText"/>
        <w:spacing w:line="364" w:lineRule="auto"/>
        <w:ind w:left="148" w:right="969" w:firstLine="540"/>
      </w:pPr>
      <w:r>
        <w:t>3、铲运机：能够单独进行铲土、运土、卸土、填筑、整平的土方机械，可分牵引式和自行式两种。</w:t>
      </w:r>
    </w:p>
    <w:p>
      <w:pPr>
        <w:pStyle w:val="BodyText"/>
        <w:spacing w:line="364" w:lineRule="auto"/>
        <w:ind w:left="148" w:right="1005" w:firstLine="540"/>
        <w:jc w:val="both"/>
      </w:pPr>
      <w:r>
        <w:rPr>
          <w:spacing w:val="2"/>
        </w:rPr>
        <w:t>该机械对道路的要求较低，操作灵活，可在</w:t>
      </w:r>
      <w:r>
        <w:t>I～III</w:t>
      </w:r>
      <w:r>
        <w:rPr>
          <w:spacing w:val="-11"/>
        </w:rPr>
        <w:t xml:space="preserve"> 类土中直接挖、运。常用于坡度</w:t>
      </w:r>
      <w:r>
        <w:rPr>
          <w:spacing w:val="-18"/>
        </w:rPr>
        <w:t xml:space="preserve">在 </w:t>
      </w:r>
      <w:r>
        <w:t>20</w:t>
      </w:r>
      <w:r>
        <w:rPr>
          <w:spacing w:val="-6"/>
        </w:rPr>
        <w:t xml:space="preserve"> 度以内的大面积场地整平，公路路基的调运土方，大型基坑、沟槽的开挖，坚硬土开挖时需要推土机助推。</w:t>
      </w:r>
    </w:p>
    <w:p>
      <w:pPr>
        <w:pStyle w:val="BodyText"/>
        <w:spacing w:line="364" w:lineRule="auto"/>
        <w:ind w:left="148" w:right="975" w:firstLine="540"/>
      </w:pPr>
      <w:r>
        <w:t>4</w:t>
      </w:r>
      <w:r>
        <w:rPr>
          <w:spacing w:val="-1"/>
        </w:rPr>
        <w:t>、装载机：短途倒运，一般不超过</w:t>
      </w:r>
      <w:r>
        <w:t>150m，</w:t>
      </w:r>
      <w:r>
        <w:rPr>
          <w:spacing w:val="-1"/>
        </w:rPr>
        <w:t>长距离倒运时可配合自卸车。其中的轮胎</w:t>
      </w:r>
      <w:r>
        <w:t>式装载机是市政工程中最为常用的机械之一（履带式主要用于矿山等</w:t>
      </w:r>
      <w:r>
        <w:rPr>
          <w:spacing w:val="-180"/>
        </w:rPr>
        <w:t>）</w:t>
      </w:r>
      <w:r>
        <w:t>。</w:t>
      </w:r>
    </w:p>
    <w:p>
      <w:pPr>
        <w:pStyle w:val="BodyText"/>
        <w:spacing w:line="364" w:lineRule="auto"/>
        <w:ind w:left="688" w:right="7809"/>
      </w:pPr>
      <w:r>
        <w:t>5、自卸汽车：远距离运输材料的机械。五、定额祥解</w:t>
      </w:r>
    </w:p>
    <w:p>
      <w:pPr>
        <w:pStyle w:val="BodyText"/>
        <w:spacing w:line="459" w:lineRule="exact"/>
        <w:ind w:left="688"/>
      </w:pPr>
      <w:r>
        <w:t>（一）人工土方</w:t>
      </w:r>
    </w:p>
    <w:p>
      <w:pPr>
        <w:pStyle w:val="BodyText"/>
        <w:spacing w:before="232"/>
        <w:ind w:left="688"/>
      </w:pPr>
      <w:r>
        <w:t>1、人工挖土方 1-1~1-3</w:t>
      </w:r>
    </w:p>
    <w:p>
      <w:pPr>
        <w:pStyle w:val="BodyText"/>
        <w:spacing w:before="237"/>
        <w:ind w:left="688"/>
      </w:pPr>
      <w:r>
        <w:t>2、人工挖路槽 1-4~1-7 深度</w:t>
      </w:r>
    </w:p>
    <w:p>
      <w:pPr>
        <w:pStyle w:val="BodyText"/>
        <w:spacing w:before="241"/>
        <w:ind w:left="688"/>
      </w:pPr>
      <w:r>
        <w:t>3、人工挖沟槽、基坑 1-8~1-17</w:t>
      </w:r>
    </w:p>
    <w:p>
      <w:pPr>
        <w:pStyle w:val="BodyText"/>
        <w:spacing w:before="237"/>
        <w:ind w:left="688"/>
      </w:pPr>
      <w:r>
        <w:t>4、土堤、草皮 1-18~1-25 道路</w:t>
      </w:r>
    </w:p>
    <w:p>
      <w:pPr>
        <w:pStyle w:val="BodyText"/>
        <w:spacing w:before="241"/>
        <w:ind w:left="688"/>
      </w:pPr>
      <w:r>
        <w:t>5</w:t>
      </w:r>
      <w:r>
        <w:rPr>
          <w:spacing w:val="-16"/>
        </w:rPr>
        <w:t xml:space="preserve">、装运土方 </w:t>
      </w:r>
      <w:r>
        <w:t>1-26~1-34</w:t>
      </w:r>
    </w:p>
    <w:p>
      <w:pPr>
        <w:pStyle w:val="BodyText"/>
        <w:spacing w:before="237"/>
        <w:ind w:left="688"/>
      </w:pPr>
      <w:r>
        <w:t>6</w:t>
      </w:r>
      <w:r>
        <w:rPr>
          <w:spacing w:val="-16"/>
        </w:rPr>
        <w:t xml:space="preserve">、挖运流沙 </w:t>
      </w:r>
      <w:r>
        <w:t>1-35~1-37</w:t>
      </w:r>
    </w:p>
    <w:p>
      <w:pPr>
        <w:pStyle w:val="BodyText"/>
        <w:spacing w:before="241"/>
        <w:ind w:left="688"/>
      </w:pPr>
      <w:r>
        <w:t>7</w:t>
      </w:r>
      <w:r>
        <w:rPr>
          <w:spacing w:val="-16"/>
        </w:rPr>
        <w:t xml:space="preserve">、开挖冻土 </w:t>
      </w:r>
      <w:r>
        <w:t>1-38~1-39</w:t>
      </w:r>
    </w:p>
    <w:p>
      <w:pPr>
        <w:pStyle w:val="BodyText"/>
        <w:spacing w:before="241"/>
        <w:ind w:left="688"/>
      </w:pPr>
      <w:r>
        <w:t>8、平整、填土夯实、原土夯实 1-40~1-48</w:t>
      </w:r>
    </w:p>
    <w:p>
      <w:pPr>
        <w:pStyle w:val="BodyText"/>
        <w:spacing w:before="237"/>
        <w:ind w:left="688"/>
      </w:pPr>
      <w:r>
        <w:t>（二）机械土方</w:t>
      </w:r>
    </w:p>
    <w:p>
      <w:pPr>
        <w:pStyle w:val="BodyText"/>
        <w:spacing w:before="242"/>
        <w:ind w:left="688"/>
      </w:pPr>
      <w:r>
        <w:t>1</w:t>
      </w:r>
      <w:r>
        <w:rPr>
          <w:spacing w:val="-13"/>
        </w:rPr>
        <w:t xml:space="preserve">、推土机推土 </w:t>
      </w:r>
      <w:r>
        <w:t>1-49~1-72</w:t>
      </w:r>
    </w:p>
    <w:p>
      <w:pPr>
        <w:pStyle w:val="BodyText"/>
        <w:spacing w:before="237"/>
        <w:ind w:left="688"/>
      </w:pPr>
      <w:r>
        <w:t>2</w:t>
      </w:r>
      <w:r>
        <w:rPr>
          <w:spacing w:val="-13"/>
        </w:rPr>
        <w:t xml:space="preserve">、铲运机铲运 </w:t>
      </w:r>
      <w:r>
        <w:t>1-73~1-92</w:t>
      </w:r>
    </w:p>
    <w:p>
      <w:pPr>
        <w:pStyle w:val="BodyText"/>
        <w:spacing w:before="240"/>
        <w:ind w:left="688"/>
      </w:pPr>
      <w:r>
        <w:t>3、装载机装运土方 1-99~1-102</w:t>
      </w:r>
    </w:p>
    <w:p>
      <w:pPr>
        <w:pStyle w:val="BodyText"/>
        <w:spacing w:before="238"/>
        <w:ind w:left="688"/>
      </w:pPr>
      <w:r>
        <w:t>4、装载机装土石方 1-93~1-98</w:t>
      </w:r>
    </w:p>
    <w:p>
      <w:pPr>
        <w:pStyle w:val="BodyText"/>
        <w:spacing w:before="240"/>
        <w:ind w:left="688"/>
      </w:pPr>
      <w:r>
        <w:t>5、挖掘机挖装土方 1-113~1-124</w:t>
      </w:r>
    </w:p>
    <w:p>
      <w:pPr>
        <w:pStyle w:val="BodyText"/>
        <w:spacing w:before="237"/>
        <w:ind w:left="688"/>
      </w:pPr>
      <w:r>
        <w:t>6、挖掘机挖装淤泥流沙 1-125~1-128</w:t>
      </w:r>
    </w:p>
    <w:p>
      <w:pPr>
        <w:spacing w:after="0"/>
        <w:sectPr>
          <w:footerReference w:type="default" r:id="rId40"/>
          <w:pgSz w:w="17860" w:h="25260"/>
          <w:pgMar w:top="960" w:right="1080" w:bottom="2040" w:left="1980" w:header="0" w:footer="1820"/>
          <w:pgNumType w:start="15"/>
          <w:cols w:space="708"/>
        </w:sectPr>
      </w:pPr>
    </w:p>
    <w:p>
      <w:pPr>
        <w:pStyle w:val="BodyText"/>
        <w:spacing w:before="21"/>
        <w:ind w:left="688"/>
      </w:pPr>
      <w:r>
        <w:t>7、自卸汽车运土方 1-103~1-112</w:t>
      </w:r>
    </w:p>
    <w:p>
      <w:pPr>
        <w:pStyle w:val="BodyText"/>
        <w:spacing w:before="237"/>
        <w:ind w:left="688"/>
      </w:pPr>
      <w:r>
        <w:t>8、机械平整场地、填土夯实、原土夯实 1-129~1-136</w:t>
      </w:r>
    </w:p>
    <w:p>
      <w:pPr>
        <w:pStyle w:val="BodyText"/>
        <w:spacing w:before="241"/>
        <w:ind w:left="688"/>
      </w:pPr>
      <w:r>
        <w:t>（三）人工石方</w:t>
      </w:r>
    </w:p>
    <w:p>
      <w:pPr>
        <w:pStyle w:val="BodyText"/>
        <w:spacing w:before="237"/>
        <w:ind w:left="688"/>
      </w:pPr>
      <w:r>
        <w:t>1、人工凿石 1-137~1-140</w:t>
      </w:r>
    </w:p>
    <w:p>
      <w:pPr>
        <w:pStyle w:val="BodyText"/>
        <w:spacing w:before="241"/>
        <w:ind w:left="688"/>
      </w:pPr>
      <w:r>
        <w:t>2</w:t>
      </w:r>
      <w:r>
        <w:rPr>
          <w:spacing w:val="-12"/>
        </w:rPr>
        <w:t xml:space="preserve">、人工打眼爆破 </w:t>
      </w:r>
      <w:r>
        <w:t>1-141~1-148</w:t>
      </w:r>
    </w:p>
    <w:p>
      <w:pPr>
        <w:pStyle w:val="BodyText"/>
        <w:spacing w:before="237"/>
        <w:ind w:left="688"/>
      </w:pPr>
      <w:r>
        <w:t>3</w:t>
      </w:r>
      <w:r>
        <w:rPr>
          <w:spacing w:val="-12"/>
        </w:rPr>
        <w:t xml:space="preserve">、明挖石方运输 </w:t>
      </w:r>
      <w:r>
        <w:t>1-169~1-174</w:t>
      </w:r>
    </w:p>
    <w:p>
      <w:pPr>
        <w:pStyle w:val="BodyText"/>
        <w:spacing w:before="241"/>
        <w:ind w:left="688"/>
      </w:pPr>
      <w:r>
        <w:t>（四）机械土方</w:t>
      </w:r>
    </w:p>
    <w:p>
      <w:pPr>
        <w:pStyle w:val="BodyText"/>
        <w:spacing w:before="241"/>
        <w:ind w:left="688"/>
      </w:pPr>
      <w:r>
        <w:t>1</w:t>
      </w:r>
      <w:r>
        <w:rPr>
          <w:spacing w:val="-12"/>
        </w:rPr>
        <w:t xml:space="preserve">、机械打眼爆破 </w:t>
      </w:r>
      <w:r>
        <w:t>1-149~1-156</w:t>
      </w:r>
    </w:p>
    <w:p>
      <w:pPr>
        <w:pStyle w:val="BodyText"/>
        <w:spacing w:before="238"/>
        <w:ind w:left="688"/>
      </w:pPr>
      <w:r>
        <w:t>2</w:t>
      </w:r>
      <w:r>
        <w:rPr>
          <w:spacing w:val="-12"/>
        </w:rPr>
        <w:t xml:space="preserve">、静态爆破石方 </w:t>
      </w:r>
      <w:r>
        <w:t>1-187~1-202</w:t>
      </w:r>
    </w:p>
    <w:p>
      <w:pPr>
        <w:pStyle w:val="BodyText"/>
        <w:spacing w:before="240"/>
        <w:ind w:left="688"/>
      </w:pPr>
      <w:r>
        <w:t>3</w:t>
      </w:r>
      <w:r>
        <w:rPr>
          <w:spacing w:val="-13"/>
        </w:rPr>
        <w:t xml:space="preserve">、油锤破石方 </w:t>
      </w:r>
      <w:r>
        <w:t>1-3-37~1-3-40</w:t>
      </w:r>
    </w:p>
    <w:p>
      <w:pPr>
        <w:pStyle w:val="BodyText"/>
        <w:spacing w:before="237"/>
        <w:ind w:left="688"/>
      </w:pPr>
      <w:r>
        <w:t>4</w:t>
      </w:r>
      <w:r>
        <w:rPr>
          <w:spacing w:val="-10"/>
        </w:rPr>
        <w:t xml:space="preserve">、挖掘机挖装石渣 </w:t>
      </w:r>
      <w:r>
        <w:t>1-175~1-178</w:t>
      </w:r>
    </w:p>
    <w:p>
      <w:pPr>
        <w:pStyle w:val="BodyText"/>
        <w:spacing w:before="241"/>
        <w:ind w:left="688"/>
      </w:pPr>
      <w:r>
        <w:t>5</w:t>
      </w:r>
      <w:r>
        <w:rPr>
          <w:spacing w:val="-10"/>
        </w:rPr>
        <w:t xml:space="preserve">、自卸汽车运石渣 </w:t>
      </w:r>
      <w:r>
        <w:t>1-179~1-186</w:t>
      </w:r>
    </w:p>
    <w:p>
      <w:pPr>
        <w:spacing w:after="0"/>
        <w:sectPr>
          <w:footerReference w:type="default" r:id="rId41"/>
          <w:pgSz w:w="17860" w:h="25260"/>
          <w:pgMar w:top="1780" w:right="1080" w:bottom="2040" w:left="1980" w:header="0" w:footer="1820"/>
          <w:pgNumType w:start="16"/>
          <w:cols w:space="708"/>
        </w:sectPr>
      </w:pPr>
    </w:p>
    <w:p>
      <w:pPr>
        <w:tabs>
          <w:tab w:val="left" w:pos="12156"/>
        </w:tabs>
        <w:spacing w:before="48"/>
        <w:ind w:left="400" w:right="0" w:firstLine="0"/>
        <w:jc w:val="left"/>
        <w:rPr>
          <w:rFonts w:ascii="Times New Roman" w:eastAsia="Times New Roman" w:hAnsi="Times New Roman"/>
          <w:i/>
          <w:sz w:val="27"/>
        </w:rPr>
      </w:pPr>
      <w:r>
        <w:pict>
          <v:line id="_x0000_s1091" style="mso-position-horizontal-relative:page;position:absolute;z-index:251684864" from="104pt,19.1pt" to="790pt,19.1pt" stroked="t" strokecolor="black" strokeweight="2pt">
            <v:stroke dashstyle="solid"/>
          </v:line>
        </w:pict>
      </w:r>
      <w:r>
        <w:rPr>
          <w:position w:val="1"/>
          <w:sz w:val="28"/>
        </w:rPr>
        <w:t>市政定额应用培训</w:t>
        <w:tab/>
        <w:t>讲义</w:t>
      </w:r>
      <w:r>
        <w:rPr>
          <w:spacing w:val="-11"/>
          <w:position w:val="1"/>
          <w:sz w:val="28"/>
        </w:rPr>
        <w:t>·</w:t>
      </w:r>
      <w:r>
        <w:rPr>
          <w:rFonts w:ascii="Times New Roman" w:eastAsia="Times New Roman" w:hAnsi="Times New Roman"/>
          <w:i/>
          <w:spacing w:val="-11"/>
          <w:sz w:val="27"/>
        </w:rPr>
        <w:t>LQG</w:t>
      </w:r>
    </w:p>
    <w:p>
      <w:pPr>
        <w:pStyle w:val="BodyText"/>
        <w:spacing w:before="8"/>
        <w:rPr>
          <w:rFonts w:ascii="Times New Roman"/>
          <w:i/>
          <w:sz w:val="37"/>
        </w:rPr>
      </w:pPr>
    </w:p>
    <w:p>
      <w:pPr>
        <w:pStyle w:val="BodyText"/>
        <w:tabs>
          <w:tab w:val="left" w:pos="6949"/>
        </w:tabs>
        <w:spacing w:line="364" w:lineRule="auto"/>
        <w:ind w:left="688" w:right="6049" w:firstLine="4461"/>
      </w:pPr>
      <w:r>
        <w:t>第二章</w:t>
        <w:tab/>
        <w:t>打拔工具</w:t>
      </w:r>
      <w:r>
        <w:rPr>
          <w:spacing w:val="-19"/>
        </w:rPr>
        <w:t>桩</w:t>
      </w:r>
      <w:r>
        <w:t>市政工程中主要用于沟槽与基坑的支护等</w:t>
      </w:r>
    </w:p>
    <w:p>
      <w:pPr>
        <w:pStyle w:val="BodyText"/>
        <w:spacing w:line="460" w:lineRule="exact"/>
        <w:ind w:left="688"/>
      </w:pPr>
      <w:r>
        <w:t>一、有关概念</w:t>
      </w:r>
    </w:p>
    <w:p>
      <w:pPr>
        <w:pStyle w:val="BodyText"/>
        <w:spacing w:before="237"/>
        <w:ind w:left="688"/>
      </w:pPr>
      <w:r>
        <w:t>1、工具桩：不形成工程实体，仅作为一种施工措施。</w:t>
      </w:r>
    </w:p>
    <w:p>
      <w:pPr>
        <w:pStyle w:val="BodyText"/>
        <w:spacing w:before="241" w:line="362" w:lineRule="auto"/>
        <w:ind w:left="148" w:right="1040" w:firstLine="540"/>
      </w:pPr>
      <w:r>
        <w:t>2</w:t>
      </w:r>
      <w:r>
        <w:rPr>
          <w:spacing w:val="4"/>
        </w:rPr>
        <w:t>、水、陆分界：水深大于</w:t>
      </w:r>
      <w:r>
        <w:t>1.5</w:t>
      </w:r>
      <w:r>
        <w:rPr>
          <w:spacing w:val="-18"/>
        </w:rPr>
        <w:t xml:space="preserve"> 米为水上作业；距岸边 </w:t>
      </w:r>
      <w:r>
        <w:t>1.5</w:t>
      </w:r>
      <w:r>
        <w:rPr>
          <w:spacing w:val="-22"/>
        </w:rPr>
        <w:t xml:space="preserve"> 米以内时，水上在 </w:t>
      </w:r>
      <w:r>
        <w:t>1.5</w:t>
      </w:r>
      <w:r>
        <w:rPr>
          <w:spacing w:val="-54"/>
        </w:rPr>
        <w:t xml:space="preserve"> 米</w:t>
      </w:r>
      <w:r>
        <w:t>以内者，按陆上作业考虑。</w:t>
      </w:r>
    </w:p>
    <w:p>
      <w:pPr>
        <w:pStyle w:val="BodyText"/>
        <w:spacing w:before="8"/>
        <w:ind w:left="688"/>
      </w:pPr>
      <w:r>
        <w:t>3、土类划分：甲类土、乙类土、丙类土。P42</w:t>
      </w:r>
    </w:p>
    <w:p>
      <w:pPr>
        <w:pStyle w:val="BodyText"/>
        <w:spacing w:before="240"/>
        <w:ind w:left="688"/>
      </w:pPr>
      <w:r>
        <w:t>二、注意的问题</w:t>
      </w:r>
    </w:p>
    <w:p>
      <w:pPr>
        <w:pStyle w:val="BodyText"/>
        <w:spacing w:before="238"/>
        <w:ind w:left="688"/>
      </w:pPr>
      <w:r>
        <w:t>1、废桩不重复计算。</w:t>
      </w:r>
    </w:p>
    <w:p>
      <w:pPr>
        <w:pStyle w:val="BodyText"/>
        <w:spacing w:before="241" w:line="362" w:lineRule="auto"/>
        <w:ind w:left="148" w:right="969" w:firstLine="540"/>
      </w:pPr>
      <w:r>
        <w:t>2、定额中的各类桩是按摊消计入消耗量的，如果实际中不允许摊消，则应调整消耗量全部计入。</w:t>
      </w:r>
    </w:p>
    <w:p>
      <w:pPr>
        <w:pStyle w:val="BodyText"/>
        <w:spacing w:before="7"/>
        <w:ind w:left="688"/>
      </w:pPr>
      <w:r>
        <w:t>3、遇丙级土时，按乙级土的人工及机械乘以 1.43</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2" w:history="1">
        <w:r>
          <w:rPr>
            <w:rFonts w:ascii="SimSun" w:eastAsia="SimSun" w:hAnsi="SimSun" w:cs="SimSun"/>
            <w:b/>
            <w:bCs/>
            <w:color w:val="0000EE"/>
            <w:sz w:val="30"/>
            <w:szCs w:val="30"/>
            <w:u w:val="single" w:color="0000EE"/>
          </w:rPr>
          <w:t>https://d.book118.com/045011343202011121</w:t>
        </w:r>
      </w:hyperlink>
    </w:p>
    <w:p>
      <w:pPr>
        <w:spacing w:after="0"/>
      </w:pPr>
    </w:p>
    <w:sectPr>
      <w:footerReference w:type="default" r:id="rId43"/>
      <w:pgSz w:w="17860" w:h="25260"/>
      <w:pgMar w:top="960" w:right="1080" w:bottom="2040" w:left="1980" w:header="0" w:footer="1820"/>
      <w:pgNumType w:start="1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Verdana">
    <w:altName w:val="Verdana"/>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6pt;height:18.45pt;margin-top:1159.35pt;margin-left:436.81pt;mso-position-horizontal-relative:page;mso-position-vertical-relative:page;position:absolute;z-index:-251658240"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6pt;height:18.45pt;margin-top:1159.35pt;margin-left:436.81pt;mso-position-horizontal-relative:page;mso-position-vertical-relative:page;position:absolute;z-index:-251657216"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9.6pt;height:18.45pt;margin-top:1159.35pt;margin-left:436.81pt;mso-position-horizontal-relative:page;mso-position-vertical-relative:page;position:absolute;z-index:-251656192"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32</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6pt;height:18.45pt;margin-top:1159.35pt;margin-left:436.81pt;mso-position-horizontal-relative:page;mso-position-vertical-relative:page;position:absolute;z-index:-251655168"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32</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6pt;height:18.45pt;margin-top:1159.35pt;margin-left:436.81pt;mso-position-horizontal-relative:page;mso-position-vertical-relative:page;position:absolute;z-index:-251654144"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32</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6pt;height:18.45pt;margin-top:1159.35pt;margin-left:436.81pt;mso-position-horizontal-relative:page;mso-position-vertical-relative:page;position:absolute;z-index:-251653120"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6pt;height:18.45pt;margin-top:1159.35pt;margin-left:436.81pt;mso-position-horizontal-relative:page;mso-position-vertical-relative:page;position:absolute;z-index:-251652096"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6pt;height:18.45pt;margin-top:1159.35pt;margin-left:436.81pt;mso-position-horizontal-relative:page;mso-position-vertical-relative:page;position:absolute;z-index:-251651072"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9.6pt;height:18.45pt;margin-top:1159.35pt;margin-left:436.81pt;mso-position-horizontal-relative:page;mso-position-vertical-relative:page;position:absolute;z-index:-251650048"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9.6pt;height:18.45pt;margin-top:1159.35pt;margin-left:436.81pt;mso-position-horizontal-relative:page;mso-position-vertical-relative:page;position:absolute;z-index:-251649024"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9.6pt;height:18.45pt;margin-top:1159.35pt;margin-left:436.81pt;mso-position-horizontal-relative:page;mso-position-vertical-relative:page;position:absolute;z-index:-251648000"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9.6pt;height:18.45pt;margin-top:1159.35pt;margin-left:436.81pt;mso-position-horizontal-relative:page;mso-position-vertical-relative:page;position:absolute;z-index:-251646976"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9.6pt;height:18.45pt;margin-top:1159.35pt;margin-left:436.81pt;mso-position-horizontal-relative:page;mso-position-vertical-relative:page;position:absolute;z-index:-251645952"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9.6pt;height:18.45pt;margin-top:1159.35pt;margin-left:436.81pt;mso-position-horizontal-relative:page;mso-position-vertical-relative:page;position:absolute;z-index:-251644928"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9.6pt;height:18.45pt;margin-top:1159.35pt;margin-left:436.81pt;mso-position-horizontal-relative:page;mso-position-vertical-relative:page;position:absolute;z-index:-251643904"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9.6pt;height:18.45pt;margin-top:1159.35pt;margin-left:436.81pt;mso-position-horizontal-relative:page;mso-position-vertical-relative:page;position:absolute;z-index:-251642880"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9.6pt;height:18.45pt;margin-top:1159.35pt;margin-left:436.81pt;mso-position-horizontal-relative:page;mso-position-vertical-relative:page;position:absolute;z-index:-251641856" filled="f" stroked="f">
          <v:textbox inset="0,0,0,0">
            <w:txbxContent>
              <w:p>
                <w:pPr>
                  <w:spacing w:before="36"/>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17</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D910A"/>
    <w:multiLevelType w:val="hybridMultilevel"/>
    <w:tmpl w:val="00000000"/>
    <w:lvl w:ilvl="0">
      <w:start w:val="0"/>
      <w:numFmt w:val="bullet"/>
      <w:lvlText w:val="•"/>
      <w:lvlJc w:val="left"/>
      <w:pPr>
        <w:ind w:left="1948" w:hanging="720"/>
      </w:pPr>
      <w:rPr>
        <w:rFonts w:ascii="Times New Roman" w:eastAsia="Times New Roman" w:hAnsi="Times New Roman" w:cs="Times New Roman" w:hint="default"/>
        <w:w w:val="100"/>
        <w:sz w:val="36"/>
        <w:szCs w:val="36"/>
      </w:rPr>
    </w:lvl>
    <w:lvl w:ilvl="1">
      <w:start w:val="0"/>
      <w:numFmt w:val="bullet"/>
      <w:lvlText w:val="•"/>
      <w:lvlJc w:val="left"/>
      <w:pPr>
        <w:ind w:left="3225" w:hanging="720"/>
      </w:pPr>
      <w:rPr>
        <w:rFonts w:hint="default"/>
      </w:rPr>
    </w:lvl>
    <w:lvl w:ilvl="2">
      <w:start w:val="0"/>
      <w:numFmt w:val="bullet"/>
      <w:lvlText w:val="•"/>
      <w:lvlJc w:val="left"/>
      <w:pPr>
        <w:ind w:left="4511" w:hanging="720"/>
      </w:pPr>
      <w:rPr>
        <w:rFonts w:hint="default"/>
      </w:rPr>
    </w:lvl>
    <w:lvl w:ilvl="3">
      <w:start w:val="0"/>
      <w:numFmt w:val="bullet"/>
      <w:lvlText w:val="•"/>
      <w:lvlJc w:val="left"/>
      <w:pPr>
        <w:ind w:left="5797" w:hanging="720"/>
      </w:pPr>
      <w:rPr>
        <w:rFonts w:hint="default"/>
      </w:rPr>
    </w:lvl>
    <w:lvl w:ilvl="4">
      <w:start w:val="0"/>
      <w:numFmt w:val="bullet"/>
      <w:lvlText w:val="•"/>
      <w:lvlJc w:val="left"/>
      <w:pPr>
        <w:ind w:left="7083" w:hanging="720"/>
      </w:pPr>
      <w:rPr>
        <w:rFonts w:hint="default"/>
      </w:rPr>
    </w:lvl>
    <w:lvl w:ilvl="5">
      <w:start w:val="0"/>
      <w:numFmt w:val="bullet"/>
      <w:lvlText w:val="•"/>
      <w:lvlJc w:val="left"/>
      <w:pPr>
        <w:ind w:left="8369" w:hanging="720"/>
      </w:pPr>
      <w:rPr>
        <w:rFonts w:hint="default"/>
      </w:rPr>
    </w:lvl>
    <w:lvl w:ilvl="6">
      <w:start w:val="0"/>
      <w:numFmt w:val="bullet"/>
      <w:lvlText w:val="•"/>
      <w:lvlJc w:val="left"/>
      <w:pPr>
        <w:ind w:left="9655" w:hanging="720"/>
      </w:pPr>
      <w:rPr>
        <w:rFonts w:hint="default"/>
      </w:rPr>
    </w:lvl>
    <w:lvl w:ilvl="7">
      <w:start w:val="0"/>
      <w:numFmt w:val="bullet"/>
      <w:lvlText w:val="•"/>
      <w:lvlJc w:val="left"/>
      <w:pPr>
        <w:ind w:left="10941" w:hanging="720"/>
      </w:pPr>
      <w:rPr>
        <w:rFonts w:hint="default"/>
      </w:rPr>
    </w:lvl>
    <w:lvl w:ilvl="8">
      <w:start w:val="0"/>
      <w:numFmt w:val="bullet"/>
      <w:lvlText w:val="•"/>
      <w:lvlJc w:val="left"/>
      <w:pPr>
        <w:ind w:left="12227" w:hanging="720"/>
      </w:pPr>
      <w:rPr>
        <w:rFonts w:hint="default"/>
      </w:rPr>
    </w:lvl>
  </w:abstractNum>
  <w:abstractNum w:abstractNumId="1">
    <w:nsid w:val="0D35031A"/>
    <w:multiLevelType w:val="hybridMultilevel"/>
    <w:tmpl w:val="00000000"/>
    <w:lvl w:ilvl="0">
      <w:start w:val="0"/>
      <w:numFmt w:val="bullet"/>
      <w:lvlText w:val="•"/>
      <w:lvlJc w:val="left"/>
      <w:pPr>
        <w:ind w:left="1948" w:hanging="720"/>
      </w:pPr>
      <w:rPr>
        <w:rFonts w:ascii="Times New Roman" w:eastAsia="Times New Roman" w:hAnsi="Times New Roman" w:cs="Times New Roman" w:hint="default"/>
        <w:w w:val="100"/>
        <w:sz w:val="36"/>
        <w:szCs w:val="36"/>
      </w:rPr>
    </w:lvl>
    <w:lvl w:ilvl="1">
      <w:start w:val="0"/>
      <w:numFmt w:val="bullet"/>
      <w:lvlText w:val="•"/>
      <w:lvlJc w:val="left"/>
      <w:pPr>
        <w:ind w:left="3225" w:hanging="720"/>
      </w:pPr>
      <w:rPr>
        <w:rFonts w:hint="default"/>
      </w:rPr>
    </w:lvl>
    <w:lvl w:ilvl="2">
      <w:start w:val="0"/>
      <w:numFmt w:val="bullet"/>
      <w:lvlText w:val="•"/>
      <w:lvlJc w:val="left"/>
      <w:pPr>
        <w:ind w:left="4511" w:hanging="720"/>
      </w:pPr>
      <w:rPr>
        <w:rFonts w:hint="default"/>
      </w:rPr>
    </w:lvl>
    <w:lvl w:ilvl="3">
      <w:start w:val="0"/>
      <w:numFmt w:val="bullet"/>
      <w:lvlText w:val="•"/>
      <w:lvlJc w:val="left"/>
      <w:pPr>
        <w:ind w:left="5797" w:hanging="720"/>
      </w:pPr>
      <w:rPr>
        <w:rFonts w:hint="default"/>
      </w:rPr>
    </w:lvl>
    <w:lvl w:ilvl="4">
      <w:start w:val="0"/>
      <w:numFmt w:val="bullet"/>
      <w:lvlText w:val="•"/>
      <w:lvlJc w:val="left"/>
      <w:pPr>
        <w:ind w:left="7083" w:hanging="720"/>
      </w:pPr>
      <w:rPr>
        <w:rFonts w:hint="default"/>
      </w:rPr>
    </w:lvl>
    <w:lvl w:ilvl="5">
      <w:start w:val="0"/>
      <w:numFmt w:val="bullet"/>
      <w:lvlText w:val="•"/>
      <w:lvlJc w:val="left"/>
      <w:pPr>
        <w:ind w:left="8369" w:hanging="720"/>
      </w:pPr>
      <w:rPr>
        <w:rFonts w:hint="default"/>
      </w:rPr>
    </w:lvl>
    <w:lvl w:ilvl="6">
      <w:start w:val="0"/>
      <w:numFmt w:val="bullet"/>
      <w:lvlText w:val="•"/>
      <w:lvlJc w:val="left"/>
      <w:pPr>
        <w:ind w:left="9655" w:hanging="720"/>
      </w:pPr>
      <w:rPr>
        <w:rFonts w:hint="default"/>
      </w:rPr>
    </w:lvl>
    <w:lvl w:ilvl="7">
      <w:start w:val="0"/>
      <w:numFmt w:val="bullet"/>
      <w:lvlText w:val="•"/>
      <w:lvlJc w:val="left"/>
      <w:pPr>
        <w:ind w:left="10941" w:hanging="720"/>
      </w:pPr>
      <w:rPr>
        <w:rFonts w:hint="default"/>
      </w:rPr>
    </w:lvl>
    <w:lvl w:ilvl="8">
      <w:start w:val="0"/>
      <w:numFmt w:val="bullet"/>
      <w:lvlText w:val="•"/>
      <w:lvlJc w:val="left"/>
      <w:pPr>
        <w:ind w:left="12227" w:hanging="720"/>
      </w:pPr>
      <w:rPr>
        <w:rFonts w:hint="default"/>
      </w:rPr>
    </w:lvl>
  </w:abstractNum>
  <w:abstractNum w:abstractNumId="2">
    <w:nsid w:val="13725877"/>
    <w:multiLevelType w:val="hybridMultilevel"/>
    <w:tmpl w:val="00000000"/>
    <w:lvl w:ilvl="0">
      <w:start w:val="1"/>
      <w:numFmt w:val="decimal"/>
      <w:lvlText w:val="（%1）"/>
      <w:lvlJc w:val="left"/>
      <w:pPr>
        <w:ind w:left="148" w:hanging="901"/>
        <w:jc w:val="left"/>
      </w:pPr>
      <w:rPr>
        <w:rFonts w:ascii="宋体" w:eastAsia="宋体" w:hAnsi="宋体" w:cs="宋体" w:hint="default"/>
        <w:spacing w:val="-1"/>
        <w:w w:val="89"/>
        <w:sz w:val="34"/>
        <w:szCs w:val="34"/>
      </w:rPr>
    </w:lvl>
    <w:lvl w:ilvl="1">
      <w:start w:val="0"/>
      <w:numFmt w:val="bullet"/>
      <w:lvlText w:val="•"/>
      <w:lvlJc w:val="left"/>
      <w:pPr>
        <w:ind w:left="1605" w:hanging="901"/>
      </w:pPr>
      <w:rPr>
        <w:rFonts w:hint="default"/>
      </w:rPr>
    </w:lvl>
    <w:lvl w:ilvl="2">
      <w:start w:val="0"/>
      <w:numFmt w:val="bullet"/>
      <w:lvlText w:val="•"/>
      <w:lvlJc w:val="left"/>
      <w:pPr>
        <w:ind w:left="3071" w:hanging="901"/>
      </w:pPr>
      <w:rPr>
        <w:rFonts w:hint="default"/>
      </w:rPr>
    </w:lvl>
    <w:lvl w:ilvl="3">
      <w:start w:val="0"/>
      <w:numFmt w:val="bullet"/>
      <w:lvlText w:val="•"/>
      <w:lvlJc w:val="left"/>
      <w:pPr>
        <w:ind w:left="4537" w:hanging="901"/>
      </w:pPr>
      <w:rPr>
        <w:rFonts w:hint="default"/>
      </w:rPr>
    </w:lvl>
    <w:lvl w:ilvl="4">
      <w:start w:val="0"/>
      <w:numFmt w:val="bullet"/>
      <w:lvlText w:val="•"/>
      <w:lvlJc w:val="left"/>
      <w:pPr>
        <w:ind w:left="6003"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935" w:hanging="901"/>
      </w:pPr>
      <w:rPr>
        <w:rFonts w:hint="default"/>
      </w:rPr>
    </w:lvl>
    <w:lvl w:ilvl="7">
      <w:start w:val="0"/>
      <w:numFmt w:val="bullet"/>
      <w:lvlText w:val="•"/>
      <w:lvlJc w:val="left"/>
      <w:pPr>
        <w:ind w:left="10401" w:hanging="901"/>
      </w:pPr>
      <w:rPr>
        <w:rFonts w:hint="default"/>
      </w:rPr>
    </w:lvl>
    <w:lvl w:ilvl="8">
      <w:start w:val="0"/>
      <w:numFmt w:val="bullet"/>
      <w:lvlText w:val="•"/>
      <w:lvlJc w:val="left"/>
      <w:pPr>
        <w:ind w:left="11867" w:hanging="901"/>
      </w:pPr>
      <w:rPr>
        <w:rFonts w:hint="default"/>
      </w:rPr>
    </w:lvl>
  </w:abstractNum>
  <w:abstractNum w:abstractNumId="3">
    <w:nsid w:val="1623C37D"/>
    <w:multiLevelType w:val="hybridMultilevel"/>
    <w:tmpl w:val="00000000"/>
    <w:lvl w:ilvl="0">
      <w:start w:val="1"/>
      <w:numFmt w:val="decimal"/>
      <w:lvlText w:val="（%1）"/>
      <w:lvlJc w:val="left"/>
      <w:pPr>
        <w:ind w:left="148" w:hanging="901"/>
        <w:jc w:val="left"/>
      </w:pPr>
      <w:rPr>
        <w:rFonts w:ascii="宋体" w:eastAsia="宋体" w:hAnsi="宋体" w:cs="宋体" w:hint="default"/>
        <w:spacing w:val="-1"/>
        <w:w w:val="100"/>
        <w:sz w:val="34"/>
        <w:szCs w:val="34"/>
      </w:rPr>
    </w:lvl>
    <w:lvl w:ilvl="1">
      <w:start w:val="0"/>
      <w:numFmt w:val="bullet"/>
      <w:lvlText w:val="•"/>
      <w:lvlJc w:val="left"/>
      <w:pPr>
        <w:ind w:left="1605" w:hanging="901"/>
      </w:pPr>
      <w:rPr>
        <w:rFonts w:hint="default"/>
      </w:rPr>
    </w:lvl>
    <w:lvl w:ilvl="2">
      <w:start w:val="0"/>
      <w:numFmt w:val="bullet"/>
      <w:lvlText w:val="•"/>
      <w:lvlJc w:val="left"/>
      <w:pPr>
        <w:ind w:left="3071" w:hanging="901"/>
      </w:pPr>
      <w:rPr>
        <w:rFonts w:hint="default"/>
      </w:rPr>
    </w:lvl>
    <w:lvl w:ilvl="3">
      <w:start w:val="0"/>
      <w:numFmt w:val="bullet"/>
      <w:lvlText w:val="•"/>
      <w:lvlJc w:val="left"/>
      <w:pPr>
        <w:ind w:left="4537" w:hanging="901"/>
      </w:pPr>
      <w:rPr>
        <w:rFonts w:hint="default"/>
      </w:rPr>
    </w:lvl>
    <w:lvl w:ilvl="4">
      <w:start w:val="0"/>
      <w:numFmt w:val="bullet"/>
      <w:lvlText w:val="•"/>
      <w:lvlJc w:val="left"/>
      <w:pPr>
        <w:ind w:left="6003"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935" w:hanging="901"/>
      </w:pPr>
      <w:rPr>
        <w:rFonts w:hint="default"/>
      </w:rPr>
    </w:lvl>
    <w:lvl w:ilvl="7">
      <w:start w:val="0"/>
      <w:numFmt w:val="bullet"/>
      <w:lvlText w:val="•"/>
      <w:lvlJc w:val="left"/>
      <w:pPr>
        <w:ind w:left="10401" w:hanging="901"/>
      </w:pPr>
      <w:rPr>
        <w:rFonts w:hint="default"/>
      </w:rPr>
    </w:lvl>
    <w:lvl w:ilvl="8">
      <w:start w:val="0"/>
      <w:numFmt w:val="bullet"/>
      <w:lvlText w:val="•"/>
      <w:lvlJc w:val="left"/>
      <w:pPr>
        <w:ind w:left="11867" w:hanging="901"/>
      </w:pPr>
      <w:rPr>
        <w:rFonts w:hint="default"/>
      </w:rPr>
    </w:lvl>
  </w:abstractNum>
  <w:abstractNum w:abstractNumId="4">
    <w:nsid w:val="168F0ED4"/>
    <w:multiLevelType w:val="hybridMultilevel"/>
    <w:tmpl w:val="00000000"/>
    <w:lvl w:ilvl="0">
      <w:start w:val="2"/>
      <w:numFmt w:val="decimal"/>
      <w:lvlText w:val="(%1)"/>
      <w:lvlJc w:val="left"/>
      <w:pPr>
        <w:ind w:left="688" w:hanging="720"/>
        <w:jc w:val="right"/>
      </w:pPr>
      <w:rPr>
        <w:rFonts w:ascii="宋体" w:eastAsia="宋体" w:hAnsi="宋体" w:cs="宋体" w:hint="default"/>
        <w:w w:val="100"/>
        <w:sz w:val="36"/>
        <w:szCs w:val="36"/>
      </w:rPr>
    </w:lvl>
    <w:lvl w:ilvl="1">
      <w:start w:val="0"/>
      <w:numFmt w:val="bullet"/>
      <w:lvlText w:val="•"/>
      <w:lvlJc w:val="left"/>
      <w:pPr>
        <w:ind w:left="2091" w:hanging="720"/>
      </w:pPr>
      <w:rPr>
        <w:rFonts w:hint="default"/>
      </w:rPr>
    </w:lvl>
    <w:lvl w:ilvl="2">
      <w:start w:val="0"/>
      <w:numFmt w:val="bullet"/>
      <w:lvlText w:val="•"/>
      <w:lvlJc w:val="left"/>
      <w:pPr>
        <w:ind w:left="3503" w:hanging="720"/>
      </w:pPr>
      <w:rPr>
        <w:rFonts w:hint="default"/>
      </w:rPr>
    </w:lvl>
    <w:lvl w:ilvl="3">
      <w:start w:val="0"/>
      <w:numFmt w:val="bullet"/>
      <w:lvlText w:val="•"/>
      <w:lvlJc w:val="left"/>
      <w:pPr>
        <w:ind w:left="4915" w:hanging="720"/>
      </w:pPr>
      <w:rPr>
        <w:rFonts w:hint="default"/>
      </w:rPr>
    </w:lvl>
    <w:lvl w:ilvl="4">
      <w:start w:val="0"/>
      <w:numFmt w:val="bullet"/>
      <w:lvlText w:val="•"/>
      <w:lvlJc w:val="left"/>
      <w:pPr>
        <w:ind w:left="6327" w:hanging="720"/>
      </w:pPr>
      <w:rPr>
        <w:rFonts w:hint="default"/>
      </w:rPr>
    </w:lvl>
    <w:lvl w:ilvl="5">
      <w:start w:val="0"/>
      <w:numFmt w:val="bullet"/>
      <w:lvlText w:val="•"/>
      <w:lvlJc w:val="left"/>
      <w:pPr>
        <w:ind w:left="7739" w:hanging="720"/>
      </w:pPr>
      <w:rPr>
        <w:rFonts w:hint="default"/>
      </w:rPr>
    </w:lvl>
    <w:lvl w:ilvl="6">
      <w:start w:val="0"/>
      <w:numFmt w:val="bullet"/>
      <w:lvlText w:val="•"/>
      <w:lvlJc w:val="left"/>
      <w:pPr>
        <w:ind w:left="9151" w:hanging="720"/>
      </w:pPr>
      <w:rPr>
        <w:rFonts w:hint="default"/>
      </w:rPr>
    </w:lvl>
    <w:lvl w:ilvl="7">
      <w:start w:val="0"/>
      <w:numFmt w:val="bullet"/>
      <w:lvlText w:val="•"/>
      <w:lvlJc w:val="left"/>
      <w:pPr>
        <w:ind w:left="10563" w:hanging="720"/>
      </w:pPr>
      <w:rPr>
        <w:rFonts w:hint="default"/>
      </w:rPr>
    </w:lvl>
    <w:lvl w:ilvl="8">
      <w:start w:val="0"/>
      <w:numFmt w:val="bullet"/>
      <w:lvlText w:val="•"/>
      <w:lvlJc w:val="left"/>
      <w:pPr>
        <w:ind w:left="11975" w:hanging="720"/>
      </w:pPr>
      <w:rPr>
        <w:rFonts w:hint="default"/>
      </w:rPr>
    </w:lvl>
  </w:abstractNum>
  <w:abstractNum w:abstractNumId="5">
    <w:nsid w:val="26C904BD"/>
    <w:multiLevelType w:val="hybridMultilevel"/>
    <w:tmpl w:val="00000000"/>
    <w:lvl w:ilvl="0">
      <w:start w:val="1"/>
      <w:numFmt w:val="decimal"/>
      <w:lvlText w:val="（%1）"/>
      <w:lvlJc w:val="left"/>
      <w:pPr>
        <w:ind w:left="148" w:hanging="901"/>
        <w:jc w:val="left"/>
      </w:pPr>
      <w:rPr>
        <w:rFonts w:ascii="宋体" w:eastAsia="宋体" w:hAnsi="宋体" w:cs="宋体" w:hint="default"/>
        <w:spacing w:val="-1"/>
        <w:w w:val="89"/>
        <w:sz w:val="34"/>
        <w:szCs w:val="34"/>
      </w:rPr>
    </w:lvl>
    <w:lvl w:ilvl="1">
      <w:start w:val="0"/>
      <w:numFmt w:val="bullet"/>
      <w:lvlText w:val="•"/>
      <w:lvlJc w:val="left"/>
      <w:pPr>
        <w:ind w:left="1605" w:hanging="901"/>
      </w:pPr>
      <w:rPr>
        <w:rFonts w:hint="default"/>
      </w:rPr>
    </w:lvl>
    <w:lvl w:ilvl="2">
      <w:start w:val="0"/>
      <w:numFmt w:val="bullet"/>
      <w:lvlText w:val="•"/>
      <w:lvlJc w:val="left"/>
      <w:pPr>
        <w:ind w:left="3071" w:hanging="901"/>
      </w:pPr>
      <w:rPr>
        <w:rFonts w:hint="default"/>
      </w:rPr>
    </w:lvl>
    <w:lvl w:ilvl="3">
      <w:start w:val="0"/>
      <w:numFmt w:val="bullet"/>
      <w:lvlText w:val="•"/>
      <w:lvlJc w:val="left"/>
      <w:pPr>
        <w:ind w:left="4537" w:hanging="901"/>
      </w:pPr>
      <w:rPr>
        <w:rFonts w:hint="default"/>
      </w:rPr>
    </w:lvl>
    <w:lvl w:ilvl="4">
      <w:start w:val="0"/>
      <w:numFmt w:val="bullet"/>
      <w:lvlText w:val="•"/>
      <w:lvlJc w:val="left"/>
      <w:pPr>
        <w:ind w:left="6003" w:hanging="901"/>
      </w:pPr>
      <w:rPr>
        <w:rFonts w:hint="default"/>
      </w:rPr>
    </w:lvl>
    <w:lvl w:ilvl="5">
      <w:start w:val="0"/>
      <w:numFmt w:val="bullet"/>
      <w:lvlText w:val="•"/>
      <w:lvlJc w:val="left"/>
      <w:pPr>
        <w:ind w:left="7469" w:hanging="901"/>
      </w:pPr>
      <w:rPr>
        <w:rFonts w:hint="default"/>
      </w:rPr>
    </w:lvl>
    <w:lvl w:ilvl="6">
      <w:start w:val="0"/>
      <w:numFmt w:val="bullet"/>
      <w:lvlText w:val="•"/>
      <w:lvlJc w:val="left"/>
      <w:pPr>
        <w:ind w:left="8935" w:hanging="901"/>
      </w:pPr>
      <w:rPr>
        <w:rFonts w:hint="default"/>
      </w:rPr>
    </w:lvl>
    <w:lvl w:ilvl="7">
      <w:start w:val="0"/>
      <w:numFmt w:val="bullet"/>
      <w:lvlText w:val="•"/>
      <w:lvlJc w:val="left"/>
      <w:pPr>
        <w:ind w:left="10401" w:hanging="901"/>
      </w:pPr>
      <w:rPr>
        <w:rFonts w:hint="default"/>
      </w:rPr>
    </w:lvl>
    <w:lvl w:ilvl="8">
      <w:start w:val="0"/>
      <w:numFmt w:val="bullet"/>
      <w:lvlText w:val="•"/>
      <w:lvlJc w:val="left"/>
      <w:pPr>
        <w:ind w:left="11867" w:hanging="901"/>
      </w:pPr>
      <w:rPr>
        <w:rFonts w:hint="default"/>
      </w:rPr>
    </w:lvl>
  </w:abstractNum>
  <w:abstractNum w:abstractNumId="6">
    <w:nsid w:val="2CF8B51C"/>
    <w:multiLevelType w:val="hybridMultilevel"/>
    <w:tmpl w:val="00000000"/>
    <w:lvl w:ilvl="0">
      <w:start w:val="1"/>
      <w:numFmt w:val="decimal"/>
      <w:lvlText w:val="(%1)"/>
      <w:lvlJc w:val="left"/>
      <w:pPr>
        <w:ind w:left="1408" w:hanging="720"/>
        <w:jc w:val="left"/>
      </w:pPr>
      <w:rPr>
        <w:rFonts w:ascii="宋体" w:eastAsia="宋体" w:hAnsi="宋体" w:cs="宋体" w:hint="default"/>
        <w:w w:val="100"/>
        <w:sz w:val="36"/>
        <w:szCs w:val="36"/>
      </w:rPr>
    </w:lvl>
    <w:lvl w:ilvl="1">
      <w:start w:val="0"/>
      <w:numFmt w:val="bullet"/>
      <w:lvlText w:val="•"/>
      <w:lvlJc w:val="left"/>
      <w:pPr>
        <w:ind w:left="2739" w:hanging="720"/>
      </w:pPr>
      <w:rPr>
        <w:rFonts w:hint="default"/>
      </w:rPr>
    </w:lvl>
    <w:lvl w:ilvl="2">
      <w:start w:val="0"/>
      <w:numFmt w:val="bullet"/>
      <w:lvlText w:val="•"/>
      <w:lvlJc w:val="left"/>
      <w:pPr>
        <w:ind w:left="4079" w:hanging="720"/>
      </w:pPr>
      <w:rPr>
        <w:rFonts w:hint="default"/>
      </w:rPr>
    </w:lvl>
    <w:lvl w:ilvl="3">
      <w:start w:val="0"/>
      <w:numFmt w:val="bullet"/>
      <w:lvlText w:val="•"/>
      <w:lvlJc w:val="left"/>
      <w:pPr>
        <w:ind w:left="5419" w:hanging="720"/>
      </w:pPr>
      <w:rPr>
        <w:rFonts w:hint="default"/>
      </w:rPr>
    </w:lvl>
    <w:lvl w:ilvl="4">
      <w:start w:val="0"/>
      <w:numFmt w:val="bullet"/>
      <w:lvlText w:val="•"/>
      <w:lvlJc w:val="left"/>
      <w:pPr>
        <w:ind w:left="6759" w:hanging="720"/>
      </w:pPr>
      <w:rPr>
        <w:rFonts w:hint="default"/>
      </w:rPr>
    </w:lvl>
    <w:lvl w:ilvl="5">
      <w:start w:val="0"/>
      <w:numFmt w:val="bullet"/>
      <w:lvlText w:val="•"/>
      <w:lvlJc w:val="left"/>
      <w:pPr>
        <w:ind w:left="8099" w:hanging="720"/>
      </w:pPr>
      <w:rPr>
        <w:rFonts w:hint="default"/>
      </w:rPr>
    </w:lvl>
    <w:lvl w:ilvl="6">
      <w:start w:val="0"/>
      <w:numFmt w:val="bullet"/>
      <w:lvlText w:val="•"/>
      <w:lvlJc w:val="left"/>
      <w:pPr>
        <w:ind w:left="9439" w:hanging="720"/>
      </w:pPr>
      <w:rPr>
        <w:rFonts w:hint="default"/>
      </w:rPr>
    </w:lvl>
    <w:lvl w:ilvl="7">
      <w:start w:val="0"/>
      <w:numFmt w:val="bullet"/>
      <w:lvlText w:val="•"/>
      <w:lvlJc w:val="left"/>
      <w:pPr>
        <w:ind w:left="10779" w:hanging="720"/>
      </w:pPr>
      <w:rPr>
        <w:rFonts w:hint="default"/>
      </w:rPr>
    </w:lvl>
    <w:lvl w:ilvl="8">
      <w:start w:val="0"/>
      <w:numFmt w:val="bullet"/>
      <w:lvlText w:val="•"/>
      <w:lvlJc w:val="left"/>
      <w:pPr>
        <w:ind w:left="12119" w:hanging="720"/>
      </w:pPr>
      <w:rPr>
        <w:rFonts w:hint="default"/>
      </w:rPr>
    </w:lvl>
  </w:abstractNum>
  <w:abstractNum w:abstractNumId="7">
    <w:nsid w:val="39857A1D"/>
    <w:multiLevelType w:val="hybridMultilevel"/>
    <w:tmpl w:val="00000000"/>
    <w:lvl w:ilvl="0">
      <w:start w:val="0"/>
      <w:numFmt w:val="bullet"/>
      <w:lvlText w:val="*"/>
      <w:lvlJc w:val="left"/>
      <w:pPr>
        <w:ind w:left="148" w:hanging="360"/>
      </w:pPr>
      <w:rPr>
        <w:rFonts w:ascii="宋体" w:eastAsia="宋体" w:hAnsi="宋体" w:cs="宋体" w:hint="default"/>
        <w:w w:val="100"/>
        <w:sz w:val="36"/>
        <w:szCs w:val="36"/>
      </w:rPr>
    </w:lvl>
    <w:lvl w:ilvl="1">
      <w:start w:val="0"/>
      <w:numFmt w:val="bullet"/>
      <w:lvlText w:val="•"/>
      <w:lvlJc w:val="left"/>
      <w:pPr>
        <w:ind w:left="1605" w:hanging="360"/>
      </w:pPr>
      <w:rPr>
        <w:rFonts w:hint="default"/>
      </w:rPr>
    </w:lvl>
    <w:lvl w:ilvl="2">
      <w:start w:val="0"/>
      <w:numFmt w:val="bullet"/>
      <w:lvlText w:val="•"/>
      <w:lvlJc w:val="left"/>
      <w:pPr>
        <w:ind w:left="3071" w:hanging="360"/>
      </w:pPr>
      <w:rPr>
        <w:rFonts w:hint="default"/>
      </w:rPr>
    </w:lvl>
    <w:lvl w:ilvl="3">
      <w:start w:val="0"/>
      <w:numFmt w:val="bullet"/>
      <w:lvlText w:val="•"/>
      <w:lvlJc w:val="left"/>
      <w:pPr>
        <w:ind w:left="4537" w:hanging="360"/>
      </w:pPr>
      <w:rPr>
        <w:rFonts w:hint="default"/>
      </w:rPr>
    </w:lvl>
    <w:lvl w:ilvl="4">
      <w:start w:val="0"/>
      <w:numFmt w:val="bullet"/>
      <w:lvlText w:val="•"/>
      <w:lvlJc w:val="left"/>
      <w:pPr>
        <w:ind w:left="6003" w:hanging="360"/>
      </w:pPr>
      <w:rPr>
        <w:rFonts w:hint="default"/>
      </w:rPr>
    </w:lvl>
    <w:lvl w:ilvl="5">
      <w:start w:val="0"/>
      <w:numFmt w:val="bullet"/>
      <w:lvlText w:val="•"/>
      <w:lvlJc w:val="left"/>
      <w:pPr>
        <w:ind w:left="7469" w:hanging="360"/>
      </w:pPr>
      <w:rPr>
        <w:rFonts w:hint="default"/>
      </w:rPr>
    </w:lvl>
    <w:lvl w:ilvl="6">
      <w:start w:val="0"/>
      <w:numFmt w:val="bullet"/>
      <w:lvlText w:val="•"/>
      <w:lvlJc w:val="left"/>
      <w:pPr>
        <w:ind w:left="8935" w:hanging="360"/>
      </w:pPr>
      <w:rPr>
        <w:rFonts w:hint="default"/>
      </w:rPr>
    </w:lvl>
    <w:lvl w:ilvl="7">
      <w:start w:val="0"/>
      <w:numFmt w:val="bullet"/>
      <w:lvlText w:val="•"/>
      <w:lvlJc w:val="left"/>
      <w:pPr>
        <w:ind w:left="10401" w:hanging="360"/>
      </w:pPr>
      <w:rPr>
        <w:rFonts w:hint="default"/>
      </w:rPr>
    </w:lvl>
    <w:lvl w:ilvl="8">
      <w:start w:val="0"/>
      <w:numFmt w:val="bullet"/>
      <w:lvlText w:val="•"/>
      <w:lvlJc w:val="left"/>
      <w:pPr>
        <w:ind w:left="11867" w:hanging="360"/>
      </w:pPr>
      <w:rPr>
        <w:rFonts w:hint="default"/>
      </w:rPr>
    </w:lvl>
  </w:abstractNum>
  <w:abstractNum w:abstractNumId="8">
    <w:nsid w:val="4EF2BF97"/>
    <w:multiLevelType w:val="hybridMultilevel"/>
    <w:tmpl w:val="00000000"/>
    <w:lvl w:ilvl="0">
      <w:start w:val="1"/>
      <w:numFmt w:val="decimal"/>
      <w:lvlText w:val="（%1）"/>
      <w:lvlJc w:val="left"/>
      <w:pPr>
        <w:ind w:left="1589" w:hanging="901"/>
        <w:jc w:val="left"/>
      </w:pPr>
      <w:rPr>
        <w:rFonts w:ascii="宋体" w:eastAsia="宋体" w:hAnsi="宋体" w:cs="宋体" w:hint="default"/>
        <w:spacing w:val="-1"/>
        <w:w w:val="100"/>
        <w:sz w:val="34"/>
        <w:szCs w:val="34"/>
      </w:rPr>
    </w:lvl>
    <w:lvl w:ilvl="1">
      <w:start w:val="2"/>
      <w:numFmt w:val="decimal"/>
      <w:lvlText w:val="（%2）"/>
      <w:lvlJc w:val="left"/>
      <w:pPr>
        <w:ind w:left="1718" w:hanging="901"/>
        <w:jc w:val="left"/>
      </w:pPr>
      <w:rPr>
        <w:rFonts w:ascii="宋体" w:eastAsia="宋体" w:hAnsi="宋体" w:cs="宋体" w:hint="default"/>
        <w:spacing w:val="-1"/>
        <w:w w:val="100"/>
        <w:sz w:val="34"/>
        <w:szCs w:val="34"/>
      </w:rPr>
    </w:lvl>
    <w:lvl w:ilvl="2">
      <w:start w:val="0"/>
      <w:numFmt w:val="bullet"/>
      <w:lvlText w:val="•"/>
      <w:lvlJc w:val="left"/>
      <w:pPr>
        <w:ind w:left="3173" w:hanging="901"/>
      </w:pPr>
      <w:rPr>
        <w:rFonts w:hint="default"/>
      </w:rPr>
    </w:lvl>
    <w:lvl w:ilvl="3">
      <w:start w:val="0"/>
      <w:numFmt w:val="bullet"/>
      <w:lvlText w:val="•"/>
      <w:lvlJc w:val="left"/>
      <w:pPr>
        <w:ind w:left="4626" w:hanging="901"/>
      </w:pPr>
      <w:rPr>
        <w:rFonts w:hint="default"/>
      </w:rPr>
    </w:lvl>
    <w:lvl w:ilvl="4">
      <w:start w:val="0"/>
      <w:numFmt w:val="bullet"/>
      <w:lvlText w:val="•"/>
      <w:lvlJc w:val="left"/>
      <w:pPr>
        <w:ind w:left="6079" w:hanging="901"/>
      </w:pPr>
      <w:rPr>
        <w:rFonts w:hint="default"/>
      </w:rPr>
    </w:lvl>
    <w:lvl w:ilvl="5">
      <w:start w:val="0"/>
      <w:numFmt w:val="bullet"/>
      <w:lvlText w:val="•"/>
      <w:lvlJc w:val="left"/>
      <w:pPr>
        <w:ind w:left="7533" w:hanging="901"/>
      </w:pPr>
      <w:rPr>
        <w:rFonts w:hint="default"/>
      </w:rPr>
    </w:lvl>
    <w:lvl w:ilvl="6">
      <w:start w:val="0"/>
      <w:numFmt w:val="bullet"/>
      <w:lvlText w:val="•"/>
      <w:lvlJc w:val="left"/>
      <w:pPr>
        <w:ind w:left="8986" w:hanging="901"/>
      </w:pPr>
      <w:rPr>
        <w:rFonts w:hint="default"/>
      </w:rPr>
    </w:lvl>
    <w:lvl w:ilvl="7">
      <w:start w:val="0"/>
      <w:numFmt w:val="bullet"/>
      <w:lvlText w:val="•"/>
      <w:lvlJc w:val="left"/>
      <w:pPr>
        <w:ind w:left="10439" w:hanging="901"/>
      </w:pPr>
      <w:rPr>
        <w:rFonts w:hint="default"/>
      </w:rPr>
    </w:lvl>
    <w:lvl w:ilvl="8">
      <w:start w:val="0"/>
      <w:numFmt w:val="bullet"/>
      <w:lvlText w:val="•"/>
      <w:lvlJc w:val="left"/>
      <w:pPr>
        <w:ind w:left="11893" w:hanging="901"/>
      </w:pPr>
      <w:rPr>
        <w:rFonts w:hint="default"/>
      </w:rPr>
    </w:lvl>
  </w:abstractNum>
  <w:abstractNum w:abstractNumId="9">
    <w:nsid w:val="4F8E96FA"/>
    <w:multiLevelType w:val="hybridMultilevel"/>
    <w:tmpl w:val="00000000"/>
    <w:lvl w:ilvl="0">
      <w:start w:val="0"/>
      <w:numFmt w:val="bullet"/>
      <w:lvlText w:val="*"/>
      <w:lvlJc w:val="left"/>
      <w:pPr>
        <w:ind w:left="148" w:hanging="360"/>
      </w:pPr>
      <w:rPr>
        <w:rFonts w:ascii="宋体" w:eastAsia="宋体" w:hAnsi="宋体" w:cs="宋体" w:hint="default"/>
        <w:w w:val="100"/>
        <w:sz w:val="36"/>
        <w:szCs w:val="36"/>
      </w:rPr>
    </w:lvl>
    <w:lvl w:ilvl="1">
      <w:start w:val="0"/>
      <w:numFmt w:val="bullet"/>
      <w:lvlText w:val="•"/>
      <w:lvlJc w:val="left"/>
      <w:pPr>
        <w:ind w:left="1605" w:hanging="360"/>
      </w:pPr>
      <w:rPr>
        <w:rFonts w:hint="default"/>
      </w:rPr>
    </w:lvl>
    <w:lvl w:ilvl="2">
      <w:start w:val="0"/>
      <w:numFmt w:val="bullet"/>
      <w:lvlText w:val="•"/>
      <w:lvlJc w:val="left"/>
      <w:pPr>
        <w:ind w:left="3071" w:hanging="360"/>
      </w:pPr>
      <w:rPr>
        <w:rFonts w:hint="default"/>
      </w:rPr>
    </w:lvl>
    <w:lvl w:ilvl="3">
      <w:start w:val="0"/>
      <w:numFmt w:val="bullet"/>
      <w:lvlText w:val="•"/>
      <w:lvlJc w:val="left"/>
      <w:pPr>
        <w:ind w:left="4537" w:hanging="360"/>
      </w:pPr>
      <w:rPr>
        <w:rFonts w:hint="default"/>
      </w:rPr>
    </w:lvl>
    <w:lvl w:ilvl="4">
      <w:start w:val="0"/>
      <w:numFmt w:val="bullet"/>
      <w:lvlText w:val="•"/>
      <w:lvlJc w:val="left"/>
      <w:pPr>
        <w:ind w:left="6003" w:hanging="360"/>
      </w:pPr>
      <w:rPr>
        <w:rFonts w:hint="default"/>
      </w:rPr>
    </w:lvl>
    <w:lvl w:ilvl="5">
      <w:start w:val="0"/>
      <w:numFmt w:val="bullet"/>
      <w:lvlText w:val="•"/>
      <w:lvlJc w:val="left"/>
      <w:pPr>
        <w:ind w:left="7469" w:hanging="360"/>
      </w:pPr>
      <w:rPr>
        <w:rFonts w:hint="default"/>
      </w:rPr>
    </w:lvl>
    <w:lvl w:ilvl="6">
      <w:start w:val="0"/>
      <w:numFmt w:val="bullet"/>
      <w:lvlText w:val="•"/>
      <w:lvlJc w:val="left"/>
      <w:pPr>
        <w:ind w:left="8935" w:hanging="360"/>
      </w:pPr>
      <w:rPr>
        <w:rFonts w:hint="default"/>
      </w:rPr>
    </w:lvl>
    <w:lvl w:ilvl="7">
      <w:start w:val="0"/>
      <w:numFmt w:val="bullet"/>
      <w:lvlText w:val="•"/>
      <w:lvlJc w:val="left"/>
      <w:pPr>
        <w:ind w:left="10401" w:hanging="360"/>
      </w:pPr>
      <w:rPr>
        <w:rFonts w:hint="default"/>
      </w:rPr>
    </w:lvl>
    <w:lvl w:ilvl="8">
      <w:start w:val="0"/>
      <w:numFmt w:val="bullet"/>
      <w:lvlText w:val="•"/>
      <w:lvlJc w:val="left"/>
      <w:pPr>
        <w:ind w:left="11867" w:hanging="360"/>
      </w:pPr>
      <w:rPr>
        <w:rFonts w:hint="default"/>
      </w:rPr>
    </w:lvl>
  </w:abstractNum>
  <w:abstractNum w:abstractNumId="10">
    <w:nsid w:val="52D0646D"/>
    <w:multiLevelType w:val="hybridMultilevel"/>
    <w:tmpl w:val="00000000"/>
    <w:lvl w:ilvl="0">
      <w:start w:val="1"/>
      <w:numFmt w:val="decimal"/>
      <w:lvlText w:val="(%1)"/>
      <w:lvlJc w:val="left"/>
      <w:pPr>
        <w:ind w:left="1408" w:hanging="720"/>
        <w:jc w:val="left"/>
      </w:pPr>
      <w:rPr>
        <w:rFonts w:ascii="宋体" w:eastAsia="宋体" w:hAnsi="宋体" w:cs="宋体" w:hint="default"/>
        <w:w w:val="100"/>
        <w:sz w:val="36"/>
        <w:szCs w:val="36"/>
      </w:rPr>
    </w:lvl>
    <w:lvl w:ilvl="1">
      <w:start w:val="0"/>
      <w:numFmt w:val="bullet"/>
      <w:lvlText w:val="•"/>
      <w:lvlJc w:val="left"/>
      <w:pPr>
        <w:ind w:left="2739" w:hanging="720"/>
      </w:pPr>
      <w:rPr>
        <w:rFonts w:hint="default"/>
      </w:rPr>
    </w:lvl>
    <w:lvl w:ilvl="2">
      <w:start w:val="0"/>
      <w:numFmt w:val="bullet"/>
      <w:lvlText w:val="•"/>
      <w:lvlJc w:val="left"/>
      <w:pPr>
        <w:ind w:left="4079" w:hanging="720"/>
      </w:pPr>
      <w:rPr>
        <w:rFonts w:hint="default"/>
      </w:rPr>
    </w:lvl>
    <w:lvl w:ilvl="3">
      <w:start w:val="0"/>
      <w:numFmt w:val="bullet"/>
      <w:lvlText w:val="•"/>
      <w:lvlJc w:val="left"/>
      <w:pPr>
        <w:ind w:left="5419" w:hanging="720"/>
      </w:pPr>
      <w:rPr>
        <w:rFonts w:hint="default"/>
      </w:rPr>
    </w:lvl>
    <w:lvl w:ilvl="4">
      <w:start w:val="0"/>
      <w:numFmt w:val="bullet"/>
      <w:lvlText w:val="•"/>
      <w:lvlJc w:val="left"/>
      <w:pPr>
        <w:ind w:left="6759" w:hanging="720"/>
      </w:pPr>
      <w:rPr>
        <w:rFonts w:hint="default"/>
      </w:rPr>
    </w:lvl>
    <w:lvl w:ilvl="5">
      <w:start w:val="0"/>
      <w:numFmt w:val="bullet"/>
      <w:lvlText w:val="•"/>
      <w:lvlJc w:val="left"/>
      <w:pPr>
        <w:ind w:left="8099" w:hanging="720"/>
      </w:pPr>
      <w:rPr>
        <w:rFonts w:hint="default"/>
      </w:rPr>
    </w:lvl>
    <w:lvl w:ilvl="6">
      <w:start w:val="0"/>
      <w:numFmt w:val="bullet"/>
      <w:lvlText w:val="•"/>
      <w:lvlJc w:val="left"/>
      <w:pPr>
        <w:ind w:left="9439" w:hanging="720"/>
      </w:pPr>
      <w:rPr>
        <w:rFonts w:hint="default"/>
      </w:rPr>
    </w:lvl>
    <w:lvl w:ilvl="7">
      <w:start w:val="0"/>
      <w:numFmt w:val="bullet"/>
      <w:lvlText w:val="•"/>
      <w:lvlJc w:val="left"/>
      <w:pPr>
        <w:ind w:left="10779" w:hanging="720"/>
      </w:pPr>
      <w:rPr>
        <w:rFonts w:hint="default"/>
      </w:rPr>
    </w:lvl>
    <w:lvl w:ilvl="8">
      <w:start w:val="0"/>
      <w:numFmt w:val="bullet"/>
      <w:lvlText w:val="•"/>
      <w:lvlJc w:val="left"/>
      <w:pPr>
        <w:ind w:left="12119" w:hanging="720"/>
      </w:pPr>
      <w:rPr>
        <w:rFonts w:hint="default"/>
      </w:rPr>
    </w:lvl>
  </w:abstractNum>
  <w:abstractNum w:abstractNumId="11">
    <w:nsid w:val="70FAB454"/>
    <w:multiLevelType w:val="hybridMultilevel"/>
    <w:tmpl w:val="00000000"/>
    <w:lvl w:ilvl="0">
      <w:start w:val="1"/>
      <w:numFmt w:val="decimal"/>
      <w:lvlText w:val="(%1)"/>
      <w:lvlJc w:val="left"/>
      <w:pPr>
        <w:ind w:left="1408" w:hanging="720"/>
        <w:jc w:val="left"/>
      </w:pPr>
      <w:rPr>
        <w:rFonts w:ascii="宋体" w:eastAsia="宋体" w:hAnsi="宋体" w:cs="宋体" w:hint="default"/>
        <w:w w:val="100"/>
        <w:sz w:val="36"/>
        <w:szCs w:val="36"/>
      </w:rPr>
    </w:lvl>
    <w:lvl w:ilvl="1">
      <w:start w:val="0"/>
      <w:numFmt w:val="bullet"/>
      <w:lvlText w:val="•"/>
      <w:lvlJc w:val="left"/>
      <w:pPr>
        <w:ind w:left="2739" w:hanging="720"/>
      </w:pPr>
      <w:rPr>
        <w:rFonts w:hint="default"/>
      </w:rPr>
    </w:lvl>
    <w:lvl w:ilvl="2">
      <w:start w:val="0"/>
      <w:numFmt w:val="bullet"/>
      <w:lvlText w:val="•"/>
      <w:lvlJc w:val="left"/>
      <w:pPr>
        <w:ind w:left="4079" w:hanging="720"/>
      </w:pPr>
      <w:rPr>
        <w:rFonts w:hint="default"/>
      </w:rPr>
    </w:lvl>
    <w:lvl w:ilvl="3">
      <w:start w:val="0"/>
      <w:numFmt w:val="bullet"/>
      <w:lvlText w:val="•"/>
      <w:lvlJc w:val="left"/>
      <w:pPr>
        <w:ind w:left="5419" w:hanging="720"/>
      </w:pPr>
      <w:rPr>
        <w:rFonts w:hint="default"/>
      </w:rPr>
    </w:lvl>
    <w:lvl w:ilvl="4">
      <w:start w:val="0"/>
      <w:numFmt w:val="bullet"/>
      <w:lvlText w:val="•"/>
      <w:lvlJc w:val="left"/>
      <w:pPr>
        <w:ind w:left="6759" w:hanging="720"/>
      </w:pPr>
      <w:rPr>
        <w:rFonts w:hint="default"/>
      </w:rPr>
    </w:lvl>
    <w:lvl w:ilvl="5">
      <w:start w:val="0"/>
      <w:numFmt w:val="bullet"/>
      <w:lvlText w:val="•"/>
      <w:lvlJc w:val="left"/>
      <w:pPr>
        <w:ind w:left="8099" w:hanging="720"/>
      </w:pPr>
      <w:rPr>
        <w:rFonts w:hint="default"/>
      </w:rPr>
    </w:lvl>
    <w:lvl w:ilvl="6">
      <w:start w:val="0"/>
      <w:numFmt w:val="bullet"/>
      <w:lvlText w:val="•"/>
      <w:lvlJc w:val="left"/>
      <w:pPr>
        <w:ind w:left="9439" w:hanging="720"/>
      </w:pPr>
      <w:rPr>
        <w:rFonts w:hint="default"/>
      </w:rPr>
    </w:lvl>
    <w:lvl w:ilvl="7">
      <w:start w:val="0"/>
      <w:numFmt w:val="bullet"/>
      <w:lvlText w:val="•"/>
      <w:lvlJc w:val="left"/>
      <w:pPr>
        <w:ind w:left="10779" w:hanging="720"/>
      </w:pPr>
      <w:rPr>
        <w:rFonts w:hint="default"/>
      </w:rPr>
    </w:lvl>
    <w:lvl w:ilvl="8">
      <w:start w:val="0"/>
      <w:numFmt w:val="bullet"/>
      <w:lvlText w:val="•"/>
      <w:lvlJc w:val="left"/>
      <w:pPr>
        <w:ind w:left="12119" w:hanging="720"/>
      </w:pPr>
      <w:rPr>
        <w:rFonts w:hint="default"/>
      </w:rPr>
    </w:lvl>
  </w:abstractNum>
  <w:num w:numId="1">
    <w:abstractNumId w:val="5"/>
  </w:num>
  <w:num w:numId="2">
    <w:abstractNumId w:val="2"/>
  </w:num>
  <w:num w:numId="3">
    <w:abstractNumId w:val="7"/>
  </w:num>
  <w:num w:numId="4">
    <w:abstractNumId w:val="8"/>
  </w:num>
  <w:num w:numId="5">
    <w:abstractNumId w:val="11"/>
  </w:num>
  <w:num w:numId="6">
    <w:abstractNumId w:val="3"/>
  </w:num>
  <w:num w:numId="7">
    <w:abstractNumId w:val="6"/>
  </w:num>
  <w:num w:numId="8">
    <w:abstractNumId w:val="9"/>
  </w:num>
  <w:num w:numId="9">
    <w:abstractNumId w:val="4"/>
  </w:num>
  <w:num w:numId="10">
    <w:abstractNumId w:val="1"/>
  </w:num>
  <w:num w:numId="11">
    <w:abstractNumId w:val="0"/>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48"/>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ind w:left="6319" w:right="7219"/>
      <w:jc w:val="center"/>
    </w:pPr>
    <w:rPr>
      <w:rFonts w:ascii="黑体" w:eastAsia="黑体" w:hAnsi="黑体" w:cs="黑体"/>
      <w:b/>
      <w:bCs/>
      <w:sz w:val="126"/>
      <w:szCs w:val="126"/>
    </w:rPr>
  </w:style>
  <w:style w:type="paragraph" w:styleId="ListParagraph">
    <w:name w:val="List Paragraph"/>
    <w:basedOn w:val="Normal"/>
    <w:uiPriority w:val="1"/>
    <w:qFormat/>
    <w:pPr>
      <w:ind w:left="148" w:hanging="721"/>
    </w:pPr>
    <w:rPr>
      <w:rFonts w:ascii="宋体" w:eastAsia="宋体" w:hAnsi="宋体" w:cs="宋体"/>
    </w:rPr>
  </w:style>
  <w:style w:type="paragraph" w:customStyle="1" w:styleId="TableParagraph">
    <w:name w:val="Table Paragraph"/>
    <w:basedOn w:val="Normal"/>
    <w:uiPriority w:val="1"/>
    <w:qFormat/>
    <w:pPr>
      <w:jc w:val="right"/>
    </w:pPr>
    <w:rPr>
      <w:rFonts w:ascii="Arial" w:eastAsia="Arial" w:hAnsi="Arial" w:cs="Arial"/>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footer" Target="footer2.xml" /><Relationship Id="rId13" Type="http://schemas.openxmlformats.org/officeDocument/2006/relationships/image" Target="media/image8.png" /><Relationship Id="rId14" Type="http://schemas.openxmlformats.org/officeDocument/2006/relationships/footer" Target="footer3.xml" /><Relationship Id="rId15" Type="http://schemas.openxmlformats.org/officeDocument/2006/relationships/image" Target="media/image9.png"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10.png" /><Relationship Id="rId22" Type="http://schemas.openxmlformats.org/officeDocument/2006/relationships/footer" Target="footer9.xml" /><Relationship Id="rId23" Type="http://schemas.openxmlformats.org/officeDocument/2006/relationships/footer" Target="footer10.xml" /><Relationship Id="rId24" Type="http://schemas.openxmlformats.org/officeDocument/2006/relationships/image" Target="media/image11.png" /><Relationship Id="rId25" Type="http://schemas.openxmlformats.org/officeDocument/2006/relationships/footer" Target="footer11.xml" /><Relationship Id="rId26" Type="http://schemas.openxmlformats.org/officeDocument/2006/relationships/image" Target="media/image12.png" /><Relationship Id="rId27" Type="http://schemas.openxmlformats.org/officeDocument/2006/relationships/image" Target="media/image13.png"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footer" Target="footer12.xml"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footer" Target="footer13.xml" /><Relationship Id="rId39" Type="http://schemas.openxmlformats.org/officeDocument/2006/relationships/footer" Target="footer14.xml" /><Relationship Id="rId4" Type="http://schemas.openxmlformats.org/officeDocument/2006/relationships/image" Target="media/image1.png" /><Relationship Id="rId40" Type="http://schemas.openxmlformats.org/officeDocument/2006/relationships/footer" Target="footer15.xml" /><Relationship Id="rId41" Type="http://schemas.openxmlformats.org/officeDocument/2006/relationships/footer" Target="footer16.xml" /><Relationship Id="rId42" Type="http://schemas.openxmlformats.org/officeDocument/2006/relationships/hyperlink" Target="https://d.book118.com/045011343202011121" TargetMode="External" /><Relationship Id="rId43" Type="http://schemas.openxmlformats.org/officeDocument/2006/relationships/footer" Target="footer17.xml" /><Relationship Id="rId44" Type="http://schemas.openxmlformats.org/officeDocument/2006/relationships/theme" Target="theme/theme1.xml" /><Relationship Id="rId45" Type="http://schemas.openxmlformats.org/officeDocument/2006/relationships/numbering" Target="numbering.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2024-02-21T19:27:34Z</dcterms:created>
  <dcterms:modified xsi:type="dcterms:W3CDTF">2024-02-21T19:27:34Z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LastSaved">
    <vt:filetime>2024-02-21T00:00:00Z</vt:filetime>
  </property>
</Properties>
</file>