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离子交换设备项目构思建设方案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3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_Toc32332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_Toc23991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_Toc28895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_Toc31260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_Toc20855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_Toc26649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4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_Toc21694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_Toc24549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_Toc23710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39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_Toc6039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_Toc28725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1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_Toc13041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_Toc2409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0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_Toc23720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_Toc1760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_Toc25741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_Toc7677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_Toc1017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7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_Toc15887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_Toc8921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3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_Toc30153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8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_Toc2498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_Toc13673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_Toc4596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_Toc23362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_Toc10813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11" w:history="1">
        <w:r>
          <w:rPr>
            <w:rFonts w:ascii="仿宋" w:eastAsia="仿宋" w:hAnsi="仿宋" w:cs="仿宋" w:hint="eastAsia"/>
            <w:lang w:eastAsia="zh-CN"/>
          </w:rPr>
          <w:t>六、离子交换设备项目概论</w:t>
        </w:r>
        <w:r>
          <w:tab/>
        </w:r>
        <w:r>
          <w:fldChar w:fldCharType="begin"/>
        </w:r>
        <w:r>
          <w:instrText xml:space="preserve"> PAGEREF _Toc9611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8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_Toc15258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08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_Toc22108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_Toc20978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_Toc8142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3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_Toc18383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_Toc24763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_Toc15554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_Toc9960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_Toc30420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_Toc30184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_Toc7765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548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_Toc7548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2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_Toc14962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_Toc18758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85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_Toc3285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3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_Toc20083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_Toc3944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1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_Toc31501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_Toc11462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_Toc30992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58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_Toc29058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8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_Toc11048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7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_Toc9337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6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_Toc22576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_Toc26300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9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_Toc25589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2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_Toc16352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eastAsia="zh-CN"/>
          </w:rPr>
          <w:t>十四、知识产权管理与保护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_Toc25010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4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_Toc17134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6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_Toc1696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_Toc3525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_Toc10328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8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_Toc5258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4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_Toc30824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1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_Toc32481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2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_Toc26462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3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_Toc25473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6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_Toc16656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9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_Toc14119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6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_Toc23176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_Toc2471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73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_Toc29173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_Toc21435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_Toc11085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_Toc1816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_Toc161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_Toc4090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1" w:history="1">
        <w:r>
          <w:rPr>
            <w:rFonts w:ascii="仿宋" w:eastAsia="仿宋" w:hAnsi="仿宋" w:cs="仿宋" w:hint="eastAsia"/>
            <w:lang w:eastAsia="zh-CN"/>
          </w:rPr>
          <w:t>二十、创新驱动与持续发展</w:t>
        </w:r>
        <w:r>
          <w:tab/>
        </w:r>
        <w:r>
          <w:fldChar w:fldCharType="begin"/>
        </w:r>
        <w:r>
          <w:instrText xml:space="preserve"> PAGEREF _Toc17921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_Toc12266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_Toc26018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33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99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89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离子交换设备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离子交换设备项目还将参与当地的环保活动和计划，如资助当地的环境保护项目或与社区合作进行环保宣传活动。通过这些活动，项目不仅能够提高自身的环境表现，还能在当地社区中树立积极的环保形象。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26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离子交换设备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离子交换设备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离子交换设备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85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在离子交换设备项目启动前，将进行一系列深入的地质调查，包括钻探和土壤取样，以深入了解项目区域的地层结构和土壤组成。特别是对于土壤的承载能力和地下水位的深度进行详细评估。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完成初始的地质风险评估后，离子交换设备项目将安装长期地质监测设备，如倾斜仪、裂缝计和地下水位计，以持续监测地质条件的变化。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64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离子交换设备项目将通过这些措施来适应和尊重特殊环境条件，确保项目的可持续发展，同时减少对环境的负面影响。这不仅有助于保护自然和文化遗产，还能提升项目在社会责任方面的表现和形象。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694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549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离子交换设备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3710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https://d.book118.com/045024124011011124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离子交换设备项目构思建设方案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BD1364"/>
    <w:rsid w:val="4CBD13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4502412401101112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2024-03-04T02:27:00Z</dcterms:created>
  <dcterms:modified xsi:type="dcterms:W3CDTF">2024-03-04T02:28:06Z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D27DD82C09974F45AA20441E4D3FAA42_11</vt:lpwstr>
  </property>
  <property fmtid="{D5CDD505-2E9C-101B-9397-08002B2CF9AE}" pid="3" name="KSOProductBuildVer">
    <vt:lpwstr>2052-12.1.0.16250</vt:lpwstr>
  </property>
</Properties>
</file>