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2024年癌症疫苗行业分析报告及未来五到十年行业发展趋势报告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4350" w:history="1">
        <w:r>
          <w:rPr>
            <w:rFonts w:eastAsia="微软雅黑" w:hint="eastAsia"/>
            <w:snapToGrid/>
            <w:lang w:val="en-US" w:eastAsia="en-US"/>
          </w:rPr>
          <w:t>一、关于未来5-10年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_Toc24350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014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_Toc10014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58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_Toc1958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015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_Toc31015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022" w:history="1">
        <w:r>
          <w:rPr>
            <w:rFonts w:eastAsia="微软雅黑" w:hint="eastAsia"/>
            <w:snapToGrid/>
            <w:lang w:val="en-US" w:eastAsia="zh-CN"/>
          </w:rPr>
          <w:t>(四)、2024-2029年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_Toc30022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2593" w:history="1">
        <w:r>
          <w:rPr>
            <w:rFonts w:eastAsia="微软雅黑" w:hint="eastAsia"/>
            <w:snapToGrid/>
            <w:lang w:val="en-US" w:eastAsia="en-US"/>
          </w:rPr>
          <w:t>二、宏观经济对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_Toc12593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929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_Toc17929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93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_Toc24934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874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_Toc9874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5207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行业“专业化能力”对盈利模式的影响分析</w:t>
        </w:r>
        <w:r>
          <w:tab/>
        </w:r>
        <w:r>
          <w:fldChar w:fldCharType="begin"/>
        </w:r>
        <w:r>
          <w:instrText xml:space="preserve"> PAGEREF _Toc25207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782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行业企业盈利模式运作的关键</w:t>
        </w:r>
        <w:r>
          <w:tab/>
        </w:r>
        <w:r>
          <w:fldChar w:fldCharType="begin"/>
        </w:r>
        <w:r>
          <w:instrText xml:space="preserve"> PAGEREF _Toc22782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853" w:history="1">
        <w:r>
          <w:rPr>
            <w:rFonts w:eastAsia="微软雅黑" w:hint="eastAsia"/>
            <w:snapToGrid/>
            <w:lang w:val="en-US" w:eastAsia="zh-CN"/>
          </w:rPr>
          <w:t>(二)、怎样培养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行业的业务能力</w:t>
        </w:r>
        <w:r>
          <w:tab/>
        </w:r>
        <w:r>
          <w:fldChar w:fldCharType="begin"/>
        </w:r>
        <w:r>
          <w:instrText xml:space="preserve"> PAGEREF _Toc20853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990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行业数据预测与分析</w:t>
        </w:r>
        <w:r>
          <w:tab/>
        </w:r>
        <w:r>
          <w:fldChar w:fldCharType="begin"/>
        </w:r>
        <w:r>
          <w:instrText xml:space="preserve"> PAGEREF _Toc990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792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行业时间序列预测与分析</w:t>
        </w:r>
        <w:r>
          <w:tab/>
        </w:r>
        <w:r>
          <w:fldChar w:fldCharType="begin"/>
        </w:r>
        <w:r>
          <w:instrText xml:space="preserve"> PAGEREF _Toc18792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58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行业时间曲线预测模型分析</w:t>
        </w:r>
        <w:r>
          <w:tab/>
        </w:r>
        <w:r>
          <w:fldChar w:fldCharType="begin"/>
        </w:r>
        <w:r>
          <w:instrText xml:space="preserve"> PAGEREF _Toc4585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861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行业差分方程预测模型分析</w:t>
        </w:r>
        <w:r>
          <w:tab/>
        </w:r>
        <w:r>
          <w:fldChar w:fldCharType="begin"/>
        </w:r>
        <w:r>
          <w:instrText xml:space="preserve"> PAGEREF _Toc7861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761" w:history="1">
        <w:r>
          <w:rPr>
            <w:rFonts w:eastAsia="微软雅黑" w:hint="eastAsia"/>
            <w:snapToGrid/>
            <w:lang w:val="en-US" w:eastAsia="zh-CN"/>
          </w:rPr>
          <w:t>(四)、未来5-10年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行业预测结论</w:t>
        </w:r>
        <w:r>
          <w:tab/>
        </w:r>
        <w:r>
          <w:fldChar w:fldCharType="begin"/>
        </w:r>
        <w:r>
          <w:instrText xml:space="preserve"> PAGEREF _Toc28761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1130" w:history="1">
        <w:r>
          <w:rPr>
            <w:rFonts w:eastAsia="微软雅黑" w:hint="eastAsia"/>
            <w:snapToGrid/>
            <w:lang w:val="en-US" w:eastAsia="en-US"/>
          </w:rPr>
          <w:t>五、2024-2029年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_Toc21130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508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_Toc10508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356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_Toc26356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486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_Toc32486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450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_Toc16450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733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_Toc9733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340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_Toc26340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066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_Toc16066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738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_Toc21738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696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_Toc12696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5323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行业风险控制解析</w:t>
        </w:r>
        <w:r>
          <w:tab/>
        </w:r>
        <w:r>
          <w:fldChar w:fldCharType="begin"/>
        </w:r>
        <w:r>
          <w:instrText xml:space="preserve"> PAGEREF _Toc5323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207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行业系统风险分析</w:t>
        </w:r>
        <w:r>
          <w:tab/>
        </w:r>
        <w:r>
          <w:fldChar w:fldCharType="begin"/>
        </w:r>
        <w:r>
          <w:instrText xml:space="preserve"> PAGEREF _Toc15207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37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行业第二产业的经营风险</w:t>
        </w:r>
        <w:r>
          <w:tab/>
        </w:r>
        <w:r>
          <w:fldChar w:fldCharType="begin"/>
        </w:r>
        <w:r>
          <w:instrText xml:space="preserve"> PAGEREF _Toc25379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3487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_Toc13487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373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_Toc21373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233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_Toc13233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445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_Toc14445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26783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_Toc26783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0872" w:history="1">
        <w:r>
          <w:rPr>
            <w:rFonts w:eastAsia="微软雅黑" w:hint="eastAsia"/>
            <w:snapToGrid/>
            <w:lang w:val="en-US" w:eastAsia="en-US"/>
          </w:rPr>
          <w:t>九、关于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_Toc20872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520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_Toc19520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621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_Toc5621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5533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_Toc15533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798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_Toc26798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669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_Toc16669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1181" w:history="1">
        <w:r>
          <w:rPr>
            <w:rFonts w:eastAsia="微软雅黑" w:hint="eastAsia"/>
            <w:snapToGrid/>
            <w:lang w:val="en-US" w:eastAsia="en-US"/>
          </w:rPr>
          <w:t>十、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_Toc11181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521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_Toc13521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50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_Toc4504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200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_Toc23200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8850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_Toc18850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9658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_Toc9658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6328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_Toc16328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0641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_Toc10641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5243" w:history="1">
        <w:r>
          <w:rPr>
            <w:rFonts w:eastAsia="微软雅黑" w:hint="eastAsia"/>
            <w:snapToGrid/>
            <w:lang w:val="en-US" w:eastAsia="en-US"/>
          </w:rPr>
          <w:t>十一、2024-2029年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行业竞争格局展望</w:t>
        </w:r>
        <w:r>
          <w:tab/>
        </w:r>
        <w:r>
          <w:fldChar w:fldCharType="begin"/>
        </w:r>
        <w:r>
          <w:instrText xml:space="preserve"> PAGEREF _Toc15243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20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行业经济周期分析</w:t>
        </w:r>
        <w:r>
          <w:tab/>
        </w:r>
        <w:r>
          <w:fldChar w:fldCharType="begin"/>
        </w:r>
        <w:r>
          <w:instrText xml:space="preserve"> PAGEREF _Toc29201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80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行业的增长与波动分析</w:t>
        </w:r>
        <w:r>
          <w:tab/>
        </w:r>
        <w:r>
          <w:fldChar w:fldCharType="begin"/>
        </w:r>
        <w:r>
          <w:instrText xml:space="preserve"> PAGEREF _Toc14800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109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行业市场成熟度分析</w:t>
        </w:r>
        <w:r>
          <w:tab/>
        </w:r>
        <w:r>
          <w:fldChar w:fldCharType="begin"/>
        </w:r>
        <w:r>
          <w:instrText xml:space="preserve"> PAGEREF _Toc20109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669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行业竞争分析</w:t>
        </w:r>
        <w:r>
          <w:tab/>
        </w:r>
        <w:r>
          <w:fldChar w:fldCharType="begin"/>
        </w:r>
        <w:r>
          <w:instrText xml:space="preserve"> PAGEREF _Toc669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522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行业国内外对比分析</w:t>
        </w:r>
        <w:r>
          <w:tab/>
        </w:r>
        <w:r>
          <w:fldChar w:fldCharType="begin"/>
        </w:r>
        <w:r>
          <w:instrText xml:space="preserve"> PAGEREF _Toc11522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833" w:history="1">
        <w:r>
          <w:rPr>
            <w:rFonts w:eastAsia="微软雅黑" w:hint="eastAsia"/>
            <w:snapToGrid/>
            <w:lang w:val="en-US" w:eastAsia="zh-CN"/>
          </w:rPr>
          <w:t>(二)、中国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行业品牌竞争格局分析</w:t>
        </w:r>
        <w:r>
          <w:tab/>
        </w:r>
        <w:r>
          <w:fldChar w:fldCharType="begin"/>
        </w:r>
        <w:r>
          <w:instrText xml:space="preserve"> PAGEREF _Toc16833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651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行业竞争强度分析</w:t>
        </w:r>
        <w:r>
          <w:tab/>
        </w:r>
        <w:r>
          <w:fldChar w:fldCharType="begin"/>
        </w:r>
        <w:r>
          <w:instrText xml:space="preserve"> PAGEREF _Toc20651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999" w:history="1">
        <w:r>
          <w:rPr>
            <w:rFonts w:eastAsia="微软雅黑" w:hint="eastAsia"/>
            <w:snapToGrid/>
            <w:lang w:val="en-US" w:eastAsia="zh-CN"/>
          </w:rPr>
          <w:t>(四)、初创公司大独角兽领衔</w:t>
        </w:r>
        <w:r>
          <w:tab/>
        </w:r>
        <w:r>
          <w:fldChar w:fldCharType="begin"/>
        </w:r>
        <w:r>
          <w:instrText xml:space="preserve"> PAGEREF _Toc24999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913" w:history="1">
        <w:r>
          <w:rPr>
            <w:rFonts w:eastAsia="微软雅黑" w:hint="eastAsia"/>
            <w:snapToGrid/>
            <w:lang w:val="en-US" w:eastAsia="zh-CN"/>
          </w:rPr>
          <w:t>(五)、上市公司双雄深耕多年</w:t>
        </w:r>
        <w:r>
          <w:tab/>
        </w:r>
        <w:r>
          <w:fldChar w:fldCharType="begin"/>
        </w:r>
        <w:r>
          <w:instrText xml:space="preserve"> PAGEREF _Toc17913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679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癌症疫苗</w:t>
        </w:r>
        <w:r>
          <w:rPr>
            <w:rFonts w:eastAsia="微软雅黑" w:hint="eastAsia"/>
            <w:snapToGrid/>
            <w:lang w:val="en-US" w:eastAsia="zh-CN"/>
          </w:rPr>
          <w:t>行业巨头综合优势明显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_Toc8679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272" w:history="1">
        <w:r>
          <w:rPr>
            <w:rFonts w:eastAsia="微软雅黑" w:hint="eastAsia"/>
            <w:snapToGrid/>
            <w:lang w:val="en-US" w:eastAsia="en-US"/>
          </w:rPr>
          <w:t>十三、</w:t>
        </w:r>
        <w:r>
          <w:rPr>
            <w:rFonts w:eastAsia="微软雅黑" w:hint="eastAsia"/>
            <w:snapToGrid/>
            <w:lang w:val="en-US" w:eastAsia="en-US"/>
          </w:rPr>
          <w:t>癌症疫苗</w:t>
        </w:r>
        <w:r>
          <w:rPr>
            <w:rFonts w:eastAsia="微软雅黑" w:hint="eastAsia"/>
            <w:snapToGrid/>
            <w:lang w:val="en-US" w:eastAsia="en-US"/>
          </w:rPr>
          <w:t>行业企业战略目标</w:t>
        </w:r>
        <w:r>
          <w:tab/>
        </w:r>
        <w:r>
          <w:fldChar w:fldCharType="begin"/>
        </w:r>
        <w:r>
          <w:instrText xml:space="preserve"> PAGEREF _Toc18272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Normal0"/>
        <w:spacing w:after="260" w:line="360" w:lineRule="auto"/>
        <w:jc w:val="center"/>
        <w:rPr>
          <w:rFonts w:ascii="微软雅黑" w:eastAsia="微软雅黑" w:hAnsi="微软雅黑" w:cs="微软雅黑"/>
          <w:b w:val="0"/>
        </w:rPr>
      </w:pPr>
      <w:r>
        <w:fldChar w:fldCharType="end"/>
      </w:r>
      <w:r>
        <w:rPr>
          <w:rFonts w:ascii="微软雅黑" w:eastAsia="微软雅黑" w:hAnsi="微软雅黑" w:cs="微软雅黑"/>
          <w:b w:val="0"/>
        </w:rPr>
        <w:br/>
      </w:r>
      <w:r>
        <w:rPr>
          <w:rFonts w:ascii="微软雅黑" w:eastAsia="微软雅黑" w:hAnsi="微软雅黑" w:cs="微软雅黑"/>
          <w:b w:val="0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https://d.book118.com/045032141202011034</w:t>
        </w:r>
      </w:hyperlink>
    </w:p>
    <w:p>
      <w:pPr>
        <w:pStyle w:val="Normal0"/>
        <w:spacing w:after="260" w:line="360" w:lineRule="auto"/>
        <w:jc w:val="center"/>
        <w:rPr>
          <w:rFonts w:ascii="微软雅黑" w:eastAsia="微软雅黑" w:hAnsi="微软雅黑" w:cs="微软雅黑"/>
          <w:b w:val="0"/>
        </w:rPr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045032141202011034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