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spacing w:line="540" w:lineRule="auto"/>
        <w:jc w:val="center"/>
        <w:rPr>
          <w:rFonts w:eastAsia="幼圆" w:hint="eastAsia"/>
          <w:b/>
          <w:sz w:val="36"/>
          <w:szCs w:val="36"/>
        </w:rPr>
      </w:pPr>
      <w:bookmarkStart w:id="0" w:name="_GoBack"/>
      <w:bookmarkEnd w:id="0"/>
    </w:p>
    <w:p>
      <w:pPr>
        <w:pStyle w:val="Normal0"/>
        <w:spacing w:line="540" w:lineRule="auto"/>
        <w:jc w:val="center"/>
        <w:rPr>
          <w:rFonts w:eastAsia="幼圆" w:hint="eastAsia"/>
          <w:b/>
          <w:sz w:val="36"/>
          <w:szCs w:val="36"/>
        </w:rPr>
      </w:pPr>
    </w:p>
    <w:p>
      <w:pPr>
        <w:pStyle w:val="Normal0"/>
        <w:spacing w:line="540" w:lineRule="auto"/>
        <w:jc w:val="center"/>
        <w:rPr>
          <w:rFonts w:eastAsia="幼圆" w:hint="eastAsia"/>
          <w:b/>
          <w:sz w:val="36"/>
          <w:szCs w:val="36"/>
        </w:rPr>
      </w:pPr>
    </w:p>
    <w:p>
      <w:pPr>
        <w:pStyle w:val="Normal0"/>
        <w:spacing w:line="540" w:lineRule="auto"/>
        <w:jc w:val="center"/>
        <w:rPr>
          <w:rFonts w:eastAsia="幼圆" w:hint="eastAsia"/>
          <w:b/>
          <w:sz w:val="36"/>
          <w:szCs w:val="36"/>
        </w:rPr>
      </w:pPr>
    </w:p>
    <w:p>
      <w:pPr>
        <w:pStyle w:val="Normal0"/>
        <w:spacing w:after="624" w:afterLines="200" w:line="420" w:lineRule="auto"/>
        <w:jc w:val="center"/>
        <w:rPr>
          <w:rFonts w:eastAsia="幼圆" w:hint="eastAsia"/>
          <w:b/>
          <w:sz w:val="36"/>
          <w:szCs w:val="36"/>
        </w:rPr>
      </w:pPr>
      <w:r>
        <w:rPr>
          <w:rFonts w:eastAsia="幼圆"/>
          <w:b/>
          <w:sz w:val="36"/>
          <w:szCs w:val="36"/>
        </w:rPr>
        <w:t>北京市通州区马驹桥镇C-06-1地块居住用地</w:t>
      </w:r>
      <w:r>
        <w:rPr>
          <w:rFonts w:eastAsia="幼圆" w:hint="eastAsia"/>
          <w:b/>
          <w:sz w:val="36"/>
          <w:szCs w:val="36"/>
          <w:lang w:eastAsia="zh-CN"/>
        </w:rPr>
        <w:t>相关项目</w:t>
      </w:r>
    </w:p>
    <w:p>
      <w:pPr>
        <w:pStyle w:val="Normal0"/>
        <w:spacing w:after="624" w:afterLines="200" w:line="420" w:lineRule="auto"/>
        <w:jc w:val="center"/>
        <w:rPr>
          <w:rFonts w:eastAsia="幼圆"/>
          <w:b/>
          <w:sz w:val="36"/>
          <w:szCs w:val="36"/>
        </w:rPr>
      </w:pPr>
      <w:r>
        <w:rPr>
          <w:rFonts w:eastAsia="幼圆"/>
          <w:b/>
          <w:sz w:val="36"/>
          <w:szCs w:val="36"/>
        </w:rPr>
        <w:t>（配建“限价商品住房”）</w:t>
      </w:r>
    </w:p>
    <w:p>
      <w:pPr>
        <w:pStyle w:val="Normal0"/>
        <w:spacing w:after="624" w:afterLines="200" w:line="360" w:lineRule="auto"/>
        <w:jc w:val="center"/>
        <w:rPr>
          <w:rFonts w:ascii="黑体" w:eastAsia="黑体" w:hint="eastAsia"/>
          <w:b/>
          <w:sz w:val="48"/>
          <w:szCs w:val="48"/>
        </w:rPr>
      </w:pPr>
      <w:r>
        <w:rPr>
          <w:rFonts w:ascii="黑体" w:eastAsia="黑体" w:hint="eastAsia"/>
          <w:b/>
          <w:sz w:val="48"/>
          <w:szCs w:val="48"/>
        </w:rPr>
        <w:t>环境影响报告书简本</w:t>
      </w: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jc w:val="center"/>
        <w:rPr>
          <w:rFonts w:hint="eastAsia"/>
        </w:rPr>
      </w:pPr>
    </w:p>
    <w:p>
      <w:pPr>
        <w:pStyle w:val="Normal0"/>
        <w:spacing w:line="720" w:lineRule="auto"/>
        <w:ind w:firstLine="720" w:firstLineChars="200"/>
        <w:rPr>
          <w:bCs/>
          <w:sz w:val="36"/>
          <w:szCs w:val="36"/>
        </w:rPr>
      </w:pPr>
      <w:r>
        <w:rPr>
          <w:rFonts w:hint="eastAsia"/>
          <w:sz w:val="36"/>
          <w:szCs w:val="36"/>
        </w:rPr>
        <w:t>建设单位：</w:t>
      </w:r>
      <w:r>
        <w:rPr>
          <w:bCs/>
          <w:sz w:val="36"/>
          <w:szCs w:val="36"/>
        </w:rPr>
        <w:t>北京极富房地产开发有限公司</w:t>
      </w:r>
    </w:p>
    <w:p>
      <w:pPr>
        <w:pStyle w:val="Normal0"/>
        <w:spacing w:line="720" w:lineRule="auto"/>
        <w:ind w:firstLine="720" w:firstLineChars="200"/>
        <w:rPr>
          <w:rFonts w:hint="eastAsia"/>
          <w:sz w:val="36"/>
          <w:szCs w:val="36"/>
        </w:rPr>
      </w:pPr>
      <w:r>
        <w:rPr>
          <w:rFonts w:hint="eastAsia"/>
          <w:sz w:val="36"/>
          <w:szCs w:val="36"/>
        </w:rPr>
        <w:t>评价单位：中国</w:t>
      </w:r>
      <w:r>
        <w:rPr>
          <w:sz w:val="36"/>
          <w:szCs w:val="36"/>
        </w:rPr>
        <w:t>航空规划建设发展有限公司</w:t>
      </w:r>
    </w:p>
    <w:p>
      <w:pPr>
        <w:pStyle w:val="Normal0"/>
        <w:spacing w:line="720" w:lineRule="auto"/>
        <w:jc w:val="center"/>
        <w:rPr>
          <w:rFonts w:hint="eastAsia"/>
          <w:sz w:val="36"/>
          <w:szCs w:val="36"/>
        </w:rPr>
        <w:sectPr>
          <w:headerReference w:type="even" r:id="rId5"/>
          <w:headerReference w:type="default" r:id="rId6"/>
          <w:footerReference w:type="even" r:id="rId7"/>
          <w:footerReference w:type="default" r:id="rId8"/>
          <w:headerReference w:type="first" r:id="rId9"/>
          <w:footerReference w:type="first" r:id="rId10"/>
          <w:pgSz w:w="11906" w:h="16838"/>
          <w:pgMar w:top="1440" w:right="1797" w:bottom="1440" w:left="1797" w:header="851" w:footer="992" w:gutter="0"/>
          <w:pgNumType w:fmt="upperRoman" w:start="1"/>
          <w:cols w:num="1" w:space="425"/>
          <w:titlePg/>
          <w:docGrid w:type="lines" w:linePitch="312" w:charSpace="0"/>
        </w:sectPr>
      </w:pPr>
      <w:r>
        <w:rPr>
          <w:rFonts w:hint="eastAsia"/>
          <w:sz w:val="36"/>
          <w:szCs w:val="36"/>
        </w:rPr>
        <w:t>2012年11月19日</w:t>
      </w:r>
    </w:p>
    <w:p>
      <w:pPr>
        <w:pStyle w:val="Normal0"/>
        <w:spacing w:line="720" w:lineRule="auto"/>
        <w:jc w:val="center"/>
        <w:rPr>
          <w:rFonts w:hint="eastAsia"/>
          <w:sz w:val="36"/>
          <w:szCs w:val="36"/>
        </w:rPr>
      </w:pPr>
    </w:p>
    <w:p>
      <w:pPr>
        <w:pStyle w:val="Normal0"/>
        <w:spacing w:line="720" w:lineRule="auto"/>
        <w:jc w:val="center"/>
        <w:rPr>
          <w:rFonts w:hint="eastAsia"/>
          <w:sz w:val="36"/>
          <w:szCs w:val="36"/>
        </w:rPr>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797" w:bottom="1440" w:left="1797" w:header="851" w:footer="992" w:gutter="0"/>
          <w:pgNumType w:fmt="upperRoman" w:start="2"/>
          <w:cols w:num="1" w:space="425"/>
          <w:titlePg w:val="0"/>
          <w:docGrid w:type="lines" w:linePitch="312" w:charSpace="0"/>
        </w:sectPr>
      </w:pPr>
    </w:p>
    <w:p>
      <w:pPr>
        <w:pStyle w:val="NormalIndent"/>
        <w:ind w:firstLine="72" w:firstLineChars="20"/>
        <w:jc w:val="center"/>
        <w:rPr>
          <w:rFonts w:ascii="楷体_GB2312" w:hAnsi="Times New Roman" w:hint="eastAsia"/>
          <w:sz w:val="36"/>
          <w:szCs w:val="30"/>
        </w:rPr>
      </w:pPr>
      <w:r>
        <w:rPr>
          <w:rFonts w:ascii="楷体_GB2312" w:hAnsi="Times New Roman" w:hint="eastAsia"/>
          <w:sz w:val="36"/>
          <w:szCs w:val="30"/>
        </w:rPr>
        <w:t>目录</w:t>
      </w:r>
    </w:p>
    <w:p>
      <w:pPr>
        <w:pStyle w:val="TOC2"/>
        <w:rPr>
          <w:bCs w:val="0"/>
          <w:sz w:val="21"/>
        </w:rPr>
      </w:pPr>
      <w:r>
        <w:fldChar w:fldCharType="begin"/>
      </w:r>
      <w:r>
        <w:instrText xml:space="preserve"> </w:instrText>
      </w:r>
      <w:r>
        <w:rPr>
          <w:rFonts w:hint="eastAsia"/>
        </w:rPr>
        <w:instrText>TOC \o "1-3" \h \z \u</w:instrText>
      </w:r>
      <w:r>
        <w:instrText xml:space="preserve"> </w:instrText>
      </w:r>
      <w:r>
        <w:fldChar w:fldCharType="separate"/>
      </w:r>
      <w:hyperlink w:anchor="_Toc340052868" w:history="1">
        <w:r>
          <w:rPr>
            <w:rStyle w:val="Hyperlink"/>
            <w:rFonts w:hint="eastAsia"/>
          </w:rPr>
          <w:t>前言</w:t>
        </w:r>
        <w:r>
          <w:tab/>
        </w:r>
        <w:r>
          <w:tab/>
        </w:r>
        <w:r>
          <w:fldChar w:fldCharType="begin"/>
        </w:r>
        <w:r>
          <w:instrText xml:space="preserve"> PAGEREF _Toc340052868 \h </w:instrText>
        </w:r>
        <w:r>
          <w:fldChar w:fldCharType="separate"/>
        </w:r>
        <w:r>
          <w:t>1</w:t>
        </w:r>
        <w:r>
          <w:fldChar w:fldCharType="end"/>
        </w:r>
      </w:hyperlink>
    </w:p>
    <w:p>
      <w:pPr>
        <w:pStyle w:val="TOC2"/>
        <w:ind w:firstLine="5"/>
        <w:rPr>
          <w:bCs w:val="0"/>
          <w:sz w:val="21"/>
        </w:rPr>
      </w:pPr>
      <w:hyperlink w:anchor="_Toc340052869" w:history="1">
        <w:r>
          <w:rPr>
            <w:rStyle w:val="Hyperlink"/>
          </w:rPr>
          <w:t>1.</w:t>
        </w:r>
        <w:r>
          <w:rPr>
            <w:rStyle w:val="Hyperlink"/>
            <w:rFonts w:hint="eastAsia"/>
          </w:rPr>
          <w:t>建设相关项目概况</w:t>
        </w:r>
        <w:r>
          <w:tab/>
        </w:r>
        <w:r>
          <w:fldChar w:fldCharType="begin"/>
        </w:r>
        <w:r>
          <w:instrText xml:space="preserve"> PAGEREF _Toc340052869 \h </w:instrText>
        </w:r>
        <w:r>
          <w:fldChar w:fldCharType="separate"/>
        </w:r>
        <w:r>
          <w:t>3</w:t>
        </w:r>
        <w:r>
          <w:fldChar w:fldCharType="end"/>
        </w:r>
      </w:hyperlink>
    </w:p>
    <w:p>
      <w:pPr>
        <w:pStyle w:val="TOC3"/>
      </w:pPr>
      <w:hyperlink w:anchor="_Toc340052870" w:history="1">
        <w:r>
          <w:rPr>
            <w:rStyle w:val="Hyperlink"/>
          </w:rPr>
          <w:t>1.1</w:t>
        </w:r>
        <w:r>
          <w:tab/>
        </w:r>
        <w:r>
          <w:rPr>
            <w:rStyle w:val="Hyperlink"/>
            <w:rFonts w:hint="eastAsia"/>
          </w:rPr>
          <w:t>相关项目概况</w:t>
        </w:r>
        <w:r>
          <w:tab/>
        </w:r>
        <w:r>
          <w:fldChar w:fldCharType="begin"/>
        </w:r>
        <w:r>
          <w:instrText xml:space="preserve"> PAGEREF _Toc340052870 \h </w:instrText>
        </w:r>
        <w:r>
          <w:fldChar w:fldCharType="separate"/>
        </w:r>
        <w:r>
          <w:t>3</w:t>
        </w:r>
        <w:r>
          <w:fldChar w:fldCharType="end"/>
        </w:r>
      </w:hyperlink>
    </w:p>
    <w:p>
      <w:pPr>
        <w:pStyle w:val="TOC3"/>
      </w:pPr>
      <w:hyperlink w:anchor="_Toc340052871" w:history="1">
        <w:r>
          <w:rPr>
            <w:rStyle w:val="Hyperlink"/>
          </w:rPr>
          <w:t>1.2</w:t>
        </w:r>
        <w:r>
          <w:tab/>
        </w:r>
        <w:r>
          <w:rPr>
            <w:rStyle w:val="Hyperlink"/>
            <w:rFonts w:hint="eastAsia"/>
          </w:rPr>
          <w:t>政策、规划相符性</w:t>
        </w:r>
        <w:r>
          <w:tab/>
        </w:r>
        <w:r>
          <w:fldChar w:fldCharType="begin"/>
        </w:r>
        <w:r>
          <w:instrText xml:space="preserve"> PAGEREF _Toc340052871 \h </w:instrText>
        </w:r>
        <w:r>
          <w:fldChar w:fldCharType="separate"/>
        </w:r>
        <w:r>
          <w:t>4</w:t>
        </w:r>
        <w:r>
          <w:fldChar w:fldCharType="end"/>
        </w:r>
      </w:hyperlink>
    </w:p>
    <w:p>
      <w:pPr>
        <w:pStyle w:val="TOC2"/>
        <w:ind w:firstLine="5"/>
        <w:rPr>
          <w:bCs w:val="0"/>
          <w:sz w:val="21"/>
        </w:rPr>
      </w:pPr>
      <w:hyperlink w:anchor="_Toc340052872" w:history="1">
        <w:r>
          <w:rPr>
            <w:rStyle w:val="Hyperlink"/>
          </w:rPr>
          <w:t>2.</w:t>
        </w:r>
        <w:r>
          <w:rPr>
            <w:rStyle w:val="Hyperlink"/>
            <w:rFonts w:hint="eastAsia"/>
          </w:rPr>
          <w:t>建设相关项目周边环境现状</w:t>
        </w:r>
        <w:r>
          <w:tab/>
        </w:r>
        <w:r>
          <w:fldChar w:fldCharType="begin"/>
        </w:r>
        <w:r>
          <w:instrText xml:space="preserve"> PAGEREF _Toc340052872 \h </w:instrText>
        </w:r>
        <w:r>
          <w:fldChar w:fldCharType="separate"/>
        </w:r>
        <w:r>
          <w:t>4</w:t>
        </w:r>
        <w:r>
          <w:fldChar w:fldCharType="end"/>
        </w:r>
      </w:hyperlink>
    </w:p>
    <w:p>
      <w:pPr>
        <w:pStyle w:val="TOC3"/>
      </w:pPr>
      <w:hyperlink w:anchor="_Toc340052873" w:history="1">
        <w:r>
          <w:rPr>
            <w:rStyle w:val="Hyperlink"/>
          </w:rPr>
          <w:t>2.1</w:t>
        </w:r>
        <w:r>
          <w:tab/>
        </w:r>
        <w:r>
          <w:rPr>
            <w:rStyle w:val="Hyperlink"/>
            <w:rFonts w:hint="eastAsia"/>
          </w:rPr>
          <w:t>相关项目周边概况</w:t>
        </w:r>
        <w:r>
          <w:tab/>
        </w:r>
        <w:r>
          <w:fldChar w:fldCharType="begin"/>
        </w:r>
        <w:r>
          <w:instrText xml:space="preserve"> PAGEREF _Toc340052873 \h </w:instrText>
        </w:r>
        <w:r>
          <w:fldChar w:fldCharType="separate"/>
        </w:r>
        <w:r>
          <w:t>4</w:t>
        </w:r>
        <w:r>
          <w:fldChar w:fldCharType="end"/>
        </w:r>
      </w:hyperlink>
    </w:p>
    <w:p>
      <w:pPr>
        <w:pStyle w:val="TOC3"/>
      </w:pPr>
      <w:hyperlink w:anchor="_Toc340052874" w:history="1">
        <w:r>
          <w:rPr>
            <w:rStyle w:val="Hyperlink"/>
          </w:rPr>
          <w:t>2.2</w:t>
        </w:r>
        <w:r>
          <w:tab/>
        </w:r>
        <w:r>
          <w:rPr>
            <w:rStyle w:val="Hyperlink"/>
            <w:rFonts w:hint="eastAsia"/>
          </w:rPr>
          <w:t>环境质量现状</w:t>
        </w:r>
        <w:r>
          <w:tab/>
        </w:r>
        <w:r>
          <w:fldChar w:fldCharType="begin"/>
        </w:r>
        <w:r>
          <w:instrText xml:space="preserve"> PAGEREF _Toc340052874 \h </w:instrText>
        </w:r>
        <w:r>
          <w:fldChar w:fldCharType="separate"/>
        </w:r>
        <w:r>
          <w:t>4</w:t>
        </w:r>
        <w:r>
          <w:fldChar w:fldCharType="end"/>
        </w:r>
      </w:hyperlink>
    </w:p>
    <w:p>
      <w:pPr>
        <w:pStyle w:val="TOC3"/>
      </w:pPr>
      <w:hyperlink w:anchor="_Toc340052875" w:history="1">
        <w:r>
          <w:rPr>
            <w:rStyle w:val="Hyperlink"/>
          </w:rPr>
          <w:t>2.3</w:t>
        </w:r>
        <w:r>
          <w:tab/>
        </w:r>
        <w:r>
          <w:rPr>
            <w:rStyle w:val="Hyperlink"/>
            <w:rFonts w:hint="eastAsia"/>
          </w:rPr>
          <w:t>评价范围及环境敏感区</w:t>
        </w:r>
        <w:r>
          <w:tab/>
        </w:r>
        <w:r>
          <w:fldChar w:fldCharType="begin"/>
        </w:r>
        <w:r>
          <w:instrText xml:space="preserve"> PAGEREF _Toc340052875 \h </w:instrText>
        </w:r>
        <w:r>
          <w:fldChar w:fldCharType="separate"/>
        </w:r>
        <w:r>
          <w:t>8</w:t>
        </w:r>
        <w:r>
          <w:fldChar w:fldCharType="end"/>
        </w:r>
      </w:hyperlink>
    </w:p>
    <w:p>
      <w:pPr>
        <w:pStyle w:val="TOC2"/>
        <w:ind w:firstLine="5"/>
        <w:rPr>
          <w:bCs w:val="0"/>
          <w:sz w:val="21"/>
        </w:rPr>
      </w:pPr>
      <w:hyperlink w:anchor="_Toc340052876" w:history="1">
        <w:r>
          <w:rPr>
            <w:rStyle w:val="Hyperlink"/>
          </w:rPr>
          <w:t>3.</w:t>
        </w:r>
        <w:r>
          <w:rPr>
            <w:rStyle w:val="Hyperlink"/>
            <w:rFonts w:hint="eastAsia"/>
          </w:rPr>
          <w:t>工程分析</w:t>
        </w:r>
        <w:r>
          <w:tab/>
        </w:r>
        <w:r>
          <w:fldChar w:fldCharType="begin"/>
        </w:r>
        <w:r>
          <w:instrText xml:space="preserve"> PAGEREF _Toc340052876 \h </w:instrText>
        </w:r>
        <w:r>
          <w:fldChar w:fldCharType="separate"/>
        </w:r>
        <w:r>
          <w:t>12</w:t>
        </w:r>
        <w:r>
          <w:fldChar w:fldCharType="end"/>
        </w:r>
      </w:hyperlink>
    </w:p>
    <w:p>
      <w:pPr>
        <w:pStyle w:val="TOC3"/>
      </w:pPr>
      <w:hyperlink w:anchor="_Toc340052877" w:history="1">
        <w:r>
          <w:rPr>
            <w:rStyle w:val="Hyperlink"/>
          </w:rPr>
          <w:t>3.1</w:t>
        </w:r>
        <w:r>
          <w:rPr>
            <w:rStyle w:val="Hyperlink"/>
            <w:rFonts w:hint="eastAsia"/>
          </w:rPr>
          <w:t>建设合适的内容</w:t>
        </w:r>
        <w:r>
          <w:tab/>
        </w:r>
        <w:r>
          <w:fldChar w:fldCharType="begin"/>
        </w:r>
        <w:r>
          <w:instrText xml:space="preserve"> PAGEREF _Toc340052877 \h </w:instrText>
        </w:r>
        <w:r>
          <w:fldChar w:fldCharType="separate"/>
        </w:r>
        <w:r>
          <w:t>12</w:t>
        </w:r>
        <w:r>
          <w:fldChar w:fldCharType="end"/>
        </w:r>
      </w:hyperlink>
    </w:p>
    <w:p>
      <w:pPr>
        <w:pStyle w:val="TOC3"/>
      </w:pPr>
      <w:hyperlink w:anchor="_Toc340052878" w:history="1">
        <w:r>
          <w:rPr>
            <w:rStyle w:val="Hyperlink"/>
          </w:rPr>
          <w:t>3.2</w:t>
        </w:r>
        <w:r>
          <w:rPr>
            <w:rStyle w:val="Hyperlink"/>
            <w:rFonts w:hint="eastAsia"/>
          </w:rPr>
          <w:t>施工期污染源分析</w:t>
        </w:r>
        <w:r>
          <w:tab/>
        </w:r>
        <w:r>
          <w:fldChar w:fldCharType="begin"/>
        </w:r>
        <w:r>
          <w:instrText xml:space="preserve"> PAGEREF _Toc340052878 \h </w:instrText>
        </w:r>
        <w:r>
          <w:fldChar w:fldCharType="separate"/>
        </w:r>
        <w:r>
          <w:t>13</w:t>
        </w:r>
        <w:r>
          <w:fldChar w:fldCharType="end"/>
        </w:r>
      </w:hyperlink>
    </w:p>
    <w:p>
      <w:pPr>
        <w:pStyle w:val="TOC3"/>
      </w:pPr>
      <w:hyperlink w:anchor="_Toc340052879" w:history="1">
        <w:r>
          <w:rPr>
            <w:rStyle w:val="Hyperlink"/>
          </w:rPr>
          <w:t>3.3</w:t>
        </w:r>
        <w:r>
          <w:rPr>
            <w:rStyle w:val="Hyperlink"/>
            <w:rFonts w:hint="eastAsia"/>
          </w:rPr>
          <w:t>运营期污染源分析</w:t>
        </w:r>
        <w:r>
          <w:tab/>
        </w:r>
        <w:r>
          <w:fldChar w:fldCharType="begin"/>
        </w:r>
        <w:r>
          <w:instrText xml:space="preserve"> PAGEREF _Toc340052879 \h </w:instrText>
        </w:r>
        <w:r>
          <w:fldChar w:fldCharType="separate"/>
        </w:r>
        <w:r>
          <w:t>14</w:t>
        </w:r>
        <w:r>
          <w:fldChar w:fldCharType="end"/>
        </w:r>
      </w:hyperlink>
    </w:p>
    <w:p>
      <w:pPr>
        <w:pStyle w:val="TOC2"/>
        <w:ind w:firstLine="5"/>
        <w:rPr>
          <w:bCs w:val="0"/>
          <w:sz w:val="21"/>
        </w:rPr>
      </w:pPr>
      <w:hyperlink w:anchor="_Toc340052880" w:history="1">
        <w:r>
          <w:rPr>
            <w:rStyle w:val="Hyperlink"/>
          </w:rPr>
          <w:t>4.</w:t>
        </w:r>
        <w:r>
          <w:rPr>
            <w:rStyle w:val="Hyperlink"/>
            <w:rFonts w:hint="eastAsia"/>
          </w:rPr>
          <w:t>环境影响预测与评价</w:t>
        </w:r>
        <w:r>
          <w:tab/>
        </w:r>
        <w:r>
          <w:fldChar w:fldCharType="begin"/>
        </w:r>
        <w:r>
          <w:instrText xml:space="preserve"> PAGEREF _Toc340052880 \h </w:instrText>
        </w:r>
        <w:r>
          <w:fldChar w:fldCharType="separate"/>
        </w:r>
        <w:r>
          <w:t>19</w:t>
        </w:r>
        <w:r>
          <w:fldChar w:fldCharType="end"/>
        </w:r>
      </w:hyperlink>
    </w:p>
    <w:p>
      <w:pPr>
        <w:pStyle w:val="TOC3"/>
      </w:pPr>
      <w:hyperlink w:anchor="_Toc340052881" w:history="1">
        <w:r>
          <w:rPr>
            <w:rStyle w:val="Hyperlink"/>
          </w:rPr>
          <w:t xml:space="preserve">4.1 </w:t>
        </w:r>
        <w:r>
          <w:rPr>
            <w:rStyle w:val="Hyperlink"/>
            <w:rFonts w:hint="eastAsia"/>
          </w:rPr>
          <w:t>施工期环境影响分析</w:t>
        </w:r>
        <w:r>
          <w:tab/>
        </w:r>
        <w:r>
          <w:fldChar w:fldCharType="begin"/>
        </w:r>
        <w:r>
          <w:instrText xml:space="preserve"> PAGEREF _Toc340052881 \h </w:instrText>
        </w:r>
        <w:r>
          <w:fldChar w:fldCharType="separate"/>
        </w:r>
        <w:r>
          <w:t>19</w:t>
        </w:r>
        <w:r>
          <w:fldChar w:fldCharType="end"/>
        </w:r>
      </w:hyperlink>
    </w:p>
    <w:p>
      <w:pPr>
        <w:pStyle w:val="TOC3"/>
      </w:pPr>
      <w:hyperlink w:anchor="_Toc340052882" w:history="1">
        <w:r>
          <w:rPr>
            <w:rStyle w:val="Hyperlink"/>
          </w:rPr>
          <w:t xml:space="preserve">4.2 </w:t>
        </w:r>
        <w:r>
          <w:rPr>
            <w:rStyle w:val="Hyperlink"/>
            <w:rFonts w:hint="eastAsia"/>
          </w:rPr>
          <w:t>运营期环境影响分析</w:t>
        </w:r>
        <w:r>
          <w:tab/>
        </w:r>
        <w:r>
          <w:fldChar w:fldCharType="begin"/>
        </w:r>
        <w:r>
          <w:instrText xml:space="preserve"> PAGEREF _Toc340052882 \h </w:instrText>
        </w:r>
        <w:r>
          <w:fldChar w:fldCharType="separate"/>
        </w:r>
        <w:r>
          <w:t>20</w:t>
        </w:r>
        <w:r>
          <w:fldChar w:fldCharType="end"/>
        </w:r>
      </w:hyperlink>
    </w:p>
    <w:p>
      <w:pPr>
        <w:pStyle w:val="TOC2"/>
        <w:ind w:firstLine="5"/>
        <w:rPr>
          <w:bCs w:val="0"/>
          <w:sz w:val="21"/>
        </w:rPr>
      </w:pPr>
      <w:hyperlink w:anchor="_Toc340052883" w:history="1">
        <w:r>
          <w:rPr>
            <w:rStyle w:val="Hyperlink"/>
          </w:rPr>
          <w:t>5.</w:t>
        </w:r>
        <w:r>
          <w:rPr>
            <w:rStyle w:val="Hyperlink"/>
            <w:rFonts w:hint="eastAsia"/>
          </w:rPr>
          <w:t>环保措施及措施的技术经济论证</w:t>
        </w:r>
        <w:r>
          <w:tab/>
        </w:r>
        <w:r>
          <w:fldChar w:fldCharType="begin"/>
        </w:r>
        <w:r>
          <w:instrText xml:space="preserve"> PAGEREF _Toc340052883 \h </w:instrText>
        </w:r>
        <w:r>
          <w:fldChar w:fldCharType="separate"/>
        </w:r>
        <w:r>
          <w:t>23</w:t>
        </w:r>
        <w:r>
          <w:fldChar w:fldCharType="end"/>
        </w:r>
      </w:hyperlink>
    </w:p>
    <w:p>
      <w:pPr>
        <w:pStyle w:val="TOC3"/>
      </w:pPr>
      <w:hyperlink w:anchor="_Toc340052884" w:history="1">
        <w:r>
          <w:rPr>
            <w:rStyle w:val="Hyperlink"/>
          </w:rPr>
          <w:t>5.1</w:t>
        </w:r>
        <w:r>
          <w:tab/>
        </w:r>
        <w:r>
          <w:rPr>
            <w:rStyle w:val="Hyperlink"/>
            <w:rFonts w:hint="eastAsia"/>
          </w:rPr>
          <w:t>施工期污染防治措施</w:t>
        </w:r>
        <w:r>
          <w:tab/>
        </w:r>
        <w:r>
          <w:fldChar w:fldCharType="begin"/>
        </w:r>
        <w:r>
          <w:instrText xml:space="preserve"> PAGEREF _Toc340052884 \h </w:instrText>
        </w:r>
        <w:r>
          <w:fldChar w:fldCharType="separate"/>
        </w:r>
        <w:r>
          <w:t>23</w:t>
        </w:r>
        <w:r>
          <w:fldChar w:fldCharType="end"/>
        </w:r>
      </w:hyperlink>
    </w:p>
    <w:p>
      <w:pPr>
        <w:pStyle w:val="TOC3"/>
      </w:pPr>
      <w:hyperlink w:anchor="_Toc340052885" w:history="1">
        <w:r>
          <w:rPr>
            <w:rStyle w:val="Hyperlink"/>
          </w:rPr>
          <w:t>5.2</w:t>
        </w:r>
        <w:r>
          <w:tab/>
        </w:r>
        <w:r>
          <w:rPr>
            <w:rStyle w:val="Hyperlink"/>
            <w:rFonts w:hint="eastAsia"/>
          </w:rPr>
          <w:t>运营期环保措施及其技术经济论证</w:t>
        </w:r>
        <w:r>
          <w:tab/>
        </w:r>
        <w:r>
          <w:fldChar w:fldCharType="begin"/>
        </w:r>
        <w:r>
          <w:instrText xml:space="preserve"> PAGEREF _Toc340052885 \h </w:instrText>
        </w:r>
        <w:r>
          <w:fldChar w:fldCharType="separate"/>
        </w:r>
        <w:r>
          <w:t>26</w:t>
        </w:r>
        <w:r>
          <w:fldChar w:fldCharType="end"/>
        </w:r>
      </w:hyperlink>
    </w:p>
    <w:p>
      <w:pPr>
        <w:pStyle w:val="TOC2"/>
        <w:ind w:firstLine="5"/>
        <w:rPr>
          <w:bCs w:val="0"/>
          <w:sz w:val="21"/>
        </w:rPr>
      </w:pPr>
      <w:hyperlink w:anchor="_Toc340052886" w:history="1">
        <w:r>
          <w:rPr>
            <w:rStyle w:val="Hyperlink"/>
          </w:rPr>
          <w:t>6.</w:t>
        </w:r>
        <w:r>
          <w:rPr>
            <w:rStyle w:val="Hyperlink"/>
            <w:rFonts w:hint="eastAsia"/>
          </w:rPr>
          <w:t>环境影响经济损益分析</w:t>
        </w:r>
        <w:r>
          <w:tab/>
        </w:r>
        <w:r>
          <w:fldChar w:fldCharType="begin"/>
        </w:r>
        <w:r>
          <w:instrText xml:space="preserve"> PAGEREF _Toc340052886 \h </w:instrText>
        </w:r>
        <w:r>
          <w:fldChar w:fldCharType="separate"/>
        </w:r>
        <w:r>
          <w:t>28</w:t>
        </w:r>
        <w:r>
          <w:fldChar w:fldCharType="end"/>
        </w:r>
      </w:hyperlink>
    </w:p>
    <w:p>
      <w:pPr>
        <w:pStyle w:val="TOC3"/>
      </w:pPr>
      <w:hyperlink w:anchor="_Toc340052887" w:history="1">
        <w:r>
          <w:rPr>
            <w:rStyle w:val="Hyperlink"/>
          </w:rPr>
          <w:t>6.1</w:t>
        </w:r>
        <w:r>
          <w:tab/>
        </w:r>
        <w:r>
          <w:rPr>
            <w:rStyle w:val="Hyperlink"/>
            <w:rFonts w:hint="eastAsia"/>
          </w:rPr>
          <w:t>相关项目投资及经济效益简要分析</w:t>
        </w:r>
        <w:r>
          <w:tab/>
        </w:r>
        <w:r>
          <w:fldChar w:fldCharType="begin"/>
        </w:r>
        <w:r>
          <w:instrText xml:space="preserve"> PAGEREF _Toc340052887 \h </w:instrText>
        </w:r>
        <w:r>
          <w:fldChar w:fldCharType="separate"/>
        </w:r>
        <w:r>
          <w:t>28</w:t>
        </w:r>
        <w:r>
          <w:fldChar w:fldCharType="end"/>
        </w:r>
      </w:hyperlink>
    </w:p>
    <w:p>
      <w:pPr>
        <w:pStyle w:val="TOC3"/>
      </w:pPr>
      <w:hyperlink w:anchor="_Toc340052888" w:history="1">
        <w:r>
          <w:rPr>
            <w:rStyle w:val="Hyperlink"/>
          </w:rPr>
          <w:t>6.2</w:t>
        </w:r>
        <w:r>
          <w:tab/>
        </w:r>
        <w:r>
          <w:rPr>
            <w:rStyle w:val="Hyperlink"/>
            <w:rFonts w:hint="eastAsia"/>
          </w:rPr>
          <w:t>相关项目环境效益分析</w:t>
        </w:r>
        <w:r>
          <w:tab/>
        </w:r>
        <w:r>
          <w:fldChar w:fldCharType="begin"/>
        </w:r>
        <w:r>
          <w:instrText xml:space="preserve"> PAGEREF _Toc340052888 \h </w:instrText>
        </w:r>
        <w:r>
          <w:fldChar w:fldCharType="separate"/>
        </w:r>
        <w:r>
          <w:t>29</w:t>
        </w:r>
        <w:r>
          <w:fldChar w:fldCharType="end"/>
        </w:r>
      </w:hyperlink>
    </w:p>
    <w:p>
      <w:pPr>
        <w:pStyle w:val="TOC3"/>
      </w:pPr>
      <w:hyperlink w:anchor="_Toc340052889" w:history="1">
        <w:r>
          <w:rPr>
            <w:rStyle w:val="Hyperlink"/>
          </w:rPr>
          <w:t>6.3</w:t>
        </w:r>
        <w:r>
          <w:tab/>
        </w:r>
        <w:r>
          <w:rPr>
            <w:rStyle w:val="Hyperlink"/>
            <w:rFonts w:hint="eastAsia"/>
          </w:rPr>
          <w:t>相关项目经济效益、环境效益和社会效益综合分析</w:t>
        </w:r>
        <w:r>
          <w:tab/>
        </w:r>
        <w:r>
          <w:fldChar w:fldCharType="begin"/>
        </w:r>
        <w:r>
          <w:instrText xml:space="preserve"> PAGEREF _Toc340052889 \h </w:instrText>
        </w:r>
        <w:r>
          <w:fldChar w:fldCharType="separate"/>
        </w:r>
        <w:r>
          <w:t>30</w:t>
        </w:r>
        <w:r>
          <w:fldChar w:fldCharType="end"/>
        </w:r>
      </w:hyperlink>
    </w:p>
    <w:p>
      <w:pPr>
        <w:pStyle w:val="TOC2"/>
        <w:ind w:firstLine="5"/>
        <w:rPr>
          <w:bCs w:val="0"/>
          <w:sz w:val="21"/>
        </w:rPr>
      </w:pPr>
      <w:hyperlink w:anchor="_Toc340052890" w:history="1">
        <w:r>
          <w:rPr>
            <w:rStyle w:val="Hyperlink"/>
          </w:rPr>
          <w:t>7.</w:t>
        </w:r>
        <w:r>
          <w:rPr>
            <w:rStyle w:val="Hyperlink"/>
            <w:rFonts w:hint="eastAsia"/>
          </w:rPr>
          <w:t>环境管理管控与监控相关计划</w:t>
        </w:r>
        <w:r>
          <w:tab/>
        </w:r>
        <w:r>
          <w:fldChar w:fldCharType="begin"/>
        </w:r>
        <w:r>
          <w:instrText xml:space="preserve"> PAGEREF _Toc340052890 \h </w:instrText>
        </w:r>
        <w:r>
          <w:fldChar w:fldCharType="separate"/>
        </w:r>
        <w:r>
          <w:t>30</w:t>
        </w:r>
        <w:r>
          <w:fldChar w:fldCharType="end"/>
        </w:r>
      </w:hyperlink>
    </w:p>
    <w:p>
      <w:pPr>
        <w:pStyle w:val="TOC3"/>
      </w:pPr>
      <w:hyperlink w:anchor="_Toc340052891" w:history="1">
        <w:r>
          <w:rPr>
            <w:rStyle w:val="Hyperlink"/>
          </w:rPr>
          <w:t>7.1</w:t>
        </w:r>
        <w:r>
          <w:tab/>
        </w:r>
        <w:r>
          <w:rPr>
            <w:rStyle w:val="Hyperlink"/>
            <w:rFonts w:hint="eastAsia"/>
          </w:rPr>
          <w:t>施工期环境管理管控与监控相关计划</w:t>
        </w:r>
        <w:r>
          <w:tab/>
        </w:r>
        <w:r>
          <w:fldChar w:fldCharType="begin"/>
        </w:r>
        <w:r>
          <w:instrText xml:space="preserve"> PAGEREF _Toc340052891 \h </w:instrText>
        </w:r>
        <w:r>
          <w:fldChar w:fldCharType="separate"/>
        </w:r>
        <w:r>
          <w:t>30</w:t>
        </w:r>
        <w:r>
          <w:fldChar w:fldCharType="end"/>
        </w:r>
      </w:hyperlink>
    </w:p>
    <w:p>
      <w:pPr>
        <w:pStyle w:val="TOC3"/>
      </w:pPr>
      <w:hyperlink w:anchor="_Toc340052892" w:history="1">
        <w:r>
          <w:rPr>
            <w:rStyle w:val="Hyperlink"/>
          </w:rPr>
          <w:t>7.2</w:t>
        </w:r>
        <w:r>
          <w:tab/>
        </w:r>
        <w:r>
          <w:rPr>
            <w:rStyle w:val="Hyperlink"/>
            <w:rFonts w:hint="eastAsia"/>
          </w:rPr>
          <w:t>运营期环境管理管控与监控</w:t>
        </w:r>
        <w:r>
          <w:tab/>
        </w:r>
        <w:r>
          <w:fldChar w:fldCharType="begin"/>
        </w:r>
        <w:r>
          <w:instrText xml:space="preserve"> PAGEREF _Toc340052892 \h </w:instrText>
        </w:r>
        <w:r>
          <w:fldChar w:fldCharType="separate"/>
        </w:r>
        <w:r>
          <w:t>31</w:t>
        </w:r>
        <w:r>
          <w:fldChar w:fldCharType="end"/>
        </w:r>
      </w:hyperlink>
    </w:p>
    <w:p>
      <w:pPr>
        <w:pStyle w:val="TOC2"/>
        <w:ind w:firstLine="5"/>
        <w:rPr>
          <w:bCs w:val="0"/>
          <w:sz w:val="21"/>
        </w:rPr>
      </w:pPr>
      <w:hyperlink w:anchor="_Toc340052893" w:history="1">
        <w:r>
          <w:rPr>
            <w:rStyle w:val="Hyperlink"/>
          </w:rPr>
          <w:t>8.</w:t>
        </w:r>
        <w:r>
          <w:rPr>
            <w:rStyle w:val="Hyperlink"/>
            <w:rFonts w:hint="eastAsia"/>
          </w:rPr>
          <w:t>公众参与</w:t>
        </w:r>
        <w:r>
          <w:tab/>
        </w:r>
        <w:r>
          <w:fldChar w:fldCharType="begin"/>
        </w:r>
        <w:r>
          <w:instrText xml:space="preserve"> PAGEREF _Toc340052893 \h </w:instrText>
        </w:r>
        <w:r>
          <w:fldChar w:fldCharType="separate"/>
        </w:r>
        <w:r>
          <w:t>31</w:t>
        </w:r>
        <w:r>
          <w:fldChar w:fldCharType="end"/>
        </w:r>
      </w:hyperlink>
    </w:p>
    <w:p>
      <w:pPr>
        <w:pStyle w:val="TOC3"/>
      </w:pPr>
      <w:hyperlink w:anchor="_Toc340052894" w:history="1">
        <w:r>
          <w:rPr>
            <w:rStyle w:val="Hyperlink"/>
          </w:rPr>
          <w:t>8.1</w:t>
        </w:r>
        <w:r>
          <w:tab/>
        </w:r>
        <w:r>
          <w:rPr>
            <w:rStyle w:val="Hyperlink"/>
            <w:rFonts w:hint="eastAsia"/>
          </w:rPr>
          <w:t>公众参与的形式和合适的内容</w:t>
        </w:r>
        <w:r>
          <w:tab/>
        </w:r>
        <w:r>
          <w:fldChar w:fldCharType="begin"/>
        </w:r>
        <w:r>
          <w:instrText xml:space="preserve"> PAGEREF _Toc340052894 \h </w:instrText>
        </w:r>
        <w:r>
          <w:fldChar w:fldCharType="separate"/>
        </w:r>
        <w:r>
          <w:t>31</w:t>
        </w:r>
        <w:r>
          <w:fldChar w:fldCharType="end"/>
        </w:r>
      </w:hyperlink>
    </w:p>
    <w:p>
      <w:pPr>
        <w:pStyle w:val="TOC2"/>
        <w:ind w:firstLine="5"/>
        <w:rPr>
          <w:bCs w:val="0"/>
          <w:sz w:val="21"/>
        </w:rPr>
      </w:pPr>
      <w:hyperlink w:anchor="_Toc340052895" w:history="1">
        <w:r>
          <w:rPr>
            <w:rStyle w:val="Hyperlink"/>
          </w:rPr>
          <w:t>9.</w:t>
        </w:r>
        <w:r>
          <w:rPr>
            <w:rStyle w:val="Hyperlink"/>
            <w:rFonts w:hint="eastAsia"/>
          </w:rPr>
          <w:t>结论与建议</w:t>
        </w:r>
        <w:r>
          <w:tab/>
        </w:r>
        <w:r>
          <w:fldChar w:fldCharType="begin"/>
        </w:r>
        <w:r>
          <w:instrText xml:space="preserve"> PAGEREF _Toc340052895 \h </w:instrText>
        </w:r>
        <w:r>
          <w:fldChar w:fldCharType="separate"/>
        </w:r>
        <w:r>
          <w:t>34</w:t>
        </w:r>
        <w:r>
          <w:fldChar w:fldCharType="end"/>
        </w:r>
      </w:hyperlink>
    </w:p>
    <w:p>
      <w:pPr>
        <w:pStyle w:val="TOC3"/>
      </w:pPr>
      <w:hyperlink w:anchor="_Toc340052896" w:history="1">
        <w:r>
          <w:rPr>
            <w:rStyle w:val="Hyperlink"/>
          </w:rPr>
          <w:t>9.1</w:t>
        </w:r>
        <w:r>
          <w:rPr>
            <w:rStyle w:val="Hyperlink"/>
            <w:rFonts w:hint="eastAsia"/>
          </w:rPr>
          <w:t>结论</w:t>
        </w:r>
        <w:r>
          <w:tab/>
        </w:r>
        <w:r>
          <w:fldChar w:fldCharType="begin"/>
        </w:r>
        <w:r>
          <w:instrText xml:space="preserve"> PAGEREF _Toc340052896 \h </w:instrText>
        </w:r>
        <w:r>
          <w:fldChar w:fldCharType="separate"/>
        </w:r>
        <w:r>
          <w:t>34</w:t>
        </w:r>
        <w:r>
          <w:fldChar w:fldCharType="end"/>
        </w:r>
      </w:hyperlink>
    </w:p>
    <w:p>
      <w:pPr>
        <w:pStyle w:val="TOC3"/>
      </w:pPr>
      <w:hyperlink w:anchor="_Toc340052897" w:history="1">
        <w:r>
          <w:rPr>
            <w:rStyle w:val="Hyperlink"/>
          </w:rPr>
          <w:t>9.2</w:t>
        </w:r>
        <w:r>
          <w:rPr>
            <w:rStyle w:val="Hyperlink"/>
            <w:rFonts w:hint="eastAsia"/>
          </w:rPr>
          <w:t>建议</w:t>
        </w:r>
        <w:r>
          <w:tab/>
        </w:r>
        <w:r>
          <w:fldChar w:fldCharType="begin"/>
        </w:r>
        <w:r>
          <w:instrText xml:space="preserve"> PAGEREF _Toc340052897 \h </w:instrText>
        </w:r>
        <w:r>
          <w:fldChar w:fldCharType="separate"/>
        </w:r>
        <w:r>
          <w:t>35</w:t>
        </w:r>
        <w:r>
          <w:fldChar w:fldCharType="end"/>
        </w:r>
      </w:hyperlink>
    </w:p>
    <w:p>
      <w:pPr>
        <w:pStyle w:val="TOC3"/>
      </w:pPr>
      <w:hyperlink w:anchor="_Toc340052898" w:history="1">
        <w:r>
          <w:rPr>
            <w:rStyle w:val="Hyperlink"/>
          </w:rPr>
          <w:t>9.3</w:t>
        </w:r>
        <w:r>
          <w:rPr>
            <w:rStyle w:val="Hyperlink"/>
            <w:rFonts w:hint="eastAsia"/>
          </w:rPr>
          <w:t>总结论</w:t>
        </w:r>
        <w:r>
          <w:tab/>
        </w:r>
        <w:r>
          <w:fldChar w:fldCharType="begin"/>
        </w:r>
        <w:r>
          <w:instrText xml:space="preserve"> PAGEREF _Toc340052898 \h </w:instrText>
        </w:r>
        <w:r>
          <w:fldChar w:fldCharType="separate"/>
        </w:r>
        <w:r>
          <w:t>36</w:t>
        </w:r>
        <w:r>
          <w:fldChar w:fldCharType="end"/>
        </w:r>
      </w:hyperlink>
    </w:p>
    <w:p>
      <w:pPr>
        <w:pStyle w:val="a"/>
        <w:ind w:firstLine="480"/>
        <w:sectPr>
          <w:headerReference w:type="even" r:id="rId17"/>
          <w:headerReference w:type="default" r:id="rId18"/>
          <w:footerReference w:type="even" r:id="rId19"/>
          <w:footerReference w:type="default" r:id="rId20"/>
          <w:headerReference w:type="first" r:id="rId21"/>
          <w:footerReference w:type="first" r:id="rId22"/>
          <w:pgSz w:w="11906" w:h="16838"/>
          <w:pgMar w:top="1440" w:right="1800" w:bottom="1440" w:left="1800" w:header="851" w:footer="992" w:gutter="0"/>
          <w:pgNumType w:start="1"/>
          <w:cols w:num="1" w:space="425"/>
          <w:docGrid w:type="lines" w:linePitch="312" w:charSpace="0"/>
        </w:sectPr>
      </w:pPr>
      <w:r>
        <w:fldChar w:fldCharType="end"/>
      </w:r>
      <w:bookmarkStart w:id="1" w:name="_Toc308946856"/>
    </w:p>
    <w:p>
      <w:pPr>
        <w:pStyle w:val="Heading2"/>
        <w:jc w:val="center"/>
        <w:rPr>
          <w:rFonts w:hint="eastAsia"/>
        </w:rPr>
      </w:pPr>
      <w:bookmarkStart w:id="2" w:name="_Toc340052868"/>
      <w:r>
        <w:rPr>
          <w:rFonts w:hint="eastAsia"/>
        </w:rPr>
        <w:t>前言</w:t>
      </w:r>
      <w:bookmarkEnd w:id="1"/>
      <w:bookmarkEnd w:id="2"/>
    </w:p>
    <w:p>
      <w:pPr>
        <w:pStyle w:val="Normal0"/>
        <w:spacing w:line="360" w:lineRule="auto"/>
        <w:ind w:firstLine="480" w:firstLineChars="200"/>
        <w:rPr>
          <w:rFonts w:hint="eastAsia"/>
          <w:sz w:val="24"/>
        </w:rPr>
      </w:pPr>
      <w:r>
        <w:rPr>
          <w:rFonts w:hint="eastAsia"/>
          <w:bCs/>
          <w:sz w:val="24"/>
        </w:rPr>
        <w:t>随着北京市“两轴、两带、多中心”的城市空间布局规划的出台和推进，导致了北京边缘区扩容，同时近郊、远郊区也依次梯级后退。</w:t>
      </w:r>
      <w:r>
        <w:rPr>
          <w:rFonts w:hAnsi="宋体" w:hint="eastAsia"/>
          <w:sz w:val="24"/>
        </w:rPr>
        <w:t>通州区为东部发展带的重要节点，北京重点发展的新城之一，也是北京未来发展的新城区和城市综合服务中心。</w:t>
      </w:r>
    </w:p>
    <w:p>
      <w:pPr>
        <w:pStyle w:val="Normal0"/>
        <w:adjustRightInd w:val="0"/>
        <w:snapToGrid w:val="0"/>
        <w:spacing w:line="360" w:lineRule="auto"/>
        <w:ind w:firstLine="480" w:firstLineChars="200"/>
        <w:rPr>
          <w:rFonts w:hint="eastAsia"/>
          <w:sz w:val="24"/>
        </w:rPr>
      </w:pPr>
      <w:r>
        <w:rPr>
          <w:rFonts w:hint="eastAsia"/>
          <w:sz w:val="24"/>
        </w:rPr>
        <w:t>1998</w:t>
      </w:r>
      <w:r>
        <w:rPr>
          <w:rFonts w:hAnsi="宋体"/>
          <w:sz w:val="24"/>
        </w:rPr>
        <w:t>年</w:t>
      </w:r>
      <w:r>
        <w:rPr>
          <w:rFonts w:hint="eastAsia"/>
          <w:sz w:val="24"/>
        </w:rPr>
        <w:t>12</w:t>
      </w:r>
      <w:r>
        <w:rPr>
          <w:rFonts w:hAnsi="宋体"/>
          <w:sz w:val="24"/>
        </w:rPr>
        <w:t>月底，北京市通州区人民政府批准建设北京通州物流产业</w:t>
      </w:r>
      <w:r>
        <w:rPr>
          <w:rFonts w:hAnsi="宋体" w:hint="eastAsia"/>
          <w:sz w:val="24"/>
        </w:rPr>
        <w:t>基地，</w:t>
      </w:r>
      <w:r>
        <w:rPr>
          <w:rFonts w:hAnsi="宋体"/>
          <w:sz w:val="24"/>
        </w:rPr>
        <w:t>是北京在东南部地区最先批准建设的物流</w:t>
      </w:r>
      <w:r>
        <w:rPr>
          <w:rFonts w:hAnsi="宋体" w:hint="eastAsia"/>
          <w:sz w:val="24"/>
        </w:rPr>
        <w:t>基地</w:t>
      </w:r>
      <w:r>
        <w:rPr>
          <w:rFonts w:hAnsi="宋体"/>
          <w:sz w:val="24"/>
        </w:rPr>
        <w:t>。北京通州物流产业</w:t>
      </w:r>
      <w:r>
        <w:rPr>
          <w:rFonts w:hAnsi="宋体" w:hint="eastAsia"/>
          <w:sz w:val="24"/>
        </w:rPr>
        <w:t>基地</w:t>
      </w:r>
      <w:r>
        <w:rPr>
          <w:rFonts w:hAnsi="宋体"/>
          <w:sz w:val="24"/>
        </w:rPr>
        <w:t>坐落于通州区马驹桥镇，京津塘高速公路与城市六环路在此交汇，</w:t>
      </w:r>
      <w:r>
        <w:rPr>
          <w:rFonts w:hAnsi="宋体" w:hint="eastAsia"/>
          <w:sz w:val="24"/>
        </w:rPr>
        <w:t>基地</w:t>
      </w:r>
      <w:r>
        <w:rPr>
          <w:rFonts w:hAnsi="宋体"/>
          <w:sz w:val="24"/>
        </w:rPr>
        <w:t>总规划面积</w:t>
      </w:r>
      <w:r>
        <w:rPr>
          <w:sz w:val="24"/>
        </w:rPr>
        <w:t>5.04</w:t>
      </w:r>
      <w:r>
        <w:rPr>
          <w:rFonts w:hAnsi="宋体"/>
          <w:sz w:val="24"/>
        </w:rPr>
        <w:t>平方公里，是北京市物流发展规划确定的三大物流基地之一，是北京市</w:t>
      </w:r>
      <w:r>
        <w:rPr>
          <w:sz w:val="24"/>
        </w:rPr>
        <w:t>2003</w:t>
      </w:r>
      <w:r>
        <w:rPr>
          <w:rFonts w:hAnsi="宋体"/>
          <w:sz w:val="24"/>
        </w:rPr>
        <w:t>年</w:t>
      </w:r>
      <w:r>
        <w:rPr>
          <w:sz w:val="24"/>
        </w:rPr>
        <w:t>60</w:t>
      </w:r>
      <w:r>
        <w:rPr>
          <w:rFonts w:hAnsi="宋体"/>
          <w:sz w:val="24"/>
        </w:rPr>
        <w:t>项重点建设工程之一。</w:t>
      </w:r>
      <w:r>
        <w:rPr>
          <w:rFonts w:hAnsi="宋体" w:hint="eastAsia"/>
          <w:sz w:val="24"/>
        </w:rPr>
        <w:t>基地</w:t>
      </w:r>
      <w:r>
        <w:rPr>
          <w:rFonts w:hAnsi="宋体"/>
          <w:sz w:val="24"/>
        </w:rPr>
        <w:t>以发展现代物流产业，吸引国际、国内知名物流企业入驻，加速推动经济结构战略性调整，实现产业全面优化升级，服务于北京经济发展为宗旨，目前通州物流</w:t>
      </w:r>
      <w:r>
        <w:rPr>
          <w:rFonts w:hAnsi="宋体" w:hint="eastAsia"/>
          <w:sz w:val="24"/>
        </w:rPr>
        <w:t>基地</w:t>
      </w:r>
      <w:r>
        <w:rPr>
          <w:rFonts w:hAnsi="宋体"/>
          <w:sz w:val="24"/>
        </w:rPr>
        <w:t>正以优化资源结构，加大科技投入和提升服务质量为核心，努力打造区域性物流</w:t>
      </w:r>
      <w:r>
        <w:rPr>
          <w:rFonts w:hAnsi="宋体" w:hint="eastAsia"/>
          <w:sz w:val="24"/>
        </w:rPr>
        <w:t>基地</w:t>
      </w:r>
      <w:r>
        <w:rPr>
          <w:rFonts w:hAnsi="宋体"/>
          <w:sz w:val="24"/>
        </w:rPr>
        <w:t>的名牌。</w:t>
      </w:r>
    </w:p>
    <w:p>
      <w:pPr>
        <w:pStyle w:val="Normal0"/>
        <w:adjustRightInd w:val="0"/>
        <w:snapToGrid w:val="0"/>
        <w:spacing w:line="360" w:lineRule="auto"/>
        <w:ind w:firstLine="480" w:firstLineChars="200"/>
        <w:rPr>
          <w:rFonts w:hint="eastAsia"/>
          <w:sz w:val="24"/>
        </w:rPr>
      </w:pPr>
      <w:r>
        <w:rPr>
          <w:rFonts w:hAnsi="宋体" w:hint="eastAsia"/>
          <w:sz w:val="24"/>
        </w:rPr>
        <w:t>为了给</w:t>
      </w:r>
      <w:r>
        <w:rPr>
          <w:rFonts w:hAnsi="宋体"/>
          <w:sz w:val="24"/>
        </w:rPr>
        <w:t>通州物流产业</w:t>
      </w:r>
      <w:r>
        <w:rPr>
          <w:rFonts w:hAnsi="宋体" w:hint="eastAsia"/>
          <w:sz w:val="24"/>
        </w:rPr>
        <w:t>基地及周边工作人员提供方便的居住条件，鉴于此种情况，经与市、区各职能部门多次研究，在市、区、镇政府的关心和大力支持下，</w:t>
      </w:r>
      <w:r>
        <w:rPr>
          <w:rFonts w:hint="eastAsia"/>
          <w:sz w:val="24"/>
        </w:rPr>
        <w:t>“</w:t>
      </w:r>
      <w:r>
        <w:rPr>
          <w:rFonts w:hAnsi="宋体" w:hint="eastAsia"/>
          <w:sz w:val="24"/>
        </w:rPr>
        <w:t>北京市通州区马驹桥镇</w:t>
      </w:r>
      <w:r>
        <w:rPr>
          <w:rFonts w:hint="eastAsia"/>
          <w:sz w:val="24"/>
        </w:rPr>
        <w:t>C-06-1</w:t>
      </w:r>
      <w:r>
        <w:rPr>
          <w:rFonts w:hAnsi="宋体" w:hint="eastAsia"/>
          <w:sz w:val="24"/>
        </w:rPr>
        <w:t>地块居住用地</w:t>
      </w:r>
      <w:r>
        <w:rPr>
          <w:rFonts w:hAnsi="宋体" w:hint="eastAsia"/>
          <w:sz w:val="24"/>
          <w:lang w:eastAsia="zh-CN"/>
        </w:rPr>
        <w:t>相关项目</w:t>
      </w:r>
      <w:r>
        <w:rPr>
          <w:rFonts w:hAnsi="宋体" w:hint="eastAsia"/>
          <w:sz w:val="24"/>
        </w:rPr>
        <w:t>（配建</w:t>
      </w:r>
      <w:r>
        <w:rPr>
          <w:rFonts w:hint="eastAsia"/>
          <w:sz w:val="24"/>
        </w:rPr>
        <w:t>“</w:t>
      </w:r>
      <w:r>
        <w:rPr>
          <w:rFonts w:hAnsi="宋体" w:hint="eastAsia"/>
          <w:sz w:val="24"/>
        </w:rPr>
        <w:t>限价商品住房</w:t>
      </w:r>
      <w:r>
        <w:rPr>
          <w:rFonts w:hint="eastAsia"/>
          <w:sz w:val="24"/>
        </w:rPr>
        <w:t>”</w:t>
      </w:r>
      <w:r>
        <w:rPr>
          <w:rFonts w:hAnsi="宋体" w:hint="eastAsia"/>
          <w:sz w:val="24"/>
        </w:rPr>
        <w:t>）</w:t>
      </w:r>
      <w:r>
        <w:rPr>
          <w:rFonts w:hint="eastAsia"/>
          <w:sz w:val="24"/>
        </w:rPr>
        <w:t>”</w:t>
      </w:r>
      <w:r>
        <w:rPr>
          <w:rFonts w:hAnsi="宋体" w:hint="eastAsia"/>
          <w:sz w:val="24"/>
        </w:rPr>
        <w:t>的建设工作就此展开，本</w:t>
      </w:r>
      <w:r>
        <w:rPr>
          <w:rFonts w:hAnsi="宋体" w:hint="eastAsia"/>
          <w:sz w:val="24"/>
          <w:lang w:eastAsia="zh-CN"/>
        </w:rPr>
        <w:t>相关项目</w:t>
      </w:r>
      <w:r>
        <w:rPr>
          <w:rFonts w:hAnsi="宋体" w:hint="eastAsia"/>
          <w:sz w:val="24"/>
        </w:rPr>
        <w:t>的建设主要是解决基地周边工作人员住房需要的问题，建造舒适的宜居环境，发展乡域经济，促进北京市通州区马驹桥镇物流基地的建设进程，适应当前社会形势的发展，创造更好的经济效益和社会效益。</w:t>
      </w:r>
    </w:p>
    <w:p>
      <w:pPr>
        <w:pStyle w:val="Normal0"/>
        <w:adjustRightInd w:val="0"/>
        <w:snapToGrid w:val="0"/>
        <w:spacing w:line="360" w:lineRule="auto"/>
        <w:ind w:firstLine="480" w:firstLineChars="200"/>
        <w:rPr>
          <w:rFonts w:ascii="宋体" w:hAnsi="宋体" w:hint="eastAsia"/>
          <w:sz w:val="24"/>
        </w:rPr>
        <w:sectPr>
          <w:headerReference w:type="even" r:id="rId23"/>
          <w:headerReference w:type="default" r:id="rId24"/>
          <w:footerReference w:type="even" r:id="rId25"/>
          <w:footerReference w:type="default" r:id="rId26"/>
          <w:headerReference w:type="first" r:id="rId27"/>
          <w:footerReference w:type="first" r:id="rId28"/>
          <w:pgSz w:w="11906" w:h="16838"/>
          <w:pgMar w:top="1440" w:right="1800" w:bottom="1440" w:left="1800" w:header="851" w:footer="992" w:gutter="0"/>
          <w:pgNumType w:start="1"/>
          <w:cols w:num="1" w:space="425"/>
          <w:docGrid w:type="lines" w:linePitch="312" w:charSpace="0"/>
        </w:sectPr>
      </w:pPr>
      <w:r>
        <w:rPr>
          <w:rFonts w:hAnsi="宋体" w:hint="eastAsia"/>
          <w:sz w:val="24"/>
        </w:rPr>
        <w:t>北京市通州区马驹桥镇</w:t>
      </w:r>
      <w:r>
        <w:rPr>
          <w:rFonts w:hint="eastAsia"/>
          <w:sz w:val="24"/>
        </w:rPr>
        <w:t>C-06-1</w:t>
      </w:r>
      <w:r>
        <w:rPr>
          <w:rFonts w:hAnsi="宋体" w:hint="eastAsia"/>
          <w:sz w:val="24"/>
        </w:rPr>
        <w:t>地块居住用地</w:t>
      </w:r>
      <w:r>
        <w:rPr>
          <w:rFonts w:hAnsi="宋体" w:hint="eastAsia"/>
          <w:sz w:val="24"/>
          <w:lang w:eastAsia="zh-CN"/>
        </w:rPr>
        <w:t>相关项目</w:t>
      </w:r>
      <w:r>
        <w:rPr>
          <w:rFonts w:hAnsi="宋体" w:hint="eastAsia"/>
          <w:sz w:val="24"/>
        </w:rPr>
        <w:t>（配建</w:t>
      </w:r>
      <w:r>
        <w:rPr>
          <w:rFonts w:hint="eastAsia"/>
          <w:sz w:val="24"/>
        </w:rPr>
        <w:t>“</w:t>
      </w:r>
      <w:r>
        <w:rPr>
          <w:rFonts w:hAnsi="宋体" w:hint="eastAsia"/>
          <w:sz w:val="24"/>
        </w:rPr>
        <w:t>限价商品住房</w:t>
      </w:r>
      <w:r>
        <w:rPr>
          <w:rFonts w:hint="eastAsia"/>
          <w:sz w:val="24"/>
        </w:rPr>
        <w:t>”</w:t>
      </w:r>
      <w:r>
        <w:rPr>
          <w:rFonts w:hAnsi="宋体" w:hint="eastAsia"/>
          <w:sz w:val="24"/>
        </w:rPr>
        <w:t>）位于</w:t>
      </w:r>
      <w:r>
        <w:rPr>
          <w:rFonts w:hAnsi="宋体"/>
          <w:sz w:val="24"/>
        </w:rPr>
        <w:t>北京市</w:t>
      </w:r>
      <w:r>
        <w:rPr>
          <w:rFonts w:hAnsi="宋体" w:hint="eastAsia"/>
          <w:sz w:val="24"/>
        </w:rPr>
        <w:t>通州</w:t>
      </w:r>
      <w:r>
        <w:rPr>
          <w:rFonts w:hAnsi="宋体"/>
          <w:sz w:val="24"/>
        </w:rPr>
        <w:t>区</w:t>
      </w:r>
      <w:r>
        <w:rPr>
          <w:rFonts w:hAnsi="宋体" w:hint="eastAsia"/>
          <w:sz w:val="24"/>
        </w:rPr>
        <w:t>马驹桥镇，</w:t>
      </w:r>
      <w:r>
        <w:rPr>
          <w:rFonts w:hAnsi="宋体" w:hint="eastAsia"/>
          <w:sz w:val="24"/>
          <w:lang w:eastAsia="zh-CN"/>
        </w:rPr>
        <w:t>相关项目</w:t>
      </w:r>
      <w:r>
        <w:rPr>
          <w:rFonts w:hAnsi="宋体" w:hint="eastAsia"/>
          <w:sz w:val="24"/>
        </w:rPr>
        <w:t>四至为：东至通州物流园九号路，南至</w:t>
      </w:r>
      <w:r>
        <w:rPr>
          <w:rFonts w:hint="eastAsia"/>
          <w:sz w:val="24"/>
        </w:rPr>
        <w:t>C-06-2</w:t>
      </w:r>
      <w:r>
        <w:rPr>
          <w:rFonts w:hAnsi="宋体" w:hint="eastAsia"/>
          <w:sz w:val="24"/>
        </w:rPr>
        <w:t>地块，西至通州物流园八号路，北至凉水河南岸。本</w:t>
      </w:r>
      <w:r>
        <w:rPr>
          <w:rFonts w:hAnsi="宋体" w:hint="eastAsia"/>
          <w:sz w:val="24"/>
          <w:lang w:eastAsia="zh-CN"/>
        </w:rPr>
        <w:t>相关项目</w:t>
      </w:r>
      <w:r>
        <w:rPr>
          <w:rFonts w:hAnsi="宋体" w:hint="eastAsia"/>
          <w:sz w:val="24"/>
        </w:rPr>
        <w:t>规划建设</w:t>
      </w:r>
      <w:r>
        <w:rPr>
          <w:rFonts w:hAnsi="宋体" w:hint="eastAsia"/>
          <w:sz w:val="24"/>
          <w:lang w:eastAsia="zh-CN"/>
        </w:rPr>
        <w:t>合适的内容</w:t>
      </w:r>
      <w:r>
        <w:rPr>
          <w:rFonts w:hAnsi="宋体" w:hint="eastAsia"/>
          <w:sz w:val="24"/>
        </w:rPr>
        <w:t>为住宅及配套用房。</w:t>
      </w:r>
      <w:r>
        <w:rPr>
          <w:rFonts w:hAnsi="宋体" w:hint="eastAsia"/>
          <w:sz w:val="24"/>
          <w:lang w:eastAsia="zh-CN"/>
        </w:rPr>
        <w:t>相关项目</w:t>
      </w:r>
      <w:r>
        <w:rPr>
          <w:rFonts w:hAnsi="宋体" w:hint="eastAsia"/>
          <w:sz w:val="24"/>
        </w:rPr>
        <w:t>总用地面</w:t>
      </w:r>
      <w:r>
        <w:rPr>
          <w:rFonts w:hAnsi="宋体"/>
          <w:sz w:val="24"/>
        </w:rPr>
        <w:t>积</w:t>
      </w:r>
      <w:r>
        <w:rPr>
          <w:rFonts w:hint="eastAsia"/>
          <w:sz w:val="24"/>
        </w:rPr>
        <w:t>140736</w:t>
      </w:r>
      <w:r>
        <w:rPr>
          <w:rFonts w:hAnsi="宋体"/>
          <w:sz w:val="24"/>
        </w:rPr>
        <w:t>平</w:t>
      </w:r>
      <w:r>
        <w:rPr>
          <w:rFonts w:hAnsi="宋体" w:hint="eastAsia"/>
          <w:sz w:val="24"/>
        </w:rPr>
        <w:t>方米，其中规划建设用地面积</w:t>
      </w:r>
      <w:r>
        <w:rPr>
          <w:rFonts w:hint="eastAsia"/>
          <w:sz w:val="24"/>
        </w:rPr>
        <w:t>75591</w:t>
      </w:r>
      <w:r>
        <w:rPr>
          <w:rFonts w:hAnsi="宋体" w:hint="eastAsia"/>
          <w:sz w:val="24"/>
        </w:rPr>
        <w:t>平方米，代征道路面</w:t>
      </w:r>
      <w:r>
        <w:rPr>
          <w:rFonts w:hAnsi="宋体"/>
          <w:sz w:val="24"/>
        </w:rPr>
        <w:t>积</w:t>
      </w:r>
      <w:r>
        <w:rPr>
          <w:sz w:val="24"/>
        </w:rPr>
        <w:t>2</w:t>
      </w:r>
      <w:r>
        <w:rPr>
          <w:rFonts w:hint="eastAsia"/>
          <w:sz w:val="24"/>
        </w:rPr>
        <w:t>8341</w:t>
      </w:r>
      <w:r>
        <w:rPr>
          <w:rFonts w:hAnsi="宋体"/>
          <w:sz w:val="24"/>
        </w:rPr>
        <w:t>平方米，代征绿地面积</w:t>
      </w:r>
      <w:r>
        <w:rPr>
          <w:rFonts w:hint="eastAsia"/>
          <w:sz w:val="24"/>
        </w:rPr>
        <w:t>36804</w:t>
      </w:r>
      <w:r>
        <w:rPr>
          <w:rFonts w:hAnsi="宋体"/>
          <w:sz w:val="24"/>
        </w:rPr>
        <w:t>平方米</w:t>
      </w:r>
      <w:r>
        <w:rPr>
          <w:rFonts w:hAnsi="宋体" w:hint="eastAsia"/>
          <w:sz w:val="24"/>
        </w:rPr>
        <w:t>；</w:t>
      </w:r>
      <w:r>
        <w:rPr>
          <w:rFonts w:hAnsi="宋体"/>
          <w:sz w:val="24"/>
        </w:rPr>
        <w:t>规划总建筑面积</w:t>
      </w:r>
      <w:r>
        <w:rPr>
          <w:rFonts w:hint="eastAsia"/>
          <w:sz w:val="24"/>
        </w:rPr>
        <w:t>218023</w:t>
      </w:r>
      <w:r>
        <w:rPr>
          <w:rFonts w:hAnsi="宋体"/>
          <w:sz w:val="24"/>
        </w:rPr>
        <w:t>平方米，其中地上总建筑面</w:t>
      </w:r>
      <w:r>
        <w:rPr>
          <w:rFonts w:hAnsi="宋体" w:hint="eastAsia"/>
          <w:sz w:val="24"/>
        </w:rPr>
        <w:t>积约</w:t>
      </w:r>
      <w:r>
        <w:rPr>
          <w:rFonts w:hint="eastAsia"/>
          <w:bCs/>
          <w:sz w:val="24"/>
        </w:rPr>
        <w:t>173760</w:t>
      </w:r>
      <w:r>
        <w:rPr>
          <w:rFonts w:hAnsi="宋体" w:hint="eastAsia"/>
          <w:sz w:val="24"/>
        </w:rPr>
        <w:t>平方米（包括住宅</w:t>
      </w:r>
      <w:r>
        <w:rPr>
          <w:rFonts w:hint="eastAsia"/>
          <w:sz w:val="24"/>
        </w:rPr>
        <w:t>160760</w:t>
      </w:r>
      <w:r>
        <w:rPr>
          <w:rFonts w:hAnsi="宋体" w:hint="eastAsia"/>
          <w:sz w:val="24"/>
        </w:rPr>
        <w:t>平方米、配套商业</w:t>
      </w:r>
      <w:r>
        <w:rPr>
          <w:rFonts w:hint="eastAsia"/>
          <w:sz w:val="24"/>
        </w:rPr>
        <w:t>5000</w:t>
      </w:r>
      <w:r>
        <w:rPr>
          <w:rFonts w:hAnsi="宋体"/>
          <w:sz w:val="24"/>
        </w:rPr>
        <w:t>平方米、</w:t>
      </w:r>
      <w:r>
        <w:rPr>
          <w:rFonts w:hAnsi="宋体" w:hint="eastAsia"/>
          <w:sz w:val="24"/>
        </w:rPr>
        <w:t>公共配套</w:t>
      </w:r>
      <w:r>
        <w:rPr>
          <w:rFonts w:hint="eastAsia"/>
          <w:sz w:val="24"/>
        </w:rPr>
        <w:t>8000</w:t>
      </w:r>
      <w:r>
        <w:rPr>
          <w:rFonts w:hAnsi="宋体" w:hint="eastAsia"/>
          <w:sz w:val="24"/>
        </w:rPr>
        <w:t>平方米），地下总建筑面积</w:t>
      </w:r>
      <w:r>
        <w:rPr>
          <w:rFonts w:hint="eastAsia"/>
          <w:sz w:val="24"/>
        </w:rPr>
        <w:t>44263</w:t>
      </w:r>
      <w:r>
        <w:rPr>
          <w:rFonts w:hAnsi="宋体" w:hint="eastAsia"/>
          <w:sz w:val="24"/>
        </w:rPr>
        <w:t>平方米。</w:t>
      </w:r>
      <w:r>
        <w:rPr>
          <w:rFonts w:hAnsi="宋体" w:hint="eastAsia"/>
          <w:sz w:val="24"/>
          <w:lang w:eastAsia="zh-CN"/>
        </w:rPr>
        <w:t>相关项目</w:t>
      </w:r>
      <w:r>
        <w:rPr>
          <w:rFonts w:hAnsi="宋体" w:hint="eastAsia"/>
          <w:sz w:val="24"/>
        </w:rPr>
        <w:t>设计总户数</w:t>
      </w:r>
      <w:r>
        <w:rPr>
          <w:rFonts w:hint="eastAsia"/>
          <w:sz w:val="24"/>
        </w:rPr>
        <w:t>1585</w:t>
      </w:r>
      <w:r>
        <w:rPr>
          <w:rFonts w:hAnsi="宋体" w:hint="eastAsia"/>
          <w:sz w:val="24"/>
        </w:rPr>
        <w:t>户，约</w:t>
      </w:r>
      <w:r>
        <w:rPr>
          <w:rFonts w:hint="eastAsia"/>
          <w:sz w:val="24"/>
        </w:rPr>
        <w:t>4438</w:t>
      </w:r>
    </w:p>
    <w:p>
      <w:pPr>
        <w:pStyle w:val="Normal0"/>
        <w:adjustRightInd w:val="0"/>
        <w:snapToGrid w:val="0"/>
        <w:spacing w:line="360" w:lineRule="auto"/>
        <w:ind w:firstLine="480" w:firstLineChars="200"/>
        <w:rPr>
          <w:rFonts w:ascii="宋体" w:hAnsi="宋体" w:hint="eastAsia"/>
          <w:sz w:val="24"/>
        </w:rPr>
      </w:pPr>
      <w:r>
        <w:rPr>
          <w:rFonts w:hAnsi="宋体" w:hint="eastAsia"/>
          <w:sz w:val="24"/>
        </w:rPr>
        <w:t>人入住。</w:t>
      </w:r>
    </w:p>
    <w:p>
      <w:pPr>
        <w:pStyle w:val="a"/>
        <w:spacing w:line="360" w:lineRule="auto"/>
        <w:ind w:firstLine="480"/>
        <w:rPr>
          <w:rFonts w:hint="eastAsia"/>
        </w:rPr>
      </w:pPr>
      <w:r>
        <w:rPr>
          <w:color w:val="000000"/>
        </w:rPr>
        <w:t>根据</w:t>
      </w:r>
      <w:r>
        <w:rPr>
          <w:rFonts w:hint="eastAsia"/>
          <w:color w:val="000000"/>
        </w:rPr>
        <w:t>《中华人民共和国环境影响评价法》、</w:t>
      </w:r>
      <w:r>
        <w:rPr>
          <w:color w:val="000000"/>
        </w:rPr>
        <w:t>国务院《建设</w:t>
      </w:r>
      <w:r>
        <w:rPr>
          <w:rFonts w:hint="eastAsia"/>
          <w:color w:val="000000"/>
          <w:lang w:eastAsia="zh-CN"/>
        </w:rPr>
        <w:t>相关项目</w:t>
      </w:r>
      <w:r>
        <w:rPr>
          <w:color w:val="000000"/>
        </w:rPr>
        <w:t>环境保护</w:t>
      </w:r>
      <w:r>
        <w:rPr>
          <w:rFonts w:hint="eastAsia"/>
          <w:color w:val="000000"/>
          <w:lang w:eastAsia="zh-CN"/>
        </w:rPr>
        <w:t>管理管控</w:t>
      </w:r>
      <w:r>
        <w:rPr>
          <w:color w:val="000000"/>
        </w:rPr>
        <w:t>条例》、中华人民共和国环境保护部《建设</w:t>
      </w:r>
      <w:r>
        <w:rPr>
          <w:rFonts w:hint="eastAsia"/>
          <w:color w:val="000000"/>
          <w:lang w:eastAsia="zh-CN"/>
        </w:rPr>
        <w:t>相关项目</w:t>
      </w:r>
      <w:r>
        <w:rPr>
          <w:color w:val="000000"/>
        </w:rPr>
        <w:t>环境影响评价</w:t>
      </w:r>
      <w:r>
        <w:t>分类</w:t>
      </w:r>
      <w:r>
        <w:rPr>
          <w:rFonts w:hint="eastAsia"/>
          <w:lang w:eastAsia="zh-CN"/>
        </w:rPr>
        <w:t>管理管控</w:t>
      </w:r>
      <w:r>
        <w:t>目录》及北京市相关文件的要求，受</w:t>
      </w:r>
      <w:r>
        <w:rPr>
          <w:bCs/>
        </w:rPr>
        <w:t>北京极富房地产开发有限公司</w:t>
      </w:r>
      <w:r>
        <w:t>委托，</w:t>
      </w:r>
      <w:r>
        <w:rPr>
          <w:rFonts w:hint="eastAsia"/>
        </w:rPr>
        <w:t>中国</w:t>
      </w:r>
      <w:r>
        <w:t>航空规划建设发展有限公司</w:t>
      </w:r>
      <w:r>
        <w:rPr>
          <w:color w:val="000000"/>
        </w:rPr>
        <w:t>承担</w:t>
      </w:r>
      <w:r>
        <w:rPr>
          <w:rFonts w:hint="eastAsia"/>
          <w:color w:val="000000"/>
        </w:rPr>
        <w:t>“</w:t>
      </w:r>
      <w:r>
        <w:t>北京市通州区马驹桥镇C-06-1地块居住用地</w:t>
      </w:r>
      <w:r>
        <w:rPr>
          <w:rFonts w:hint="eastAsia"/>
          <w:lang w:eastAsia="zh-CN"/>
        </w:rPr>
        <w:t>相关项目</w:t>
      </w:r>
      <w:r>
        <w:t>（配建“限价商品住房”）</w:t>
      </w:r>
      <w:r>
        <w:rPr>
          <w:rFonts w:hint="eastAsia"/>
        </w:rPr>
        <w:t>”的环境影响评价工作</w:t>
      </w:r>
      <w:r>
        <w:rPr>
          <w:color w:val="000000"/>
        </w:rPr>
        <w:t>。</w:t>
      </w:r>
      <w:r>
        <w:t>按照环境影响评价工作的法律法规和技术规范</w:t>
      </w:r>
      <w:r>
        <w:rPr>
          <w:rFonts w:hint="eastAsia"/>
        </w:rPr>
        <w:t>要求</w:t>
      </w:r>
      <w:r>
        <w:t>，</w:t>
      </w:r>
      <w:r>
        <w:rPr>
          <w:rFonts w:hint="eastAsia"/>
        </w:rPr>
        <w:t>评价单位</w:t>
      </w:r>
      <w:r>
        <w:t>正在编制《北京市通州区马驹桥镇C-06-1地块居住用地</w:t>
      </w:r>
      <w:r>
        <w:rPr>
          <w:rFonts w:hint="eastAsia"/>
          <w:lang w:eastAsia="zh-CN"/>
        </w:rPr>
        <w:t>相关项目</w:t>
      </w:r>
      <w:r>
        <w:t>（配建“限价商品住房”）</w:t>
      </w:r>
      <w:r>
        <w:rPr>
          <w:rFonts w:hint="eastAsia"/>
        </w:rPr>
        <w:t>环境影响报告书</w:t>
      </w:r>
      <w:r>
        <w:t>》，并取得了初步评价结果。</w:t>
      </w:r>
    </w:p>
    <w:p>
      <w:pPr>
        <w:pStyle w:val="Normal0"/>
        <w:spacing w:line="360" w:lineRule="auto"/>
        <w:ind w:firstLine="480" w:firstLineChars="200"/>
        <w:rPr>
          <w:rFonts w:hint="eastAsia"/>
          <w:sz w:val="24"/>
        </w:rPr>
      </w:pPr>
      <w:r>
        <w:rPr>
          <w:sz w:val="24"/>
        </w:rPr>
        <w:t>为了解社会公众对拟建</w:t>
      </w:r>
      <w:r>
        <w:rPr>
          <w:rFonts w:hint="eastAsia"/>
          <w:sz w:val="24"/>
          <w:lang w:eastAsia="zh-CN"/>
        </w:rPr>
        <w:t>相关项目</w:t>
      </w:r>
      <w:r>
        <w:rPr>
          <w:sz w:val="24"/>
        </w:rPr>
        <w:t>实施过程中环境保护方面的意见和建议，特发此环评报告书简本公示稿。社会公众、单位和个人可向</w:t>
      </w:r>
      <w:r>
        <w:rPr>
          <w:rFonts w:hint="eastAsia"/>
          <w:sz w:val="24"/>
          <w:lang w:eastAsia="zh-CN"/>
        </w:rPr>
        <w:t>相关项目</w:t>
      </w:r>
      <w:r>
        <w:rPr>
          <w:sz w:val="24"/>
        </w:rPr>
        <w:t>建设单位、评价单位以信函、传真、电子邮件方式提出自己的意见和建议。</w:t>
      </w: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pPr>
    </w:p>
    <w:p>
      <w:pPr>
        <w:pStyle w:val="Normal0"/>
        <w:spacing w:line="360" w:lineRule="auto"/>
        <w:ind w:firstLine="480" w:firstLineChars="200"/>
        <w:rPr>
          <w:rFonts w:hint="eastAsia"/>
          <w:sz w:val="24"/>
        </w:rPr>
        <w:sectPr>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NumType w:start="2"/>
          <w:cols w:num="1" w:space="425"/>
          <w:titlePg w:val="0"/>
          <w:docGrid w:type="lines" w:linePitch="312" w:charSpace="0"/>
        </w:sectPr>
      </w:pPr>
    </w:p>
    <w:p>
      <w:pPr>
        <w:pStyle w:val="Heading2"/>
        <w:rPr>
          <w:rFonts w:hint="eastAsia"/>
        </w:rPr>
      </w:pPr>
      <w:bookmarkStart w:id="3" w:name="_Toc340052869"/>
      <w:bookmarkStart w:id="4" w:name="_Toc308946857"/>
      <w:r>
        <w:rPr>
          <w:rFonts w:hint="eastAsia"/>
        </w:rPr>
        <w:t>1.</w:t>
      </w:r>
      <w:r>
        <w:rPr>
          <w:rFonts w:hint="eastAsia"/>
        </w:rPr>
        <w:tab/>
      </w:r>
      <w:r>
        <w:rPr>
          <w:rFonts w:hint="eastAsia"/>
        </w:rPr>
        <w:t>建设</w:t>
      </w:r>
      <w:r>
        <w:rPr>
          <w:rFonts w:hint="eastAsia"/>
          <w:lang w:eastAsia="zh-CN"/>
        </w:rPr>
        <w:t>相关项目</w:t>
      </w:r>
      <w:r>
        <w:rPr>
          <w:rFonts w:hint="eastAsia"/>
        </w:rPr>
        <w:t>概况</w:t>
      </w:r>
      <w:bookmarkEnd w:id="3"/>
      <w:bookmarkEnd w:id="4"/>
    </w:p>
    <w:p>
      <w:pPr>
        <w:pStyle w:val="Heading3"/>
        <w:rPr>
          <w:rFonts w:hint="eastAsia"/>
        </w:rPr>
      </w:pPr>
      <w:bookmarkStart w:id="5" w:name="_Toc308946858"/>
      <w:bookmarkStart w:id="6" w:name="_Toc340052870"/>
      <w:r>
        <w:rPr>
          <w:rFonts w:hint="eastAsia"/>
        </w:rPr>
        <w:t>1.1</w:t>
      </w:r>
      <w:r>
        <w:rPr>
          <w:rFonts w:hint="eastAsia"/>
        </w:rPr>
        <w:tab/>
      </w:r>
      <w:r>
        <w:rPr>
          <w:rFonts w:hint="eastAsia"/>
          <w:lang w:eastAsia="zh-CN"/>
        </w:rPr>
        <w:t>相关项目</w:t>
      </w:r>
      <w:r>
        <w:rPr>
          <w:rFonts w:hint="eastAsia"/>
        </w:rPr>
        <w:t>概况</w:t>
      </w:r>
      <w:bookmarkEnd w:id="5"/>
      <w:bookmarkEnd w:id="6"/>
    </w:p>
    <w:p>
      <w:pPr>
        <w:pStyle w:val="a"/>
        <w:ind w:firstLine="482"/>
        <w:rPr>
          <w:rFonts w:hint="eastAsia"/>
        </w:rPr>
      </w:pPr>
      <w:r>
        <w:rPr>
          <w:rFonts w:hint="eastAsia"/>
          <w:b/>
          <w:lang w:eastAsia="zh-CN"/>
        </w:rPr>
        <w:t>相关项目</w:t>
      </w:r>
      <w:r>
        <w:rPr>
          <w:rFonts w:hint="eastAsia"/>
          <w:b/>
        </w:rPr>
        <w:t>名称：</w:t>
      </w:r>
      <w:r>
        <w:rPr>
          <w:rFonts w:hint="eastAsia"/>
        </w:rPr>
        <w:t>北京市通州区马驹桥镇C-06-1地块居住用地</w:t>
      </w:r>
      <w:r>
        <w:rPr>
          <w:rFonts w:hint="eastAsia"/>
          <w:lang w:eastAsia="zh-CN"/>
        </w:rPr>
        <w:t>相关项目</w:t>
      </w:r>
      <w:r>
        <w:rPr>
          <w:rFonts w:hint="eastAsia"/>
        </w:rPr>
        <w:t>（配建“限价商品住房”）</w:t>
      </w:r>
    </w:p>
    <w:p>
      <w:pPr>
        <w:pStyle w:val="a"/>
        <w:ind w:firstLine="482"/>
        <w:rPr>
          <w:rFonts w:hint="eastAsia"/>
        </w:rPr>
      </w:pPr>
      <w:r>
        <w:rPr>
          <w:rFonts w:hint="eastAsia"/>
          <w:b/>
        </w:rPr>
        <w:t>建设地点：</w:t>
      </w:r>
      <w:r>
        <w:t>北京市</w:t>
      </w:r>
      <w:r>
        <w:rPr>
          <w:rFonts w:hint="eastAsia"/>
        </w:rPr>
        <w:t>通州</w:t>
      </w:r>
      <w:r>
        <w:t>区</w:t>
      </w:r>
      <w:r>
        <w:rPr>
          <w:rFonts w:hint="eastAsia"/>
        </w:rPr>
        <w:t>马驹桥镇，</w:t>
      </w:r>
      <w:r>
        <w:rPr>
          <w:rFonts w:hint="eastAsia"/>
          <w:lang w:eastAsia="zh-CN"/>
        </w:rPr>
        <w:t>相关项目</w:t>
      </w:r>
      <w:r>
        <w:rPr>
          <w:rFonts w:hint="eastAsia"/>
        </w:rPr>
        <w:t>四至为：东至通州物流园九号路，南至C-06-2地块，西至通州物流园八号路，北至凉水河南岸</w:t>
      </w:r>
    </w:p>
    <w:p>
      <w:pPr>
        <w:pStyle w:val="a"/>
        <w:ind w:firstLine="482"/>
        <w:rPr>
          <w:rFonts w:hint="eastAsia"/>
        </w:rPr>
      </w:pPr>
      <w:r>
        <w:rPr>
          <w:rFonts w:hint="eastAsia"/>
          <w:b/>
        </w:rPr>
        <w:t>建设性质</w:t>
      </w:r>
      <w:r>
        <w:rPr>
          <w:rFonts w:hint="eastAsia"/>
        </w:rPr>
        <w:t>：新建</w:t>
      </w:r>
    </w:p>
    <w:p>
      <w:pPr>
        <w:pStyle w:val="a"/>
        <w:ind w:firstLine="482"/>
        <w:rPr>
          <w:rFonts w:hint="eastAsia"/>
          <w:bCs/>
        </w:rPr>
      </w:pPr>
      <w:r>
        <w:rPr>
          <w:rFonts w:hint="eastAsia"/>
          <w:b/>
        </w:rPr>
        <w:t>建设单位：</w:t>
      </w:r>
      <w:r>
        <w:rPr>
          <w:bCs/>
        </w:rPr>
        <w:t>北京极富房地产开发有限公司</w:t>
      </w:r>
    </w:p>
    <w:p>
      <w:pPr>
        <w:pStyle w:val="a"/>
        <w:ind w:firstLine="482"/>
        <w:rPr>
          <w:rFonts w:hint="eastAsia"/>
        </w:rPr>
      </w:pPr>
      <w:r>
        <w:rPr>
          <w:rFonts w:hint="eastAsia"/>
          <w:b/>
        </w:rPr>
        <w:t>建设</w:t>
      </w:r>
      <w:r>
        <w:rPr>
          <w:rFonts w:hint="eastAsia"/>
          <w:b/>
          <w:lang w:eastAsia="zh-CN"/>
        </w:rPr>
        <w:t>合适的内容</w:t>
      </w:r>
      <w:r>
        <w:rPr>
          <w:rFonts w:hint="eastAsia"/>
          <w:b/>
        </w:rPr>
        <w:t>：</w:t>
      </w:r>
      <w:r>
        <w:rPr>
          <w:rFonts w:hint="eastAsia"/>
        </w:rPr>
        <w:t>住宅及配套公建</w:t>
      </w:r>
    </w:p>
    <w:p>
      <w:pPr>
        <w:pStyle w:val="a"/>
        <w:ind w:firstLine="482"/>
        <w:rPr>
          <w:rFonts w:hint="eastAsia"/>
        </w:rPr>
      </w:pPr>
      <w:r>
        <w:rPr>
          <w:rFonts w:hint="eastAsia"/>
          <w:b/>
        </w:rPr>
        <w:t>工程规模：</w:t>
      </w:r>
      <w:r>
        <w:rPr>
          <w:rFonts w:hint="eastAsia"/>
          <w:lang w:eastAsia="zh-CN"/>
        </w:rPr>
        <w:t>相关项目</w:t>
      </w:r>
      <w:r>
        <w:rPr>
          <w:rFonts w:hint="eastAsia"/>
        </w:rPr>
        <w:t>总用地面</w:t>
      </w:r>
      <w:r>
        <w:t>积</w:t>
      </w:r>
      <w:r>
        <w:rPr>
          <w:rFonts w:hint="eastAsia"/>
        </w:rPr>
        <w:t>140736</w:t>
      </w:r>
      <w:r>
        <w:t>平</w:t>
      </w:r>
      <w:r>
        <w:rPr>
          <w:rFonts w:hint="eastAsia"/>
        </w:rPr>
        <w:t>方米，其中规划建设用地面积75591平方米，代征道路面</w:t>
      </w:r>
      <w:r>
        <w:t>积2</w:t>
      </w:r>
      <w:r>
        <w:rPr>
          <w:rFonts w:hint="eastAsia"/>
        </w:rPr>
        <w:t>8341</w:t>
      </w:r>
      <w:r>
        <w:t>平方米，代征绿地面积</w:t>
      </w:r>
      <w:r>
        <w:rPr>
          <w:rFonts w:hint="eastAsia"/>
        </w:rPr>
        <w:t>36804</w:t>
      </w:r>
      <w:r>
        <w:t>平方米</w:t>
      </w:r>
      <w:r>
        <w:rPr>
          <w:rFonts w:hint="eastAsia"/>
        </w:rPr>
        <w:t>；</w:t>
      </w:r>
      <w:r>
        <w:t>规划总建筑面积</w:t>
      </w:r>
      <w:r>
        <w:rPr>
          <w:rFonts w:hint="eastAsia"/>
        </w:rPr>
        <w:t>218023</w:t>
      </w:r>
      <w:r>
        <w:t>平方米，其中地上总建筑面</w:t>
      </w:r>
      <w:r>
        <w:rPr>
          <w:rFonts w:hint="eastAsia"/>
        </w:rPr>
        <w:t>积约173760平方米（包括住宅160760平方米、配套商业5000</w:t>
      </w:r>
      <w:r>
        <w:t>平方米、</w:t>
      </w:r>
      <w:r>
        <w:rPr>
          <w:rFonts w:hint="eastAsia"/>
        </w:rPr>
        <w:t>公共配套8000平方米），地下总建筑面积44263平方米。</w:t>
      </w:r>
      <w:r>
        <w:rPr>
          <w:rFonts w:hint="eastAsia"/>
          <w:lang w:eastAsia="zh-CN"/>
        </w:rPr>
        <w:t>相关项目</w:t>
      </w:r>
      <w:r>
        <w:rPr>
          <w:rFonts w:hint="eastAsia"/>
        </w:rPr>
        <w:t>设计总户数1585户，约4438人入住。</w:t>
      </w:r>
    </w:p>
    <w:p>
      <w:pPr>
        <w:pStyle w:val="Normal0"/>
        <w:spacing w:line="360" w:lineRule="auto"/>
        <w:jc w:val="center"/>
        <w:rPr>
          <w:rFonts w:ascii="黑体" w:eastAsia="黑体" w:hAnsi="宋体" w:hint="eastAsia"/>
          <w:bCs/>
        </w:rPr>
      </w:pPr>
      <w:r>
        <w:rPr>
          <w:rFonts w:ascii="黑体" w:eastAsia="黑体" w:hAnsi="宋体" w:hint="eastAsia"/>
          <w:bCs/>
        </w:rPr>
        <w:t xml:space="preserve">表1  </w:t>
      </w:r>
      <w:r>
        <w:rPr>
          <w:rFonts w:ascii="黑体" w:eastAsia="黑体" w:hAnsi="宋体" w:hint="eastAsia"/>
          <w:bCs/>
          <w:lang w:eastAsia="zh-CN"/>
        </w:rPr>
        <w:t>相关项目</w:t>
      </w:r>
      <w:r>
        <w:rPr>
          <w:rFonts w:ascii="黑体" w:eastAsia="黑体" w:hAnsi="宋体" w:hint="eastAsia"/>
          <w:bCs/>
        </w:rPr>
        <w:t>主要经济技术指标</w:t>
      </w:r>
    </w:p>
    <w:tbl>
      <w:tblPr>
        <w:tblStyle w:val="TableNormal"/>
        <w:tblW w:w="7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52"/>
        <w:gridCol w:w="810"/>
        <w:gridCol w:w="2461"/>
        <w:gridCol w:w="1479"/>
        <w:gridCol w:w="2194"/>
      </w:tblGrid>
      <w:tr>
        <w:tblPrEx>
          <w:tblW w:w="7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55"/>
          <w:jc w:val="center"/>
        </w:trPr>
        <w:tc>
          <w:tcPr>
            <w:tcW w:w="3923" w:type="dxa"/>
            <w:gridSpan w:val="3"/>
            <w:vAlign w:val="center"/>
          </w:tcPr>
          <w:p>
            <w:pPr>
              <w:pStyle w:val="Normal0"/>
              <w:spacing w:line="390" w:lineRule="exact"/>
              <w:jc w:val="center"/>
              <w:rPr>
                <w:rFonts w:ascii="宋体" w:hAnsi="宋体" w:hint="eastAsia"/>
                <w:b/>
                <w:bCs/>
                <w:szCs w:val="21"/>
              </w:rPr>
            </w:pPr>
            <w:r>
              <w:rPr>
                <w:rFonts w:ascii="宋体" w:hAnsi="宋体" w:hint="eastAsia"/>
                <w:b/>
                <w:bCs/>
                <w:szCs w:val="21"/>
              </w:rPr>
              <w:t>名称</w:t>
            </w:r>
          </w:p>
        </w:tc>
        <w:tc>
          <w:tcPr>
            <w:tcW w:w="1479" w:type="dxa"/>
            <w:shd w:val="clear" w:color="auto" w:fill="auto"/>
            <w:noWrap/>
            <w:vAlign w:val="center"/>
          </w:tcPr>
          <w:p>
            <w:pPr>
              <w:pStyle w:val="Normal0"/>
              <w:widowControl/>
              <w:spacing w:line="390" w:lineRule="exact"/>
              <w:jc w:val="center"/>
              <w:rPr>
                <w:rFonts w:ascii="宋体" w:hAnsi="宋体" w:hint="eastAsia"/>
                <w:b/>
                <w:bCs/>
                <w:szCs w:val="21"/>
              </w:rPr>
            </w:pPr>
            <w:r>
              <w:rPr>
                <w:rFonts w:ascii="宋体" w:hAnsi="宋体" w:hint="eastAsia"/>
                <w:b/>
                <w:bCs/>
                <w:szCs w:val="21"/>
              </w:rPr>
              <w:t>数量</w:t>
            </w:r>
          </w:p>
        </w:tc>
        <w:tc>
          <w:tcPr>
            <w:tcW w:w="2194" w:type="dxa"/>
            <w:shd w:val="clear" w:color="auto" w:fill="auto"/>
            <w:noWrap/>
            <w:vAlign w:val="center"/>
          </w:tcPr>
          <w:p>
            <w:pPr>
              <w:pStyle w:val="Normal0"/>
              <w:widowControl/>
              <w:spacing w:line="390" w:lineRule="exact"/>
              <w:jc w:val="center"/>
              <w:rPr>
                <w:rFonts w:ascii="宋体" w:hAnsi="宋体" w:hint="eastAsia"/>
                <w:b/>
                <w:bCs/>
                <w:szCs w:val="21"/>
              </w:rPr>
            </w:pPr>
            <w:r>
              <w:rPr>
                <w:rFonts w:ascii="宋体" w:hAnsi="宋体" w:hint="eastAsia"/>
                <w:b/>
                <w:bCs/>
                <w:szCs w:val="21"/>
              </w:rPr>
              <w:t>单位</w:t>
            </w:r>
          </w:p>
        </w:tc>
      </w:tr>
      <w:tr>
        <w:tblPrEx>
          <w:tblW w:w="7596" w:type="dxa"/>
          <w:jc w:val="center"/>
          <w:tblCellMar>
            <w:top w:w="0" w:type="dxa"/>
            <w:left w:w="108" w:type="dxa"/>
            <w:bottom w:w="0" w:type="dxa"/>
            <w:right w:w="108" w:type="dxa"/>
          </w:tblCellMar>
        </w:tblPrEx>
        <w:trPr>
          <w:trHeight w:val="255"/>
          <w:jc w:val="center"/>
        </w:trPr>
        <w:tc>
          <w:tcPr>
            <w:tcW w:w="3923" w:type="dxa"/>
            <w:gridSpan w:val="3"/>
            <w:vAlign w:val="center"/>
          </w:tcPr>
          <w:p>
            <w:pPr>
              <w:pStyle w:val="Normal0"/>
              <w:spacing w:line="390" w:lineRule="exact"/>
              <w:rPr>
                <w:rFonts w:ascii="宋体" w:hAnsi="宋体" w:hint="eastAsia"/>
                <w:b/>
                <w:szCs w:val="21"/>
              </w:rPr>
            </w:pPr>
            <w:r>
              <w:rPr>
                <w:rFonts w:ascii="宋体" w:hAnsi="宋体" w:hint="eastAsia"/>
                <w:b/>
                <w:szCs w:val="21"/>
              </w:rPr>
              <w:t>总用地面积</w:t>
            </w:r>
          </w:p>
        </w:tc>
        <w:tc>
          <w:tcPr>
            <w:tcW w:w="1479" w:type="dxa"/>
            <w:shd w:val="clear" w:color="auto" w:fill="auto"/>
            <w:vAlign w:val="center"/>
          </w:tcPr>
          <w:p>
            <w:pPr>
              <w:pStyle w:val="Normal0"/>
              <w:widowControl/>
              <w:spacing w:line="390" w:lineRule="exact"/>
              <w:jc w:val="center"/>
              <w:rPr>
                <w:rFonts w:hint="eastAsia"/>
                <w:b/>
                <w:szCs w:val="21"/>
              </w:rPr>
            </w:pPr>
            <w:r>
              <w:rPr>
                <w:rFonts w:hint="eastAsia"/>
                <w:b/>
                <w:bCs/>
                <w:szCs w:val="21"/>
              </w:rPr>
              <w:t>140736</w:t>
            </w:r>
          </w:p>
        </w:tc>
        <w:tc>
          <w:tcPr>
            <w:tcW w:w="2194" w:type="dxa"/>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restart"/>
            <w:vAlign w:val="center"/>
          </w:tcPr>
          <w:p>
            <w:pPr>
              <w:pStyle w:val="Normal0"/>
              <w:spacing w:line="390" w:lineRule="exact"/>
              <w:jc w:val="center"/>
              <w:rPr>
                <w:rFonts w:ascii="宋体" w:hAnsi="宋体" w:hint="eastAsia"/>
                <w:szCs w:val="21"/>
              </w:rPr>
            </w:pPr>
            <w:r>
              <w:rPr>
                <w:rFonts w:ascii="宋体" w:hAnsi="宋体" w:hint="eastAsia"/>
                <w:szCs w:val="21"/>
              </w:rPr>
              <w:t>其中</w:t>
            </w:r>
          </w:p>
        </w:tc>
        <w:tc>
          <w:tcPr>
            <w:tcW w:w="3111" w:type="dxa"/>
            <w:gridSpan w:val="2"/>
            <w:vAlign w:val="center"/>
          </w:tcPr>
          <w:p>
            <w:pPr>
              <w:pStyle w:val="Normal0"/>
              <w:spacing w:line="390" w:lineRule="exact"/>
              <w:rPr>
                <w:rFonts w:ascii="宋体" w:hAnsi="宋体" w:hint="eastAsia"/>
                <w:szCs w:val="21"/>
              </w:rPr>
            </w:pPr>
            <w:r>
              <w:rPr>
                <w:rFonts w:ascii="宋体" w:hAnsi="宋体" w:hint="eastAsia"/>
                <w:szCs w:val="21"/>
              </w:rPr>
              <w:t>建设用地面积</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75591</w:t>
            </w:r>
          </w:p>
        </w:tc>
        <w:tc>
          <w:tcPr>
            <w:tcW w:w="2194" w:type="dxa"/>
            <w:shd w:val="clear" w:color="auto" w:fill="auto"/>
            <w:noWrap/>
            <w:vAlign w:val="center"/>
          </w:tcPr>
          <w:p>
            <w:pPr>
              <w:pStyle w:val="Normal0"/>
              <w:widowControl/>
              <w:spacing w:line="390" w:lineRule="exact"/>
              <w:jc w:val="center"/>
              <w:rPr>
                <w:b/>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ign w:val="center"/>
          </w:tcPr>
          <w:p>
            <w:pPr>
              <w:pStyle w:val="Normal0"/>
              <w:spacing w:line="390" w:lineRule="exact"/>
              <w:rPr>
                <w:rFonts w:ascii="宋体" w:hAnsi="宋体" w:hint="eastAsia"/>
                <w:b/>
                <w:szCs w:val="21"/>
              </w:rPr>
            </w:pPr>
          </w:p>
        </w:tc>
        <w:tc>
          <w:tcPr>
            <w:tcW w:w="3111" w:type="dxa"/>
            <w:gridSpan w:val="2"/>
            <w:vAlign w:val="center"/>
          </w:tcPr>
          <w:p>
            <w:pPr>
              <w:pStyle w:val="Normal0"/>
              <w:spacing w:line="390" w:lineRule="exact"/>
              <w:rPr>
                <w:rFonts w:ascii="宋体" w:hAnsi="宋体" w:hint="eastAsia"/>
                <w:szCs w:val="21"/>
              </w:rPr>
            </w:pPr>
            <w:r>
              <w:rPr>
                <w:rFonts w:ascii="宋体" w:hAnsi="宋体" w:hint="eastAsia"/>
                <w:szCs w:val="21"/>
              </w:rPr>
              <w:t>代征绿化用地面积</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36804</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ign w:val="center"/>
          </w:tcPr>
          <w:p>
            <w:pPr>
              <w:pStyle w:val="Normal0"/>
              <w:spacing w:line="390" w:lineRule="exact"/>
              <w:rPr>
                <w:rFonts w:ascii="宋体" w:hAnsi="宋体" w:hint="eastAsia"/>
                <w:b/>
                <w:szCs w:val="21"/>
              </w:rPr>
            </w:pPr>
          </w:p>
        </w:tc>
        <w:tc>
          <w:tcPr>
            <w:tcW w:w="3111" w:type="dxa"/>
            <w:gridSpan w:val="2"/>
            <w:vAlign w:val="center"/>
          </w:tcPr>
          <w:p>
            <w:pPr>
              <w:pStyle w:val="Normal0"/>
              <w:spacing w:line="390" w:lineRule="exact"/>
              <w:rPr>
                <w:rFonts w:ascii="宋体" w:hAnsi="宋体" w:hint="eastAsia"/>
                <w:szCs w:val="21"/>
              </w:rPr>
            </w:pPr>
            <w:r>
              <w:rPr>
                <w:rFonts w:ascii="宋体" w:hAnsi="宋体" w:hint="eastAsia"/>
                <w:szCs w:val="21"/>
              </w:rPr>
              <w:t>代征道路用地面积</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28341</w:t>
            </w:r>
          </w:p>
        </w:tc>
        <w:tc>
          <w:tcPr>
            <w:tcW w:w="2194" w:type="dxa"/>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85"/>
          <w:jc w:val="center"/>
        </w:trPr>
        <w:tc>
          <w:tcPr>
            <w:tcW w:w="3923" w:type="dxa"/>
            <w:gridSpan w:val="3"/>
            <w:vAlign w:val="center"/>
          </w:tcPr>
          <w:p>
            <w:pPr>
              <w:pStyle w:val="Normal0"/>
              <w:spacing w:line="390" w:lineRule="exact"/>
              <w:rPr>
                <w:rFonts w:ascii="宋体" w:hAnsi="宋体" w:hint="eastAsia"/>
                <w:b/>
                <w:szCs w:val="21"/>
              </w:rPr>
            </w:pPr>
            <w:r>
              <w:rPr>
                <w:rFonts w:ascii="宋体" w:hAnsi="宋体" w:hint="eastAsia"/>
                <w:b/>
                <w:szCs w:val="21"/>
              </w:rPr>
              <w:t>总建筑面积</w:t>
            </w:r>
          </w:p>
        </w:tc>
        <w:tc>
          <w:tcPr>
            <w:tcW w:w="1479" w:type="dxa"/>
            <w:shd w:val="clear" w:color="auto" w:fill="auto"/>
            <w:vAlign w:val="center"/>
          </w:tcPr>
          <w:p>
            <w:pPr>
              <w:pStyle w:val="Normal0"/>
              <w:widowControl/>
              <w:spacing w:line="390" w:lineRule="exact"/>
              <w:jc w:val="center"/>
              <w:rPr>
                <w:rFonts w:hint="eastAsia"/>
                <w:b/>
                <w:szCs w:val="21"/>
              </w:rPr>
            </w:pPr>
            <w:r>
              <w:rPr>
                <w:rFonts w:hint="eastAsia"/>
                <w:b/>
                <w:szCs w:val="21"/>
              </w:rPr>
              <w:t>218023</w:t>
            </w:r>
          </w:p>
        </w:tc>
        <w:tc>
          <w:tcPr>
            <w:tcW w:w="2194" w:type="dxa"/>
            <w:shd w:val="clear" w:color="auto" w:fill="auto"/>
            <w:noWrap/>
            <w:vAlign w:val="center"/>
          </w:tcPr>
          <w:p>
            <w:pPr>
              <w:pStyle w:val="Normal0"/>
              <w:widowControl/>
              <w:spacing w:line="390" w:lineRule="exact"/>
              <w:jc w:val="center"/>
              <w:rPr>
                <w:b/>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85"/>
          <w:jc w:val="center"/>
        </w:trPr>
        <w:tc>
          <w:tcPr>
            <w:tcW w:w="812" w:type="dxa"/>
            <w:vMerge w:val="restart"/>
            <w:vAlign w:val="center"/>
          </w:tcPr>
          <w:p>
            <w:pPr>
              <w:pStyle w:val="Normal0"/>
              <w:widowControl/>
              <w:spacing w:line="390" w:lineRule="exact"/>
              <w:jc w:val="center"/>
              <w:rPr>
                <w:rFonts w:ascii="宋体" w:hAnsi="宋体" w:hint="eastAsia"/>
                <w:szCs w:val="21"/>
              </w:rPr>
            </w:pPr>
            <w:r>
              <w:rPr>
                <w:rFonts w:ascii="宋体" w:hAnsi="宋体" w:hint="eastAsia"/>
                <w:szCs w:val="21"/>
              </w:rPr>
              <w:t>其中</w:t>
            </w:r>
          </w:p>
        </w:tc>
        <w:tc>
          <w:tcPr>
            <w:tcW w:w="3111" w:type="dxa"/>
            <w:gridSpan w:val="2"/>
            <w:shd w:val="clear" w:color="auto" w:fill="auto"/>
            <w:noWrap/>
            <w:vAlign w:val="center"/>
          </w:tcPr>
          <w:p>
            <w:pPr>
              <w:pStyle w:val="Normal0"/>
              <w:spacing w:line="390" w:lineRule="exact"/>
              <w:rPr>
                <w:rFonts w:ascii="宋体" w:hAnsi="宋体" w:hint="eastAsia"/>
                <w:szCs w:val="21"/>
              </w:rPr>
            </w:pPr>
            <w:r>
              <w:rPr>
                <w:rFonts w:ascii="宋体" w:hAnsi="宋体" w:hint="eastAsia"/>
                <w:szCs w:val="21"/>
              </w:rPr>
              <w:t>地上建筑面积</w:t>
            </w:r>
          </w:p>
        </w:tc>
        <w:tc>
          <w:tcPr>
            <w:tcW w:w="1479" w:type="dxa"/>
            <w:shd w:val="clear" w:color="auto" w:fill="auto"/>
            <w:vAlign w:val="center"/>
          </w:tcPr>
          <w:p>
            <w:pPr>
              <w:pStyle w:val="Normal0"/>
              <w:widowControl/>
              <w:spacing w:line="390" w:lineRule="exact"/>
              <w:jc w:val="center"/>
              <w:rPr>
                <w:rFonts w:hint="eastAsia"/>
                <w:szCs w:val="21"/>
              </w:rPr>
            </w:pPr>
            <w:r>
              <w:rPr>
                <w:rFonts w:hint="eastAsia"/>
                <w:bCs/>
                <w:szCs w:val="21"/>
              </w:rPr>
              <w:t>173760</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ign w:val="center"/>
          </w:tcPr>
          <w:p>
            <w:pPr>
              <w:pStyle w:val="Normal0"/>
              <w:widowControl/>
              <w:spacing w:line="390" w:lineRule="exact"/>
              <w:jc w:val="center"/>
              <w:rPr>
                <w:rFonts w:ascii="宋体" w:hAnsi="宋体" w:hint="eastAsia"/>
                <w:szCs w:val="21"/>
              </w:rPr>
            </w:pPr>
          </w:p>
        </w:tc>
        <w:tc>
          <w:tcPr>
            <w:tcW w:w="810" w:type="dxa"/>
            <w:vMerge w:val="restart"/>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其中</w:t>
            </w:r>
          </w:p>
        </w:tc>
        <w:tc>
          <w:tcPr>
            <w:tcW w:w="2301" w:type="dxa"/>
            <w:shd w:val="clear" w:color="auto" w:fill="auto"/>
            <w:vAlign w:val="center"/>
          </w:tcPr>
          <w:p>
            <w:pPr>
              <w:pStyle w:val="Normal0"/>
              <w:spacing w:line="390" w:lineRule="exact"/>
              <w:rPr>
                <w:rFonts w:ascii="宋体" w:hAnsi="宋体" w:hint="eastAsia"/>
                <w:szCs w:val="21"/>
              </w:rPr>
            </w:pPr>
            <w:r>
              <w:rPr>
                <w:rFonts w:ascii="宋体" w:hAnsi="宋体" w:hint="eastAsia"/>
                <w:szCs w:val="21"/>
              </w:rPr>
              <w:t>住宅建筑面积</w:t>
            </w:r>
          </w:p>
        </w:tc>
        <w:tc>
          <w:tcPr>
            <w:tcW w:w="1479" w:type="dxa"/>
            <w:shd w:val="clear" w:color="auto" w:fill="auto"/>
            <w:vAlign w:val="center"/>
          </w:tcPr>
          <w:p>
            <w:pPr>
              <w:pStyle w:val="Normal0"/>
              <w:widowControl/>
              <w:jc w:val="center"/>
              <w:rPr>
                <w:szCs w:val="21"/>
              </w:rPr>
            </w:pPr>
            <w:r>
              <w:rPr>
                <w:rFonts w:hint="eastAsia"/>
                <w:szCs w:val="21"/>
              </w:rPr>
              <w:t>160760</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ign w:val="center"/>
          </w:tcPr>
          <w:p>
            <w:pPr>
              <w:pStyle w:val="Normal0"/>
              <w:widowControl/>
              <w:spacing w:line="390" w:lineRule="exact"/>
              <w:jc w:val="center"/>
              <w:rPr>
                <w:rFonts w:ascii="宋体" w:hAnsi="宋体" w:hint="eastAsia"/>
                <w:szCs w:val="21"/>
              </w:rPr>
            </w:pPr>
          </w:p>
        </w:tc>
        <w:tc>
          <w:tcPr>
            <w:tcW w:w="810" w:type="dxa"/>
            <w:vMerge/>
            <w:shd w:val="clear" w:color="auto" w:fill="auto"/>
            <w:noWrap/>
            <w:vAlign w:val="center"/>
          </w:tcPr>
          <w:p>
            <w:pPr>
              <w:pStyle w:val="Normal0"/>
              <w:widowControl/>
              <w:spacing w:line="390" w:lineRule="exact"/>
              <w:jc w:val="center"/>
              <w:rPr>
                <w:rFonts w:ascii="宋体" w:hAnsi="宋体" w:hint="eastAsia"/>
                <w:szCs w:val="21"/>
              </w:rPr>
            </w:pPr>
          </w:p>
        </w:tc>
        <w:tc>
          <w:tcPr>
            <w:tcW w:w="2301" w:type="dxa"/>
            <w:shd w:val="clear" w:color="auto" w:fill="auto"/>
            <w:vAlign w:val="center"/>
          </w:tcPr>
          <w:p>
            <w:pPr>
              <w:pStyle w:val="Normal0"/>
              <w:spacing w:line="390" w:lineRule="exact"/>
              <w:rPr>
                <w:rFonts w:ascii="宋体" w:hAnsi="宋体" w:hint="eastAsia"/>
                <w:szCs w:val="21"/>
              </w:rPr>
            </w:pPr>
            <w:r>
              <w:rPr>
                <w:rFonts w:ascii="宋体" w:hAnsi="宋体" w:hint="eastAsia"/>
                <w:szCs w:val="21"/>
              </w:rPr>
              <w:t>配套商业建筑面积</w:t>
            </w:r>
          </w:p>
        </w:tc>
        <w:tc>
          <w:tcPr>
            <w:tcW w:w="1479" w:type="dxa"/>
            <w:shd w:val="clear" w:color="auto" w:fill="auto"/>
            <w:vAlign w:val="center"/>
          </w:tcPr>
          <w:p>
            <w:pPr>
              <w:pStyle w:val="Normal0"/>
              <w:widowControl/>
              <w:jc w:val="center"/>
              <w:rPr>
                <w:rFonts w:hint="eastAsia"/>
                <w:szCs w:val="21"/>
              </w:rPr>
            </w:pPr>
            <w:r>
              <w:rPr>
                <w:rFonts w:hint="eastAsia"/>
                <w:szCs w:val="21"/>
              </w:rPr>
              <w:t>5000</w:t>
            </w:r>
          </w:p>
        </w:tc>
        <w:tc>
          <w:tcPr>
            <w:tcW w:w="2194" w:type="dxa"/>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ign w:val="center"/>
          </w:tcPr>
          <w:p>
            <w:pPr>
              <w:pStyle w:val="Normal0"/>
              <w:widowControl/>
              <w:spacing w:line="390" w:lineRule="exact"/>
              <w:jc w:val="center"/>
              <w:rPr>
                <w:rFonts w:ascii="宋体" w:hAnsi="宋体" w:hint="eastAsia"/>
                <w:szCs w:val="21"/>
              </w:rPr>
            </w:pPr>
          </w:p>
        </w:tc>
        <w:tc>
          <w:tcPr>
            <w:tcW w:w="810" w:type="dxa"/>
            <w:vMerge/>
            <w:shd w:val="clear" w:color="auto" w:fill="auto"/>
            <w:noWrap/>
            <w:vAlign w:val="center"/>
          </w:tcPr>
          <w:p>
            <w:pPr>
              <w:pStyle w:val="Normal0"/>
              <w:widowControl/>
              <w:spacing w:line="390" w:lineRule="exact"/>
              <w:jc w:val="center"/>
              <w:rPr>
                <w:rFonts w:ascii="宋体" w:hAnsi="宋体" w:hint="eastAsia"/>
                <w:szCs w:val="21"/>
              </w:rPr>
            </w:pPr>
          </w:p>
        </w:tc>
        <w:tc>
          <w:tcPr>
            <w:tcW w:w="2301" w:type="dxa"/>
            <w:shd w:val="clear" w:color="auto" w:fill="auto"/>
            <w:vAlign w:val="center"/>
          </w:tcPr>
          <w:p>
            <w:pPr>
              <w:pStyle w:val="Normal0"/>
              <w:spacing w:line="390" w:lineRule="exact"/>
              <w:rPr>
                <w:rFonts w:ascii="宋体" w:hAnsi="宋体" w:hint="eastAsia"/>
                <w:szCs w:val="21"/>
              </w:rPr>
            </w:pPr>
            <w:r>
              <w:rPr>
                <w:rFonts w:ascii="宋体" w:hAnsi="宋体" w:hint="eastAsia"/>
                <w:szCs w:val="21"/>
              </w:rPr>
              <w:t>公共配套建筑面积</w:t>
            </w:r>
          </w:p>
        </w:tc>
        <w:tc>
          <w:tcPr>
            <w:tcW w:w="1479" w:type="dxa"/>
            <w:shd w:val="clear" w:color="auto" w:fill="auto"/>
            <w:vAlign w:val="center"/>
          </w:tcPr>
          <w:p>
            <w:pPr>
              <w:pStyle w:val="Normal0"/>
              <w:widowControl/>
              <w:jc w:val="center"/>
              <w:rPr>
                <w:rFonts w:hint="eastAsia"/>
                <w:szCs w:val="21"/>
              </w:rPr>
            </w:pPr>
            <w:r>
              <w:rPr>
                <w:rFonts w:hint="eastAsia"/>
                <w:szCs w:val="21"/>
              </w:rPr>
              <w:t>8000</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ign w:val="center"/>
          </w:tcPr>
          <w:p>
            <w:pPr>
              <w:pStyle w:val="Normal0"/>
              <w:widowControl/>
              <w:spacing w:line="390" w:lineRule="exact"/>
              <w:jc w:val="center"/>
              <w:rPr>
                <w:rFonts w:ascii="宋体" w:hAnsi="宋体" w:hint="eastAsia"/>
                <w:szCs w:val="21"/>
              </w:rPr>
            </w:pPr>
          </w:p>
        </w:tc>
        <w:tc>
          <w:tcPr>
            <w:tcW w:w="3111" w:type="dxa"/>
            <w:gridSpan w:val="2"/>
            <w:shd w:val="clear" w:color="auto" w:fill="auto"/>
            <w:noWrap/>
            <w:vAlign w:val="center"/>
          </w:tcPr>
          <w:p>
            <w:pPr>
              <w:pStyle w:val="Normal0"/>
              <w:spacing w:line="390" w:lineRule="exact"/>
              <w:rPr>
                <w:rFonts w:ascii="宋体" w:hAnsi="宋体" w:hint="eastAsia"/>
                <w:szCs w:val="21"/>
              </w:rPr>
            </w:pPr>
            <w:r>
              <w:rPr>
                <w:rFonts w:ascii="宋体" w:hAnsi="宋体" w:hint="eastAsia"/>
                <w:szCs w:val="21"/>
              </w:rPr>
              <w:t>地下建筑面积</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44263</w:t>
            </w:r>
          </w:p>
        </w:tc>
        <w:tc>
          <w:tcPr>
            <w:tcW w:w="2194" w:type="dxa"/>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ign w:val="center"/>
          </w:tcPr>
          <w:p>
            <w:pPr>
              <w:pStyle w:val="Normal0"/>
              <w:widowControl/>
              <w:spacing w:line="390" w:lineRule="exact"/>
              <w:jc w:val="center"/>
              <w:rPr>
                <w:rFonts w:ascii="宋体" w:hAnsi="宋体" w:hint="eastAsia"/>
                <w:szCs w:val="21"/>
              </w:rPr>
            </w:pPr>
          </w:p>
        </w:tc>
        <w:tc>
          <w:tcPr>
            <w:tcW w:w="810" w:type="dxa"/>
            <w:vMerge w:val="restart"/>
            <w:shd w:val="clear" w:color="auto" w:fill="auto"/>
            <w:noWrap/>
            <w:vAlign w:val="center"/>
          </w:tcPr>
          <w:p>
            <w:pPr>
              <w:pStyle w:val="Normal0"/>
              <w:spacing w:line="390" w:lineRule="exact"/>
              <w:jc w:val="center"/>
              <w:rPr>
                <w:rFonts w:ascii="宋体" w:hAnsi="宋体" w:hint="eastAsia"/>
                <w:szCs w:val="21"/>
              </w:rPr>
            </w:pPr>
            <w:r>
              <w:rPr>
                <w:rFonts w:ascii="宋体" w:hAnsi="宋体" w:hint="eastAsia"/>
                <w:szCs w:val="21"/>
              </w:rPr>
              <w:t>其中</w:t>
            </w:r>
          </w:p>
        </w:tc>
        <w:tc>
          <w:tcPr>
            <w:tcW w:w="2301" w:type="dxa"/>
            <w:shd w:val="clear" w:color="auto" w:fill="auto"/>
            <w:vAlign w:val="center"/>
          </w:tcPr>
          <w:p>
            <w:pPr>
              <w:pStyle w:val="Normal0"/>
              <w:widowControl/>
              <w:spacing w:line="390" w:lineRule="exact"/>
              <w:jc w:val="left"/>
              <w:rPr>
                <w:rFonts w:ascii="宋体" w:hAnsi="宋体" w:hint="eastAsia"/>
                <w:szCs w:val="21"/>
              </w:rPr>
            </w:pPr>
            <w:r>
              <w:rPr>
                <w:rFonts w:ascii="宋体" w:hAnsi="宋体" w:hint="eastAsia"/>
                <w:szCs w:val="21"/>
              </w:rPr>
              <w:t>地下机动车库面积</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25377</w:t>
            </w:r>
          </w:p>
        </w:tc>
        <w:tc>
          <w:tcPr>
            <w:tcW w:w="2194" w:type="dxa"/>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812" w:type="dxa"/>
            <w:vMerge/>
            <w:vAlign w:val="center"/>
          </w:tcPr>
          <w:p>
            <w:pPr>
              <w:pStyle w:val="Normal0"/>
              <w:widowControl/>
              <w:spacing w:line="390" w:lineRule="exact"/>
              <w:jc w:val="center"/>
              <w:rPr>
                <w:rFonts w:ascii="宋体" w:hAnsi="宋体" w:hint="eastAsia"/>
                <w:szCs w:val="21"/>
              </w:rPr>
            </w:pPr>
          </w:p>
        </w:tc>
        <w:tc>
          <w:tcPr>
            <w:tcW w:w="810" w:type="dxa"/>
            <w:vMerge/>
            <w:shd w:val="clear" w:color="auto" w:fill="auto"/>
            <w:noWrap/>
            <w:vAlign w:val="center"/>
          </w:tcPr>
          <w:p>
            <w:pPr>
              <w:pStyle w:val="Normal0"/>
              <w:spacing w:line="390" w:lineRule="exact"/>
              <w:rPr>
                <w:rFonts w:ascii="宋体" w:hAnsi="宋体" w:hint="eastAsia"/>
                <w:szCs w:val="21"/>
              </w:rPr>
            </w:pPr>
          </w:p>
        </w:tc>
        <w:tc>
          <w:tcPr>
            <w:tcW w:w="2301" w:type="dxa"/>
            <w:shd w:val="clear" w:color="auto" w:fill="auto"/>
            <w:vAlign w:val="center"/>
          </w:tcPr>
          <w:p>
            <w:pPr>
              <w:pStyle w:val="Normal0"/>
              <w:widowControl/>
              <w:spacing w:line="390" w:lineRule="exact"/>
              <w:jc w:val="left"/>
              <w:rPr>
                <w:rFonts w:ascii="宋体" w:hAnsi="宋体" w:hint="eastAsia"/>
                <w:szCs w:val="21"/>
              </w:rPr>
            </w:pPr>
            <w:r>
              <w:rPr>
                <w:rFonts w:ascii="宋体" w:hAnsi="宋体" w:hint="eastAsia"/>
                <w:szCs w:val="21"/>
              </w:rPr>
              <w:t>人防及设备用房面积</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18886</w:t>
            </w:r>
          </w:p>
        </w:tc>
        <w:tc>
          <w:tcPr>
            <w:tcW w:w="2194" w:type="dxa"/>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平方米</w:t>
            </w:r>
          </w:p>
        </w:tc>
      </w:tr>
      <w:tr>
        <w:tblPrEx>
          <w:tblW w:w="7596" w:type="dxa"/>
          <w:jc w:val="center"/>
          <w:tblCellMar>
            <w:top w:w="0" w:type="dxa"/>
            <w:left w:w="108" w:type="dxa"/>
            <w:bottom w:w="0" w:type="dxa"/>
            <w:right w:w="108" w:type="dxa"/>
          </w:tblCellMar>
        </w:tblPrEx>
        <w:trPr>
          <w:trHeight w:val="255"/>
          <w:jc w:val="center"/>
        </w:trPr>
        <w:tc>
          <w:tcPr>
            <w:tcW w:w="3923" w:type="dxa"/>
            <w:gridSpan w:val="3"/>
            <w:vAlign w:val="center"/>
          </w:tcPr>
          <w:p>
            <w:pPr>
              <w:pStyle w:val="Normal0"/>
              <w:spacing w:line="390" w:lineRule="exact"/>
              <w:rPr>
                <w:rFonts w:ascii="宋体" w:hAnsi="宋体" w:hint="eastAsia"/>
                <w:szCs w:val="21"/>
              </w:rPr>
            </w:pPr>
            <w:r>
              <w:rPr>
                <w:rFonts w:ascii="宋体" w:hAnsi="宋体" w:hint="eastAsia"/>
                <w:szCs w:val="21"/>
              </w:rPr>
              <w:t>住宅层数</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11-15</w:t>
            </w:r>
          </w:p>
        </w:tc>
        <w:tc>
          <w:tcPr>
            <w:tcW w:w="2194" w:type="dxa"/>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层</w:t>
            </w:r>
          </w:p>
        </w:tc>
      </w:tr>
    </w:tbl>
    <w:p>
      <w:p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800" w:bottom="1440" w:left="1800" w:header="851" w:footer="992" w:gutter="0"/>
          <w:pgNumType w:start="3"/>
          <w:cols w:num="1" w:space="425"/>
          <w:titlePg w:val="0"/>
          <w:docGrid w:type="lines" w:linePitch="312" w:charSpace="0"/>
        </w:sectPr>
      </w:pPr>
    </w:p>
    <w:tbl>
      <w:tblPr>
        <w:tblStyle w:val="TableNormal"/>
        <w:tblW w:w="7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52"/>
        <w:gridCol w:w="3271"/>
        <w:gridCol w:w="1479"/>
        <w:gridCol w:w="2194"/>
      </w:tblGrid>
      <w:tr>
        <w:tblPrEx>
          <w:tblW w:w="7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55"/>
          <w:jc w:val="center"/>
        </w:trPr>
        <w:tc>
          <w:tcPr>
            <w:tcW w:w="3923" w:type="dxa"/>
            <w:gridSpan w:val="2"/>
            <w:vAlign w:val="center"/>
          </w:tcPr>
          <w:p>
            <w:pPr>
              <w:pStyle w:val="Normal0"/>
              <w:widowControl/>
              <w:spacing w:line="390" w:lineRule="exact"/>
              <w:jc w:val="left"/>
              <w:rPr>
                <w:rFonts w:ascii="宋体" w:hAnsi="宋体"/>
                <w:szCs w:val="21"/>
              </w:rPr>
            </w:pPr>
            <w:r>
              <w:rPr>
                <w:rFonts w:ascii="宋体" w:hAnsi="宋体" w:hint="eastAsia"/>
                <w:szCs w:val="21"/>
              </w:rPr>
              <w:t>容积率</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2.3</w:t>
            </w:r>
          </w:p>
        </w:tc>
        <w:tc>
          <w:tcPr>
            <w:tcW w:w="2194" w:type="dxa"/>
            <w:shd w:val="clear" w:color="auto" w:fill="auto"/>
            <w:noWrap/>
            <w:vAlign w:val="center"/>
          </w:tcPr>
          <w:p>
            <w:pPr>
              <w:pStyle w:val="Normal0"/>
              <w:widowControl/>
              <w:spacing w:line="390" w:lineRule="exact"/>
              <w:jc w:val="center"/>
              <w:rPr>
                <w:szCs w:val="21"/>
              </w:rPr>
            </w:pPr>
          </w:p>
        </w:tc>
      </w:tr>
      <w:tr>
        <w:tblPrEx>
          <w:tblW w:w="7596" w:type="dxa"/>
          <w:jc w:val="center"/>
          <w:tblCellMar>
            <w:top w:w="0" w:type="dxa"/>
            <w:left w:w="108" w:type="dxa"/>
            <w:bottom w:w="0" w:type="dxa"/>
            <w:right w:w="108" w:type="dxa"/>
          </w:tblCellMar>
        </w:tblPrEx>
        <w:trPr>
          <w:trHeight w:val="255"/>
          <w:jc w:val="center"/>
        </w:trPr>
        <w:tc>
          <w:tcPr>
            <w:tcW w:w="3923" w:type="dxa"/>
            <w:gridSpan w:val="2"/>
            <w:vAlign w:val="center"/>
          </w:tcPr>
          <w:p>
            <w:pPr>
              <w:pStyle w:val="Normal0"/>
              <w:widowControl/>
              <w:spacing w:line="390" w:lineRule="exact"/>
              <w:jc w:val="left"/>
              <w:rPr>
                <w:rFonts w:ascii="宋体" w:hAnsi="宋体"/>
                <w:szCs w:val="21"/>
              </w:rPr>
            </w:pPr>
            <w:r>
              <w:rPr>
                <w:rFonts w:ascii="宋体" w:hAnsi="宋体" w:hint="eastAsia"/>
                <w:szCs w:val="21"/>
              </w:rPr>
              <w:t>绿地率</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30</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w:t>
            </w:r>
          </w:p>
        </w:tc>
      </w:tr>
      <w:tr>
        <w:tblPrEx>
          <w:tblW w:w="7596" w:type="dxa"/>
          <w:jc w:val="center"/>
          <w:tblCellMar>
            <w:top w:w="0" w:type="dxa"/>
            <w:left w:w="108" w:type="dxa"/>
            <w:bottom w:w="0" w:type="dxa"/>
            <w:right w:w="108" w:type="dxa"/>
          </w:tblCellMar>
        </w:tblPrEx>
        <w:trPr>
          <w:trHeight w:val="255"/>
          <w:jc w:val="center"/>
        </w:trPr>
        <w:tc>
          <w:tcPr>
            <w:tcW w:w="3923" w:type="dxa"/>
            <w:gridSpan w:val="2"/>
            <w:vAlign w:val="center"/>
          </w:tcPr>
          <w:p>
            <w:pPr>
              <w:pStyle w:val="Normal0"/>
              <w:widowControl/>
              <w:spacing w:line="390" w:lineRule="exact"/>
              <w:jc w:val="left"/>
              <w:rPr>
                <w:rFonts w:ascii="宋体" w:hAnsi="宋体" w:hint="eastAsia"/>
                <w:szCs w:val="21"/>
              </w:rPr>
            </w:pPr>
            <w:r>
              <w:rPr>
                <w:rFonts w:ascii="宋体" w:hAnsi="宋体" w:hint="eastAsia"/>
                <w:szCs w:val="21"/>
              </w:rPr>
              <w:t>居住户数</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1585</w:t>
            </w:r>
          </w:p>
        </w:tc>
        <w:tc>
          <w:tcPr>
            <w:tcW w:w="2194" w:type="dxa"/>
            <w:shd w:val="clear" w:color="auto" w:fill="auto"/>
            <w:noWrap/>
            <w:vAlign w:val="center"/>
          </w:tcPr>
          <w:p>
            <w:pPr>
              <w:pStyle w:val="Normal0"/>
              <w:widowControl/>
              <w:spacing w:line="390" w:lineRule="exact"/>
              <w:jc w:val="center"/>
              <w:rPr>
                <w:rFonts w:ascii="宋体" w:hAnsi="宋体" w:hint="eastAsia"/>
                <w:szCs w:val="21"/>
              </w:rPr>
            </w:pPr>
            <w:r>
              <w:rPr>
                <w:rFonts w:ascii="宋体" w:hAnsi="宋体" w:hint="eastAsia"/>
                <w:szCs w:val="21"/>
              </w:rPr>
              <w:t>户</w:t>
            </w:r>
          </w:p>
        </w:tc>
      </w:tr>
      <w:tr>
        <w:tblPrEx>
          <w:tblW w:w="7596" w:type="dxa"/>
          <w:jc w:val="center"/>
          <w:tblCellMar>
            <w:top w:w="0" w:type="dxa"/>
            <w:left w:w="108" w:type="dxa"/>
            <w:bottom w:w="0" w:type="dxa"/>
            <w:right w:w="108" w:type="dxa"/>
          </w:tblCellMar>
        </w:tblPrEx>
        <w:trPr>
          <w:trHeight w:val="255"/>
          <w:jc w:val="center"/>
        </w:trPr>
        <w:tc>
          <w:tcPr>
            <w:tcW w:w="3923" w:type="dxa"/>
            <w:gridSpan w:val="2"/>
            <w:vAlign w:val="center"/>
          </w:tcPr>
          <w:p>
            <w:pPr>
              <w:pStyle w:val="Normal0"/>
              <w:widowControl/>
              <w:spacing w:line="390" w:lineRule="exact"/>
              <w:jc w:val="left"/>
              <w:rPr>
                <w:rFonts w:ascii="宋体" w:hAnsi="宋体"/>
                <w:szCs w:val="21"/>
              </w:rPr>
            </w:pPr>
            <w:r>
              <w:rPr>
                <w:rFonts w:ascii="宋体" w:hAnsi="宋体" w:hint="eastAsia"/>
                <w:szCs w:val="21"/>
              </w:rPr>
              <w:t>居住人数</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4438</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人</w:t>
            </w:r>
          </w:p>
        </w:tc>
      </w:tr>
      <w:tr>
        <w:tblPrEx>
          <w:tblW w:w="7596" w:type="dxa"/>
          <w:jc w:val="center"/>
          <w:tblCellMar>
            <w:top w:w="0" w:type="dxa"/>
            <w:left w:w="108" w:type="dxa"/>
            <w:bottom w:w="0" w:type="dxa"/>
            <w:right w:w="108" w:type="dxa"/>
          </w:tblCellMar>
        </w:tblPrEx>
        <w:trPr>
          <w:trHeight w:val="255"/>
          <w:jc w:val="center"/>
        </w:trPr>
        <w:tc>
          <w:tcPr>
            <w:tcW w:w="3923" w:type="dxa"/>
            <w:gridSpan w:val="2"/>
            <w:vAlign w:val="center"/>
          </w:tcPr>
          <w:p>
            <w:pPr>
              <w:pStyle w:val="Normal0"/>
              <w:widowControl/>
              <w:spacing w:line="390" w:lineRule="exact"/>
              <w:jc w:val="left"/>
              <w:rPr>
                <w:rFonts w:ascii="宋体" w:hAnsi="宋体"/>
                <w:szCs w:val="21"/>
              </w:rPr>
            </w:pPr>
            <w:r>
              <w:rPr>
                <w:rFonts w:ascii="宋体" w:hAnsi="宋体" w:hint="eastAsia"/>
                <w:szCs w:val="21"/>
              </w:rPr>
              <w:t>机动车停车位</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1405</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辆</w:t>
            </w:r>
          </w:p>
        </w:tc>
      </w:tr>
      <w:tr>
        <w:tblPrEx>
          <w:tblW w:w="7596" w:type="dxa"/>
          <w:jc w:val="center"/>
          <w:tblCellMar>
            <w:top w:w="0" w:type="dxa"/>
            <w:left w:w="108" w:type="dxa"/>
            <w:bottom w:w="0" w:type="dxa"/>
            <w:right w:w="108" w:type="dxa"/>
          </w:tblCellMar>
        </w:tblPrEx>
        <w:trPr>
          <w:trHeight w:val="255"/>
          <w:jc w:val="center"/>
        </w:trPr>
        <w:tc>
          <w:tcPr>
            <w:tcW w:w="540" w:type="dxa"/>
            <w:vMerge w:val="restart"/>
            <w:vAlign w:val="center"/>
          </w:tcPr>
          <w:p>
            <w:pPr>
              <w:pStyle w:val="Normal0"/>
              <w:widowControl/>
              <w:spacing w:line="390" w:lineRule="exact"/>
              <w:jc w:val="left"/>
              <w:rPr>
                <w:rFonts w:ascii="宋体" w:hAnsi="宋体"/>
                <w:szCs w:val="21"/>
              </w:rPr>
            </w:pPr>
            <w:r>
              <w:rPr>
                <w:rFonts w:ascii="宋体" w:hAnsi="宋体" w:hint="eastAsia"/>
                <w:szCs w:val="21"/>
              </w:rPr>
              <w:t>其中</w:t>
            </w:r>
          </w:p>
        </w:tc>
        <w:tc>
          <w:tcPr>
            <w:tcW w:w="3383" w:type="dxa"/>
            <w:vAlign w:val="center"/>
          </w:tcPr>
          <w:p>
            <w:pPr>
              <w:pStyle w:val="Normal0"/>
              <w:widowControl/>
              <w:spacing w:line="390" w:lineRule="exact"/>
              <w:jc w:val="left"/>
              <w:rPr>
                <w:rFonts w:ascii="宋体" w:hAnsi="宋体" w:hint="eastAsia"/>
                <w:szCs w:val="21"/>
              </w:rPr>
            </w:pPr>
            <w:r>
              <w:rPr>
                <w:rFonts w:ascii="宋体" w:hAnsi="宋体" w:hint="eastAsia"/>
                <w:szCs w:val="21"/>
              </w:rPr>
              <w:t>地上停车位</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136</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辆</w:t>
            </w:r>
          </w:p>
        </w:tc>
      </w:tr>
      <w:tr>
        <w:tblPrEx>
          <w:tblW w:w="7596" w:type="dxa"/>
          <w:jc w:val="center"/>
          <w:tblCellMar>
            <w:top w:w="0" w:type="dxa"/>
            <w:left w:w="108" w:type="dxa"/>
            <w:bottom w:w="0" w:type="dxa"/>
            <w:right w:w="108" w:type="dxa"/>
          </w:tblCellMar>
        </w:tblPrEx>
        <w:trPr>
          <w:trHeight w:val="255"/>
          <w:jc w:val="center"/>
        </w:trPr>
        <w:tc>
          <w:tcPr>
            <w:tcW w:w="540" w:type="dxa"/>
            <w:vMerge/>
            <w:vAlign w:val="center"/>
          </w:tcPr>
          <w:p>
            <w:pPr>
              <w:pStyle w:val="Normal0"/>
              <w:widowControl/>
              <w:spacing w:line="390" w:lineRule="exact"/>
              <w:jc w:val="left"/>
              <w:rPr>
                <w:rFonts w:ascii="宋体" w:hAnsi="宋体"/>
                <w:szCs w:val="21"/>
              </w:rPr>
            </w:pPr>
          </w:p>
        </w:tc>
        <w:tc>
          <w:tcPr>
            <w:tcW w:w="3383" w:type="dxa"/>
            <w:vAlign w:val="center"/>
          </w:tcPr>
          <w:p>
            <w:pPr>
              <w:pStyle w:val="Normal0"/>
              <w:widowControl/>
              <w:spacing w:line="390" w:lineRule="exact"/>
              <w:jc w:val="left"/>
              <w:rPr>
                <w:rFonts w:ascii="宋体" w:hAnsi="宋体" w:hint="eastAsia"/>
                <w:szCs w:val="21"/>
              </w:rPr>
            </w:pPr>
            <w:r>
              <w:rPr>
                <w:rFonts w:ascii="宋体" w:hAnsi="宋体" w:hint="eastAsia"/>
                <w:szCs w:val="21"/>
              </w:rPr>
              <w:t>地下停车位</w:t>
            </w:r>
          </w:p>
        </w:tc>
        <w:tc>
          <w:tcPr>
            <w:tcW w:w="1479" w:type="dxa"/>
            <w:shd w:val="clear" w:color="auto" w:fill="auto"/>
            <w:vAlign w:val="center"/>
          </w:tcPr>
          <w:p>
            <w:pPr>
              <w:pStyle w:val="Normal0"/>
              <w:widowControl/>
              <w:spacing w:line="390" w:lineRule="exact"/>
              <w:jc w:val="center"/>
              <w:rPr>
                <w:rFonts w:hint="eastAsia"/>
                <w:szCs w:val="21"/>
              </w:rPr>
            </w:pPr>
            <w:r>
              <w:rPr>
                <w:rFonts w:hint="eastAsia"/>
                <w:szCs w:val="21"/>
              </w:rPr>
              <w:t>1269</w:t>
            </w:r>
          </w:p>
        </w:tc>
        <w:tc>
          <w:tcPr>
            <w:tcW w:w="2194" w:type="dxa"/>
            <w:shd w:val="clear" w:color="auto" w:fill="auto"/>
            <w:noWrap/>
            <w:vAlign w:val="center"/>
          </w:tcPr>
          <w:p>
            <w:pPr>
              <w:pStyle w:val="Normal0"/>
              <w:widowControl/>
              <w:spacing w:line="390" w:lineRule="exact"/>
              <w:jc w:val="center"/>
              <w:rPr>
                <w:rFonts w:ascii="宋体" w:hAnsi="宋体"/>
                <w:szCs w:val="21"/>
              </w:rPr>
            </w:pPr>
            <w:r>
              <w:rPr>
                <w:rFonts w:ascii="宋体" w:hAnsi="宋体" w:hint="eastAsia"/>
                <w:szCs w:val="21"/>
              </w:rPr>
              <w:t>辆</w:t>
            </w:r>
          </w:p>
        </w:tc>
      </w:tr>
    </w:tbl>
    <w:p>
      <w:pPr>
        <w:pStyle w:val="a"/>
        <w:ind w:firstLine="482"/>
        <w:rPr>
          <w:rFonts w:hint="eastAsia"/>
        </w:rPr>
      </w:pPr>
      <w:r>
        <w:rPr>
          <w:rFonts w:hint="eastAsia"/>
          <w:b/>
        </w:rPr>
        <w:t>建设周期：</w:t>
      </w:r>
      <w:r>
        <w:rPr>
          <w:rFonts w:hint="eastAsia"/>
        </w:rPr>
        <w:t>预计</w:t>
      </w:r>
      <w:r>
        <w:t>建设周期为</w:t>
      </w:r>
      <w:r>
        <w:rPr>
          <w:rFonts w:hint="eastAsia"/>
        </w:rPr>
        <w:t>36</w:t>
      </w:r>
      <w:r>
        <w:t>个月，2016年7月</w:t>
      </w:r>
      <w:r>
        <w:rPr>
          <w:rFonts w:hint="eastAsia"/>
        </w:rPr>
        <w:t>投入使用。</w:t>
      </w:r>
    </w:p>
    <w:p>
      <w:pPr>
        <w:pStyle w:val="a"/>
        <w:ind w:firstLine="482"/>
        <w:rPr>
          <w:rFonts w:hint="eastAsia"/>
        </w:rPr>
      </w:pPr>
      <w:r>
        <w:rPr>
          <w:rFonts w:hint="eastAsia"/>
          <w:b/>
        </w:rPr>
        <w:t>投资估算：</w:t>
      </w:r>
      <w:r>
        <w:rPr>
          <w:rFonts w:hint="eastAsia"/>
        </w:rPr>
        <w:t>本</w:t>
      </w:r>
      <w:r>
        <w:rPr>
          <w:rFonts w:hint="eastAsia"/>
          <w:lang w:eastAsia="zh-CN"/>
        </w:rPr>
        <w:t>相关项目</w:t>
      </w:r>
      <w:r>
        <w:t>总投资共194659</w:t>
      </w:r>
      <w:r>
        <w:rPr>
          <w:rFonts w:hint="eastAsia"/>
        </w:rPr>
        <w:t>万元</w:t>
      </w:r>
      <w:r>
        <w:t>，其中环保投资约</w:t>
      </w:r>
      <w:r>
        <w:rPr>
          <w:rFonts w:hint="eastAsia"/>
        </w:rPr>
        <w:t>1385</w:t>
      </w:r>
      <w:r>
        <w:t>万元。占</w:t>
      </w:r>
      <w:r>
        <w:rPr>
          <w:rFonts w:hint="eastAsia"/>
          <w:lang w:eastAsia="zh-CN"/>
        </w:rPr>
        <w:t>相关项目</w:t>
      </w:r>
      <w:r>
        <w:t>总投资的</w:t>
      </w:r>
      <w:r>
        <w:rPr>
          <w:rFonts w:hint="eastAsia"/>
        </w:rPr>
        <w:t>0.7</w:t>
      </w:r>
      <w:r>
        <w:t>%。</w:t>
      </w:r>
    </w:p>
    <w:p>
      <w:pPr>
        <w:pStyle w:val="Heading3"/>
        <w:rPr>
          <w:rFonts w:hint="eastAsia"/>
          <w:lang w:eastAsia="zh-CN"/>
        </w:rPr>
      </w:pPr>
      <w:bookmarkStart w:id="7" w:name="_Toc340052871"/>
      <w:r>
        <w:rPr>
          <w:rFonts w:hint="eastAsia"/>
        </w:rPr>
        <w:t>1.</w:t>
      </w:r>
      <w:r>
        <w:rPr>
          <w:rFonts w:hint="eastAsia"/>
          <w:lang w:eastAsia="zh-CN"/>
        </w:rPr>
        <w:t>2</w:t>
      </w:r>
      <w:r>
        <w:rPr>
          <w:rFonts w:hint="eastAsia"/>
        </w:rPr>
        <w:tab/>
      </w:r>
      <w:r>
        <w:rPr>
          <w:rFonts w:hint="eastAsia"/>
          <w:lang w:eastAsia="zh-CN"/>
        </w:rPr>
        <w:t>政策、规划相符性</w:t>
      </w:r>
      <w:bookmarkEnd w:id="7"/>
    </w:p>
    <w:p>
      <w:pPr>
        <w:pStyle w:val="a"/>
        <w:ind w:firstLine="480"/>
        <w:rPr>
          <w:rFonts w:hint="eastAsia"/>
        </w:rPr>
      </w:pPr>
      <w:r>
        <w:rPr>
          <w:rFonts w:hint="eastAsia"/>
        </w:rPr>
        <w:t>本</w:t>
      </w:r>
      <w:r>
        <w:rPr>
          <w:rFonts w:hint="eastAsia"/>
          <w:lang w:eastAsia="zh-CN"/>
        </w:rPr>
        <w:t>相关项目</w:t>
      </w:r>
      <w:r>
        <w:rPr>
          <w:rFonts w:hint="eastAsia"/>
        </w:rPr>
        <w:t>属于</w:t>
      </w:r>
      <w:r>
        <w:t>《产业结构调整指导目录》</w:t>
      </w:r>
      <w:r>
        <w:rPr>
          <w:rFonts w:hint="eastAsia"/>
        </w:rPr>
        <w:t>（2011版）中鼓励类目录下“三十七 其他服务业”中的“1保障性住房建设与</w:t>
      </w:r>
      <w:r>
        <w:rPr>
          <w:rFonts w:hint="eastAsia"/>
          <w:lang w:eastAsia="zh-CN"/>
        </w:rPr>
        <w:t>管理管控</w:t>
      </w:r>
      <w:r>
        <w:rPr>
          <w:rFonts w:hint="eastAsia"/>
        </w:rPr>
        <w:t>”，符合国家法律法规及相关政策。根据北京市规划委员会（2012规条供字0022号）文件，本</w:t>
      </w:r>
      <w:r>
        <w:rPr>
          <w:rFonts w:hint="eastAsia"/>
          <w:lang w:eastAsia="zh-CN"/>
        </w:rPr>
        <w:t>相关项目</w:t>
      </w:r>
      <w:r>
        <w:rPr>
          <w:rFonts w:hint="eastAsia"/>
        </w:rPr>
        <w:t>用地性质为二类居住用地，</w:t>
      </w:r>
      <w:r>
        <w:rPr>
          <w:rFonts w:hint="eastAsia"/>
          <w:lang w:eastAsia="zh-CN"/>
        </w:rPr>
        <w:t>相关项目</w:t>
      </w:r>
      <w:r>
        <w:rPr>
          <w:rFonts w:hint="eastAsia"/>
        </w:rPr>
        <w:t>建设</w:t>
      </w:r>
      <w:r>
        <w:rPr>
          <w:rFonts w:hint="eastAsia"/>
          <w:lang w:eastAsia="zh-CN"/>
        </w:rPr>
        <w:t>合适的内容</w:t>
      </w:r>
      <w:r>
        <w:rPr>
          <w:rFonts w:hint="eastAsia"/>
        </w:rPr>
        <w:t>主要为住宅及配套公建，本</w:t>
      </w:r>
      <w:r>
        <w:rPr>
          <w:rFonts w:hint="eastAsia"/>
          <w:lang w:eastAsia="zh-CN"/>
        </w:rPr>
        <w:t>相关项目</w:t>
      </w:r>
      <w:r>
        <w:rPr>
          <w:rFonts w:hint="eastAsia"/>
        </w:rPr>
        <w:t>建设</w:t>
      </w:r>
      <w:r>
        <w:rPr>
          <w:rFonts w:hint="eastAsia"/>
          <w:lang w:eastAsia="zh-CN"/>
        </w:rPr>
        <w:t>合适的内容</w:t>
      </w:r>
      <w:r>
        <w:rPr>
          <w:rFonts w:hint="eastAsia"/>
        </w:rPr>
        <w:t>与用地使用性质完全相符。</w:t>
      </w:r>
    </w:p>
    <w:p>
      <w:pPr>
        <w:pStyle w:val="Heading2"/>
        <w:rPr>
          <w:rFonts w:hint="eastAsia"/>
        </w:rPr>
      </w:pPr>
      <w:bookmarkStart w:id="8" w:name="_Toc340052872"/>
      <w:r>
        <w:rPr>
          <w:rFonts w:hint="eastAsia"/>
        </w:rPr>
        <w:t>2.</w:t>
      </w:r>
      <w:r>
        <w:rPr>
          <w:rFonts w:hint="eastAsia"/>
        </w:rPr>
        <w:tab/>
      </w:r>
      <w:r>
        <w:rPr>
          <w:rFonts w:hint="eastAsia"/>
        </w:rPr>
        <w:t>建设</w:t>
      </w:r>
      <w:r>
        <w:rPr>
          <w:rFonts w:hint="eastAsia"/>
          <w:lang w:eastAsia="zh-CN"/>
        </w:rPr>
        <w:t>相关项目</w:t>
      </w:r>
      <w:r>
        <w:rPr>
          <w:rFonts w:hint="eastAsia"/>
        </w:rPr>
        <w:t>周边环境现状</w:t>
      </w:r>
      <w:bookmarkEnd w:id="8"/>
    </w:p>
    <w:p>
      <w:pPr>
        <w:pStyle w:val="Heading3"/>
        <w:rPr>
          <w:rFonts w:hint="eastAsia"/>
        </w:rPr>
      </w:pPr>
      <w:bookmarkStart w:id="9" w:name="_Toc340052873"/>
      <w:bookmarkStart w:id="10" w:name="_Toc308946859"/>
      <w:r>
        <w:rPr>
          <w:rFonts w:hint="eastAsia"/>
          <w:lang w:eastAsia="zh-CN"/>
        </w:rPr>
        <w:t>2</w:t>
      </w:r>
      <w:r>
        <w:rPr>
          <w:rFonts w:hint="eastAsia"/>
        </w:rPr>
        <w:t>.</w:t>
      </w:r>
      <w:r>
        <w:rPr>
          <w:rFonts w:hint="eastAsia"/>
          <w:lang w:eastAsia="zh-CN"/>
        </w:rPr>
        <w:t>1</w:t>
      </w:r>
      <w:r>
        <w:rPr>
          <w:rFonts w:hint="eastAsia"/>
        </w:rPr>
        <w:tab/>
      </w:r>
      <w:r>
        <w:rPr>
          <w:rFonts w:hint="eastAsia"/>
          <w:lang w:eastAsia="zh-CN"/>
        </w:rPr>
        <w:t>相关项目</w:t>
      </w:r>
      <w:r>
        <w:rPr>
          <w:rFonts w:hint="eastAsia"/>
        </w:rPr>
        <w:t>周边概况</w:t>
      </w:r>
      <w:bookmarkEnd w:id="9"/>
      <w:bookmarkEnd w:id="10"/>
    </w:p>
    <w:p>
      <w:pPr>
        <w:pStyle w:val="a"/>
        <w:ind w:firstLine="480"/>
        <w:rPr>
          <w:rFonts w:hint="eastAsia"/>
        </w:rPr>
      </w:pPr>
      <w:r>
        <w:rPr>
          <w:rFonts w:hint="eastAsia"/>
          <w:lang w:eastAsia="zh-CN"/>
        </w:rPr>
        <w:t>相关项目</w:t>
      </w:r>
      <w:r>
        <w:rPr>
          <w:rFonts w:hAnsi="宋体" w:hint="eastAsia"/>
        </w:rPr>
        <w:t>位于</w:t>
      </w:r>
      <w:r>
        <w:rPr>
          <w:rFonts w:hAnsi="宋体"/>
        </w:rPr>
        <w:t>北京市</w:t>
      </w:r>
      <w:r>
        <w:rPr>
          <w:rFonts w:hAnsi="宋体" w:hint="eastAsia"/>
        </w:rPr>
        <w:t>通州</w:t>
      </w:r>
      <w:r>
        <w:rPr>
          <w:rFonts w:hAnsi="宋体"/>
        </w:rPr>
        <w:t>区</w:t>
      </w:r>
      <w:r>
        <w:rPr>
          <w:rFonts w:hAnsi="宋体" w:hint="eastAsia"/>
        </w:rPr>
        <w:t>马驹桥镇，</w:t>
      </w:r>
      <w:r>
        <w:rPr>
          <w:rFonts w:hAnsi="宋体" w:hint="eastAsia"/>
          <w:lang w:eastAsia="zh-CN"/>
        </w:rPr>
        <w:t>相关项目</w:t>
      </w:r>
      <w:r>
        <w:rPr>
          <w:rFonts w:hAnsi="宋体" w:hint="eastAsia"/>
        </w:rPr>
        <w:t>四至为：东至通州物流园九号路，南至</w:t>
      </w:r>
      <w:r>
        <w:rPr>
          <w:rFonts w:hint="eastAsia"/>
        </w:rPr>
        <w:t>C-06-2</w:t>
      </w:r>
      <w:r>
        <w:rPr>
          <w:rFonts w:hAnsi="宋体" w:hint="eastAsia"/>
        </w:rPr>
        <w:t>地块，西至通州物流园八号路，北至凉水河南岸。</w:t>
      </w:r>
      <w:r>
        <w:rPr>
          <w:rFonts w:hint="eastAsia"/>
          <w:lang w:eastAsia="zh-CN"/>
        </w:rPr>
        <w:t>相关项目</w:t>
      </w:r>
      <w:r>
        <w:rPr>
          <w:rFonts w:hint="eastAsia"/>
        </w:rPr>
        <w:t>地理位置及外环境关系见图一、图二。</w:t>
      </w:r>
    </w:p>
    <w:p>
      <w:pPr>
        <w:pStyle w:val="Heading3"/>
        <w:rPr>
          <w:rFonts w:hint="eastAsia"/>
        </w:rPr>
      </w:pPr>
      <w:bookmarkStart w:id="11" w:name="_Toc340052874"/>
      <w:bookmarkStart w:id="12" w:name="_Toc308946860"/>
      <w:r>
        <w:rPr>
          <w:rFonts w:hint="eastAsia"/>
          <w:lang w:eastAsia="zh-CN"/>
        </w:rPr>
        <w:t>2</w:t>
      </w:r>
      <w:r>
        <w:rPr>
          <w:rFonts w:hint="eastAsia"/>
        </w:rPr>
        <w:t>.</w:t>
      </w:r>
      <w:r>
        <w:rPr>
          <w:rFonts w:hint="eastAsia"/>
          <w:lang w:eastAsia="zh-CN"/>
        </w:rPr>
        <w:t>2</w:t>
      </w:r>
      <w:r>
        <w:rPr>
          <w:rFonts w:hint="eastAsia"/>
        </w:rPr>
        <w:tab/>
      </w:r>
      <w:r>
        <w:rPr>
          <w:rFonts w:hint="eastAsia"/>
        </w:rPr>
        <w:t>环境质量现状</w:t>
      </w:r>
      <w:bookmarkEnd w:id="11"/>
      <w:bookmarkEnd w:id="12"/>
    </w:p>
    <w:p>
      <w:pPr>
        <w:pStyle w:val="a"/>
        <w:ind w:firstLine="482"/>
        <w:rPr>
          <w:rFonts w:hint="eastAsia"/>
          <w:b/>
          <w:highlight w:val="red"/>
        </w:rPr>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4"/>
          <w:cols w:num="1" w:space="425"/>
          <w:titlePg w:val="0"/>
          <w:docGrid w:type="lines" w:linePitch="312" w:charSpace="0"/>
        </w:sectPr>
      </w:pPr>
      <w:r>
        <w:rPr>
          <w:rFonts w:hint="eastAsia"/>
          <w:b/>
        </w:rPr>
        <w:t>环境空气：</w:t>
      </w:r>
      <w:r>
        <w:t>在本次环评阶段对</w:t>
      </w:r>
      <w:r>
        <w:rPr>
          <w:rFonts w:hint="eastAsia"/>
          <w:lang w:eastAsia="zh-CN"/>
        </w:rPr>
        <w:t>相关项目</w:t>
      </w:r>
      <w:r>
        <w:t>所在地的环境质量进行了现场监测，大气监测</w:t>
      </w:r>
      <w:r>
        <w:rPr>
          <w:rFonts w:hint="eastAsia"/>
          <w:lang w:eastAsia="zh-CN"/>
        </w:rPr>
        <w:t>合适的内容</w:t>
      </w:r>
      <w:r>
        <w:t>包括TSP、PM</w:t>
      </w:r>
      <w:r>
        <w:rPr>
          <w:vertAlign w:val="subscript"/>
        </w:rPr>
        <w:t>10</w:t>
      </w:r>
      <w:r>
        <w:t>、NO</w:t>
      </w:r>
      <w:r>
        <w:rPr>
          <w:vertAlign w:val="subscript"/>
        </w:rPr>
        <w:t>2</w:t>
      </w:r>
      <w:r>
        <w:t>、SO</w:t>
      </w:r>
      <w:r>
        <w:rPr>
          <w:vertAlign w:val="subscript"/>
        </w:rPr>
        <w:t>2</w:t>
      </w:r>
      <w:r>
        <w:t>、CO，</w:t>
      </w:r>
      <w:r>
        <w:rPr>
          <w:rFonts w:hint="eastAsia"/>
        </w:rPr>
        <w:t>各监测指标均满足二级标准要求；</w:t>
      </w:r>
    </w:p>
    <w:p>
      <w:pPr>
        <w:pStyle w:val="a"/>
        <w:ind w:firstLine="482"/>
        <w:rPr>
          <w:rFonts w:hint="eastAsia"/>
          <w:b/>
          <w:highlight w:val="red"/>
        </w:rPr>
      </w:pPr>
      <w:r>
        <w:t>表明该地区大气环境质量相对较好，大气质量能够达到《环境空气质量标准》（GB3095-</w:t>
      </w:r>
      <w:r>
        <w:rPr>
          <w:rFonts w:hint="eastAsia"/>
        </w:rPr>
        <w:t>2012</w:t>
      </w:r>
      <w:r>
        <w:t>）中的二级</w:t>
      </w:r>
      <w:r>
        <w:rPr>
          <w:rFonts w:hint="eastAsia"/>
        </w:rPr>
        <w:t>浓度限值</w:t>
      </w:r>
      <w:r>
        <w:t>，大气环境较好。</w:t>
      </w:r>
    </w:p>
    <w:p>
      <w:pPr>
        <w:pStyle w:val="Normal0"/>
        <w:widowControl/>
        <w:spacing w:before="156" w:beforeLines="50" w:line="360" w:lineRule="auto"/>
        <w:ind w:firstLine="480" w:firstLineChars="200"/>
        <w:rPr>
          <w:rFonts w:hint="eastAsia"/>
          <w:color w:val="000000"/>
          <w:sz w:val="24"/>
        </w:rPr>
      </w:pPr>
      <w:r>
        <w:rPr>
          <w:rFonts w:hint="eastAsia"/>
          <w:b/>
          <w:kern w:val="0"/>
          <w:sz w:val="24"/>
        </w:rPr>
        <w:t>地表水：</w:t>
      </w:r>
      <w:r>
        <w:rPr>
          <w:rFonts w:hAnsi="宋体" w:hint="eastAsia"/>
          <w:bCs/>
          <w:sz w:val="24"/>
        </w:rPr>
        <w:t>距</w:t>
      </w:r>
      <w:r>
        <w:rPr>
          <w:rFonts w:hAnsi="宋体"/>
          <w:bCs/>
          <w:sz w:val="24"/>
        </w:rPr>
        <w:t>本</w:t>
      </w:r>
      <w:r>
        <w:rPr>
          <w:rFonts w:hAnsi="宋体" w:hint="eastAsia"/>
          <w:bCs/>
          <w:sz w:val="24"/>
          <w:lang w:eastAsia="zh-CN"/>
        </w:rPr>
        <w:t>相关项目</w:t>
      </w:r>
      <w:r>
        <w:rPr>
          <w:rFonts w:hAnsi="宋体"/>
          <w:bCs/>
          <w:sz w:val="24"/>
        </w:rPr>
        <w:t>最近的地表水体为</w:t>
      </w:r>
      <w:r>
        <w:rPr>
          <w:rFonts w:hAnsi="宋体" w:hint="eastAsia"/>
          <w:sz w:val="24"/>
          <w:lang w:eastAsia="zh-CN"/>
        </w:rPr>
        <w:t>相关项目</w:t>
      </w:r>
      <w:r>
        <w:rPr>
          <w:rFonts w:hAnsi="宋体" w:hint="eastAsia"/>
          <w:sz w:val="24"/>
        </w:rPr>
        <w:t>北侧45m处的马驹桥干渠，马驹桥干渠自西向东再向南汇入凤港减河，属于北运河水系。</w:t>
      </w:r>
      <w:r>
        <w:rPr>
          <w:rFonts w:hint="eastAsia"/>
          <w:sz w:val="24"/>
        </w:rPr>
        <w:t>根据水质检测结果，</w:t>
      </w:r>
      <w:r>
        <w:rPr>
          <w:rFonts w:hAnsi="宋体" w:hint="eastAsia"/>
          <w:sz w:val="24"/>
        </w:rPr>
        <w:t>马驹桥干渠</w:t>
      </w:r>
      <w:r>
        <w:rPr>
          <w:rFonts w:hint="eastAsia"/>
          <w:sz w:val="24"/>
        </w:rPr>
        <w:t>水质一般，监测指标部分超标，部分指标不能达到</w:t>
      </w:r>
      <w:r>
        <w:rPr>
          <w:sz w:val="24"/>
        </w:rPr>
        <w:t>《地表水环境质量标准》（GB38</w:t>
      </w:r>
      <w:r>
        <w:rPr>
          <w:color w:val="000000"/>
          <w:sz w:val="24"/>
        </w:rPr>
        <w:t>38</w:t>
      </w:r>
      <w:r>
        <w:rPr>
          <w:rFonts w:hint="eastAsia"/>
          <w:color w:val="000000"/>
          <w:sz w:val="24"/>
        </w:rPr>
        <w:t>-</w:t>
      </w:r>
      <w:r>
        <w:rPr>
          <w:color w:val="000000"/>
          <w:sz w:val="24"/>
        </w:rPr>
        <w:t>2002）</w:t>
      </w:r>
      <w:r>
        <w:rPr>
          <w:rFonts w:hint="eastAsia"/>
          <w:color w:val="000000"/>
          <w:sz w:val="24"/>
        </w:rPr>
        <w:t>中的</w:t>
      </w:r>
      <w:r>
        <w:rPr>
          <w:rFonts w:hAnsi="宋体"/>
          <w:color w:val="000000"/>
          <w:sz w:val="24"/>
        </w:rPr>
        <w:fldChar w:fldCharType="begin"/>
      </w:r>
      <w:r>
        <w:rPr>
          <w:rFonts w:hAnsi="宋体"/>
          <w:color w:val="000000"/>
          <w:sz w:val="24"/>
        </w:rPr>
        <w:instrText xml:space="preserve"> </w:instrText>
      </w:r>
      <w:r>
        <w:rPr>
          <w:rFonts w:hAnsi="宋体" w:hint="eastAsia"/>
          <w:color w:val="000000"/>
          <w:sz w:val="24"/>
        </w:rPr>
        <w:instrText>= 4 \* ROMAN</w:instrText>
      </w:r>
      <w:r>
        <w:rPr>
          <w:rFonts w:hAnsi="宋体"/>
          <w:color w:val="000000"/>
          <w:sz w:val="24"/>
        </w:rPr>
        <w:instrText xml:space="preserve"> </w:instrText>
      </w:r>
      <w:r>
        <w:rPr>
          <w:rFonts w:hAnsi="宋体"/>
          <w:color w:val="000000"/>
          <w:sz w:val="24"/>
        </w:rPr>
        <w:fldChar w:fldCharType="separate"/>
      </w:r>
      <w:r>
        <w:rPr>
          <w:rFonts w:hAnsi="宋体"/>
          <w:color w:val="000000"/>
          <w:sz w:val="24"/>
        </w:rPr>
        <w:t>V</w:t>
      </w:r>
      <w:r>
        <w:rPr>
          <w:rFonts w:hAnsi="宋体"/>
          <w:color w:val="000000"/>
          <w:sz w:val="24"/>
        </w:rPr>
        <w:fldChar w:fldCharType="end"/>
      </w:r>
      <w:r>
        <w:rPr>
          <w:color w:val="000000"/>
          <w:sz w:val="24"/>
        </w:rPr>
        <w:t>类标准</w:t>
      </w:r>
      <w:r>
        <w:rPr>
          <w:rFonts w:hint="eastAsia"/>
          <w:color w:val="000000"/>
          <w:sz w:val="24"/>
        </w:rPr>
        <w:t>，这主要是附近居民向马驹桥干渠排放污水的缘故。</w:t>
      </w:r>
    </w:p>
    <w:p>
      <w:pPr>
        <w:pStyle w:val="Normal0"/>
        <w:spacing w:line="360" w:lineRule="auto"/>
        <w:ind w:firstLine="480" w:firstLineChars="200"/>
        <w:rPr>
          <w:rFonts w:hint="eastAsia"/>
          <w:sz w:val="24"/>
        </w:rPr>
      </w:pPr>
      <w:r>
        <w:rPr>
          <w:rFonts w:hAnsi="宋体" w:hint="eastAsia"/>
          <w:sz w:val="24"/>
        </w:rPr>
        <w:t>距</w:t>
      </w:r>
      <w:r>
        <w:rPr>
          <w:rFonts w:hAnsi="宋体" w:hint="eastAsia"/>
          <w:sz w:val="24"/>
          <w:lang w:eastAsia="zh-CN"/>
        </w:rPr>
        <w:t>相关项目</w:t>
      </w:r>
      <w:r>
        <w:rPr>
          <w:rFonts w:hAnsi="宋体" w:hint="eastAsia"/>
          <w:sz w:val="24"/>
        </w:rPr>
        <w:t>北边界129米处为凉水河中下段，</w:t>
      </w:r>
      <w:r>
        <w:rPr>
          <w:sz w:val="24"/>
        </w:rPr>
        <w:t>根据201</w:t>
      </w:r>
      <w:r>
        <w:rPr>
          <w:rFonts w:hint="eastAsia"/>
          <w:sz w:val="24"/>
        </w:rPr>
        <w:t>2</w:t>
      </w:r>
      <w:r>
        <w:rPr>
          <w:sz w:val="24"/>
        </w:rPr>
        <w:t>年</w:t>
      </w:r>
      <w:r>
        <w:rPr>
          <w:rFonts w:hint="eastAsia"/>
          <w:sz w:val="24"/>
        </w:rPr>
        <w:t>06</w:t>
      </w:r>
      <w:r>
        <w:rPr>
          <w:sz w:val="24"/>
        </w:rPr>
        <w:t>月～2012年</w:t>
      </w:r>
      <w:r>
        <w:rPr>
          <w:rFonts w:hint="eastAsia"/>
          <w:sz w:val="24"/>
        </w:rPr>
        <w:t>08</w:t>
      </w:r>
      <w:r>
        <w:rPr>
          <w:sz w:val="24"/>
        </w:rPr>
        <w:t>月北京市环保局网站上公布的主要河流水质监测结果显示，</w:t>
      </w:r>
      <w:r>
        <w:rPr>
          <w:rFonts w:hint="eastAsia"/>
          <w:sz w:val="24"/>
        </w:rPr>
        <w:t>凉水河中下段</w:t>
      </w:r>
      <w:r>
        <w:rPr>
          <w:sz w:val="24"/>
        </w:rPr>
        <w:t>2011年</w:t>
      </w:r>
      <w:r>
        <w:rPr>
          <w:rFonts w:hint="eastAsia"/>
          <w:sz w:val="24"/>
        </w:rPr>
        <w:t>06</w:t>
      </w:r>
      <w:r>
        <w:rPr>
          <w:sz w:val="24"/>
        </w:rPr>
        <w:t>月～2012年</w:t>
      </w:r>
      <w:r>
        <w:rPr>
          <w:rFonts w:hint="eastAsia"/>
          <w:sz w:val="24"/>
        </w:rPr>
        <w:t>08</w:t>
      </w:r>
      <w:r>
        <w:rPr>
          <w:sz w:val="24"/>
        </w:rPr>
        <w:t>月水质</w:t>
      </w:r>
      <w:r>
        <w:rPr>
          <w:rFonts w:hint="eastAsia"/>
          <w:sz w:val="24"/>
        </w:rPr>
        <w:t>为Ⅴ</w:t>
      </w:r>
      <w:r>
        <w:rPr>
          <w:rFonts w:hint="eastAsia"/>
          <w:sz w:val="24"/>
          <w:vertAlign w:val="subscript"/>
        </w:rPr>
        <w:t>3</w:t>
      </w:r>
      <w:r>
        <w:rPr>
          <w:sz w:val="24"/>
        </w:rPr>
        <w:t>类水质</w:t>
      </w:r>
      <w:r>
        <w:rPr>
          <w:rFonts w:hint="eastAsia"/>
          <w:sz w:val="24"/>
        </w:rPr>
        <w:t>，不满足其</w:t>
      </w:r>
      <w:r>
        <w:rPr>
          <w:sz w:val="24"/>
        </w:rPr>
        <w:t>功能区划</w:t>
      </w:r>
      <w:r>
        <w:rPr>
          <w:rFonts w:hint="eastAsia"/>
          <w:sz w:val="24"/>
        </w:rPr>
        <w:t>要求。</w:t>
      </w:r>
    </w:p>
    <w:p>
      <w:pPr>
        <w:pStyle w:val="Normal0"/>
        <w:spacing w:line="360" w:lineRule="auto"/>
        <w:ind w:firstLine="480" w:firstLineChars="200"/>
        <w:rPr>
          <w:rFonts w:hint="eastAsia"/>
          <w:sz w:val="24"/>
        </w:rPr>
      </w:pPr>
      <w:r>
        <w:rPr>
          <w:rFonts w:hint="eastAsia"/>
          <w:b/>
          <w:kern w:val="0"/>
          <w:sz w:val="24"/>
        </w:rPr>
        <w:t>地下水：</w:t>
      </w:r>
      <w:r>
        <w:rPr>
          <w:rFonts w:hint="eastAsia"/>
          <w:sz w:val="24"/>
        </w:rPr>
        <w:t>通过水样检测结果</w:t>
      </w:r>
      <w:r>
        <w:rPr>
          <w:sz w:val="24"/>
        </w:rPr>
        <w:t>，本</w:t>
      </w:r>
      <w:r>
        <w:rPr>
          <w:rFonts w:hint="eastAsia"/>
          <w:sz w:val="24"/>
          <w:lang w:eastAsia="zh-CN"/>
        </w:rPr>
        <w:t>相关项目</w:t>
      </w:r>
      <w:r>
        <w:rPr>
          <w:sz w:val="24"/>
        </w:rPr>
        <w:t>所在地地下水水质均符合《地下水质量标准》(GB/T1484</w:t>
      </w:r>
      <w:r>
        <w:rPr>
          <w:rFonts w:hint="eastAsia"/>
          <w:sz w:val="24"/>
        </w:rPr>
        <w:t>-</w:t>
      </w:r>
      <w:r>
        <w:rPr>
          <w:sz w:val="24"/>
        </w:rPr>
        <w:t>93)中的</w:t>
      </w:r>
      <w:r>
        <w:rPr>
          <w:rFonts w:ascii="宋体" w:hAnsi="宋体" w:cs="宋体" w:hint="eastAsia"/>
          <w:sz w:val="24"/>
        </w:rPr>
        <w:t>Ⅲ</w:t>
      </w:r>
      <w:r>
        <w:rPr>
          <w:sz w:val="24"/>
        </w:rPr>
        <w:t>类标准限值要求。</w:t>
      </w:r>
    </w:p>
    <w:p>
      <w:pPr>
        <w:pStyle w:val="Normal0"/>
        <w:adjustRightInd w:val="0"/>
        <w:snapToGrid w:val="0"/>
        <w:spacing w:line="360" w:lineRule="auto"/>
        <w:ind w:firstLine="480" w:firstLineChars="200"/>
        <w:rPr>
          <w:rFonts w:hint="eastAsia"/>
          <w:sz w:val="24"/>
        </w:rPr>
      </w:pPr>
      <w:r>
        <w:rPr>
          <w:rFonts w:hint="eastAsia"/>
          <w:b/>
          <w:sz w:val="24"/>
        </w:rPr>
        <w:t>声环境：</w:t>
      </w:r>
      <w:r>
        <w:rPr>
          <w:sz w:val="24"/>
        </w:rPr>
        <w:t>本次环评在</w:t>
      </w:r>
      <w:r>
        <w:rPr>
          <w:rFonts w:hint="eastAsia"/>
          <w:sz w:val="24"/>
          <w:lang w:eastAsia="zh-CN"/>
        </w:rPr>
        <w:t>相关项目</w:t>
      </w:r>
      <w:r>
        <w:rPr>
          <w:sz w:val="24"/>
        </w:rPr>
        <w:t>用地</w:t>
      </w:r>
      <w:r>
        <w:rPr>
          <w:rFonts w:hint="eastAsia"/>
          <w:sz w:val="24"/>
        </w:rPr>
        <w:t>周边</w:t>
      </w:r>
      <w:r>
        <w:rPr>
          <w:sz w:val="24"/>
        </w:rPr>
        <w:t>对噪声进行昼夜监测，监测结果</w:t>
      </w:r>
      <w:r>
        <w:rPr>
          <w:rFonts w:hint="eastAsia"/>
          <w:sz w:val="24"/>
        </w:rPr>
        <w:t>表明，</w:t>
      </w:r>
      <w:r>
        <w:rPr>
          <w:rFonts w:hint="eastAsia"/>
          <w:sz w:val="24"/>
          <w:lang w:eastAsia="zh-CN"/>
        </w:rPr>
        <w:t>相关项目</w:t>
      </w:r>
      <w:r>
        <w:rPr>
          <w:rFonts w:hint="eastAsia"/>
          <w:sz w:val="24"/>
        </w:rPr>
        <w:t>周边</w:t>
      </w:r>
      <w:r>
        <w:rPr>
          <w:sz w:val="24"/>
        </w:rPr>
        <w:t>监测</w:t>
      </w:r>
      <w:r>
        <w:rPr>
          <w:rFonts w:hint="eastAsia"/>
          <w:sz w:val="24"/>
        </w:rPr>
        <w:t>点昼间、夜间声环境监测值均</w:t>
      </w:r>
      <w:r>
        <w:rPr>
          <w:sz w:val="24"/>
        </w:rPr>
        <w:t>达到《</w:t>
      </w:r>
      <w:r>
        <w:rPr>
          <w:rFonts w:hint="eastAsia"/>
          <w:sz w:val="24"/>
        </w:rPr>
        <w:t>声环境质量标准</w:t>
      </w:r>
      <w:r>
        <w:rPr>
          <w:sz w:val="24"/>
        </w:rPr>
        <w:t>》（GB</w:t>
      </w:r>
      <w:r>
        <w:rPr>
          <w:rFonts w:hint="eastAsia"/>
          <w:sz w:val="24"/>
        </w:rPr>
        <w:t>3096</w:t>
      </w:r>
      <w:r>
        <w:rPr>
          <w:sz w:val="24"/>
        </w:rPr>
        <w:t>-</w:t>
      </w:r>
      <w:r>
        <w:rPr>
          <w:rFonts w:hint="eastAsia"/>
          <w:sz w:val="24"/>
        </w:rPr>
        <w:t>2008</w:t>
      </w:r>
      <w:r>
        <w:rPr>
          <w:sz w:val="24"/>
        </w:rPr>
        <w:t>）中的“</w:t>
      </w:r>
      <w:r>
        <w:rPr>
          <w:rFonts w:hint="eastAsia"/>
          <w:sz w:val="24"/>
        </w:rPr>
        <w:t>1类</w:t>
      </w:r>
      <w:r>
        <w:rPr>
          <w:sz w:val="24"/>
        </w:rPr>
        <w:t>”</w:t>
      </w:r>
      <w:r>
        <w:rPr>
          <w:rFonts w:hint="eastAsia"/>
          <w:sz w:val="24"/>
        </w:rPr>
        <w:t>、“4a类”</w:t>
      </w:r>
      <w:r>
        <w:rPr>
          <w:sz w:val="24"/>
        </w:rPr>
        <w:t>标准，</w:t>
      </w:r>
      <w:r>
        <w:rPr>
          <w:rFonts w:hint="eastAsia"/>
          <w:sz w:val="24"/>
          <w:lang w:eastAsia="zh-CN"/>
        </w:rPr>
        <w:t>相关项目</w:t>
      </w:r>
      <w:r>
        <w:rPr>
          <w:rFonts w:hint="eastAsia"/>
          <w:sz w:val="24"/>
        </w:rPr>
        <w:t>所在区域的声环境质量良好。</w:t>
      </w:r>
    </w:p>
    <w:p>
      <w:pPr>
        <w:pStyle w:val="a"/>
        <w:ind w:firstLine="482"/>
        <w:rPr>
          <w:rFonts w:hint="eastAsia"/>
        </w:rPr>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5"/>
          <w:cols w:num="1" w:space="425"/>
          <w:titlePg w:val="0"/>
          <w:docGrid w:type="lines" w:linePitch="312" w:charSpace="0"/>
        </w:sectPr>
      </w:pPr>
      <w:r>
        <w:rPr>
          <w:rFonts w:hint="eastAsia"/>
          <w:b/>
        </w:rPr>
        <w:t>基础设施：</w:t>
      </w:r>
      <w:r>
        <w:rPr>
          <w:rFonts w:hint="eastAsia"/>
          <w:lang w:eastAsia="zh-CN"/>
        </w:rPr>
        <w:t>相关项目</w:t>
      </w:r>
      <w:r>
        <w:rPr>
          <w:rFonts w:hint="eastAsia"/>
        </w:rPr>
        <w:t>周边配套设施齐备，水、电、路网齐全，有配套的市政污水及雨水管网。</w:t>
      </w:r>
    </w:p>
    <w:p>
      <w:pPr>
        <w:pStyle w:val="Normal0"/>
        <w:adjustRightInd w:val="0"/>
        <w:spacing w:line="360" w:lineRule="auto"/>
        <w:ind w:firstLine="480" w:firstLineChars="200"/>
        <w:rPr>
          <w:rFonts w:hint="eastAsia"/>
          <w:b/>
          <w:sz w:val="24"/>
        </w:rPr>
      </w:pPr>
      <w:r>
        <w:rPr>
          <w:b/>
          <w:sz w:val="24"/>
        </w:rPr>
        <w:pict>
          <v:group id="_x0000_s1026" o:spid="_x0000_i1025" editas="canvas" style="width:675pt;height:385.15pt" coordorigin="1733,1764" coordsize="13500,77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o:spid="_x0000_s1026" type="#_x0000_t75" style="width:13500;height:7703;left:1733;position:absolute;top:1764" coordsize="21600,21600" o:preferrelative="f" filled="f" stroked="t">
              <v:stroke joinstyle="miter"/>
              <o:lock v:ext="edit" aspectratio="t" text="t"/>
            </v:shape>
            <v:shape id="_x0000_s1027" o:spid="_x0000_s1027" type="#_x0000_t75" style="width:3744;height:3240;left:1481;position:absolute;rotation:270;top:2016" coordsize="21600,21600" o:preferrelative="t" filled="f" stroked="f">
              <v:stroke joinstyle="miter"/>
              <v:imagedata r:id="rId53" o:title="通州" croptop="15754f" cropbottom="10117f" cropleft="2048f"/>
              <o:lock v:ext="edit" aspectratio="t"/>
            </v:shape>
            <v:shape id="_x0000_s1028" o:spid="_x0000_s1028" type="#_x0000_t75" style="width:10205;height:7662;left:4973;position:absolute;top:1764" coordsize="21600,21600" o:preferrelative="t" filled="f" stroked="f">
              <v:stroke joinstyle="miter"/>
              <v:imagedata r:id="rId54" o:title=""/>
              <o:lock v:ext="edit" aspectratio="t"/>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29" o:spid="_x0000_s1029" type="#_x0000_t62" style="width:1364;height:404;left:8933;position:absolute;top:5040" coordsize="21600,21600" adj="6651,57743" filled="t" fillcolor="#fc0" stroked="t" strokecolor="red">
              <v:stroke joinstyle="miter"/>
              <v:textbox inset="7.2pt,0,7.2pt,0">
                <w:txbxContent>
                  <w:p>
                    <w:pPr>
                      <w:pStyle w:val="Normal0"/>
                      <w:spacing w:before="48" w:beforeLines="20"/>
                      <w:rPr>
                        <w:rFonts w:ascii="黑体" w:eastAsia="黑体" w:hint="eastAsia"/>
                        <w:color w:val="0000FF"/>
                        <w:szCs w:val="21"/>
                      </w:rPr>
                    </w:pPr>
                    <w:r>
                      <w:rPr>
                        <w:rFonts w:ascii="黑体" w:eastAsia="黑体" w:hint="eastAsia"/>
                        <w:color w:val="0000FF"/>
                        <w:szCs w:val="21"/>
                      </w:rPr>
                      <w:t>项目位置</w:t>
                    </w:r>
                  </w:p>
                </w:txbxContent>
              </v:textbox>
            </v:shape>
            <v:line id="_x0000_s1030" o:spid="_x0000_s1030" style="position:absolute" from="6053,5664" to="7493,5664" coordsize="21600,21600" stroked="f"/>
            <v:line id="_x0000_s1031" o:spid="_x0000_s1031" style="position:absolute" from="7493,5820" to="7493,7692" coordsize="21600,21600" stroked="f"/>
            <v:line id="_x0000_s1032" o:spid="_x0000_s1032" style="position:absolute" from="7493,5664" to="7493,7536" coordsize="21600,21600" stroked="f"/>
            <v:oval id="_x0000_s1033" o:spid="_x0000_s1033" style="width:170;height:170;left:9250;position:absolute;top:6166" coordsize="21600,21600" filled="f" stroked="t" strokecolor="red" insetpen="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4" o:spid="_x0000_s1034" type="#_x0000_t136" style="width:780;height:195;left:2078;position:absolute;top:4104" coordsize="21600,21600" filled="t" stroked="t">
              <v:textpath style="font-family:宋体;font-size:10pt;v-rotate-letters:f;v-same-letter-heights:f;v-text-align:center" trim="t" fitpath="t" xscale="f" string="马驹桥镇"/>
            </v:shape>
            <v:group id="_x0000_s1035" o:spid="_x0000_s1035" style="width:612;height:1541;left:14153;position:absolute;top:2076" coordorigin="14222,1834" coordsize="610,1541">
              <v:group id="_x0000_s1036" o:spid="_x0000_s1036" style="width:610;height:976;left:14222;position:absolute;top:2399" coordorigin="8768,2064" coordsize="597,1142">
                <v:oval id="_x0000_s1037" o:spid="_x0000_s1037" style="width:597;height:624;left:8768;position:absolute;top:2376" coordsize="21600,21600" filled="f" stroked="t"/>
                <v:shape id="_x0000_s1038" o:spid="_x0000_s1038" style="width:246;height:1142;flip:x;left:8817;position:absolute;top:2064" coordsize="273,1056" path="m,hal,780hal273,1056hal,haxe" filled="t" fillcolor="white" stroked="t" strokecolor="black">
                  <v:stroke color2="white"/>
                  <v:path arrowok="t"/>
                </v:shape>
                <v:shape id="_x0000_s1039" o:spid="_x0000_s1039" style="width:276;height:1133;left:9065;position:absolute;top:2064" coordsize="273,1056" path="m,hal,780hal273,1056hal,haxe" filled="t" fillcolor="white" stroked="t" strokecolor="black">
                  <v:stroke color2="white"/>
                  <v:path arrowok="t"/>
                </v:shape>
              </v:group>
              <v:rect id="_x0000_s1040" o:spid="_x0000_s1040" style="width:514;height:509;left:14283;position:absolute;top:1834" coordsize="21600,21600" filled="f" stroked="f">
                <v:textbox>
                  <w:txbxContent>
                    <w:p>
                      <w:pPr>
                        <w:pStyle w:val="Normal0"/>
                        <w:rPr>
                          <w:rFonts w:hint="eastAsia"/>
                          <w:b/>
                          <w:szCs w:val="21"/>
                        </w:rPr>
                      </w:pPr>
                      <w:r>
                        <w:rPr>
                          <w:rFonts w:hint="eastAsia"/>
                          <w:b/>
                          <w:szCs w:val="21"/>
                        </w:rPr>
                        <w:t>北</w:t>
                      </w:r>
                    </w:p>
                  </w:txbxContent>
                </v:textbox>
              </v:rect>
            </v:group>
            <v:shapetype id="_x0000_t202" coordsize="21600,21600" o:spt="202" path="m,l,21600r21600,l21600,xe">
              <v:stroke joinstyle="miter"/>
              <v:path gradientshapeok="t" o:connecttype="rect"/>
            </v:shapetype>
            <v:shape id="_x0000_s1041" o:spid="_x0000_s1041" type="#_x0000_t202" style="width:2340;height:1404;left:12861;position:absolute;top:8035" coordsize="21600,21600" filled="t" stroked="f" insetpen="f">
              <v:stroke joinstyle="miter"/>
              <v:textbox>
                <w:txbxContent>
                  <w:p>
                    <w:pPr>
                      <w:pStyle w:val="Normal0"/>
                      <w:rPr>
                        <w:rFonts w:ascii="黑体" w:eastAsia="黑体" w:hint="eastAsia"/>
                        <w:sz w:val="28"/>
                        <w:szCs w:val="28"/>
                      </w:rPr>
                    </w:pPr>
                    <w:r>
                      <w:rPr>
                        <w:rFonts w:ascii="黑体" w:eastAsia="黑体" w:hint="eastAsia"/>
                        <w:sz w:val="28"/>
                        <w:szCs w:val="28"/>
                      </w:rPr>
                      <w:t>比例尺：</w:t>
                    </w:r>
                  </w:p>
                </w:txbxContent>
              </v:textbox>
            </v:shape>
            <v:group id="_x0000_s1042" o:spid="_x0000_s1042" style="width:1928;height:165;left:13073;position:absolute;top:8940" coordorigin="6593,8169" coordsize="1928,165">
              <v:line id="_x0000_s1043" o:spid="_x0000_s1043" style="position:absolute" from="6593,8316" to="7557,8317" coordsize="21600,21600" stroked="t"/>
              <v:line id="_x0000_s1044" o:spid="_x0000_s1044" style="position:absolute" from="6593,8316" to="8521,8317" coordsize="21600,21600" stroked="t"/>
              <v:line id="_x0000_s1045" o:spid="_x0000_s1045" style="position:absolute" from="6593,8169" to="6594,8311" coordsize="21600,21600" stroked="t"/>
              <v:line id="_x0000_s1046" o:spid="_x0000_s1046" style="position:absolute" from="8509,8192" to="8510,8334" coordsize="21600,21600" stroked="t"/>
            </v:group>
            <v:shape id="_x0000_s1047" o:spid="_x0000_s1047" type="#_x0000_t136" style="width:90;height:165;left:13013;position:absolute;top:8724" coordsize="21600,21600" filled="t" stroked="t">
              <v:textpath style="font-family:宋体;font-size:8pt;v-rotate-letters:f;v-same-letter-heights:f;v-text-align:center" trim="t" fitpath="t" xscale="f" string="0"/>
            </v:shape>
            <v:shape id="_x0000_s1048" o:spid="_x0000_s1048" type="#_x0000_t136" style="width:270;height:165;left:13823;position:absolute;top:8703" coordsize="21600,21600" filled="t" stroked="t">
              <v:textpath style="font-family:宋体;font-size:8pt;v-rotate-letters:f;v-same-letter-heights:f;v-text-align:center" trim="t" fitpath="t" xscale="f" string="1km"/>
            </v:shape>
            <v:shape id="_x0000_s1049" o:spid="_x0000_s1049" type="#_x0000_t136" style="width:270;height:165;left:14843;position:absolute;top:8673" coordsize="21600,21600" filled="t" stroked="t">
              <v:textpath style="font-family:宋体;font-size:8pt;v-rotate-letters:f;v-same-letter-heights:f;v-text-align:center" trim="t" fitpath="t" xscale="f" string="2km"/>
            </v:shape>
            <v:shape id="_x0000_s1050" o:spid="_x0000_s1050" type="#_x0000_t75" style="width:3240;height:3900;left:1733;position:absolute;top:5508" coordsize="21600,21600" o:preferrelative="t" filled="f" stroked="f">
              <v:stroke joinstyle="miter"/>
              <v:imagedata r:id="rId55" o:title="未命名"/>
              <o:lock v:ext="edit" aspectratio="t"/>
            </v:shape>
            <v:shape id="_x0000_s1051" o:spid="_x0000_s1051" type="#_x0000_t136" style="width:585;height:195;left:3488;position:absolute;top:8457" coordsize="21600,21600" filled="t" stroked="t">
              <v:textpath style="font-family:宋体;font-size:10pt;v-rotate-letters:f;v-same-letter-heights:f;v-text-align:center" trim="t" fitpath="t" xscale="f" string="通州区"/>
            </v:shape>
            <v:shape id="_x0000_s1052" o:spid="_x0000_s1052" style="width:1179;height:882;left:1832;position:absolute;top:3812" o:bwmode="auto" coordsize="1179,882" path="m84,12hal123,66hal75,93hal114,177hal135,237hal102,240hal63,246hal21,177hal,207hal33,231hal15,333hal84,357hal60,390hal105,411hal132,399hal144,405hal123,444hal84,438hal81,504hal126,531hal123,588hal96,606hal63,591hal57,621hal87,633hal75,654hal105,657hal180,636hal366,633hal369,681hal414,678hal420,654hal489,654hal495,669hal555,654hal555,636hal573,645hal579,624hal588,606hal624,600hal618,582hal654,567hal660,549hal684,540hal705,525hal753,534hal783,564hal810,564hal816,621hal843,642hal855,684hal876,687hal888,702hal921,696hal918,729hal888,735hal879,765hal876,813hal909,810hal912,864hal936,873hal957,867hal981,864hal996,882hal1017,882hal1041,810hal1134,810hal1134,741hal1113,741hal1113,660hal1056,660hal1047,546hal1128,543hal1131,501hal1140,486hal1140,441hal1155,438hal1146,405hal1179,402hal1071,288hal960,204hal903,210hal900,153hal804,90hal753,99hal657,102hal651,174hal588,186hal489,189hal477,114hal387,144hal369,45hal246,87hal207,78hal180,21hal162,hal138,12hal111,hal84,12haxe" filled="f" fillcolor="red" stroked="t" strokecolor="red">
              <v:fill color2="white" o:opacity2="1"/>
              <v:stroke opacity="1" color2="white"/>
              <v:path arrowok="t"/>
            </v:shape>
            <w10:anchorlock/>
          </v:group>
        </w:pict>
      </w:r>
    </w:p>
    <w:p>
      <w:pPr>
        <w:pStyle w:val="Normal0"/>
        <w:spacing w:line="360" w:lineRule="auto"/>
        <w:ind w:firstLine="315" w:firstLineChars="150"/>
        <w:jc w:val="center"/>
        <w:rPr>
          <w:rFonts w:eastAsia="黑体"/>
          <w:szCs w:val="21"/>
        </w:rPr>
        <w:sectPr>
          <w:headerReference w:type="even" r:id="rId56"/>
          <w:headerReference w:type="default" r:id="rId57"/>
          <w:footerReference w:type="even" r:id="rId58"/>
          <w:footerReference w:type="default" r:id="rId59"/>
          <w:headerReference w:type="first" r:id="rId60"/>
          <w:footerReference w:type="first" r:id="rId61"/>
          <w:pgSz w:w="16840" w:h="11907" w:orient="landscape"/>
          <w:pgMar w:top="1758" w:right="1418" w:bottom="1758" w:left="1418" w:header="851" w:footer="992" w:gutter="0"/>
          <w:pgNumType w:start="6"/>
          <w:cols w:num="1" w:space="720"/>
        </w:sectPr>
      </w:pPr>
      <w:r>
        <w:rPr>
          <w:rFonts w:eastAsia="黑体"/>
          <w:szCs w:val="21"/>
        </w:rPr>
        <w:t>图</w:t>
      </w:r>
      <w:r>
        <w:rPr>
          <w:rFonts w:eastAsia="黑体" w:hint="eastAsia"/>
          <w:szCs w:val="21"/>
        </w:rPr>
        <w:t xml:space="preserve">一 </w:t>
      </w:r>
      <w:r>
        <w:rPr>
          <w:rFonts w:eastAsia="黑体"/>
          <w:szCs w:val="21"/>
        </w:rPr>
        <w:t xml:space="preserve"> 建设</w:t>
      </w:r>
      <w:r>
        <w:rPr>
          <w:rFonts w:eastAsia="黑体" w:hint="eastAsia"/>
          <w:szCs w:val="21"/>
          <w:lang w:eastAsia="zh-CN"/>
        </w:rPr>
        <w:t>相关项目</w:t>
      </w:r>
      <w:r>
        <w:rPr>
          <w:rFonts w:eastAsia="黑体"/>
          <w:szCs w:val="21"/>
        </w:rPr>
        <w:t>地理位置图</w:t>
      </w:r>
    </w:p>
    <w:p>
      <w:pPr>
        <w:pStyle w:val="Normal0"/>
        <w:rPr>
          <w:rFonts w:hint="eastAsia"/>
          <w:sz w:val="36"/>
          <w:szCs w:val="36"/>
        </w:rPr>
      </w:pPr>
    </w:p>
    <w:p>
      <w:pPr>
        <w:pStyle w:val="Normal0"/>
        <w:rPr>
          <w:rFonts w:hint="eastAsia"/>
          <w:sz w:val="36"/>
          <w:szCs w:val="36"/>
        </w:rPr>
        <w:sectPr>
          <w:headerReference w:type="even" r:id="rId62"/>
          <w:headerReference w:type="default" r:id="rId63"/>
          <w:footerReference w:type="even" r:id="rId64"/>
          <w:footerReference w:type="default" r:id="rId65"/>
          <w:headerReference w:type="first" r:id="rId66"/>
          <w:footerReference w:type="first" r:id="rId67"/>
          <w:type w:val="nextPage"/>
          <w:pgSz w:w="16840" w:h="11907" w:orient="landscape"/>
          <w:pgMar w:top="1758" w:right="1418" w:bottom="1758" w:left="1418" w:header="851" w:footer="992" w:gutter="0"/>
          <w:pgNumType w:start="7"/>
          <w:cols w:num="1" w:space="720"/>
          <w:titlePg w:val="0"/>
        </w:sectPr>
      </w:pPr>
      <w:r>
        <w:rPr>
          <w:rFonts w:hint="eastAsia"/>
          <w:sz w:val="24"/>
        </w:rPr>
        <w:pict>
          <v:shape id="_x0000_s1053" o:spid="_x0000_s1053" type="#_x0000_t202" style="width:647pt;height:23.65pt;margin-top:400.5pt;margin-left:36pt;mso-height-relative:page;mso-width-relative:page;position:absolute;z-index:251658240" coordsize="21600,21600" filled="f" stroked="f" insetpen="f">
            <v:stroke joinstyle="miter"/>
            <v:textbox>
              <w:txbxContent>
                <w:p>
                  <w:pPr>
                    <w:pStyle w:val="Normal0"/>
                    <w:jc w:val="center"/>
                    <w:rPr>
                      <w:rFonts w:ascii="黑体" w:eastAsia="黑体" w:hint="eastAsia"/>
                    </w:rPr>
                  </w:pPr>
                  <w:r>
                    <w:rPr>
                      <w:rFonts w:ascii="黑体" w:eastAsia="黑体" w:hint="eastAsia"/>
                    </w:rPr>
                    <w:t>图二 建设</w:t>
                  </w:r>
                  <w:r>
                    <w:rPr>
                      <w:rFonts w:ascii="黑体" w:eastAsia="黑体" w:hint="eastAsia"/>
                      <w:lang w:eastAsia="zh-CN"/>
                    </w:rPr>
                    <w:t>相关项目</w:t>
                  </w:r>
                  <w:r>
                    <w:rPr>
                      <w:rFonts w:ascii="黑体" w:eastAsia="黑体" w:hint="eastAsia"/>
                    </w:rPr>
                    <w:t>卫星影像图</w:t>
                  </w:r>
                </w:p>
              </w:txbxContent>
            </v:textbox>
          </v:shape>
        </w:pict>
      </w:r>
      <w:r>
        <w:rPr>
          <w:rFonts w:hint="eastAsia"/>
          <w:sz w:val="36"/>
          <w:szCs w:val="36"/>
        </w:rPr>
        <w:pict>
          <v:group id="_x0000_s1054" o:spid="_x0000_s1054" editas="canvas" style="width:617.7pt;height:411pt;margin-top:-36.6pt;margin-left:36.95pt;mso-height-relative:page;mso-width-relative:page;mso-wrap-distance-bottom:0;mso-wrap-distance-left:9pt;mso-wrap-distance-right:9pt;mso-wrap-distance-top:0;position:absolute;z-index:251659264" coordorigin="2378,1588" coordsize="12354,8220">
            <v:shape id="_x0000_s1055" o:spid="_x0000_s1055" type="#_x0000_t75" style="width:12354;height:8220;left:2378;position:absolute;top:1588" coordsize="21600,21600" o:preferrelative="f" filled="f" stroked="f">
              <v:stroke joinstyle="miter"/>
              <o:lock v:ext="edit" aspectratio="t" text="t"/>
            </v:shape>
            <v:shape id="_x0000_s1056" o:spid="_x0000_s1056" type="#_x0000_t75" style="width:12336;height:8189;left:2396;position:absolute;top:1617" coordsize="21600,21600" o:preferrelative="t" filled="f" stroked="f">
              <v:stroke joinstyle="miter"/>
              <v:imagedata r:id="rId68" o:title="卫星图" croptop="11334f" cropbottom="7872f"/>
              <o:lock v:ext="edit" aspectratio="t"/>
            </v:shape>
            <v:shape id="_x0000_s1057" o:spid="_x0000_s1057" type="#_x0000_t136" style="width:825;height:330;left:7166;position:absolute;top:6300" coordsize="21600,21600" filled="t" stroked="t" strokecolor="yellow">
              <v:textpath style="font-family:宋体;font-size:8pt;v-rotate-letters:f;v-same-letter-heights:f;v-text-align:center" trim="t" fitpath="t" xscale="f" string="国风美仑&#10;（施工中）"/>
            </v:shape>
            <v:shape id="_x0000_s1058" o:spid="_x0000_s1058" type="#_x0000_t136" style="width:720;height:180;left:9137;position:absolute;top:8796" coordsize="21600,21600" filled="t" fillcolor="yellow" stroked="t" strokecolor="yellow">
              <v:textpath style="font-family:宋体;font-size:9pt;v-rotate-letters:f;v-same-letter-heights:f;v-text-align:center" trim="t" fitpath="t" xscale="f" string="驸马庄村"/>
            </v:shape>
            <v:shape id="_x0000_s1059" o:spid="_x0000_s1059" type="#_x0000_t136" style="width:1005;height:195;left:8597;position:absolute;rotation:345;top:3492" coordsize="21600,21600" filled="t" fillcolor="aqua" stroked="t" strokecolor="aqua">
              <v:textpath style="font-family:宋体;font-size:10pt;v-rotate-letters:f;v-same-letter-heights:f;v-text-align:center" trim="t" fitpath="t" xscale="f" string="凉  水  河"/>
            </v:shape>
            <v:line id="_x0000_s1060" o:spid="_x0000_s1060" style="flip:y;position:absolute" from="6532,4895" to="7072,5519" coordsize="21600,21600" stroked="f">
              <v:stroke endarrow="block"/>
            </v:line>
            <v:line id="_x0000_s1061" o:spid="_x0000_s1061" style="position:absolute" from="3608,9259" to="4855,9260" coordsize="21600,21600" stroked="t" strokecolor="#f60"/>
            <v:line id="_x0000_s1062" o:spid="_x0000_s1062" style="position:absolute" from="3614,9099" to="3615,9255" coordsize="21600,21600" stroked="t" strokecolor="#f60"/>
            <v:line id="_x0000_s1063" o:spid="_x0000_s1063" style="position:absolute" from="4844,9114" to="4846,9270" coordsize="21600,21600" stroked="t" strokecolor="#f60"/>
            <v:shape id="_x0000_s1064" o:spid="_x0000_s1064" type="#_x0000_t136" style="width:106;height:194;left:3420;position:absolute;top:9069" coordsize="21600,21600" filled="t" stroked="t" strokecolor="#f60">
              <v:textpath style="font-family:宋体;font-size:10pt;v-rotate-letters:f;v-same-letter-heights:f;v-text-align:center" trim="t" fitpath="t" xscale="f" string="0"/>
            </v:shape>
            <v:shape id="_x0000_s1065" o:spid="_x0000_s1065" type="#_x0000_t136" style="width:422;height:195;left:4956;position:absolute;top:9099" coordsize="21600,21600" filled="t" stroked="t" strokecolor="#f60">
              <v:textpath style="font-family:宋体;font-size:10pt;v-rotate-letters:f;v-same-letter-heights:f;v-text-align:center" trim="t" fitpath="t" xscale="f" string="300m"/>
            </v:shape>
            <v:shape id="_x0000_s1066" o:spid="_x0000_s1066" style="width:2361;height:1548;left:7324;position:absolute;top:4311" coordsize="2361,1548" path="m789,1548hal2361,521hal1927,hal885,262hal607,345hal345,427hal,540hal789,1548haxe" filled="t" stroked="t" strokecolor="red">
              <v:fill opacity="0" o:opacity2="1"/>
              <v:stroke color2="white"/>
              <v:path arrowok="t"/>
              <o:lock v:ext="edit" aspectratio="t"/>
            </v:shape>
            <v:shape id="_x0000_s1067" o:spid="_x0000_s1067" style="width:2179;height:1773;left:8113;position:absolute;top:4835" coordsize="3958,3220" path="m1088,3220hal3958,1380hal2848,hal,1872hal1088,3220haxe" filled="t" stroked="t" strokecolor="red">
              <v:fill opacity="0" o:opacity2="1"/>
              <v:stroke dashstyle="dash" color2="white"/>
              <v:path arrowok="t"/>
              <o:lock v:ext="edit" aspectratio="t"/>
            </v:shape>
            <v:line id="_x0000_s1068" o:spid="_x0000_s1068" style="position:absolute" from="11558,7860" to="12638,7861" coordsize="21600,21600" stroked="f"/>
            <v:shape id="_x0000_s1069" o:spid="_x0000_s1069" type="#_x0000_t136" style="width:165;height:1155;left:9545;position:absolute;rotation:323;top:4051" coordsize="21600,21600" filled="t" stroked="t" strokecolor="white">
              <v:textpath style="font-family:宋体;font-size:8pt;v-rotate-letters:f;v-same-letter-heights:f;v-text-align:center" trim="t" fitpath="t" xscale="f" string="物&#10;流&#10;园&#10;九&#10;号&#10;路&#10;"/>
            </v:shape>
            <v:shape id="_x0000_s1070" o:spid="_x0000_s1070" type="#_x0000_t136" style="width:165;height:990;left:7914;position:absolute;rotation:323;top:5340" coordsize="21600,21600" filled="t" stroked="t" strokecolor="white">
              <v:textpath style="font-family:宋体;font-size:8pt;v-rotate-letters:f;v-same-letter-heights:f;v-text-align:center" trim="t" fitpath="t" xscale="f" string="物&#10;流&#10;园&#10;八&#10;号&#10;路"/>
            </v:shape>
            <v:shape id="_x0000_s1071" o:spid="_x0000_s1071" type="#_x0000_t136" style="width:1395;height:195;left:7219;position:absolute;rotation:22643038fd;top:4322" coordsize="21600,21600" filled="t" stroked="t" strokecolor="aqua">
              <v:textpath style="font-family:宋体;font-size:10pt;v-rotate-letters:f;v-same-letter-heights:f;v-text-align:center" trim="t" fitpath="t" xscale="f" string="马 驹 桥 干 渠"/>
            </v:shape>
            <v:shape id="_x0000_s1072" o:spid="_x0000_s1072" type="#_x0000_t136" style="width:1275;height:330;left:8957;position:absolute;top:2244" coordsize="21600,21600" filled="t" stroked="t" strokecolor="yellow">
              <v:textpath style="font-family:宋体;font-size:8pt;v-rotate-letters:f;v-same-letter-heights:f;v-text-align:center" trim="t" fitpath="t" xscale="f" string="北京市电力公司&#10;堰上220KV变电站"/>
            </v:shape>
            <v:shape id="_x0000_s1073" o:spid="_x0000_s1073" type="#_x0000_t136" style="width:1485;height:330;left:7337;position:absolute;top:2454" coordsize="21600,21600" filled="t" stroked="t" strokecolor="yellow">
              <v:textpath style="font-family:宋体;font-size:8pt;v-rotate-letters:f;v-same-letter-heights:f;v-text-align:center" trim="t" fitpath="t" xscale="f" string="北京经济技术开发区&#10;东区污水处理厂"/>
            </v:shape>
            <v:shape id="_x0000_s1074" o:spid="_x0000_s1074" type="#_x0000_t136" style="width:825;height:330;left:11117;position:absolute;top:2556" coordsize="21600,21600" filled="t" stroked="t" strokecolor="yellow">
              <v:textpath style="font-family:宋体;font-size:8pt;v-rotate-letters:f;v-same-letter-heights:f;v-text-align:center" trim="t" fitpath="t" xscale="f" string="原水南村&#10;（已拆除）"/>
            </v:shape>
            <v:group id="_x0000_s1075" o:spid="_x0000_s1075" style="width:668;height:1184;left:13457;position:absolute;top:1870" coordorigin="12702,1923" coordsize="667,1185">
              <v:shape id="_x0000_s1076" o:spid="_x0000_s1076" type="#_x0000_t202" style="width:667;height:624;left:12702;position:absolute;top:1923" coordsize="21600,21600" stroked="f">
                <v:fill opacity="0"/>
                <v:stroke joinstyle="miter"/>
                <v:textbox>
                  <w:txbxContent>
                    <w:p>
                      <w:pPr>
                        <w:pStyle w:val="Normal0"/>
                        <w:rPr>
                          <w:rFonts w:hint="eastAsia"/>
                          <w:b/>
                          <w:color w:val="0000FF"/>
                          <w:sz w:val="36"/>
                          <w:szCs w:val="36"/>
                        </w:rPr>
                      </w:pPr>
                      <w:r>
                        <w:rPr>
                          <w:rFonts w:hint="eastAsia"/>
                          <w:b/>
                          <w:color w:val="0000FF"/>
                          <w:sz w:val="36"/>
                          <w:szCs w:val="36"/>
                        </w:rPr>
                        <w:t>N</w:t>
                      </w:r>
                    </w:p>
                  </w:txbxContent>
                </v:textbox>
              </v:shape>
              <v:group id="_x0000_s1077" o:spid="_x0000_s1077" style="width:420;height:726;left:12777;position:absolute;top:2382" coordorigin="720,2844" coordsize="1080,1560">
                <v:shape id="_x0000_s1078" o:spid="_x0000_s1078" style="width:540;height:1560;left:720;position:absolute;top:2844" coordsize="540,1560" path="m540,hal,1560hal540,1092hal540,haxe" filled="t">
                  <v:path arrowok="t"/>
                </v:shape>
                <v:shape id="_x0000_s1079" o:spid="_x0000_s1079" style="width:540;height:1560;left:1260;position:absolute;top:2844" coordsize="540,1560" path="m,hal,1092hal540,1560hal,haxe" filled="t" fillcolor="#36f">
                  <v:path arrowok="t"/>
                </v:shape>
              </v:group>
            </v:group>
            <v:shape id="_x0000_s1080" o:spid="_x0000_s1080" type="#_x0000_t136" style="width:660;height:165;left:9158;position:absolute;rotation:323;top:6204" coordsize="21600,21600" filled="t" stroked="t" strokecolor="white">
              <v:textpath style="font-family:宋体;font-size:8pt;v-rotate-letters:f;v-same-letter-heights:f;v-text-align:center" trim="t" fitpath="t" xscale="f" string="仓储一街"/>
            </v:shape>
            <v:shape id="_x0000_s1081" o:spid="_x0000_s1081" type="#_x0000_t136" style="width:870;height:825;left:8738;position:absolute;top:5361" coordsize="21600,21600" filled="t" stroked="t" strokecolor="yellow">
              <v:textpath style="font-family:宋体;font-size:8pt;v-rotate-letters:f;v-same-letter-heights:f;v-text-align:center" trim="t" fitpath="t" xscale="f" string="C-06-2地块&#10;居住用地、&#10;C-12地块社&#10;区综合服务&#10;用地项目"/>
            </v:shape>
            <v:shape id="_x0000_s1082" o:spid="_x0000_s1082" type="#_x0000_t136" style="width:585;height:195;left:5599;position:absolute;top:5494" coordsize="21600,21600" filled="t" fillcolor="yellow" stroked="t" strokecolor="yellow">
              <v:textpath style="font-family:宋体;font-size:10pt;v-rotate-letters:f;v-same-letter-heights:f;v-text-align:center" trim="t" fitpath="t" xscale="f" string="南堤村"/>
            </v:shape>
            <v:shape id="_x0000_s1083" o:spid="_x0000_s1083" type="#_x0000_t136" style="width:390;height:195;left:5959;position:absolute;top:7210" coordsize="21600,21600" filled="t" fillcolor="yellow" stroked="t" strokecolor="yellow">
              <v:textpath style="font-family:宋体;font-size:10pt;v-rotate-letters:f;v-same-letter-heights:f;v-text-align:center" trim="t" fitpath="t" xscale="f" string="空地"/>
            </v:shape>
            <v:shape id="_x0000_s1084" o:spid="_x0000_s1084" type="#_x0000_t136" style="width:390;height:195;left:8299;position:absolute;top:7522" coordsize="21600,21600" filled="t" fillcolor="yellow" stroked="t" strokecolor="yellow">
              <v:textpath style="font-family:宋体;font-size:10pt;v-rotate-letters:f;v-same-letter-heights:f;v-text-align:center" trim="t" fitpath="t" xscale="f" string="空地"/>
            </v:shape>
            <v:shape id="_x0000_s1085" o:spid="_x0000_s1085" type="#_x0000_t136" style="width:390;height:195;left:10999;position:absolute;top:5962" coordsize="21600,21600" filled="t" fillcolor="yellow" stroked="t" strokecolor="yellow">
              <v:textpath style="font-family:宋体;font-size:10pt;v-rotate-letters:f;v-same-letter-heights:f;v-text-align:center" trim="t" fitpath="t" xscale="f" string="空地"/>
            </v:shape>
            <v:shape id="_x0000_s1086" o:spid="_x0000_s1086" type="#_x0000_t136" style="width:660;height:165;left:9739;position:absolute;rotation:-2245336fd;top:5091" coordsize="21600,21600" filled="t" stroked="t" strokecolor="white">
              <v:textpath style="font-family:宋体;font-size:8pt;v-rotate-letters:f;v-same-letter-heights:f;v-text-align:center" trim="t" fitpath="t" xscale="f" string="（在建）"/>
            </v:shape>
            <v:shape id="_x0000_s1087" o:spid="_x0000_s1087" type="#_x0000_t136" style="width:1170;height:390;left:9341;position:absolute;top:6742" coordsize="21600,21600" filled="t" fillcolor="yellow" stroked="t" strokecolor="yellow">
              <v:textpath style="font-family:宋体;font-size:10pt;v-rotate-letters:f;v-same-letter-heights:f;v-text-align:center" trim="t" fitpath="t" xscale="f" string="园林育苗基地&#10;（已拆除）"/>
            </v:shape>
            <v:line id="_x0000_s1088" o:spid="_x0000_s1088" style="flip:y;position:absolute" from="7399,4402" to="9199,4870" coordsize="21600,21600" stroked="f"/>
            <v:shape id="_x0000_s1089" o:spid="_x0000_s1089" type="#_x0000_t136" style="width:780;height:195;left:8119;position:absolute;top:4870" coordsize="21600,21600" filled="t" fillcolor="red" stroked="t" strokecolor="red">
              <v:textpath style="font-family:宋体;font-size:10pt;v-rotate-letters:f;v-same-letter-heights:f;v-text-align:center" trim="t" fitpath="t" xscale="f" string="项目位置"/>
            </v:shape>
            <v:shape id="_x0000_s1090" o:spid="_x0000_s1090" type="#_x0000_t136" style="width:390;height:195;left:10459;position:absolute;top:4246" coordsize="21600,21600" filled="t" fillcolor="yellow" stroked="t" strokecolor="yellow">
              <v:textpath style="font-family:宋体;font-size:10pt;v-rotate-letters:f;v-same-letter-heights:f;v-text-align:center" trim="t" fitpath="t" xscale="f" string="空地"/>
            </v:shape>
            <w10:wrap type="square"/>
          </v:group>
        </w:pict>
      </w:r>
    </w:p>
    <w:p>
      <w:pPr>
        <w:pStyle w:val="Heading3"/>
        <w:rPr>
          <w:rFonts w:hint="eastAsia"/>
          <w:lang w:val="en-US"/>
        </w:rPr>
      </w:pPr>
      <w:bookmarkStart w:id="13" w:name="_Toc340052875"/>
      <w:r>
        <w:rPr>
          <w:rFonts w:hint="eastAsia"/>
          <w:lang w:eastAsia="zh-CN"/>
        </w:rPr>
        <w:t>2</w:t>
      </w:r>
      <w:r>
        <w:rPr>
          <w:rFonts w:hint="eastAsia"/>
        </w:rPr>
        <w:t>.</w:t>
      </w:r>
      <w:r>
        <w:rPr>
          <w:rFonts w:hint="eastAsia"/>
          <w:lang w:eastAsia="zh-CN"/>
        </w:rPr>
        <w:t>3</w:t>
      </w:r>
      <w:r>
        <w:rPr>
          <w:rFonts w:hint="eastAsia"/>
        </w:rPr>
        <w:tab/>
      </w:r>
      <w:r>
        <w:rPr>
          <w:rFonts w:hint="eastAsia"/>
          <w:lang w:val="en-US"/>
        </w:rPr>
        <w:t>评价范围及环境敏感区</w:t>
      </w:r>
      <w:bookmarkEnd w:id="13"/>
    </w:p>
    <w:p>
      <w:pPr>
        <w:pStyle w:val="Normal0"/>
        <w:spacing w:line="360" w:lineRule="auto"/>
        <w:ind w:firstLine="410" w:firstLineChars="171"/>
        <w:rPr>
          <w:rFonts w:eastAsia="黑体"/>
          <w:sz w:val="24"/>
        </w:rPr>
      </w:pPr>
      <w:r>
        <w:rPr>
          <w:rFonts w:eastAsia="黑体"/>
          <w:sz w:val="24"/>
        </w:rPr>
        <w:t>（</w:t>
      </w:r>
      <w:r>
        <w:rPr>
          <w:rFonts w:eastAsia="黑体" w:hint="eastAsia"/>
          <w:sz w:val="24"/>
        </w:rPr>
        <w:t>一</w:t>
      </w:r>
      <w:r>
        <w:rPr>
          <w:rFonts w:eastAsia="黑体"/>
          <w:sz w:val="24"/>
        </w:rPr>
        <w:t>）评价范围</w:t>
      </w:r>
    </w:p>
    <w:p>
      <w:pPr>
        <w:pStyle w:val="Normal0"/>
        <w:spacing w:line="360" w:lineRule="auto"/>
        <w:ind w:firstLine="480" w:firstLineChars="200"/>
        <w:rPr>
          <w:sz w:val="24"/>
        </w:rPr>
      </w:pPr>
      <w:r>
        <w:rPr>
          <w:rFonts w:hint="eastAsia"/>
          <w:sz w:val="24"/>
        </w:rPr>
        <w:t>1</w:t>
      </w:r>
      <w:r>
        <w:rPr>
          <w:sz w:val="24"/>
        </w:rPr>
        <w:t>、大气评价范围</w:t>
      </w:r>
    </w:p>
    <w:p>
      <w:pPr>
        <w:pStyle w:val="NormalIndent"/>
        <w:ind w:firstLine="480"/>
        <w:rPr>
          <w:rFonts w:ascii="Times New Roman" w:hAnsi="Times New Roman"/>
        </w:rPr>
      </w:pPr>
      <w:r>
        <w:rPr>
          <w:rFonts w:ascii="Times New Roman"/>
        </w:rPr>
        <w:t>按照导则要求，根据</w:t>
      </w:r>
      <w:r>
        <w:rPr>
          <w:rFonts w:ascii="Times New Roman" w:hint="eastAsia"/>
          <w:lang w:eastAsia="zh-CN"/>
        </w:rPr>
        <w:t>相关项目</w:t>
      </w:r>
      <w:r>
        <w:rPr>
          <w:rFonts w:ascii="Times New Roman"/>
        </w:rPr>
        <w:t>排放污染物的最远影响范围确定</w:t>
      </w:r>
      <w:r>
        <w:rPr>
          <w:rFonts w:ascii="Times New Roman" w:hint="eastAsia"/>
          <w:lang w:eastAsia="zh-CN"/>
        </w:rPr>
        <w:t>相关项目</w:t>
      </w:r>
      <w:r>
        <w:rPr>
          <w:rFonts w:ascii="Times New Roman"/>
        </w:rPr>
        <w:t>的大气环境影响评价范围，即以排放源为中心点，以</w:t>
      </w:r>
      <w:r>
        <w:rPr>
          <w:rFonts w:ascii="Times New Roman" w:hAnsi="Times New Roman"/>
        </w:rPr>
        <w:t>D</w:t>
      </w:r>
      <w:r>
        <w:rPr>
          <w:rFonts w:ascii="Times New Roman" w:hAnsi="Times New Roman"/>
          <w:vertAlign w:val="subscript"/>
        </w:rPr>
        <w:t>10%</w:t>
      </w:r>
      <w:r>
        <w:rPr>
          <w:rFonts w:ascii="Times New Roman"/>
        </w:rPr>
        <w:t>为半径的圆或</w:t>
      </w:r>
      <w:r>
        <w:rPr>
          <w:rFonts w:ascii="Times New Roman" w:hAnsi="Times New Roman"/>
        </w:rPr>
        <w:t>2×D</w:t>
      </w:r>
      <w:r>
        <w:rPr>
          <w:rFonts w:ascii="Times New Roman" w:hAnsi="Times New Roman"/>
          <w:vertAlign w:val="subscript"/>
        </w:rPr>
        <w:t>10%</w:t>
      </w:r>
      <w:r>
        <w:rPr>
          <w:rFonts w:ascii="Times New Roman"/>
        </w:rPr>
        <w:t>为边长的矩形作为大气环境影响评价范围，由于本次建设</w:t>
      </w:r>
      <w:r>
        <w:rPr>
          <w:rFonts w:ascii="Times New Roman" w:hint="eastAsia"/>
          <w:lang w:eastAsia="zh-CN"/>
        </w:rPr>
        <w:t>相关项目</w:t>
      </w:r>
      <w:r>
        <w:rPr>
          <w:rFonts w:ascii="Times New Roman"/>
        </w:rPr>
        <w:t>大气污染物主要是</w:t>
      </w:r>
      <w:r>
        <w:rPr>
          <w:rFonts w:ascii="Times New Roman" w:hAnsi="Times New Roman"/>
        </w:rPr>
        <w:t>NO</w:t>
      </w:r>
      <w:r>
        <w:rPr>
          <w:rFonts w:ascii="Times New Roman" w:hAnsi="Times New Roman"/>
          <w:vertAlign w:val="subscript"/>
        </w:rPr>
        <w:t>X</w:t>
      </w:r>
      <w:r>
        <w:rPr>
          <w:rFonts w:ascii="Times New Roman"/>
        </w:rPr>
        <w:t>、</w:t>
      </w:r>
      <w:r>
        <w:rPr>
          <w:rFonts w:ascii="Times New Roman" w:hAnsi="Times New Roman"/>
        </w:rPr>
        <w:t>CO</w:t>
      </w:r>
      <w:r>
        <w:rPr>
          <w:rFonts w:ascii="Times New Roman"/>
        </w:rPr>
        <w:t>和碳氢化合物，其浓度低、源强小，污染物的最大地面浓度占标率均远小于</w:t>
      </w:r>
      <w:r>
        <w:rPr>
          <w:rFonts w:ascii="Times New Roman" w:hAnsi="Times New Roman"/>
        </w:rPr>
        <w:t>10%</w:t>
      </w:r>
      <w:r>
        <w:rPr>
          <w:rFonts w:ascii="Times New Roman"/>
        </w:rPr>
        <w:t>，</w:t>
      </w:r>
      <w:r>
        <w:rPr>
          <w:rFonts w:ascii="Times New Roman"/>
          <w:szCs w:val="24"/>
        </w:rPr>
        <w:t>因此本次大气评价范围按导则确定为以本</w:t>
      </w:r>
      <w:r>
        <w:rPr>
          <w:rFonts w:ascii="Times New Roman" w:hint="eastAsia"/>
          <w:szCs w:val="24"/>
          <w:lang w:eastAsia="zh-CN"/>
        </w:rPr>
        <w:t>相关项目</w:t>
      </w:r>
      <w:r>
        <w:rPr>
          <w:rFonts w:ascii="Times New Roman"/>
          <w:szCs w:val="24"/>
        </w:rPr>
        <w:t>大气污染源为中心边长为</w:t>
      </w:r>
      <w:r>
        <w:rPr>
          <w:rFonts w:ascii="Times New Roman" w:hAnsi="Times New Roman"/>
          <w:szCs w:val="24"/>
        </w:rPr>
        <w:t>5km</w:t>
      </w:r>
      <w:r>
        <w:rPr>
          <w:rFonts w:ascii="Times New Roman"/>
          <w:szCs w:val="24"/>
        </w:rPr>
        <w:t>的矩形区</w:t>
      </w:r>
      <w:r>
        <w:rPr>
          <w:rFonts w:ascii="Times New Roman" w:hAnsi="Times New Roman"/>
          <w:szCs w:val="24"/>
        </w:rPr>
        <w:t>域</w:t>
      </w:r>
      <w:r>
        <w:rPr>
          <w:rFonts w:ascii="Times New Roman" w:hAnsi="Times New Roman"/>
        </w:rPr>
        <w:t>，大气评价范围示意图见图三。</w:t>
      </w:r>
    </w:p>
    <w:p>
      <w:pPr>
        <w:pStyle w:val="NormalIndent"/>
        <w:ind w:firstLine="480"/>
        <w:rPr>
          <w:szCs w:val="24"/>
        </w:rPr>
      </w:pPr>
      <w:r>
        <w:rPr>
          <w:rFonts w:ascii="Times New Roman" w:hAnsi="Times New Roman"/>
          <w:szCs w:val="24"/>
        </w:rPr>
        <w:t>2</w:t>
      </w:r>
      <w:r>
        <w:rPr>
          <w:szCs w:val="24"/>
        </w:rPr>
        <w:t>、</w:t>
      </w:r>
      <w:r>
        <w:rPr>
          <w:rFonts w:hint="eastAsia"/>
          <w:szCs w:val="24"/>
        </w:rPr>
        <w:t>地表水</w:t>
      </w:r>
      <w:r>
        <w:rPr>
          <w:szCs w:val="24"/>
        </w:rPr>
        <w:t>评价范围</w:t>
      </w:r>
    </w:p>
    <w:p>
      <w:pPr>
        <w:pStyle w:val="NormalIndent"/>
        <w:ind w:firstLine="480"/>
        <w:rPr>
          <w:rFonts w:hint="eastAsia"/>
          <w:szCs w:val="24"/>
        </w:rPr>
      </w:pPr>
      <w:r>
        <w:rPr>
          <w:rFonts w:hint="eastAsia"/>
          <w:szCs w:val="24"/>
          <w:lang w:eastAsia="zh-CN"/>
        </w:rPr>
        <w:t>相关项目</w:t>
      </w:r>
      <w:r>
        <w:rPr>
          <w:szCs w:val="24"/>
        </w:rPr>
        <w:t>内部废水预处理、排水系统，排水系统至市政污水管网接入点。</w:t>
      </w:r>
    </w:p>
    <w:p>
      <w:pPr>
        <w:pStyle w:val="NormalIndent"/>
        <w:ind w:firstLine="480"/>
        <w:rPr>
          <w:rFonts w:hint="eastAsia"/>
          <w:szCs w:val="24"/>
        </w:rPr>
      </w:pPr>
      <w:r>
        <w:rPr>
          <w:rFonts w:ascii="Times New Roman" w:hAnsi="Times New Roman"/>
          <w:szCs w:val="24"/>
        </w:rPr>
        <w:t>3</w:t>
      </w:r>
      <w:r>
        <w:rPr>
          <w:rFonts w:hint="eastAsia"/>
          <w:szCs w:val="24"/>
        </w:rPr>
        <w:t>、地下水评价范围</w:t>
      </w:r>
    </w:p>
    <w:p>
      <w:pPr>
        <w:pStyle w:val="Normal0"/>
        <w:spacing w:line="360" w:lineRule="auto"/>
        <w:ind w:firstLine="480" w:firstLineChars="200"/>
        <w:rPr>
          <w:rFonts w:hint="eastAsia"/>
          <w:sz w:val="24"/>
        </w:rPr>
      </w:pPr>
      <w:r>
        <w:rPr>
          <w:sz w:val="24"/>
        </w:rPr>
        <w:t>根据《环境影响评价技术导则</w:t>
      </w:r>
      <w:r>
        <w:rPr>
          <w:rFonts w:hint="eastAsia"/>
          <w:sz w:val="24"/>
        </w:rPr>
        <w:t>地下水</w:t>
      </w:r>
      <w:r>
        <w:rPr>
          <w:sz w:val="24"/>
        </w:rPr>
        <w:t>环境》（HJ</w:t>
      </w:r>
      <w:r>
        <w:rPr>
          <w:rFonts w:hint="eastAsia"/>
          <w:sz w:val="24"/>
        </w:rPr>
        <w:t>610</w:t>
      </w:r>
      <w:r>
        <w:rPr>
          <w:sz w:val="24"/>
        </w:rPr>
        <w:t>-20</w:t>
      </w:r>
      <w:r>
        <w:rPr>
          <w:rFonts w:hint="eastAsia"/>
          <w:sz w:val="24"/>
        </w:rPr>
        <w:t>11</w:t>
      </w:r>
      <w:r>
        <w:rPr>
          <w:sz w:val="24"/>
        </w:rPr>
        <w:t>）对建设</w:t>
      </w:r>
      <w:r>
        <w:rPr>
          <w:rFonts w:hint="eastAsia"/>
          <w:sz w:val="24"/>
          <w:lang w:eastAsia="zh-CN"/>
        </w:rPr>
        <w:t>相关项目</w:t>
      </w:r>
      <w:r>
        <w:rPr>
          <w:rFonts w:hint="eastAsia"/>
          <w:sz w:val="24"/>
        </w:rPr>
        <w:t>地下水</w:t>
      </w:r>
      <w:r>
        <w:rPr>
          <w:sz w:val="24"/>
        </w:rPr>
        <w:t>环境影响评价范围的确定原则，</w:t>
      </w:r>
      <w:r>
        <w:rPr>
          <w:rFonts w:hint="eastAsia"/>
          <w:sz w:val="24"/>
        </w:rPr>
        <w:t>本</w:t>
      </w:r>
      <w:r>
        <w:rPr>
          <w:rFonts w:hint="eastAsia"/>
          <w:sz w:val="24"/>
          <w:lang w:eastAsia="zh-CN"/>
        </w:rPr>
        <w:t>相关项目</w:t>
      </w:r>
      <w:r>
        <w:rPr>
          <w:rFonts w:hint="eastAsia"/>
          <w:sz w:val="24"/>
        </w:rPr>
        <w:t>地下水环境评价范围是以</w:t>
      </w:r>
      <w:r>
        <w:rPr>
          <w:rFonts w:hint="eastAsia"/>
          <w:sz w:val="24"/>
          <w:lang w:eastAsia="zh-CN"/>
        </w:rPr>
        <w:t>相关项目</w:t>
      </w:r>
      <w:r>
        <w:rPr>
          <w:rFonts w:hint="eastAsia"/>
          <w:sz w:val="24"/>
        </w:rPr>
        <w:t>为中心半径2.52km，面积约</w:t>
      </w:r>
      <w:r>
        <w:rPr>
          <w:rFonts w:hint="eastAsia"/>
        </w:rPr>
        <w:t>20</w:t>
      </w:r>
      <w:r>
        <w:rPr>
          <w:rFonts w:hint="eastAsia"/>
          <w:sz w:val="24"/>
        </w:rPr>
        <w:t>km</w:t>
      </w:r>
      <w:r>
        <w:rPr>
          <w:rFonts w:hint="eastAsia"/>
          <w:sz w:val="24"/>
          <w:vertAlign w:val="superscript"/>
        </w:rPr>
        <w:t>2</w:t>
      </w:r>
      <w:r>
        <w:rPr>
          <w:rFonts w:hint="eastAsia"/>
          <w:sz w:val="24"/>
        </w:rPr>
        <w:t>的圆形区域，地下水评价范围示意图见图三。</w:t>
      </w:r>
    </w:p>
    <w:p>
      <w:pPr>
        <w:pStyle w:val="Normal0"/>
        <w:spacing w:line="360" w:lineRule="auto"/>
        <w:ind w:firstLine="480" w:firstLineChars="200"/>
        <w:rPr>
          <w:sz w:val="24"/>
        </w:rPr>
      </w:pPr>
      <w:r>
        <w:rPr>
          <w:rFonts w:hint="eastAsia"/>
          <w:sz w:val="24"/>
        </w:rPr>
        <w:t>4</w:t>
      </w:r>
      <w:r>
        <w:rPr>
          <w:sz w:val="24"/>
        </w:rPr>
        <w:t>、噪声评价范围</w:t>
      </w:r>
    </w:p>
    <w:p>
      <w:pPr>
        <w:pStyle w:val="NormalIndent"/>
        <w:ind w:firstLine="480"/>
        <w:rPr>
          <w:szCs w:val="24"/>
        </w:rPr>
      </w:pPr>
      <w:r>
        <w:rPr>
          <w:szCs w:val="24"/>
        </w:rPr>
        <w:t>本</w:t>
      </w:r>
      <w:r>
        <w:rPr>
          <w:rFonts w:hint="eastAsia"/>
          <w:szCs w:val="24"/>
          <w:lang w:eastAsia="zh-CN"/>
        </w:rPr>
        <w:t>相关项目</w:t>
      </w:r>
      <w:r>
        <w:rPr>
          <w:szCs w:val="24"/>
        </w:rPr>
        <w:t>施工期噪声评价范围为拟建地边界及向外延伸到</w:t>
      </w:r>
      <w:r>
        <w:rPr>
          <w:rFonts w:ascii="Times New Roman" w:hAnsi="Times New Roman"/>
          <w:szCs w:val="24"/>
        </w:rPr>
        <w:t>100m</w:t>
      </w:r>
      <w:r>
        <w:rPr>
          <w:szCs w:val="24"/>
        </w:rPr>
        <w:t>的区域。</w:t>
      </w:r>
    </w:p>
    <w:p>
      <w:pPr>
        <w:pStyle w:val="NormalIndent"/>
        <w:ind w:firstLine="480"/>
        <w:rPr>
          <w:szCs w:val="24"/>
        </w:rPr>
      </w:pPr>
      <w:r>
        <w:rPr>
          <w:rFonts w:hint="eastAsia"/>
          <w:szCs w:val="24"/>
        </w:rPr>
        <w:t>按照</w:t>
      </w:r>
      <w:r>
        <w:rPr>
          <w:szCs w:val="24"/>
        </w:rPr>
        <w:t>《环境影响评价技术导则声环境》</w:t>
      </w:r>
      <w:r>
        <w:rPr>
          <w:rFonts w:ascii="Times New Roman"/>
          <w:szCs w:val="24"/>
        </w:rPr>
        <w:t>（</w:t>
      </w:r>
      <w:r>
        <w:rPr>
          <w:rFonts w:ascii="Times New Roman" w:hAnsi="Times New Roman"/>
          <w:szCs w:val="24"/>
        </w:rPr>
        <w:t>HJ2.4-2009</w:t>
      </w:r>
      <w:r>
        <w:rPr>
          <w:rFonts w:ascii="Times New Roman"/>
          <w:szCs w:val="24"/>
        </w:rPr>
        <w:t>）的规定，本</w:t>
      </w:r>
      <w:r>
        <w:rPr>
          <w:rFonts w:ascii="Times New Roman" w:hint="eastAsia"/>
          <w:szCs w:val="24"/>
          <w:lang w:eastAsia="zh-CN"/>
        </w:rPr>
        <w:t>相关项目</w:t>
      </w:r>
      <w:r>
        <w:rPr>
          <w:rFonts w:ascii="Times New Roman"/>
          <w:szCs w:val="24"/>
        </w:rPr>
        <w:t>噪声环境影响评价工作等级为二级，因此将</w:t>
      </w:r>
      <w:r>
        <w:rPr>
          <w:rFonts w:ascii="Times New Roman" w:hint="eastAsia"/>
          <w:szCs w:val="24"/>
          <w:lang w:eastAsia="zh-CN"/>
        </w:rPr>
        <w:t>相关项目</w:t>
      </w:r>
      <w:r>
        <w:rPr>
          <w:rFonts w:ascii="Times New Roman"/>
          <w:szCs w:val="24"/>
        </w:rPr>
        <w:t>边界向外</w:t>
      </w:r>
      <w:r>
        <w:rPr>
          <w:rFonts w:ascii="Times New Roman" w:hAnsi="Times New Roman"/>
          <w:szCs w:val="24"/>
        </w:rPr>
        <w:t>200m</w:t>
      </w:r>
      <w:r>
        <w:rPr>
          <w:szCs w:val="24"/>
        </w:rPr>
        <w:t>的范围作为噪声评价范围。</w:t>
      </w:r>
    </w:p>
    <w:p>
      <w:pPr>
        <w:pStyle w:val="Normal0"/>
        <w:spacing w:line="360" w:lineRule="auto"/>
        <w:ind w:firstLine="420" w:firstLineChars="200"/>
        <w:rPr>
          <w:rFonts w:hint="eastAsia"/>
        </w:rPr>
        <w:sectPr>
          <w:headerReference w:type="even" r:id="rId69"/>
          <w:headerReference w:type="default" r:id="rId70"/>
          <w:footerReference w:type="even" r:id="rId71"/>
          <w:footerReference w:type="default" r:id="rId72"/>
          <w:headerReference w:type="first" r:id="rId73"/>
          <w:footerReference w:type="first" r:id="rId74"/>
          <w:pgSz w:w="11907" w:h="16840"/>
          <w:pgMar w:top="1418" w:right="1758" w:bottom="1418" w:left="1758" w:header="851" w:footer="992" w:gutter="0"/>
          <w:pgNumType w:start="8"/>
          <w:cols w:num="1" w:space="720"/>
        </w:sectPr>
      </w:pPr>
      <w:bookmarkStart w:id="14" w:name="_Toc64609343"/>
      <w:bookmarkStart w:id="15" w:name="_Toc64011060"/>
      <w:bookmarkStart w:id="16" w:name="_Toc64011717"/>
      <w:bookmarkStart w:id="17" w:name="_Toc64206383"/>
    </w:p>
    <w:p>
      <w:pPr>
        <w:pStyle w:val="Normal0"/>
        <w:spacing w:line="360" w:lineRule="auto"/>
        <w:ind w:firstLine="899" w:firstLineChars="428"/>
        <w:rPr>
          <w:rFonts w:hint="eastAsia"/>
        </w:rPr>
      </w:pPr>
      <w:r>
        <w:pict>
          <v:shape id="_x0000_s1091" o:spid="_x0000_s1091" type="#_x0000_t202" style="width:630pt;height:23.4pt;margin-top:413.1pt;margin-left:36.95pt;mso-height-relative:page;mso-width-relative:page;position:absolute;z-index:251660288" coordsize="21600,21600" filled="f" stroked="f" insetpen="f">
            <v:stroke joinstyle="miter"/>
            <v:textbox>
              <w:txbxContent>
                <w:p>
                  <w:pPr>
                    <w:pStyle w:val="Normal0"/>
                    <w:jc w:val="center"/>
                    <w:rPr>
                      <w:rFonts w:ascii="黑体" w:eastAsia="黑体" w:hint="eastAsia"/>
                    </w:rPr>
                  </w:pPr>
                  <w:r>
                    <w:rPr>
                      <w:rFonts w:ascii="黑体" w:eastAsia="黑体" w:hint="eastAsia"/>
                    </w:rPr>
                    <w:t>图三  大气及地下水评价范围示意图</w:t>
                  </w:r>
                </w:p>
              </w:txbxContent>
            </v:textbox>
          </v:shape>
        </w:pict>
      </w:r>
      <w:r>
        <w:pict>
          <v:group id="_x0000_s1092" o:spid="_x0000_i1092" editas="canvas" style="width:612pt;height:405.6pt" coordorigin="2377,3334" coordsize="12240,8112">
            <v:shape id="_x0000_s1093" o:spid="_x0000_s1093" type="#_x0000_t75" style="width:12240;height:8112;left:2377;position:absolute;top:3334" coordsize="21600,21600" o:preferrelative="f" filled="f" stroked="f">
              <v:stroke joinstyle="miter"/>
              <o:lock v:ext="edit" aspectratio="t" text="t"/>
            </v:shape>
            <v:shape id="_x0000_s1094" o:spid="_x0000_s1094" type="#_x0000_t75" style="width:12240;height:8112;left:2377;position:absolute;top:3334" coordsize="21600,21600" o:preferrelative="t" filled="f" stroked="f">
              <v:stroke joinstyle="miter"/>
              <v:imagedata r:id="rId75" o:title="123" cropbottom="8218f"/>
              <o:lock v:ext="edit" aspectratio="t"/>
            </v:shape>
            <v:shape id="_x0000_s1095" o:spid="_x0000_s1095" type="#_x0000_t136" style="width:720;height:240;left:8722;position:absolute;top:7918" coordsize="21600,21600" filled="t" fillcolor="red" stroked="t" strokecolor="red">
              <v:textpath style="font-family:宋体;font-size:12pt;v-rotate-letters:f;v-same-letter-heights:f;v-text-align:center" trim="t" fitpath="t" xscale="f" string="本项目"/>
              <o:lock v:ext="edit" aspectratio="f"/>
            </v:shape>
            <v:shape id="_x0000_s1096" o:spid="_x0000_s1096" style="width:180;height:468;left:8722;position:absolute;top:7450" o:bwmode="auto" coordsize="34,903" path="m34,903hal,hae" filled="f" stroked="t" strokecolor="red">
              <v:stroke endarrow="block" opacity="1" color2="white"/>
              <v:path arrowok="t"/>
            </v:shape>
            <v:shape id="_x0000_s1097" o:spid="_x0000_s1097" type="#_x0000_t136" style="width:1440;height:240;left:12457;position:absolute;top:5206" coordsize="21600,21600" filled="t" fillcolor="#f90" stroked="t" strokecolor="#f90">
              <v:textpath style="font-family:宋体;font-size:12pt;v-rotate-letters:f;v-same-letter-heights:f;v-text-align:center" trim="t" fitpath="t" xscale="f" string="大气评价范围"/>
              <o:lock v:ext="edit" aspectratio="f"/>
            </v:shape>
            <v:shape id="_x0000_s1098" o:spid="_x0000_s1098" style="width:752;height:881;left:12277;position:absolute;top:5518" coordsize="752,881" path="m752,hal,881hae" filled="f" stroked="t" strokecolor="#f90">
              <v:fill o:opacity2="1"/>
              <v:stroke endarrow="block" color2="white"/>
              <v:path arrowok="t"/>
            </v:shape>
            <v:group id="_x0000_s1099" o:spid="_x0000_s1099" style="width:668;height:1184;left:13717;position:absolute;top:3802" coordorigin="12702,1923" coordsize="667,1185">
              <v:shape id="_x0000_s1100" o:spid="_x0000_s1100" type="#_x0000_t202" style="width:667;height:624;left:12702;position:absolute;top:1923" coordsize="21600,21600" filled="f" stroked="f">
                <v:stroke joinstyle="miter"/>
                <v:textbox>
                  <w:txbxContent>
                    <w:p>
                      <w:pPr>
                        <w:pStyle w:val="Normal0"/>
                        <w:rPr>
                          <w:rFonts w:hint="eastAsia"/>
                          <w:b/>
                          <w:color w:val="FFFFFF"/>
                          <w:sz w:val="36"/>
                          <w:szCs w:val="36"/>
                        </w:rPr>
                      </w:pPr>
                      <w:r>
                        <w:rPr>
                          <w:rFonts w:hint="eastAsia"/>
                          <w:b/>
                          <w:color w:val="FFFFFF"/>
                          <w:sz w:val="36"/>
                          <w:szCs w:val="36"/>
                        </w:rPr>
                        <w:t>N</w:t>
                      </w:r>
                    </w:p>
                  </w:txbxContent>
                </v:textbox>
              </v:shape>
              <v:group id="_x0000_s1101" o:spid="_x0000_s1101" style="width:420;height:726;left:12777;position:absolute;top:2382" coordorigin="720,2844" coordsize="1080,1560">
                <v:shape id="_x0000_s1102" o:spid="_x0000_s1102" style="width:540;height:1560;left:720;position:absolute;top:2844" coordsize="540,1560" path="m540,hal,1560hal540,1092hal540,haxe" filled="t">
                  <v:path arrowok="t"/>
                </v:shape>
                <v:shape id="_x0000_s1103" o:spid="_x0000_s1103" style="width:540;height:1560;left:1260;position:absolute;top:2844" coordsize="540,1560" path="m,hal,1092hal540,1560hal,haxe" filled="t" fillcolor="white">
                  <v:path arrowok="t"/>
                </v:shape>
              </v:group>
            </v:group>
            <v:group id="_x0000_s1104" o:spid="_x0000_s1104" style="width:1515;height:454;left:12817;position:absolute;top:10510" coordorigin="3278,8950" coordsize="1515,454">
              <v:group id="_x0000_s1105" o:spid="_x0000_s1105" style="width:1287;height:161;left:3323;position:absolute;top:8950" coordorigin="3638,8982" coordsize="1803,161">
                <v:shape id="_x0000_s1106" o:spid="_x0000_s1106" style="width:1803;height:29;left:3638;position:absolute;top:9106" o:bwmode="auto" coordsize="4507,29" path="m,29hdc1502,,3005,28,4507,28hae" filled="t" fillcolor="white" stroked="t" strokecolor="white">
                  <v:fill opacity="45875f"/>
                  <v:stroke opacity="1" color2="white"/>
                  <v:path arrowok="t"/>
                </v:shape>
                <v:line id="_x0000_s1107" o:spid="_x0000_s1107" style="flip:y;position:absolute" from="5420,8986" to="5421,9143" coordsize="21600,21600" stroked="t" strokecolor="white"/>
                <v:line id="_x0000_s1108" o:spid="_x0000_s1108" style="flip:y;position:absolute" from="3653,8982" to="3654,9139" coordsize="21600,21600" stroked="t" strokecolor="white"/>
              </v:group>
              <v:shape id="_x0000_s1109" o:spid="_x0000_s1109" type="#_x0000_t136" style="width:105;height:196;left:3278;position:absolute;top:9208" coordsize="21600,21600" filled="t" stroked="t" strokecolor="white">
                <v:textpath style="font-family:Arial;font-size:10pt;v-rotate-letters:f;v-same-letter-heights:f;v-text-align:center" trim="t" fitpath="t" xscale="f" string="0"/>
              </v:shape>
              <v:shape id="_x0000_s1110" o:spid="_x0000_s1110" type="#_x0000_t136" style="width:285;height:210;left:4508;position:absolute;top:9187" coordsize="21600,21600" filled="t" stroked="t" strokecolor="white">
                <v:textpath style="font-family:Arial;font-size:8pt;v-rotate-letters:f;v-same-letter-heights:f;v-text-align:center" trim="t" fitpath="t" xscale="f" string="1km"/>
              </v:shape>
            </v:group>
            <v:shape id="_x0000_s1111" o:spid="_x0000_s1111" style="width:675;height:477;left:8237;position:absolute;top:7054" coordsize="4745,3355" path="m1890,3355hal4745,1490hal3556,hal1515,500hal1189,601hal864,688hal,964hal1890,3355haxe" filled="t" stroked="t" strokecolor="red">
              <v:fill opacity="0" o:opacity2="1"/>
              <v:stroke color2="white"/>
              <v:path arrowok="t"/>
              <o:lock v:ext="edit" aspectratio="t"/>
            </v:shape>
            <v:oval id="_x0000_s1112" o:spid="_x0000_s1112" style="width:6860;height:6860;left:5413;position:absolute;top:4159" coordsize="21600,21600" filled="f" stroked="t" strokecolor="aqua" insetpen="f"/>
            <v:rect id="_x0000_s1113" o:spid="_x0000_s1113" style="width:6803;height:6803;left:5442;position:absolute;top:4186" coordsize="21600,21600" filled="f" stroked="t" strokecolor="#f90" insetpen="f">
              <o:lock v:ext="edit" aspectratio="f"/>
            </v:rect>
            <v:shape id="_x0000_s1114" o:spid="_x0000_s1114" style="width:752;height:881;left:11677;position:absolute;top:4738" coordsize="752,881" path="m752,hal,881hae" filled="f" stroked="t" strokecolor="aqua">
              <v:fill o:opacity2="1"/>
              <v:stroke endarrow="block" color2="white"/>
              <v:path arrowok="t"/>
            </v:shape>
            <v:shape id="_x0000_s1115" o:spid="_x0000_s1115" type="#_x0000_t136" style="width:1680;height:240;left:11617;position:absolute;top:4426" coordsize="21600,21600" filled="t" fillcolor="aqua" stroked="t" strokecolor="aqua">
              <v:textpath style="font-family:宋体;font-size:12pt;v-rotate-letters:f;v-same-letter-heights:f;v-text-align:center" trim="t" fitpath="t" xscale="f" string="地下水评价范围"/>
            </v:shape>
            <v:shape id="_x0000_s1116" o:spid="_x0000_s1116" type="#_x0000_t136" style="width:690;height:195;left:8137;position:absolute;top:6766" coordsize="21600,21600" filled="t" stroked="t" strokecolor="white">
              <v:textpath style="font-family:宋体;font-size:10pt;v-rotate-letters:f;v-same-letter-heights:f;v-text-align:center" trim="t" fitpath="t" xscale="f" string="凉水河 "/>
            </v:shape>
            <v:shape id="_x0000_s1117" o:spid="_x0000_s1117" type="#_x0000_t136" style="width:690;height:195;left:6517;position:absolute;top:7466" coordsize="21600,21600" filled="t" stroked="t" strokecolor="white">
              <v:textpath style="font-family:宋体;font-size:10pt;v-rotate-letters:f;v-same-letter-heights:f;v-text-align:center" trim="t" fitpath="t" xscale="f" string="南堤村"/>
            </v:shape>
            <v:shape id="_x0000_s1118" o:spid="_x0000_s1118" type="#_x0000_t136" style="width:780;height:195;left:8677;position:absolute;top:8482" coordsize="21600,21600" filled="t" stroked="t" strokecolor="white">
              <v:textpath style="font-family:宋体;font-size:10pt;v-rotate-letters:f;v-same-letter-heights:f;v-text-align:center" trim="t" fitpath="t" xscale="f" string="驸马庄村"/>
            </v:shape>
            <v:shape id="_x0000_s1119" o:spid="_x0000_s1119" type="#_x0000_t136" style="width:975;height:195;left:5617;position:absolute;top:8130" coordsize="21600,21600" filled="t" fillcolor="blue" stroked="t" strokecolor="blue">
              <v:textpath style="font-family:宋体;font-size:10pt;v-rotate-letters:f;v-same-letter-heights:f;v-text-align:center" trim="t" fitpath="t" xscale="f" string="普洛斯物流"/>
            </v:shape>
            <v:shape id="_x0000_s1120" o:spid="_x0000_s1120" type="#_x0000_t136" style="width:780;height:195;left:6257;position:absolute;top:9106" coordsize="21600,21600" filled="t" fillcolor="blue" stroked="t" strokecolor="blue">
              <v:textpath style="font-family:宋体;font-size:10pt;v-rotate-letters:f;v-same-letter-heights:f;v-text-align:center" trim="t" fitpath="t" xscale="f" string="祥龙物流"/>
            </v:shape>
            <v:shape id="_x0000_s1121" o:spid="_x0000_s1121" type="#_x0000_t136" style="width:690;height:195;left:4357;position:absolute;top:9574" coordsize="21600,21600" filled="t" stroked="t" strokecolor="white">
              <v:textpath style="font-family:宋体;font-size:10pt;v-rotate-letters:f;v-same-letter-heights:f;v-text-align:center" trim="t" fitpath="t" xscale="f" string="东店村"/>
            </v:shape>
            <v:shape id="_x0000_s1122" o:spid="_x0000_s1122" type="#_x0000_t136" style="width:780;height:195;left:3817;position:absolute;top:8794" coordsize="21600,21600" filled="t" stroked="t" strokecolor="white">
              <v:textpath style="font-family:宋体;font-size:10pt;v-rotate-letters:f;v-same-letter-heights:f;v-text-align:center" trim="t" fitpath="t" xscale="f" string="西后街村"/>
            </v:shape>
            <v:shape id="_x0000_s1123" o:spid="_x0000_s1123" type="#_x0000_t136" style="width:240;height:1200;left:4537;position:absolute;rotation:345;top:7466" coordsize="21600,21600" filled="t" stroked="t" strokecolor="white">
              <v:textpath style="font-family:宋体;font-size:12pt;v-rotate-letters:f;v-same-letter-heights:f;v-text-align:center" trim="t" fitpath="t" xscale="f" string="京&#10;津&#10;塘&#10;高&#10;速"/>
            </v:shape>
            <v:shape id="_x0000_s1124" o:spid="_x0000_s1124" type="#_x0000_t136" style="width:720;height:360;left:9897;position:absolute;top:6162" coordsize="21600,21600" filled="t" stroked="t" strokecolor="white">
              <v:textpath style="font-family:宋体;font-size:9pt;v-rotate-letters:f;v-same-letter-heights:f;v-text-align:center" trim="t" fitpath="t" xscale="f" string="水南村&#10;（旧址）"/>
            </v:shape>
            <v:shape id="_x0000_s1125" o:spid="_x0000_s1125" type="#_x0000_t136" style="width:780;height:195;left:8857;position:absolute;top:4366" coordsize="21600,21600" filled="t" stroked="t" strokecolor="white">
              <v:textpath style="font-family:宋体;font-size:10pt;v-rotate-letters:f;v-same-letter-heights:f;v-text-align:center" trim="t" fitpath="t" xscale="f" string="北小营村"/>
            </v:shape>
            <v:shape id="_x0000_s1126" o:spid="_x0000_s1126" type="#_x0000_t136" style="width:975;height:390;left:4177;position:absolute;top:5674" coordsize="21600,21600" filled="t" stroked="t" strokecolor="white">
              <v:textpath style="font-family:宋体;font-size:10pt;v-rotate-letters:f;v-same-letter-heights:f;v-text-align:center" trim="t" fitpath="t" xscale="f" string="北京经济&#10;技术开发区"/>
            </v:shape>
            <v:shape id="_x0000_s1127" o:spid="_x0000_s1127" type="#_x0000_t136" style="width:780;height:195;left:7857;position:absolute;top:10374" coordsize="21600,21600" filled="t" stroked="t" strokecolor="white">
              <v:textpath style="font-family:宋体;font-size:10pt;v-rotate-letters:f;v-same-letter-heights:f;v-text-align:center" trim="t" fitpath="t" xscale="f" string="后银子村"/>
            </v:shape>
            <v:shape id="_x0000_s1128" o:spid="_x0000_s1128" type="#_x0000_t136" style="width:780;height:195;left:10497;position:absolute;top:9574" coordsize="21600,21600" filled="t" fillcolor="blue" stroked="t" strokecolor="blue">
              <v:textpath style="font-family:宋体;font-size:10pt;v-rotate-letters:f;v-same-letter-heights:f;v-text-align:center" trim="t" fitpath="t" xscale="f" string="南小营村"/>
            </v:shape>
            <v:shape id="_x0000_s1129" o:spid="_x0000_s1129" type="#_x0000_t136" style="width:780;height:195;left:11377;position:absolute;top:8858" coordsize="21600,21600" filled="t" stroked="t" strokecolor="white">
              <v:textpath style="font-family:宋体;font-size:10pt;v-rotate-letters:f;v-same-letter-heights:f;v-text-align:center" trim="t" fitpath="t" xscale="f" string="团瓤庄村"/>
            </v:shape>
            <w10:anchorlock/>
          </v:group>
        </w:pict>
      </w:r>
    </w:p>
    <w:p>
      <w:pPr>
        <w:pStyle w:val="Normal0"/>
        <w:sectPr>
          <w:headerReference w:type="even" r:id="rId76"/>
          <w:headerReference w:type="default" r:id="rId77"/>
          <w:footerReference w:type="even" r:id="rId78"/>
          <w:footerReference w:type="default" r:id="rId79"/>
          <w:headerReference w:type="first" r:id="rId80"/>
          <w:footerReference w:type="first" r:id="rId81"/>
          <w:pgSz w:w="16840" w:h="11907" w:orient="landscape"/>
          <w:pgMar w:top="1758" w:right="1418" w:bottom="1758" w:left="1418" w:header="851" w:footer="992" w:gutter="0"/>
          <w:pgNumType w:start="9"/>
          <w:cols w:num="1" w:space="720"/>
        </w:sectPr>
      </w:pPr>
    </w:p>
    <w:bookmarkEnd w:id="14"/>
    <w:bookmarkEnd w:id="15"/>
    <w:bookmarkEnd w:id="16"/>
    <w:bookmarkEnd w:id="17"/>
    <w:p>
      <w:pPr>
        <w:sectPr>
          <w:headerReference w:type="even" r:id="rId82"/>
          <w:headerReference w:type="default" r:id="rId83"/>
          <w:footerReference w:type="even" r:id="rId84"/>
          <w:footerReference w:type="default" r:id="rId85"/>
          <w:headerReference w:type="first" r:id="rId86"/>
          <w:footerReference w:type="first" r:id="rId87"/>
          <w:pgSz w:w="11906" w:h="16838"/>
          <w:pgMar w:top="1440" w:right="1797" w:bottom="1440" w:left="1797" w:header="851" w:footer="992" w:gutter="0"/>
          <w:pgNumType w:start="10"/>
          <w:cols w:num="1" w:space="425"/>
          <w:docGrid w:linePitch="312" w:charSpace="0"/>
        </w:sectPr>
      </w:pPr>
    </w:p>
    <w:p>
      <w:pPr>
        <w:pStyle w:val="Normal0"/>
        <w:spacing w:line="360" w:lineRule="auto"/>
        <w:ind w:firstLine="410" w:firstLineChars="171"/>
        <w:rPr>
          <w:rFonts w:eastAsia="黑体" w:hint="eastAsia"/>
          <w:sz w:val="24"/>
        </w:rPr>
      </w:pPr>
      <w:r>
        <w:rPr>
          <w:rFonts w:eastAsia="黑体"/>
          <w:sz w:val="24"/>
        </w:rPr>
        <w:t>（</w:t>
      </w:r>
      <w:r>
        <w:rPr>
          <w:rFonts w:eastAsia="黑体" w:hint="eastAsia"/>
          <w:sz w:val="24"/>
        </w:rPr>
        <w:t>二</w:t>
      </w:r>
      <w:r>
        <w:rPr>
          <w:rFonts w:eastAsia="黑体"/>
          <w:sz w:val="24"/>
        </w:rPr>
        <w:t>）</w:t>
      </w:r>
      <w:r>
        <w:rPr>
          <w:rFonts w:eastAsia="黑体" w:hint="eastAsia"/>
          <w:sz w:val="24"/>
        </w:rPr>
        <w:t>环境敏感区</w:t>
      </w:r>
    </w:p>
    <w:p>
      <w:pPr>
        <w:pStyle w:val="a"/>
        <w:ind w:firstLine="480"/>
        <w:rPr>
          <w:rFonts w:hint="eastAsia"/>
        </w:rPr>
      </w:pPr>
      <w:r>
        <w:t>经调查，评价范围内无自然保护区、饮用水水源保护区或基本农田保护区等需要特殊保护的环境敏感对象，结合拟建</w:t>
      </w:r>
      <w:r>
        <w:rPr>
          <w:rFonts w:hint="eastAsia"/>
          <w:lang w:eastAsia="zh-CN"/>
        </w:rPr>
        <w:t>相关项目</w:t>
      </w:r>
      <w:r>
        <w:t>污染特点，本次评价确定主要环境保护目标为评价范围内的村庄</w:t>
      </w:r>
      <w:r>
        <w:rPr>
          <w:rFonts w:hint="eastAsia"/>
        </w:rPr>
        <w:t>及小区。</w:t>
      </w:r>
    </w:p>
    <w:p>
      <w:pPr>
        <w:pStyle w:val="a"/>
        <w:ind w:firstLine="480"/>
        <w:rPr>
          <w:rFonts w:hint="eastAsia"/>
        </w:rPr>
      </w:pPr>
      <w:r>
        <w:rPr>
          <w:rFonts w:hint="eastAsia"/>
        </w:rPr>
        <w:t>拟建</w:t>
      </w:r>
      <w:r>
        <w:rPr>
          <w:rFonts w:hint="eastAsia"/>
          <w:lang w:eastAsia="zh-CN"/>
        </w:rPr>
        <w:t>相关项目</w:t>
      </w:r>
      <w:r>
        <w:rPr>
          <w:rFonts w:hint="eastAsia"/>
        </w:rPr>
        <w:t>周围的主要环境保护目标是周围的村庄及住宅小区。</w:t>
      </w:r>
    </w:p>
    <w:p>
      <w:pPr>
        <w:pStyle w:val="Normal0"/>
        <w:adjustRightInd w:val="0"/>
        <w:snapToGrid w:val="0"/>
        <w:spacing w:line="560" w:lineRule="exact"/>
        <w:jc w:val="center"/>
        <w:rPr>
          <w:rFonts w:eastAsia="黑体" w:hint="eastAsia"/>
          <w:bCs/>
          <w:szCs w:val="28"/>
        </w:rPr>
      </w:pPr>
      <w:r>
        <w:rPr>
          <w:rFonts w:eastAsia="黑体" w:hint="eastAsia"/>
          <w:bCs/>
          <w:szCs w:val="28"/>
        </w:rPr>
        <w:t>表2  环境保护目标一览表</w:t>
      </w:r>
    </w:p>
    <w:tbl>
      <w:tblPr>
        <w:tblStyle w:val="TableNormal"/>
        <w:tblW w:w="5910" w:type="pct"/>
        <w:tblInd w:w="-612" w:type="dxa"/>
        <w:tblBorders>
          <w:top w:val="single" w:sz="4" w:space="0" w:color="auto"/>
          <w:left w:val="single" w:sz="4" w:space="0" w:color="auto"/>
          <w:bottom w:val="single" w:sz="4" w:space="0" w:color="auto"/>
          <w:right w:val="single" w:sz="4" w:space="0" w:color="auto"/>
          <w:insideH w:val="single" w:sz="6" w:space="0" w:color="auto"/>
          <w:insideV w:val="single" w:sz="4" w:space="0" w:color="auto"/>
        </w:tblBorders>
        <w:tblLayout w:type="fixed"/>
        <w:tblCellMar>
          <w:top w:w="0" w:type="dxa"/>
          <w:left w:w="108" w:type="dxa"/>
          <w:bottom w:w="0" w:type="dxa"/>
          <w:right w:w="108" w:type="dxa"/>
        </w:tblCellMar>
      </w:tblPr>
      <w:tblGrid>
        <w:gridCol w:w="1620"/>
        <w:gridCol w:w="901"/>
        <w:gridCol w:w="2068"/>
        <w:gridCol w:w="964"/>
        <w:gridCol w:w="972"/>
        <w:gridCol w:w="1220"/>
        <w:gridCol w:w="2335"/>
      </w:tblGrid>
      <w:tr>
        <w:tblPrEx>
          <w:tblW w:w="5910" w:type="pct"/>
          <w:tblInd w:w="-612" w:type="dxa"/>
          <w:tblBorders>
            <w:top w:val="single" w:sz="4" w:space="0" w:color="auto"/>
            <w:left w:val="single" w:sz="4" w:space="0" w:color="auto"/>
            <w:bottom w:val="single" w:sz="4" w:space="0" w:color="auto"/>
            <w:right w:val="single" w:sz="4" w:space="0" w:color="auto"/>
            <w:insideH w:val="single" w:sz="6" w:space="0" w:color="auto"/>
            <w:insideV w:val="single" w:sz="4" w:space="0" w:color="auto"/>
          </w:tblBorders>
          <w:tblLayout w:type="fixed"/>
          <w:tblCellMar>
            <w:top w:w="0" w:type="dxa"/>
            <w:left w:w="108" w:type="dxa"/>
            <w:bottom w:w="0" w:type="dxa"/>
            <w:right w:w="108" w:type="dxa"/>
          </w:tblCellMar>
        </w:tblPrEx>
        <w:trPr>
          <w:trHeight w:hRule="exact" w:val="656"/>
        </w:trPr>
        <w:tc>
          <w:tcPr>
            <w:tcW w:w="804" w:type="pct"/>
            <w:tcBorders>
              <w:top w:val="single" w:sz="4" w:space="0" w:color="auto"/>
              <w:bottom w:val="single" w:sz="4" w:space="0" w:color="auto"/>
            </w:tcBorders>
            <w:vAlign w:val="center"/>
          </w:tcPr>
          <w:p>
            <w:pPr>
              <w:pStyle w:val="a"/>
              <w:snapToGrid w:val="0"/>
              <w:spacing w:line="240" w:lineRule="auto"/>
              <w:ind w:firstLine="0" w:firstLineChars="0"/>
              <w:jc w:val="center"/>
              <w:rPr>
                <w:sz w:val="21"/>
                <w:szCs w:val="21"/>
              </w:rPr>
            </w:pPr>
            <w:r>
              <w:rPr>
                <w:sz w:val="21"/>
                <w:szCs w:val="21"/>
              </w:rPr>
              <w:t>环境要素</w:t>
            </w:r>
          </w:p>
        </w:tc>
        <w:tc>
          <w:tcPr>
            <w:tcW w:w="447" w:type="pct"/>
            <w:tcBorders>
              <w:top w:val="single" w:sz="4" w:space="0" w:color="auto"/>
            </w:tcBorders>
            <w:vAlign w:val="center"/>
          </w:tcPr>
          <w:p>
            <w:pPr>
              <w:pStyle w:val="a"/>
              <w:snapToGrid w:val="0"/>
              <w:spacing w:line="240" w:lineRule="auto"/>
              <w:ind w:firstLine="0" w:firstLineChars="0"/>
              <w:jc w:val="center"/>
              <w:rPr>
                <w:sz w:val="21"/>
                <w:szCs w:val="21"/>
              </w:rPr>
            </w:pPr>
            <w:r>
              <w:rPr>
                <w:sz w:val="21"/>
                <w:szCs w:val="21"/>
              </w:rPr>
              <w:t>编号</w:t>
            </w:r>
          </w:p>
        </w:tc>
        <w:tc>
          <w:tcPr>
            <w:tcW w:w="1026" w:type="pct"/>
            <w:tcBorders>
              <w:top w:val="single" w:sz="4" w:space="0" w:color="auto"/>
            </w:tcBorders>
            <w:vAlign w:val="center"/>
          </w:tcPr>
          <w:p>
            <w:pPr>
              <w:pStyle w:val="a"/>
              <w:snapToGrid w:val="0"/>
              <w:spacing w:line="240" w:lineRule="auto"/>
              <w:ind w:firstLine="0" w:firstLineChars="0"/>
              <w:jc w:val="center"/>
              <w:rPr>
                <w:sz w:val="21"/>
                <w:szCs w:val="21"/>
              </w:rPr>
            </w:pPr>
            <w:r>
              <w:rPr>
                <w:sz w:val="21"/>
                <w:szCs w:val="21"/>
              </w:rPr>
              <w:t>保护目标</w:t>
            </w:r>
          </w:p>
        </w:tc>
        <w:tc>
          <w:tcPr>
            <w:tcW w:w="478" w:type="pct"/>
            <w:tcBorders>
              <w:top w:val="single" w:sz="4" w:space="0" w:color="auto"/>
            </w:tcBorders>
            <w:vAlign w:val="center"/>
          </w:tcPr>
          <w:p>
            <w:pPr>
              <w:pStyle w:val="a"/>
              <w:snapToGrid w:val="0"/>
              <w:spacing w:line="240" w:lineRule="auto"/>
              <w:ind w:firstLine="0" w:firstLineChars="0"/>
              <w:jc w:val="center"/>
              <w:rPr>
                <w:sz w:val="21"/>
                <w:szCs w:val="21"/>
              </w:rPr>
            </w:pPr>
            <w:r>
              <w:rPr>
                <w:sz w:val="21"/>
                <w:szCs w:val="21"/>
              </w:rPr>
              <w:t>方位</w:t>
            </w:r>
          </w:p>
        </w:tc>
        <w:tc>
          <w:tcPr>
            <w:tcW w:w="482" w:type="pct"/>
            <w:tcBorders>
              <w:top w:val="single" w:sz="4" w:space="0" w:color="auto"/>
            </w:tcBorders>
            <w:vAlign w:val="center"/>
          </w:tcPr>
          <w:p>
            <w:pPr>
              <w:pStyle w:val="a"/>
              <w:snapToGrid w:val="0"/>
              <w:spacing w:line="240" w:lineRule="auto"/>
              <w:ind w:firstLine="0" w:firstLineChars="0"/>
              <w:jc w:val="center"/>
              <w:rPr>
                <w:sz w:val="21"/>
                <w:szCs w:val="21"/>
              </w:rPr>
            </w:pPr>
            <w:r>
              <w:rPr>
                <w:sz w:val="21"/>
                <w:szCs w:val="21"/>
              </w:rPr>
              <w:t>距离（米）</w:t>
            </w:r>
          </w:p>
        </w:tc>
        <w:tc>
          <w:tcPr>
            <w:tcW w:w="605" w:type="pct"/>
            <w:tcBorders>
              <w:top w:val="single" w:sz="4" w:space="0" w:color="auto"/>
            </w:tcBorders>
            <w:vAlign w:val="center"/>
          </w:tcPr>
          <w:p>
            <w:pPr>
              <w:pStyle w:val="a"/>
              <w:snapToGrid w:val="0"/>
              <w:spacing w:line="240" w:lineRule="auto"/>
              <w:ind w:firstLine="0" w:firstLineChars="0"/>
              <w:jc w:val="center"/>
              <w:rPr>
                <w:sz w:val="21"/>
                <w:szCs w:val="21"/>
              </w:rPr>
            </w:pPr>
            <w:r>
              <w:rPr>
                <w:sz w:val="21"/>
                <w:szCs w:val="21"/>
              </w:rPr>
              <w:t>户数/人数</w:t>
            </w:r>
          </w:p>
        </w:tc>
        <w:tc>
          <w:tcPr>
            <w:tcW w:w="1158" w:type="pct"/>
            <w:tcBorders>
              <w:top w:val="single" w:sz="4" w:space="0" w:color="auto"/>
              <w:bottom w:val="single" w:sz="4" w:space="0" w:color="auto"/>
            </w:tcBorders>
            <w:vAlign w:val="center"/>
          </w:tcPr>
          <w:p>
            <w:pPr>
              <w:pStyle w:val="a"/>
              <w:snapToGrid w:val="0"/>
              <w:spacing w:line="240" w:lineRule="auto"/>
              <w:ind w:firstLine="0" w:firstLineChars="0"/>
              <w:jc w:val="center"/>
              <w:rPr>
                <w:sz w:val="21"/>
                <w:szCs w:val="21"/>
              </w:rPr>
            </w:pPr>
            <w:r>
              <w:rPr>
                <w:sz w:val="21"/>
                <w:szCs w:val="21"/>
              </w:rPr>
              <w:t>保护级别要求</w:t>
            </w:r>
          </w:p>
        </w:tc>
      </w:tr>
      <w:tr>
        <w:tblPrEx>
          <w:tblW w:w="5910" w:type="pct"/>
          <w:tblInd w:w="-612" w:type="dxa"/>
          <w:tblLayout w:type="fixed"/>
          <w:tblCellMar>
            <w:top w:w="0" w:type="dxa"/>
            <w:left w:w="108" w:type="dxa"/>
            <w:bottom w:w="0" w:type="dxa"/>
            <w:right w:w="108" w:type="dxa"/>
          </w:tblCellMar>
        </w:tblPrEx>
        <w:trPr>
          <w:trHeight w:hRule="exact" w:val="613"/>
        </w:trPr>
        <w:tc>
          <w:tcPr>
            <w:tcW w:w="804" w:type="pct"/>
            <w:vMerge w:val="restart"/>
            <w:tcBorders>
              <w:top w:val="single" w:sz="4" w:space="0" w:color="auto"/>
            </w:tcBorders>
            <w:vAlign w:val="center"/>
          </w:tcPr>
          <w:p>
            <w:pPr>
              <w:pStyle w:val="a"/>
              <w:snapToGrid w:val="0"/>
              <w:spacing w:line="240" w:lineRule="auto"/>
              <w:ind w:firstLine="0" w:firstLineChars="0"/>
              <w:jc w:val="center"/>
              <w:rPr>
                <w:sz w:val="21"/>
                <w:szCs w:val="21"/>
              </w:rPr>
            </w:pPr>
            <w:r>
              <w:rPr>
                <w:sz w:val="21"/>
                <w:szCs w:val="21"/>
              </w:rPr>
              <w:t>空气环境</w:t>
            </w:r>
          </w:p>
        </w:tc>
        <w:tc>
          <w:tcPr>
            <w:tcW w:w="447" w:type="pct"/>
            <w:vAlign w:val="center"/>
          </w:tcPr>
          <w:p>
            <w:pPr>
              <w:pStyle w:val="a"/>
              <w:snapToGrid w:val="0"/>
              <w:spacing w:line="240" w:lineRule="auto"/>
              <w:ind w:firstLine="0" w:firstLineChars="0"/>
              <w:jc w:val="center"/>
              <w:rPr>
                <w:sz w:val="21"/>
                <w:szCs w:val="21"/>
              </w:rPr>
            </w:pPr>
            <w:r>
              <w:rPr>
                <w:sz w:val="21"/>
                <w:szCs w:val="21"/>
              </w:rPr>
              <w:t>1</w:t>
            </w:r>
          </w:p>
        </w:tc>
        <w:tc>
          <w:tcPr>
            <w:tcW w:w="1026" w:type="pct"/>
            <w:vAlign w:val="center"/>
          </w:tcPr>
          <w:p>
            <w:pPr>
              <w:pStyle w:val="a"/>
              <w:snapToGrid w:val="0"/>
              <w:spacing w:line="240" w:lineRule="auto"/>
              <w:ind w:firstLine="0" w:firstLineChars="0"/>
              <w:jc w:val="center"/>
              <w:rPr>
                <w:sz w:val="21"/>
                <w:szCs w:val="21"/>
              </w:rPr>
            </w:pPr>
            <w:r>
              <w:rPr>
                <w:rFonts w:hAnsi="宋体"/>
                <w:sz w:val="21"/>
                <w:szCs w:val="21"/>
              </w:rPr>
              <w:t>国风美仑小区</w:t>
            </w:r>
          </w:p>
          <w:p>
            <w:pPr>
              <w:pStyle w:val="a"/>
              <w:snapToGrid w:val="0"/>
              <w:spacing w:line="240" w:lineRule="auto"/>
              <w:ind w:firstLine="0" w:firstLineChars="0"/>
              <w:jc w:val="center"/>
              <w:rPr>
                <w:sz w:val="21"/>
                <w:szCs w:val="21"/>
              </w:rPr>
            </w:pPr>
            <w:r>
              <w:rPr>
                <w:rFonts w:hAnsi="宋体"/>
                <w:sz w:val="21"/>
                <w:szCs w:val="21"/>
              </w:rPr>
              <w:t>（在建）</w:t>
            </w:r>
          </w:p>
        </w:tc>
        <w:tc>
          <w:tcPr>
            <w:tcW w:w="478" w:type="pct"/>
            <w:vAlign w:val="center"/>
          </w:tcPr>
          <w:p>
            <w:pPr>
              <w:pStyle w:val="a"/>
              <w:snapToGrid w:val="0"/>
              <w:spacing w:line="240" w:lineRule="auto"/>
              <w:ind w:firstLine="0" w:firstLineChars="0"/>
              <w:jc w:val="center"/>
              <w:rPr>
                <w:sz w:val="21"/>
                <w:szCs w:val="21"/>
              </w:rPr>
            </w:pPr>
            <w:r>
              <w:rPr>
                <w:sz w:val="21"/>
                <w:szCs w:val="21"/>
              </w:rPr>
              <w:t>SW</w:t>
            </w:r>
          </w:p>
        </w:tc>
        <w:tc>
          <w:tcPr>
            <w:tcW w:w="482" w:type="pct"/>
            <w:vAlign w:val="center"/>
          </w:tcPr>
          <w:p>
            <w:pPr>
              <w:pStyle w:val="a"/>
              <w:snapToGrid w:val="0"/>
              <w:spacing w:line="240" w:lineRule="auto"/>
              <w:ind w:firstLine="0" w:firstLineChars="0"/>
              <w:jc w:val="center"/>
              <w:rPr>
                <w:sz w:val="21"/>
                <w:szCs w:val="21"/>
              </w:rPr>
            </w:pPr>
            <w:r>
              <w:rPr>
                <w:sz w:val="21"/>
                <w:szCs w:val="21"/>
              </w:rPr>
              <w:t>56</w:t>
            </w:r>
          </w:p>
        </w:tc>
        <w:tc>
          <w:tcPr>
            <w:tcW w:w="605" w:type="pct"/>
            <w:vAlign w:val="center"/>
          </w:tcPr>
          <w:p>
            <w:pPr>
              <w:pStyle w:val="Normal0"/>
              <w:jc w:val="center"/>
            </w:pPr>
            <w:r>
              <w:t>1716/4805</w:t>
            </w:r>
          </w:p>
        </w:tc>
        <w:tc>
          <w:tcPr>
            <w:tcW w:w="1158" w:type="pct"/>
            <w:vMerge w:val="restart"/>
            <w:tcBorders>
              <w:top w:val="single" w:sz="4" w:space="0" w:color="auto"/>
            </w:tcBorders>
            <w:vAlign w:val="center"/>
          </w:tcPr>
          <w:p>
            <w:pPr>
              <w:pStyle w:val="Normal0"/>
              <w:ind w:firstLine="21"/>
              <w:jc w:val="center"/>
            </w:pPr>
            <w:r>
              <w:t>《环境空气质量标准》（GB3095-2012）</w:t>
            </w:r>
          </w:p>
          <w:p>
            <w:pPr>
              <w:pStyle w:val="Normal0"/>
              <w:ind w:firstLine="21"/>
              <w:jc w:val="center"/>
              <w:rPr>
                <w:szCs w:val="21"/>
              </w:rPr>
            </w:pPr>
            <w:r>
              <w:t>二级标准</w:t>
            </w:r>
          </w:p>
        </w:tc>
      </w:tr>
      <w:tr>
        <w:tblPrEx>
          <w:tblW w:w="5910" w:type="pct"/>
          <w:tblInd w:w="-612" w:type="dxa"/>
          <w:tblLayout w:type="fixed"/>
          <w:tblCellMar>
            <w:top w:w="0" w:type="dxa"/>
            <w:left w:w="108" w:type="dxa"/>
            <w:bottom w:w="0" w:type="dxa"/>
            <w:right w:w="108" w:type="dxa"/>
          </w:tblCellMar>
        </w:tblPrEx>
        <w:trPr>
          <w:trHeight w:hRule="exact" w:val="397"/>
        </w:trPr>
        <w:tc>
          <w:tcPr>
            <w:tcW w:w="804" w:type="pct"/>
            <w:vMerge/>
            <w:vAlign w:val="center"/>
          </w:tcPr>
          <w:p>
            <w:pPr>
              <w:pStyle w:val="a"/>
              <w:snapToGrid w:val="0"/>
              <w:spacing w:line="240" w:lineRule="auto"/>
              <w:ind w:firstLine="0" w:firstLineChars="0"/>
              <w:jc w:val="center"/>
              <w:rPr>
                <w:sz w:val="21"/>
                <w:szCs w:val="21"/>
              </w:rPr>
            </w:pPr>
          </w:p>
        </w:tc>
        <w:tc>
          <w:tcPr>
            <w:tcW w:w="447" w:type="pct"/>
            <w:vAlign w:val="center"/>
          </w:tcPr>
          <w:p>
            <w:pPr>
              <w:pStyle w:val="a"/>
              <w:snapToGrid w:val="0"/>
              <w:spacing w:line="240" w:lineRule="auto"/>
              <w:ind w:firstLine="0" w:firstLineChars="0"/>
              <w:jc w:val="center"/>
              <w:rPr>
                <w:sz w:val="21"/>
                <w:szCs w:val="21"/>
              </w:rPr>
            </w:pPr>
            <w:r>
              <w:rPr>
                <w:sz w:val="21"/>
                <w:szCs w:val="21"/>
              </w:rPr>
              <w:t>2</w:t>
            </w:r>
          </w:p>
        </w:tc>
        <w:tc>
          <w:tcPr>
            <w:tcW w:w="1026" w:type="pct"/>
            <w:vAlign w:val="center"/>
          </w:tcPr>
          <w:p>
            <w:pPr>
              <w:pStyle w:val="a"/>
              <w:snapToGrid w:val="0"/>
              <w:spacing w:line="240" w:lineRule="auto"/>
              <w:ind w:firstLine="0" w:firstLineChars="0"/>
              <w:jc w:val="center"/>
              <w:rPr>
                <w:sz w:val="21"/>
                <w:szCs w:val="21"/>
              </w:rPr>
            </w:pPr>
            <w:r>
              <w:rPr>
                <w:sz w:val="21"/>
                <w:szCs w:val="21"/>
              </w:rPr>
              <w:t>南堤村</w:t>
            </w:r>
          </w:p>
        </w:tc>
        <w:tc>
          <w:tcPr>
            <w:tcW w:w="478" w:type="pct"/>
            <w:vAlign w:val="center"/>
          </w:tcPr>
          <w:p>
            <w:pPr>
              <w:pStyle w:val="a"/>
              <w:snapToGrid w:val="0"/>
              <w:spacing w:line="240" w:lineRule="auto"/>
              <w:ind w:firstLine="0" w:firstLineChars="0"/>
              <w:jc w:val="center"/>
              <w:rPr>
                <w:sz w:val="21"/>
                <w:szCs w:val="21"/>
              </w:rPr>
            </w:pPr>
            <w:r>
              <w:rPr>
                <w:sz w:val="21"/>
                <w:szCs w:val="21"/>
              </w:rPr>
              <w:t>W</w:t>
            </w:r>
          </w:p>
        </w:tc>
        <w:tc>
          <w:tcPr>
            <w:tcW w:w="482" w:type="pct"/>
            <w:vAlign w:val="center"/>
          </w:tcPr>
          <w:p>
            <w:pPr>
              <w:pStyle w:val="a"/>
              <w:snapToGrid w:val="0"/>
              <w:spacing w:line="240" w:lineRule="auto"/>
              <w:ind w:firstLine="0" w:firstLineChars="0"/>
              <w:jc w:val="center"/>
              <w:rPr>
                <w:sz w:val="21"/>
                <w:szCs w:val="21"/>
              </w:rPr>
            </w:pPr>
            <w:r>
              <w:rPr>
                <w:sz w:val="21"/>
                <w:szCs w:val="21"/>
              </w:rPr>
              <w:t>220</w:t>
            </w:r>
          </w:p>
        </w:tc>
        <w:tc>
          <w:tcPr>
            <w:tcW w:w="605" w:type="pct"/>
            <w:vAlign w:val="center"/>
          </w:tcPr>
          <w:p>
            <w:pPr>
              <w:pStyle w:val="Normal0"/>
              <w:jc w:val="center"/>
            </w:pPr>
            <w:r>
              <w:t>350/830</w:t>
            </w:r>
          </w:p>
        </w:tc>
        <w:tc>
          <w:tcPr>
            <w:tcW w:w="1158" w:type="pct"/>
            <w:vMerge/>
            <w:vAlign w:val="center"/>
          </w:tcPr>
          <w:p>
            <w:pPr>
              <w:pStyle w:val="a"/>
              <w:snapToGrid w:val="0"/>
              <w:spacing w:line="240" w:lineRule="auto"/>
              <w:ind w:firstLine="0" w:firstLineChars="0"/>
              <w:jc w:val="center"/>
              <w:rPr>
                <w:sz w:val="21"/>
                <w:szCs w:val="21"/>
                <w:highlight w:val="red"/>
              </w:rPr>
            </w:pPr>
          </w:p>
        </w:tc>
      </w:tr>
      <w:tr>
        <w:tblPrEx>
          <w:tblW w:w="5910" w:type="pct"/>
          <w:tblInd w:w="-612" w:type="dxa"/>
          <w:tblLayout w:type="fixed"/>
          <w:tblCellMar>
            <w:top w:w="0" w:type="dxa"/>
            <w:left w:w="108" w:type="dxa"/>
            <w:bottom w:w="0" w:type="dxa"/>
            <w:right w:w="108" w:type="dxa"/>
          </w:tblCellMar>
        </w:tblPrEx>
        <w:trPr>
          <w:trHeight w:hRule="exact" w:val="397"/>
        </w:trPr>
        <w:tc>
          <w:tcPr>
            <w:tcW w:w="804" w:type="pct"/>
            <w:vMerge/>
            <w:vAlign w:val="center"/>
          </w:tcPr>
          <w:p>
            <w:pPr>
              <w:pStyle w:val="a"/>
              <w:snapToGrid w:val="0"/>
              <w:spacing w:line="240" w:lineRule="auto"/>
              <w:ind w:firstLine="0" w:firstLineChars="0"/>
              <w:jc w:val="center"/>
              <w:rPr>
                <w:sz w:val="21"/>
                <w:szCs w:val="21"/>
              </w:rPr>
            </w:pPr>
          </w:p>
        </w:tc>
        <w:tc>
          <w:tcPr>
            <w:tcW w:w="447" w:type="pct"/>
            <w:vAlign w:val="center"/>
          </w:tcPr>
          <w:p>
            <w:pPr>
              <w:pStyle w:val="a"/>
              <w:snapToGrid w:val="0"/>
              <w:spacing w:line="240" w:lineRule="auto"/>
              <w:ind w:firstLine="0" w:firstLineChars="0"/>
              <w:jc w:val="center"/>
              <w:rPr>
                <w:sz w:val="21"/>
                <w:szCs w:val="21"/>
              </w:rPr>
            </w:pPr>
            <w:r>
              <w:rPr>
                <w:sz w:val="21"/>
                <w:szCs w:val="21"/>
              </w:rPr>
              <w:t>3</w:t>
            </w:r>
          </w:p>
        </w:tc>
        <w:tc>
          <w:tcPr>
            <w:tcW w:w="1026" w:type="pct"/>
            <w:vAlign w:val="center"/>
          </w:tcPr>
          <w:p>
            <w:pPr>
              <w:pStyle w:val="a"/>
              <w:snapToGrid w:val="0"/>
              <w:spacing w:line="240" w:lineRule="auto"/>
              <w:ind w:firstLine="0" w:firstLineChars="0"/>
              <w:jc w:val="center"/>
              <w:rPr>
                <w:sz w:val="21"/>
                <w:szCs w:val="21"/>
              </w:rPr>
            </w:pPr>
            <w:r>
              <w:rPr>
                <w:rFonts w:hAnsi="宋体"/>
                <w:sz w:val="21"/>
                <w:szCs w:val="21"/>
              </w:rPr>
              <w:t>驸马庄村</w:t>
            </w:r>
          </w:p>
        </w:tc>
        <w:tc>
          <w:tcPr>
            <w:tcW w:w="478" w:type="pct"/>
            <w:vAlign w:val="center"/>
          </w:tcPr>
          <w:p>
            <w:pPr>
              <w:pStyle w:val="a"/>
              <w:snapToGrid w:val="0"/>
              <w:spacing w:line="240" w:lineRule="auto"/>
              <w:ind w:firstLine="0" w:firstLineChars="0"/>
              <w:jc w:val="center"/>
              <w:rPr>
                <w:sz w:val="21"/>
                <w:szCs w:val="21"/>
              </w:rPr>
            </w:pPr>
            <w:r>
              <w:rPr>
                <w:sz w:val="21"/>
                <w:szCs w:val="21"/>
              </w:rPr>
              <w:t>S</w:t>
            </w:r>
          </w:p>
        </w:tc>
        <w:tc>
          <w:tcPr>
            <w:tcW w:w="482" w:type="pct"/>
            <w:vAlign w:val="center"/>
          </w:tcPr>
          <w:p>
            <w:pPr>
              <w:pStyle w:val="a"/>
              <w:snapToGrid w:val="0"/>
              <w:spacing w:line="240" w:lineRule="auto"/>
              <w:ind w:firstLine="0" w:firstLineChars="0"/>
              <w:jc w:val="center"/>
              <w:rPr>
                <w:sz w:val="21"/>
                <w:szCs w:val="21"/>
              </w:rPr>
            </w:pPr>
            <w:r>
              <w:rPr>
                <w:sz w:val="21"/>
                <w:szCs w:val="21"/>
              </w:rPr>
              <w:t>630</w:t>
            </w:r>
          </w:p>
        </w:tc>
        <w:tc>
          <w:tcPr>
            <w:tcW w:w="605" w:type="pct"/>
            <w:vAlign w:val="center"/>
          </w:tcPr>
          <w:p>
            <w:pPr>
              <w:pStyle w:val="Normal0"/>
              <w:jc w:val="center"/>
            </w:pPr>
            <w:r>
              <w:t>240/540</w:t>
            </w:r>
          </w:p>
        </w:tc>
        <w:tc>
          <w:tcPr>
            <w:tcW w:w="1158" w:type="pct"/>
            <w:vMerge/>
            <w:vAlign w:val="center"/>
          </w:tcPr>
          <w:p>
            <w:pPr>
              <w:pStyle w:val="a"/>
              <w:snapToGrid w:val="0"/>
              <w:spacing w:line="240" w:lineRule="auto"/>
              <w:ind w:firstLine="0" w:firstLineChars="0"/>
              <w:jc w:val="center"/>
              <w:rPr>
                <w:sz w:val="21"/>
                <w:szCs w:val="21"/>
                <w:highlight w:val="red"/>
              </w:rPr>
            </w:pPr>
          </w:p>
        </w:tc>
      </w:tr>
      <w:tr>
        <w:tblPrEx>
          <w:tblW w:w="5910" w:type="pct"/>
          <w:tblInd w:w="-612" w:type="dxa"/>
          <w:tblLayout w:type="fixed"/>
          <w:tblCellMar>
            <w:top w:w="0" w:type="dxa"/>
            <w:left w:w="108" w:type="dxa"/>
            <w:bottom w:w="0" w:type="dxa"/>
            <w:right w:w="108" w:type="dxa"/>
          </w:tblCellMar>
        </w:tblPrEx>
        <w:trPr>
          <w:trHeight w:hRule="exact" w:val="1212"/>
        </w:trPr>
        <w:tc>
          <w:tcPr>
            <w:tcW w:w="804" w:type="pct"/>
            <w:vAlign w:val="center"/>
          </w:tcPr>
          <w:p>
            <w:pPr>
              <w:pStyle w:val="a"/>
              <w:snapToGrid w:val="0"/>
              <w:spacing w:line="240" w:lineRule="auto"/>
              <w:ind w:firstLine="0" w:firstLineChars="0"/>
              <w:jc w:val="center"/>
              <w:rPr>
                <w:sz w:val="21"/>
                <w:szCs w:val="21"/>
              </w:rPr>
            </w:pPr>
            <w:r>
              <w:rPr>
                <w:sz w:val="21"/>
                <w:szCs w:val="21"/>
              </w:rPr>
              <w:t>地表水</w:t>
            </w:r>
          </w:p>
        </w:tc>
        <w:tc>
          <w:tcPr>
            <w:tcW w:w="4196" w:type="pct"/>
            <w:gridSpan w:val="6"/>
            <w:vAlign w:val="center"/>
          </w:tcPr>
          <w:p>
            <w:pPr>
              <w:pStyle w:val="a"/>
              <w:snapToGrid w:val="0"/>
              <w:spacing w:line="240" w:lineRule="auto"/>
              <w:ind w:firstLine="420"/>
              <w:rPr>
                <w:rFonts w:hint="eastAsia"/>
                <w:sz w:val="21"/>
                <w:szCs w:val="21"/>
              </w:rPr>
            </w:pPr>
            <w:r>
              <w:rPr>
                <w:sz w:val="21"/>
                <w:szCs w:val="21"/>
              </w:rPr>
              <w:t>距本</w:t>
            </w:r>
            <w:r>
              <w:rPr>
                <w:rFonts w:hint="eastAsia"/>
                <w:sz w:val="21"/>
                <w:szCs w:val="21"/>
                <w:lang w:eastAsia="zh-CN"/>
              </w:rPr>
              <w:t>相关项目</w:t>
            </w:r>
            <w:r>
              <w:rPr>
                <w:sz w:val="21"/>
                <w:szCs w:val="21"/>
              </w:rPr>
              <w:t>较近地表水体为其北侧约45米的马驹桥干渠及129米处的凉水河中下段，马驹桥干渠最终汇入凤港减河。根据北京市区域功能区划，根据《北京市地面水水域功能分类》，凤港减河及凉水河中下段水质分类应执行《地表水环境质量标准》（GB3838-2002）中Ⅴ类水体水质标准</w:t>
            </w:r>
            <w:r>
              <w:rPr>
                <w:rFonts w:hint="eastAsia"/>
                <w:sz w:val="21"/>
                <w:szCs w:val="21"/>
              </w:rPr>
              <w:t>。</w:t>
            </w:r>
          </w:p>
        </w:tc>
      </w:tr>
      <w:tr>
        <w:tblPrEx>
          <w:tblW w:w="5910" w:type="pct"/>
          <w:tblInd w:w="-612" w:type="dxa"/>
          <w:tblLayout w:type="fixed"/>
          <w:tblCellMar>
            <w:top w:w="0" w:type="dxa"/>
            <w:left w:w="108" w:type="dxa"/>
            <w:bottom w:w="0" w:type="dxa"/>
            <w:right w:w="108" w:type="dxa"/>
          </w:tblCellMar>
        </w:tblPrEx>
        <w:trPr>
          <w:trHeight w:hRule="exact" w:val="397"/>
        </w:trPr>
        <w:tc>
          <w:tcPr>
            <w:tcW w:w="804" w:type="pct"/>
            <w:vAlign w:val="center"/>
          </w:tcPr>
          <w:p>
            <w:pPr>
              <w:pStyle w:val="a"/>
              <w:snapToGrid w:val="0"/>
              <w:spacing w:line="240" w:lineRule="auto"/>
              <w:ind w:firstLine="0" w:firstLineChars="0"/>
              <w:jc w:val="center"/>
              <w:rPr>
                <w:sz w:val="21"/>
                <w:szCs w:val="21"/>
              </w:rPr>
            </w:pPr>
            <w:r>
              <w:rPr>
                <w:sz w:val="21"/>
                <w:szCs w:val="21"/>
              </w:rPr>
              <w:t>声环境</w:t>
            </w:r>
          </w:p>
        </w:tc>
        <w:tc>
          <w:tcPr>
            <w:tcW w:w="4196" w:type="pct"/>
            <w:gridSpan w:val="6"/>
            <w:vAlign w:val="center"/>
          </w:tcPr>
          <w:p>
            <w:pPr>
              <w:pStyle w:val="a"/>
              <w:snapToGrid w:val="0"/>
              <w:spacing w:line="240" w:lineRule="auto"/>
              <w:ind w:firstLine="0" w:firstLineChars="0"/>
              <w:jc w:val="center"/>
              <w:rPr>
                <w:sz w:val="21"/>
                <w:szCs w:val="21"/>
              </w:rPr>
            </w:pPr>
            <w:r>
              <w:rPr>
                <w:rFonts w:hint="eastAsia"/>
                <w:sz w:val="21"/>
                <w:szCs w:val="21"/>
                <w:lang w:eastAsia="zh-CN"/>
              </w:rPr>
              <w:t>相关项目</w:t>
            </w:r>
            <w:r>
              <w:rPr>
                <w:sz w:val="21"/>
                <w:szCs w:val="21"/>
              </w:rPr>
              <w:t>周围200m声环境评价范围内无环境保护目标</w:t>
            </w:r>
          </w:p>
        </w:tc>
      </w:tr>
      <w:tr>
        <w:tblPrEx>
          <w:tblW w:w="5910" w:type="pct"/>
          <w:tblInd w:w="-612" w:type="dxa"/>
          <w:tblLayout w:type="fixed"/>
          <w:tblCellMar>
            <w:top w:w="0" w:type="dxa"/>
            <w:left w:w="108" w:type="dxa"/>
            <w:bottom w:w="0" w:type="dxa"/>
            <w:right w:w="108" w:type="dxa"/>
          </w:tblCellMar>
        </w:tblPrEx>
        <w:trPr>
          <w:trHeight w:hRule="exact" w:val="397"/>
        </w:trPr>
        <w:tc>
          <w:tcPr>
            <w:tcW w:w="804" w:type="pct"/>
            <w:tcBorders>
              <w:bottom w:val="single" w:sz="4" w:space="0" w:color="auto"/>
            </w:tcBorders>
            <w:vAlign w:val="center"/>
          </w:tcPr>
          <w:p>
            <w:pPr>
              <w:pStyle w:val="a"/>
              <w:snapToGrid w:val="0"/>
              <w:spacing w:line="240" w:lineRule="auto"/>
              <w:ind w:firstLine="0" w:firstLineChars="0"/>
              <w:jc w:val="center"/>
              <w:rPr>
                <w:sz w:val="21"/>
                <w:szCs w:val="21"/>
              </w:rPr>
            </w:pPr>
            <w:r>
              <w:rPr>
                <w:sz w:val="21"/>
                <w:szCs w:val="21"/>
              </w:rPr>
              <w:t>地下水</w:t>
            </w:r>
          </w:p>
        </w:tc>
        <w:tc>
          <w:tcPr>
            <w:tcW w:w="4196" w:type="pct"/>
            <w:gridSpan w:val="6"/>
            <w:tcBorders>
              <w:bottom w:val="single" w:sz="4" w:space="0" w:color="auto"/>
            </w:tcBorders>
            <w:vAlign w:val="center"/>
          </w:tcPr>
          <w:p>
            <w:pPr>
              <w:pStyle w:val="a"/>
              <w:snapToGrid w:val="0"/>
              <w:spacing w:line="240" w:lineRule="auto"/>
              <w:ind w:firstLine="0" w:firstLineChars="0"/>
              <w:jc w:val="center"/>
              <w:rPr>
                <w:sz w:val="21"/>
                <w:szCs w:val="21"/>
              </w:rPr>
            </w:pPr>
            <w:r>
              <w:rPr>
                <w:rFonts w:hint="eastAsia"/>
                <w:sz w:val="21"/>
                <w:szCs w:val="21"/>
                <w:lang w:eastAsia="zh-CN"/>
              </w:rPr>
              <w:t>相关项目</w:t>
            </w:r>
            <w:r>
              <w:rPr>
                <w:sz w:val="21"/>
                <w:szCs w:val="21"/>
              </w:rPr>
              <w:t>评价范围内无在建和规划的水源地、生态环境脆弱区域等地下水环境敏感区</w:t>
            </w:r>
          </w:p>
        </w:tc>
      </w:tr>
    </w:tbl>
    <w:p>
      <w:pPr>
        <w:pStyle w:val="Normal0"/>
        <w:rPr>
          <w:rFonts w:hint="eastAsia"/>
        </w:rPr>
      </w:pPr>
    </w:p>
    <w:p>
      <w:pPr>
        <w:pStyle w:val="a"/>
        <w:ind w:firstLine="480"/>
        <w:rPr>
          <w:rFonts w:hint="eastAsia"/>
          <w:b/>
          <w:color w:val="FF0000"/>
        </w:rPr>
      </w:pPr>
      <w:r>
        <w:rPr>
          <w:rFonts w:hint="eastAsia"/>
        </w:rPr>
        <w:t>拟建</w:t>
      </w:r>
      <w:r>
        <w:rPr>
          <w:rFonts w:hint="eastAsia"/>
          <w:lang w:eastAsia="zh-CN"/>
        </w:rPr>
        <w:t>相关项目</w:t>
      </w:r>
      <w:r>
        <w:rPr>
          <w:rFonts w:hint="eastAsia"/>
        </w:rPr>
        <w:t>周边环境保护目标示意图见图四。</w:t>
      </w:r>
    </w:p>
    <w:p>
      <w:pPr>
        <w:pStyle w:val="Normal0"/>
        <w:rPr>
          <w:rFonts w:hint="eastAsia"/>
        </w:rPr>
      </w:pPr>
    </w:p>
    <w:p>
      <w:pPr>
        <w:pStyle w:val="Normal0"/>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797" w:bottom="1440" w:left="1797" w:header="851" w:footer="992" w:gutter="0"/>
          <w:pgNumType w:start="11"/>
          <w:cols w:num="1" w:space="425"/>
          <w:titlePg w:val="0"/>
          <w:docGrid w:linePitch="312" w:charSpace="0"/>
        </w:sectPr>
      </w:pPr>
    </w:p>
    <w:p>
      <w:pPr>
        <w:pStyle w:val="Normal0"/>
        <w:rPr>
          <w:rFonts w:hint="eastAsia"/>
        </w:rPr>
      </w:pPr>
      <w:r>
        <w:pict>
          <v:group id="_x0000_s1130" o:spid="_x0000_s1130" editas="canvas" style="width:648.75pt;height:452.4pt;margin-top:-31.2pt;margin-left:19.75pt;mso-height-relative:page;mso-position-horizontal-relative:char;mso-position-vertical-relative:line;mso-width-relative:page;position:absolute;z-index:251661312" coordorigin="1835,1173" coordsize="12975,9048">
            <v:shape id="_x0000_s1131" o:spid="_x0000_s1131" type="#_x0000_t75" style="width:12975;height:9048;left:1835;position:absolute;top:1173" coordsize="21600,21600" o:preferrelative="f" filled="f" stroked="f">
              <v:stroke joinstyle="miter"/>
              <o:lock v:ext="edit" aspectratio="t" text="t"/>
            </v:shape>
            <v:shape id="_x0000_s1132" o:spid="_x0000_s1132" type="#_x0000_t75" style="width:12971;height:9004;left:1839;position:absolute;top:1217" coordsize="21600,21600" o:preferrelative="t" filled="f" stroked="t">
              <v:stroke joinstyle="miter"/>
              <v:imagedata r:id="rId94" o:title="QQ截图20121024160711"/>
              <o:lock v:ext="edit" aspectratio="t"/>
            </v:shape>
            <v:shape id="_x0000_s1133" o:spid="_x0000_s1133" type="#_x0000_t136" style="width:1710;height:285;left:7041;position:absolute;rotation:-777545fd;top:4087" coordsize="21600,21600" filled="t" fillcolor="yellow" stroked="t" strokecolor="yellow">
              <v:textpath style="font-family:宋体;font-size:14pt;v-rotate-letters:f;v-same-letter-heights:f;v-text-align:center" trim="t" fitpath="t" xscale="f" string="凉水河中下段"/>
            </v:shape>
            <v:shape id="_x0000_s1134" o:spid="_x0000_s1134" type="#_x0000_t136" style="width:855;height:285;left:4320;position:absolute;top:6207" coordsize="21600,21600" filled="t" fillcolor="yellow" stroked="t" strokecolor="yellow">
              <v:textpath style="font-family:宋体;font-size:14pt;v-rotate-letters:f;v-same-letter-heights:f;v-text-align:center" trim="t" fitpath="t" xscale="f" string="南堤村"/>
            </v:shape>
            <v:shape id="_x0000_s1135" o:spid="_x0000_s1135" type="#_x0000_t136" style="width:855;height:285;left:12420;position:absolute;top:2421" coordsize="21600,21600" filled="t" fillcolor="yellow" stroked="t" strokecolor="yellow">
              <v:textpath style="font-family:宋体;font-size:14pt;v-rotate-letters:f;v-same-letter-heights:f;v-text-align:center" trim="t" fitpath="t" xscale="f" string="水南村"/>
            </v:shape>
            <v:shape id="_x0000_s1136" o:spid="_x0000_s1136" type="#_x0000_t136" style="width:1140;height:285;left:8637;position:absolute;top:9750" coordsize="21600,21600" filled="t" fillcolor="yellow" stroked="t" strokecolor="yellow">
              <v:textpath style="font-family:宋体;font-size:14pt;v-rotate-letters:f;v-same-letter-heights:f;v-text-align:center" trim="t" fitpath="t" xscale="f" string="驸马庄村"/>
            </v:shape>
            <v:group id="_x0000_s1137" o:spid="_x0000_s1137" style="width:361;height:1084;left:14040;position:absolute;top:1641" coordorigin="13118,2134" coordsize="361,1083">
              <v:group id="_x0000_s1138" o:spid="_x0000_s1138" style="width:361;height:627;left:13118;position:absolute;top:2590" coordorigin="720,2844" coordsize="1080,1560">
                <v:shape id="_x0000_s1139" o:spid="_x0000_s1139" style="width:540;height:1560;left:720;position:absolute;top:2844" coordsize="540,1560" path="m540,hal,1560hal540,1092hal540,haxe" filled="t">
                  <v:path arrowok="t"/>
                </v:shape>
                <v:shape id="_x0000_s1140" o:spid="_x0000_s1140" style="width:540;height:1560;left:1260;position:absolute;top:2844" coordsize="540,1560" path="m,hal,1092hal540,1560hal,haxe" filled="t" fillcolor="#f60">
                  <v:path arrowok="t"/>
                </v:shape>
              </v:group>
              <v:shape id="_x0000_s1141" o:spid="_x0000_s1141" type="#_x0000_t136" style="width:165;height:270;left:13223;position:absolute;top:2134" coordsize="21600,21600" filled="t" fillcolor="#f60" stroked="t" strokecolor="#f60">
                <v:textpath style="font-family:Arial;font-size:12pt;v-rotate-letters:f;v-same-letter-heights:f;v-text-align:center" trim="t" fitpath="t" xscale="f" string="N"/>
              </v:shape>
            </v:group>
            <v:shape id="_x0000_s1142" o:spid="_x0000_s1142" type="#_x0000_t136" style="width:585;height:195;left:7560;position:absolute;top:5229" coordsize="21600,21600" filled="t" fillcolor="red" stroked="t" strokecolor="red">
              <v:textpath style="font-family:宋体;font-size:10pt;v-rotate-letters:f;v-same-letter-heights:f;v-text-align:center" trim="t" fitpath="t" xscale="f" string="本项目"/>
              <o:lock v:ext="edit" aspectratio="f"/>
            </v:shape>
            <v:shape id="_x0000_s1143" o:spid="_x0000_s1143" type="#_x0000_t136" style="width:825;height:165;left:7200;position:absolute;rotation:-931725fd;top:4797" coordsize="21600,21600" filled="t" fillcolor="yellow" stroked="t" strokecolor="yellow">
              <v:textpath style="font-family:宋体;font-size:8pt;v-rotate-letters:f;v-same-letter-heights:f;v-text-align:center" trim="t" fitpath="t" xscale="f" string="马驹桥干渠"/>
            </v:shape>
            <v:shape id="_x0000_s1144" o:spid="_x0000_s1144" style="width:2336;height:1389;left:6675;position:absolute;top:4857" coordsize="3330,1980" path="m,803hal101,653hal892,442hal2568,hal2771,75hal2850,150hal2992,297hal3330,728hal1432,1980hal798,1099hal397,1384hal,803haxe" filled="f" stroked="t" strokecolor="red">
              <v:fill o:opacity2="1"/>
              <v:stroke color2="white"/>
              <v:path arrowok="t"/>
              <o:lock v:ext="edit" aspectratio="t"/>
            </v:shape>
            <v:shape id="_x0000_s1145" o:spid="_x0000_s1145" type="#_x0000_t136" style="width:1170;height:195;left:7275;position:absolute;top:5481" coordsize="21600,21600" filled="t" fillcolor="red" stroked="t" strokecolor="red">
              <v:textpath style="font-family:宋体;font-size:10pt;v-rotate-letters:f;v-same-letter-heights:f;v-text-align:center" trim="t" fitpath="t" xscale="f" string="建设用地红线"/>
            </v:shape>
            <v:shape id="_x0000_s1146" o:spid="_x0000_s1146" style="width:15;height:507;left:8445;position:absolute;top:4410" o:bwmode="auto" coordsize="15,507" path="m15,507hal,hae" filled="f" stroked="t" strokecolor="#0cf">
              <v:stroke startarrow="block" endarrow="block" opacity="1" color2="white"/>
              <v:path arrowok="t"/>
            </v:shape>
            <v:shape id="_x0000_s1147" o:spid="_x0000_s1147" style="width:45;height:183;left:7875;position:absolute;top:4890" o:bwmode="auto" coordsize="45,183" path="m,hal45,183hae" filled="f" stroked="t" strokecolor="#0cf">
              <v:stroke startarrow="block" endarrow="block" opacity="1" color2="white"/>
              <v:path arrowok="t"/>
            </v:shape>
            <v:shape id="_x0000_s1148" o:spid="_x0000_s1148" style="width:795;height:555;left:5925;position:absolute;top:5490" o:bwmode="auto" coordsize="795,555" path="m795,hal,555hae" filled="f" stroked="t" strokecolor="#0cf">
              <v:stroke startarrow="block" endarrow="block" opacity="1" color2="white"/>
              <v:path arrowok="t"/>
            </v:shape>
            <v:line id="_x0000_s1149" o:spid="_x0000_s1149" style="position:absolute" from="7740,6165" to="8280,9909" coordsize="21600,21600" stroked="t" strokecolor="#0cf">
              <v:stroke startarrow="block" endarrow="block"/>
            </v:line>
            <v:shape id="_x0000_s1150" o:spid="_x0000_s1150" type="#_x0000_t136" style="width:1425;height:285;left:12240;position:absolute;top:2889" coordsize="21600,21600" filled="t" fillcolor="yellow" stroked="t" strokecolor="yellow">
              <v:textpath style="font-family:宋体;font-size:14pt;v-rotate-letters:f;v-same-letter-heights:f;v-text-align:center" trim="t" fitpath="t" xscale="f" string="（已拆除）"/>
            </v:shape>
            <v:shape id="_x0000_s1151" o:spid="_x0000_s1151" type="#_x0000_t136" style="width:1200;height:480;left:6300;position:absolute;top:7101" coordsize="21600,21600" filled="t" stroked="t" strokecolor="yellow">
              <v:textpath style="font-family:宋体;font-size:12pt;v-rotate-letters:f;v-same-letter-heights:f;v-text-align:center" trim="t" fitpath="t" xscale="f" string="国风美仑&#10;（施工中）"/>
            </v:shape>
            <v:shape id="_x0000_s1152" o:spid="_x0000_s1152" style="width:105;height:150;left:6960;position:absolute;top:5850" o:bwmode="auto" coordsize="105,150" path="m,hal105,150hae" filled="f" stroked="t" strokecolor="#0cf">
              <v:stroke startarrow="block" endarrow="block" opacity="1" color2="white"/>
              <v:path arrowok="t"/>
            </v:shape>
            <v:shape id="_x0000_s1153" o:spid="_x0000_s1153" type="#_x0000_t136" style="width:405;height:210;left:8100;position:absolute;top:8037" coordsize="21600,21600" filled="t" fillcolor="#0cf" stroked="t" strokecolor="#0cf">
              <v:textpath style="font-family:'Times New Roman';font-size:8pt;v-rotate-letters:f;v-same-letter-heights:f;v-text-align:center" trim="t" fitpath="t" xscale="f" string="630m"/>
            </v:shape>
            <v:shape id="_x0000_s1154" o:spid="_x0000_s1154" type="#_x0000_t136" style="width:405;height:210;left:5940;position:absolute;rotation:-1975224fd;top:5541" coordsize="21600,21600" filled="t" fillcolor="#0cf" stroked="t" strokecolor="#0cf">
              <v:textpath style="font-family:'Times New Roman';font-size:8pt;v-rotate-letters:f;v-same-letter-heights:f;v-text-align:center" trim="t" fitpath="t" xscale="f" string="220m"/>
            </v:shape>
            <v:shape id="_x0000_s1155" o:spid="_x0000_s1155" type="#_x0000_t136" style="width:405;height:210;left:8520;position:absolute;top:4575" coordsize="21600,21600" filled="t" fillcolor="#0cf" stroked="t" strokecolor="#0cf">
              <v:textpath style="font-family:'Times New Roman';font-size:8pt;v-rotate-letters:f;v-same-letter-heights:f;v-text-align:center" trim="t" fitpath="t" xscale="f" string="129m"/>
            </v:shape>
            <v:shape id="_x0000_s1156" o:spid="_x0000_s1156" type="#_x0000_t136" style="width:315;height:195;left:6600;position:absolute;top:5853" coordsize="21600,21600" filled="t" fillcolor="#0cf" stroked="t" strokecolor="#0cf">
              <v:textpath style="font-family:宋体;font-size:10pt;v-rotate-letters:f;v-same-letter-heights:f;v-text-align:center" trim="t" fitpath="t" xscale="f" string="56m"/>
            </v:shape>
            <v:shape id="_x0000_s1157" o:spid="_x0000_s1157" type="#_x0000_t136" style="width:315;height:195;left:7980;position:absolute;top:4842" coordsize="21600,21600" filled="t" fillcolor="#0cf" stroked="t" strokecolor="#0cf">
              <v:textpath style="font-family:宋体;font-size:10pt;v-rotate-letters:f;v-same-letter-heights:f;v-text-align:center" trim="t" fitpath="t" xscale="f" string="45m"/>
            </v:shape>
          </v:group>
        </w:pict>
      </w: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p>
    <w:p>
      <w:pPr>
        <w:pStyle w:val="Normal0"/>
        <w:rPr>
          <w:rFonts w:hint="eastAsia"/>
        </w:rPr>
      </w:pPr>
      <w:r>
        <w:pict>
          <v:shape id="_x0000_s1158" o:spid="_x0000_s1158" type="#_x0000_t202" style="width:638.85pt;height:30.05pt;margin-top:30.55pt;margin-left:18pt;mso-height-relative:page;mso-width-relative:page;position:absolute;z-index:251662336" coordsize="21600,21600" filled="f" stroked="f">
            <v:stroke joinstyle="miter"/>
            <v:textbox>
              <w:txbxContent>
                <w:p>
                  <w:pPr>
                    <w:pStyle w:val="Normal0"/>
                    <w:jc w:val="center"/>
                    <w:rPr>
                      <w:rFonts w:ascii="黑体" w:eastAsia="黑体" w:hint="eastAsia"/>
                    </w:rPr>
                  </w:pPr>
                  <w:r>
                    <w:rPr>
                      <w:rFonts w:ascii="黑体" w:eastAsia="黑体" w:hint="eastAsia"/>
                    </w:rPr>
                    <w:t>图四  拟建</w:t>
                  </w:r>
                  <w:r>
                    <w:rPr>
                      <w:rFonts w:ascii="黑体" w:eastAsia="黑体" w:hint="eastAsia"/>
                      <w:lang w:eastAsia="zh-CN"/>
                    </w:rPr>
                    <w:t>相关项目</w:t>
                  </w:r>
                  <w:r>
                    <w:rPr>
                      <w:rFonts w:ascii="黑体" w:eastAsia="黑体" w:hint="eastAsia"/>
                    </w:rPr>
                    <w:t>周边环境保护目标示意图</w:t>
                  </w:r>
                </w:p>
              </w:txbxContent>
            </v:textbox>
          </v:shape>
        </w:pict>
      </w:r>
    </w:p>
    <w:p>
      <w:pPr>
        <w:pStyle w:val="Heading2"/>
        <w:rPr>
          <w:sz w:val="28"/>
          <w:szCs w:val="28"/>
        </w:rPr>
        <w:sectPr>
          <w:headerReference w:type="even" r:id="rId95"/>
          <w:headerReference w:type="default" r:id="rId96"/>
          <w:footerReference w:type="even" r:id="rId97"/>
          <w:footerReference w:type="default" r:id="rId98"/>
          <w:headerReference w:type="first" r:id="rId99"/>
          <w:footerReference w:type="first" r:id="rId100"/>
          <w:pgSz w:w="16838" w:h="11906" w:orient="landscape"/>
          <w:pgMar w:top="1797" w:right="1440" w:bottom="1797" w:left="1440" w:header="851" w:footer="992" w:gutter="0"/>
          <w:pgNumType w:start="12"/>
          <w:cols w:num="1" w:space="425"/>
          <w:docGrid w:linePitch="312" w:charSpace="0"/>
        </w:sectPr>
      </w:pPr>
      <w:bookmarkStart w:id="18" w:name="_Toc328043372"/>
    </w:p>
    <w:p>
      <w:pPr>
        <w:pStyle w:val="Heading2"/>
        <w:rPr>
          <w:rFonts w:hint="eastAsia"/>
        </w:rPr>
      </w:pPr>
      <w:bookmarkStart w:id="19" w:name="_Toc340052876"/>
      <w:r>
        <w:rPr>
          <w:rFonts w:hint="eastAsia"/>
        </w:rPr>
        <w:t>3.工程分析</w:t>
      </w:r>
      <w:bookmarkEnd w:id="18"/>
      <w:bookmarkEnd w:id="19"/>
    </w:p>
    <w:p>
      <w:pPr>
        <w:pStyle w:val="Heading3"/>
        <w:rPr>
          <w:rFonts w:eastAsia="宋体" w:hint="eastAsia"/>
          <w:lang w:eastAsia="zh-CN"/>
        </w:rPr>
      </w:pPr>
      <w:bookmarkStart w:id="20" w:name="_Toc340052877"/>
      <w:r>
        <w:rPr>
          <w:rFonts w:hint="eastAsia"/>
          <w:lang w:eastAsia="zh-CN"/>
        </w:rPr>
        <w:t>3</w:t>
      </w:r>
      <w:r>
        <w:t>.</w:t>
      </w:r>
      <w:r>
        <w:rPr>
          <w:rFonts w:hint="eastAsia"/>
        </w:rPr>
        <w:t>1建设</w:t>
      </w:r>
      <w:bookmarkEnd w:id="20"/>
      <w:r>
        <w:rPr>
          <w:rFonts w:hint="eastAsia"/>
          <w:lang w:eastAsia="zh-CN"/>
        </w:rPr>
        <w:t>合适的内容</w:t>
      </w:r>
    </w:p>
    <w:p>
      <w:pPr>
        <w:pStyle w:val="a"/>
        <w:spacing w:line="360" w:lineRule="auto"/>
        <w:ind w:firstLine="480"/>
        <w:rPr>
          <w:rFonts w:hint="eastAsia"/>
        </w:rPr>
      </w:pPr>
      <w:r>
        <w:rPr>
          <w:rFonts w:hint="eastAsia"/>
        </w:rPr>
        <w:t>本</w:t>
      </w:r>
      <w:r>
        <w:rPr>
          <w:rFonts w:hint="eastAsia"/>
          <w:lang w:eastAsia="zh-CN"/>
        </w:rPr>
        <w:t>相关项目</w:t>
      </w:r>
      <w:r>
        <w:rPr>
          <w:rFonts w:hint="eastAsia"/>
        </w:rPr>
        <w:t>主要是住宅及配套公建建设，</w:t>
      </w:r>
      <w:r>
        <w:rPr>
          <w:rFonts w:hint="eastAsia"/>
          <w:lang w:eastAsia="zh-CN"/>
        </w:rPr>
        <w:t>相关项目</w:t>
      </w:r>
      <w:r>
        <w:rPr>
          <w:rFonts w:hint="eastAsia"/>
        </w:rPr>
        <w:t>组成</w:t>
      </w:r>
      <w:r>
        <w:rPr>
          <w:rFonts w:hint="eastAsia"/>
          <w:lang w:eastAsia="zh-CN"/>
        </w:rPr>
        <w:t>合适的内容</w:t>
      </w:r>
      <w:r>
        <w:rPr>
          <w:rFonts w:hint="eastAsia"/>
        </w:rPr>
        <w:t>见表3</w:t>
      </w:r>
      <w:r>
        <w:t>。</w:t>
      </w:r>
    </w:p>
    <w:p>
      <w:pPr>
        <w:pStyle w:val="a"/>
        <w:spacing w:line="360" w:lineRule="auto"/>
        <w:ind w:firstLine="2730" w:firstLineChars="1300"/>
        <w:rPr>
          <w:rFonts w:eastAsia="黑体" w:hint="eastAsia"/>
          <w:sz w:val="21"/>
          <w:szCs w:val="21"/>
        </w:rPr>
      </w:pPr>
      <w:r>
        <w:rPr>
          <w:rFonts w:eastAsia="黑体" w:hint="eastAsia"/>
          <w:sz w:val="21"/>
          <w:szCs w:val="21"/>
        </w:rPr>
        <w:t>表3   主要建筑功能明细</w:t>
      </w:r>
    </w:p>
    <w:tbl>
      <w:tblPr>
        <w:tblStyle w:val="TableNormal"/>
        <w:tblW w:w="48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49"/>
        <w:gridCol w:w="2301"/>
        <w:gridCol w:w="1750"/>
        <w:gridCol w:w="3118"/>
      </w:tblGrid>
      <w:tr>
        <w:tblPrEx>
          <w:tblW w:w="487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szCs w:val="21"/>
              </w:rPr>
            </w:pPr>
            <w:r>
              <w:rPr>
                <w:rFonts w:hAnsi="宋体"/>
                <w:szCs w:val="21"/>
              </w:rPr>
              <w:t>建筑编号</w:t>
            </w:r>
          </w:p>
        </w:tc>
        <w:tc>
          <w:tcPr>
            <w:tcW w:w="1383" w:type="pct"/>
            <w:vAlign w:val="center"/>
          </w:tcPr>
          <w:p>
            <w:pPr>
              <w:pStyle w:val="Normal0"/>
              <w:jc w:val="center"/>
              <w:rPr>
                <w:szCs w:val="21"/>
              </w:rPr>
            </w:pPr>
            <w:r>
              <w:rPr>
                <w:rFonts w:hAnsi="宋体"/>
                <w:szCs w:val="21"/>
              </w:rPr>
              <w:t>用途</w:t>
            </w:r>
          </w:p>
        </w:tc>
        <w:tc>
          <w:tcPr>
            <w:tcW w:w="1052" w:type="pct"/>
            <w:vAlign w:val="center"/>
          </w:tcPr>
          <w:p>
            <w:pPr>
              <w:pStyle w:val="Normal0"/>
              <w:jc w:val="center"/>
              <w:rPr>
                <w:szCs w:val="21"/>
              </w:rPr>
            </w:pPr>
            <w:r>
              <w:rPr>
                <w:rFonts w:hAnsi="宋体"/>
                <w:szCs w:val="21"/>
              </w:rPr>
              <w:t>层数（层）</w:t>
            </w:r>
          </w:p>
        </w:tc>
        <w:tc>
          <w:tcPr>
            <w:tcW w:w="1874" w:type="pct"/>
            <w:vAlign w:val="center"/>
          </w:tcPr>
          <w:p>
            <w:pPr>
              <w:pStyle w:val="Normal0"/>
              <w:jc w:val="center"/>
              <w:rPr>
                <w:szCs w:val="21"/>
              </w:rPr>
            </w:pPr>
            <w:r>
              <w:rPr>
                <w:rFonts w:hAnsi="宋体"/>
                <w:szCs w:val="21"/>
              </w:rPr>
              <w:t>备注</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szCs w:val="21"/>
              </w:rPr>
            </w:pPr>
            <w:r>
              <w:rPr>
                <w:szCs w:val="21"/>
              </w:rPr>
              <w:t>1</w:t>
            </w:r>
          </w:p>
        </w:tc>
        <w:tc>
          <w:tcPr>
            <w:tcW w:w="1383" w:type="pct"/>
            <w:vAlign w:val="center"/>
          </w:tcPr>
          <w:p>
            <w:pPr>
              <w:pStyle w:val="Normal0"/>
              <w:jc w:val="center"/>
              <w:rPr>
                <w:rFonts w:hint="eastAsia"/>
                <w:szCs w:val="21"/>
              </w:rPr>
            </w:pPr>
            <w:r>
              <w:rPr>
                <w:rFonts w:hAnsi="宋体" w:hint="eastAsia"/>
                <w:szCs w:val="21"/>
              </w:rPr>
              <w:t>居住</w:t>
            </w:r>
          </w:p>
        </w:tc>
        <w:tc>
          <w:tcPr>
            <w:tcW w:w="1052" w:type="pct"/>
            <w:vAlign w:val="center"/>
          </w:tcPr>
          <w:p>
            <w:pPr>
              <w:pStyle w:val="Normal0"/>
              <w:jc w:val="center"/>
              <w:rPr>
                <w:szCs w:val="21"/>
              </w:rPr>
            </w:pPr>
            <w:r>
              <w:rPr>
                <w:rFonts w:hint="eastAsia"/>
                <w:szCs w:val="21"/>
              </w:rPr>
              <w:t>15/</w:t>
            </w:r>
            <w:r>
              <w:rPr>
                <w:szCs w:val="21"/>
              </w:rPr>
              <w:t>-2F</w:t>
            </w:r>
          </w:p>
        </w:tc>
        <w:tc>
          <w:tcPr>
            <w:tcW w:w="1874" w:type="pct"/>
            <w:vAlign w:val="center"/>
          </w:tcPr>
          <w:p>
            <w:pPr>
              <w:pStyle w:val="Normal0"/>
              <w:jc w:val="center"/>
              <w:rPr>
                <w:rFonts w:hint="eastAsia"/>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szCs w:val="21"/>
              </w:rPr>
            </w:pPr>
            <w:r>
              <w:rPr>
                <w:szCs w:val="21"/>
              </w:rPr>
              <w:t>2</w:t>
            </w:r>
          </w:p>
        </w:tc>
        <w:tc>
          <w:tcPr>
            <w:tcW w:w="1383" w:type="pct"/>
            <w:vAlign w:val="center"/>
          </w:tcPr>
          <w:p>
            <w:pPr>
              <w:pStyle w:val="Normal0"/>
              <w:jc w:val="center"/>
              <w:rPr>
                <w:rFonts w:hint="eastAsia"/>
                <w:szCs w:val="21"/>
              </w:rPr>
            </w:pPr>
            <w:r>
              <w:rPr>
                <w:rFonts w:hAnsi="宋体" w:hint="eastAsia"/>
                <w:szCs w:val="21"/>
              </w:rPr>
              <w:t>居住</w:t>
            </w:r>
          </w:p>
        </w:tc>
        <w:tc>
          <w:tcPr>
            <w:tcW w:w="1052" w:type="pct"/>
            <w:vAlign w:val="center"/>
          </w:tcPr>
          <w:p>
            <w:pPr>
              <w:pStyle w:val="Normal0"/>
              <w:jc w:val="center"/>
              <w:rPr>
                <w:szCs w:val="21"/>
              </w:rPr>
            </w:pPr>
            <w:r>
              <w:rPr>
                <w:rFonts w:hint="eastAsia"/>
                <w:szCs w:val="21"/>
              </w:rPr>
              <w:t>15</w:t>
            </w:r>
            <w:r>
              <w:rPr>
                <w:szCs w:val="21"/>
              </w:rPr>
              <w:t>/-2F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szCs w:val="21"/>
              </w:rPr>
            </w:pPr>
            <w:r>
              <w:rPr>
                <w:szCs w:val="21"/>
              </w:rPr>
              <w:t>3</w:t>
            </w:r>
          </w:p>
        </w:tc>
        <w:tc>
          <w:tcPr>
            <w:tcW w:w="1383" w:type="pct"/>
            <w:vAlign w:val="center"/>
          </w:tcPr>
          <w:p>
            <w:pPr>
              <w:pStyle w:val="Normal0"/>
              <w:jc w:val="center"/>
              <w:rPr>
                <w:rFonts w:hint="eastAsia"/>
                <w:szCs w:val="21"/>
              </w:rPr>
            </w:pPr>
            <w:r>
              <w:rPr>
                <w:rFonts w:hAnsi="宋体" w:hint="eastAsia"/>
                <w:szCs w:val="21"/>
              </w:rPr>
              <w:t>居住</w:t>
            </w:r>
          </w:p>
        </w:tc>
        <w:tc>
          <w:tcPr>
            <w:tcW w:w="1052" w:type="pct"/>
            <w:vAlign w:val="center"/>
          </w:tcPr>
          <w:p>
            <w:pPr>
              <w:pStyle w:val="Normal0"/>
              <w:jc w:val="center"/>
              <w:rPr>
                <w:szCs w:val="21"/>
              </w:rPr>
            </w:pPr>
            <w:r>
              <w:rPr>
                <w:rFonts w:hint="eastAsia"/>
                <w:szCs w:val="21"/>
              </w:rPr>
              <w:t>15</w:t>
            </w:r>
            <w:r>
              <w:rPr>
                <w:szCs w:val="21"/>
              </w:rPr>
              <w:t>/-2F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szCs w:val="21"/>
              </w:rPr>
            </w:pPr>
            <w:r>
              <w:rPr>
                <w:szCs w:val="21"/>
              </w:rPr>
              <w:t>4</w:t>
            </w:r>
          </w:p>
        </w:tc>
        <w:tc>
          <w:tcPr>
            <w:tcW w:w="1383" w:type="pct"/>
            <w:vAlign w:val="center"/>
          </w:tcPr>
          <w:p>
            <w:pPr>
              <w:pStyle w:val="Normal0"/>
              <w:jc w:val="center"/>
              <w:rPr>
                <w:szCs w:val="21"/>
              </w:rPr>
            </w:pPr>
            <w:r>
              <w:rPr>
                <w:rFonts w:hAnsi="宋体" w:hint="eastAsia"/>
                <w:szCs w:val="21"/>
              </w:rPr>
              <w:t>居住</w:t>
            </w:r>
          </w:p>
        </w:tc>
        <w:tc>
          <w:tcPr>
            <w:tcW w:w="1052" w:type="pct"/>
            <w:vAlign w:val="center"/>
          </w:tcPr>
          <w:p>
            <w:pPr>
              <w:pStyle w:val="Normal0"/>
              <w:jc w:val="center"/>
              <w:rPr>
                <w:szCs w:val="21"/>
              </w:rPr>
            </w:pPr>
            <w:r>
              <w:rPr>
                <w:rFonts w:hint="eastAsia"/>
                <w:szCs w:val="21"/>
              </w:rPr>
              <w:t>15</w:t>
            </w:r>
            <w:r>
              <w:rPr>
                <w:szCs w:val="21"/>
              </w:rPr>
              <w:t>/-2F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5</w:t>
            </w:r>
          </w:p>
        </w:tc>
        <w:tc>
          <w:tcPr>
            <w:tcW w:w="1383" w:type="pct"/>
            <w:vAlign w:val="center"/>
          </w:tcPr>
          <w:p>
            <w:pPr>
              <w:pStyle w:val="Normal0"/>
              <w:jc w:val="center"/>
              <w:rPr>
                <w:rFonts w:hAnsi="宋体" w:hint="eastAsia"/>
                <w:szCs w:val="21"/>
              </w:rPr>
            </w:pPr>
            <w:r>
              <w:rPr>
                <w:rFonts w:hAnsi="宋体" w:hint="eastAsia"/>
                <w:szCs w:val="21"/>
              </w:rPr>
              <w:t>居住</w:t>
            </w:r>
          </w:p>
        </w:tc>
        <w:tc>
          <w:tcPr>
            <w:tcW w:w="1052" w:type="pct"/>
            <w:vAlign w:val="center"/>
          </w:tcPr>
          <w:p>
            <w:pPr>
              <w:pStyle w:val="Normal0"/>
              <w:jc w:val="center"/>
              <w:rPr>
                <w:rFonts w:hint="eastAsia"/>
                <w:szCs w:val="21"/>
              </w:rPr>
            </w:pPr>
            <w:r>
              <w:rPr>
                <w:rFonts w:hint="eastAsia"/>
                <w:szCs w:val="21"/>
              </w:rPr>
              <w:t>15</w:t>
            </w:r>
            <w:r>
              <w:rPr>
                <w:szCs w:val="21"/>
              </w:rPr>
              <w:t>/-2F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6</w:t>
            </w:r>
          </w:p>
        </w:tc>
        <w:tc>
          <w:tcPr>
            <w:tcW w:w="1383" w:type="pct"/>
            <w:vAlign w:val="center"/>
          </w:tcPr>
          <w:p>
            <w:pPr>
              <w:pStyle w:val="Normal0"/>
              <w:jc w:val="center"/>
              <w:rPr>
                <w:rFonts w:hAnsi="宋体" w:hint="eastAsia"/>
                <w:szCs w:val="21"/>
              </w:rPr>
            </w:pPr>
            <w:r>
              <w:rPr>
                <w:rFonts w:hAnsi="宋体" w:hint="eastAsia"/>
                <w:szCs w:val="21"/>
              </w:rPr>
              <w:t>居住</w:t>
            </w:r>
          </w:p>
        </w:tc>
        <w:tc>
          <w:tcPr>
            <w:tcW w:w="1052" w:type="pct"/>
            <w:vAlign w:val="center"/>
          </w:tcPr>
          <w:p>
            <w:pPr>
              <w:pStyle w:val="Normal0"/>
              <w:jc w:val="center"/>
              <w:rPr>
                <w:rFonts w:hint="eastAsia"/>
                <w:szCs w:val="21"/>
              </w:rPr>
            </w:pPr>
            <w:r>
              <w:rPr>
                <w:rFonts w:hint="eastAsia"/>
                <w:szCs w:val="21"/>
              </w:rPr>
              <w:t>11-15</w:t>
            </w:r>
            <w:r>
              <w:rPr>
                <w:szCs w:val="21"/>
              </w:rPr>
              <w:t>/-2F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7</w:t>
            </w:r>
          </w:p>
        </w:tc>
        <w:tc>
          <w:tcPr>
            <w:tcW w:w="1383" w:type="pct"/>
            <w:vAlign w:val="center"/>
          </w:tcPr>
          <w:p>
            <w:pPr>
              <w:pStyle w:val="Normal0"/>
              <w:jc w:val="center"/>
              <w:rPr>
                <w:rFonts w:hAnsi="宋体" w:hint="eastAsia"/>
                <w:szCs w:val="21"/>
              </w:rPr>
            </w:pPr>
            <w:r>
              <w:rPr>
                <w:rFonts w:hAnsi="宋体" w:hint="eastAsia"/>
                <w:szCs w:val="21"/>
              </w:rPr>
              <w:t>居住</w:t>
            </w:r>
          </w:p>
        </w:tc>
        <w:tc>
          <w:tcPr>
            <w:tcW w:w="1052" w:type="pct"/>
            <w:vAlign w:val="center"/>
          </w:tcPr>
          <w:p>
            <w:pPr>
              <w:pStyle w:val="Normal0"/>
              <w:jc w:val="center"/>
              <w:rPr>
                <w:rFonts w:hint="eastAsia"/>
                <w:szCs w:val="21"/>
              </w:rPr>
            </w:pPr>
            <w:r>
              <w:rPr>
                <w:rFonts w:hint="eastAsia"/>
                <w:szCs w:val="21"/>
              </w:rPr>
              <w:t>15</w:t>
            </w:r>
            <w:r>
              <w:rPr>
                <w:szCs w:val="21"/>
              </w:rPr>
              <w:t>/-</w:t>
            </w:r>
            <w:r>
              <w:rPr>
                <w:rFonts w:hint="eastAsia"/>
                <w:szCs w:val="21"/>
              </w:rPr>
              <w:t>2</w:t>
            </w:r>
            <w:r>
              <w:rPr>
                <w:szCs w:val="21"/>
              </w:rPr>
              <w:t>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8</w:t>
            </w:r>
          </w:p>
        </w:tc>
        <w:tc>
          <w:tcPr>
            <w:tcW w:w="1383" w:type="pct"/>
            <w:vAlign w:val="center"/>
          </w:tcPr>
          <w:p>
            <w:pPr>
              <w:pStyle w:val="Normal0"/>
              <w:jc w:val="center"/>
              <w:rPr>
                <w:rFonts w:hint="eastAsia"/>
                <w:szCs w:val="21"/>
              </w:rPr>
            </w:pPr>
            <w:r>
              <w:rPr>
                <w:rFonts w:hAnsi="宋体" w:hint="eastAsia"/>
                <w:szCs w:val="21"/>
              </w:rPr>
              <w:t>居住</w:t>
            </w:r>
          </w:p>
        </w:tc>
        <w:tc>
          <w:tcPr>
            <w:tcW w:w="1052" w:type="pct"/>
            <w:vAlign w:val="center"/>
          </w:tcPr>
          <w:p>
            <w:pPr>
              <w:pStyle w:val="Normal0"/>
              <w:jc w:val="center"/>
              <w:rPr>
                <w:rFonts w:hint="eastAsia"/>
                <w:szCs w:val="21"/>
              </w:rPr>
            </w:pPr>
            <w:r>
              <w:rPr>
                <w:rFonts w:hint="eastAsia"/>
                <w:szCs w:val="21"/>
              </w:rPr>
              <w:t>15</w:t>
            </w:r>
            <w:r>
              <w:rPr>
                <w:szCs w:val="21"/>
              </w:rPr>
              <w:t>/-</w:t>
            </w:r>
            <w:r>
              <w:rPr>
                <w:rFonts w:hint="eastAsia"/>
                <w:szCs w:val="21"/>
              </w:rPr>
              <w:t>1</w:t>
            </w:r>
            <w:r>
              <w:rPr>
                <w:szCs w:val="21"/>
              </w:rPr>
              <w:t>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9</w:t>
            </w:r>
          </w:p>
        </w:tc>
        <w:tc>
          <w:tcPr>
            <w:tcW w:w="1383" w:type="pct"/>
            <w:vAlign w:val="center"/>
          </w:tcPr>
          <w:p>
            <w:pPr>
              <w:pStyle w:val="Normal0"/>
              <w:jc w:val="center"/>
              <w:rPr>
                <w:rFonts w:hint="eastAsia"/>
                <w:szCs w:val="21"/>
              </w:rPr>
            </w:pPr>
            <w:r>
              <w:rPr>
                <w:rFonts w:hAnsi="宋体" w:hint="eastAsia"/>
                <w:szCs w:val="21"/>
              </w:rPr>
              <w:t>居住</w:t>
            </w:r>
          </w:p>
        </w:tc>
        <w:tc>
          <w:tcPr>
            <w:tcW w:w="1052" w:type="pct"/>
            <w:vAlign w:val="center"/>
          </w:tcPr>
          <w:p>
            <w:pPr>
              <w:pStyle w:val="Normal0"/>
              <w:jc w:val="center"/>
              <w:rPr>
                <w:rFonts w:hint="eastAsia"/>
                <w:szCs w:val="21"/>
              </w:rPr>
            </w:pPr>
            <w:r>
              <w:rPr>
                <w:rFonts w:hint="eastAsia"/>
                <w:szCs w:val="21"/>
              </w:rPr>
              <w:t>15</w:t>
            </w:r>
            <w:r>
              <w:rPr>
                <w:szCs w:val="21"/>
              </w:rPr>
              <w:t>/-</w:t>
            </w:r>
            <w:r>
              <w:rPr>
                <w:rFonts w:hint="eastAsia"/>
                <w:szCs w:val="21"/>
              </w:rPr>
              <w:t>1</w:t>
            </w:r>
            <w:r>
              <w:rPr>
                <w:szCs w:val="21"/>
              </w:rPr>
              <w:t>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10</w:t>
            </w:r>
          </w:p>
        </w:tc>
        <w:tc>
          <w:tcPr>
            <w:tcW w:w="1383" w:type="pct"/>
            <w:vAlign w:val="center"/>
          </w:tcPr>
          <w:p>
            <w:pPr>
              <w:pStyle w:val="Normal0"/>
              <w:jc w:val="center"/>
              <w:rPr>
                <w:rFonts w:hint="eastAsia"/>
                <w:szCs w:val="21"/>
              </w:rPr>
            </w:pPr>
            <w:r>
              <w:rPr>
                <w:rFonts w:hAnsi="宋体" w:hint="eastAsia"/>
                <w:szCs w:val="21"/>
              </w:rPr>
              <w:t>居住</w:t>
            </w:r>
          </w:p>
        </w:tc>
        <w:tc>
          <w:tcPr>
            <w:tcW w:w="1052" w:type="pct"/>
            <w:vAlign w:val="center"/>
          </w:tcPr>
          <w:p>
            <w:pPr>
              <w:pStyle w:val="Normal0"/>
              <w:jc w:val="center"/>
              <w:rPr>
                <w:rFonts w:hint="eastAsia"/>
                <w:szCs w:val="21"/>
              </w:rPr>
            </w:pPr>
            <w:r>
              <w:rPr>
                <w:rFonts w:hint="eastAsia"/>
                <w:szCs w:val="21"/>
              </w:rPr>
              <w:t>15</w:t>
            </w:r>
            <w:r>
              <w:rPr>
                <w:szCs w:val="21"/>
              </w:rPr>
              <w:t>/-</w:t>
            </w:r>
            <w:r>
              <w:rPr>
                <w:rFonts w:hint="eastAsia"/>
                <w:szCs w:val="21"/>
              </w:rPr>
              <w:t>1</w:t>
            </w:r>
            <w:r>
              <w:rPr>
                <w:szCs w:val="21"/>
              </w:rPr>
              <w:t>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11</w:t>
            </w:r>
          </w:p>
        </w:tc>
        <w:tc>
          <w:tcPr>
            <w:tcW w:w="1383" w:type="pct"/>
            <w:vAlign w:val="center"/>
          </w:tcPr>
          <w:p>
            <w:pPr>
              <w:pStyle w:val="Normal0"/>
              <w:jc w:val="center"/>
              <w:rPr>
                <w:szCs w:val="21"/>
              </w:rPr>
            </w:pPr>
            <w:r>
              <w:rPr>
                <w:rFonts w:hAnsi="宋体" w:hint="eastAsia"/>
                <w:szCs w:val="21"/>
              </w:rPr>
              <w:t>居住</w:t>
            </w:r>
          </w:p>
        </w:tc>
        <w:tc>
          <w:tcPr>
            <w:tcW w:w="1052" w:type="pct"/>
            <w:vAlign w:val="center"/>
          </w:tcPr>
          <w:p>
            <w:pPr>
              <w:pStyle w:val="Normal0"/>
              <w:jc w:val="center"/>
              <w:rPr>
                <w:rFonts w:hint="eastAsia"/>
                <w:szCs w:val="21"/>
              </w:rPr>
            </w:pPr>
            <w:r>
              <w:rPr>
                <w:rFonts w:hint="eastAsia"/>
                <w:szCs w:val="21"/>
              </w:rPr>
              <w:t>15</w:t>
            </w:r>
            <w:r>
              <w:rPr>
                <w:szCs w:val="21"/>
              </w:rPr>
              <w:t>/-</w:t>
            </w:r>
            <w:r>
              <w:rPr>
                <w:rFonts w:hint="eastAsia"/>
                <w:szCs w:val="21"/>
              </w:rPr>
              <w:t>1</w:t>
            </w:r>
            <w:r>
              <w:rPr>
                <w:szCs w:val="21"/>
              </w:rPr>
              <w:t>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12</w:t>
            </w:r>
          </w:p>
        </w:tc>
        <w:tc>
          <w:tcPr>
            <w:tcW w:w="1383" w:type="pct"/>
            <w:vAlign w:val="center"/>
          </w:tcPr>
          <w:p>
            <w:pPr>
              <w:pStyle w:val="Normal0"/>
              <w:jc w:val="center"/>
              <w:rPr>
                <w:rFonts w:hAnsi="宋体" w:hint="eastAsia"/>
                <w:szCs w:val="21"/>
              </w:rPr>
            </w:pPr>
            <w:r>
              <w:rPr>
                <w:rFonts w:hAnsi="宋体" w:hint="eastAsia"/>
                <w:szCs w:val="21"/>
              </w:rPr>
              <w:t>居住</w:t>
            </w:r>
          </w:p>
        </w:tc>
        <w:tc>
          <w:tcPr>
            <w:tcW w:w="1052" w:type="pct"/>
            <w:vAlign w:val="center"/>
          </w:tcPr>
          <w:p>
            <w:pPr>
              <w:pStyle w:val="Normal0"/>
              <w:jc w:val="center"/>
              <w:rPr>
                <w:rFonts w:hint="eastAsia"/>
                <w:szCs w:val="21"/>
              </w:rPr>
            </w:pPr>
            <w:r>
              <w:rPr>
                <w:rFonts w:hint="eastAsia"/>
                <w:szCs w:val="21"/>
              </w:rPr>
              <w:t>15</w:t>
            </w:r>
            <w:r>
              <w:rPr>
                <w:szCs w:val="21"/>
              </w:rPr>
              <w:t>/-</w:t>
            </w:r>
            <w:r>
              <w:rPr>
                <w:rFonts w:hint="eastAsia"/>
                <w:szCs w:val="21"/>
              </w:rPr>
              <w:t>1</w:t>
            </w:r>
            <w:r>
              <w:rPr>
                <w:szCs w:val="21"/>
              </w:rPr>
              <w:t>F</w:t>
            </w:r>
          </w:p>
        </w:tc>
        <w:tc>
          <w:tcPr>
            <w:tcW w:w="1874" w:type="pct"/>
            <w:vAlign w:val="center"/>
          </w:tcPr>
          <w:p>
            <w:pPr>
              <w:pStyle w:val="Normal0"/>
              <w:jc w:val="center"/>
              <w:rPr>
                <w:szCs w:val="21"/>
              </w:rPr>
            </w:pP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13</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1</w:t>
            </w:r>
            <w:r>
              <w:rPr>
                <w:szCs w:val="21"/>
              </w:rPr>
              <w:t>/-</w:t>
            </w:r>
            <w:r>
              <w:rPr>
                <w:rFonts w:hint="eastAsia"/>
                <w:szCs w:val="21"/>
              </w:rPr>
              <w:t>1</w:t>
            </w:r>
            <w:r>
              <w:rPr>
                <w:szCs w:val="21"/>
              </w:rPr>
              <w:t>F</w:t>
            </w:r>
          </w:p>
        </w:tc>
        <w:tc>
          <w:tcPr>
            <w:tcW w:w="1874" w:type="pct"/>
            <w:vAlign w:val="center"/>
          </w:tcPr>
          <w:p>
            <w:pPr>
              <w:pStyle w:val="Normal0"/>
              <w:jc w:val="center"/>
              <w:rPr>
                <w:szCs w:val="21"/>
              </w:rPr>
            </w:pPr>
            <w:r>
              <w:rPr>
                <w:rFonts w:hint="eastAsia"/>
                <w:szCs w:val="21"/>
              </w:rPr>
              <w:t>消防控制室、社区服务中心</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14</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1</w:t>
            </w:r>
            <w:r>
              <w:rPr>
                <w:szCs w:val="21"/>
              </w:rPr>
              <w:t>/-</w:t>
            </w:r>
            <w:r>
              <w:rPr>
                <w:rFonts w:hint="eastAsia"/>
                <w:szCs w:val="21"/>
              </w:rPr>
              <w:t>1</w:t>
            </w:r>
            <w:r>
              <w:rPr>
                <w:szCs w:val="21"/>
              </w:rPr>
              <w:t>F</w:t>
            </w:r>
          </w:p>
        </w:tc>
        <w:tc>
          <w:tcPr>
            <w:tcW w:w="1874" w:type="pct"/>
            <w:vAlign w:val="center"/>
          </w:tcPr>
          <w:p>
            <w:pPr>
              <w:pStyle w:val="Normal0"/>
              <w:jc w:val="center"/>
              <w:rPr>
                <w:rFonts w:hint="eastAsia"/>
                <w:szCs w:val="21"/>
              </w:rPr>
            </w:pPr>
            <w:r>
              <w:rPr>
                <w:rFonts w:hint="eastAsia"/>
                <w:szCs w:val="21"/>
              </w:rPr>
              <w:t>托老所、菜市场</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15</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2</w:t>
            </w:r>
            <w:r>
              <w:rPr>
                <w:szCs w:val="21"/>
              </w:rPr>
              <w:t>/-2F</w:t>
            </w:r>
          </w:p>
        </w:tc>
        <w:tc>
          <w:tcPr>
            <w:tcW w:w="1874" w:type="pct"/>
            <w:vAlign w:val="center"/>
          </w:tcPr>
          <w:p>
            <w:pPr>
              <w:pStyle w:val="Normal0"/>
              <w:jc w:val="center"/>
              <w:rPr>
                <w:rFonts w:hint="eastAsia"/>
                <w:szCs w:val="21"/>
                <w:highlight w:val="red"/>
              </w:rPr>
            </w:pPr>
            <w:r>
              <w:rPr>
                <w:rFonts w:hint="eastAsia"/>
                <w:szCs w:val="21"/>
              </w:rPr>
              <w:t>商业</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16</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2</w:t>
            </w:r>
            <w:r>
              <w:rPr>
                <w:szCs w:val="21"/>
              </w:rPr>
              <w:t>/-</w:t>
            </w:r>
            <w:r>
              <w:rPr>
                <w:rFonts w:hint="eastAsia"/>
                <w:szCs w:val="21"/>
              </w:rPr>
              <w:t>1</w:t>
            </w:r>
            <w:r>
              <w:rPr>
                <w:szCs w:val="21"/>
              </w:rPr>
              <w:t>F</w:t>
            </w:r>
          </w:p>
        </w:tc>
        <w:tc>
          <w:tcPr>
            <w:tcW w:w="1874" w:type="pct"/>
            <w:vAlign w:val="center"/>
          </w:tcPr>
          <w:p>
            <w:pPr>
              <w:pStyle w:val="Normal0"/>
              <w:jc w:val="center"/>
              <w:rPr>
                <w:rFonts w:hint="eastAsia"/>
                <w:szCs w:val="21"/>
                <w:highlight w:val="red"/>
              </w:rPr>
            </w:pPr>
            <w:r>
              <w:rPr>
                <w:rFonts w:hint="eastAsia"/>
                <w:szCs w:val="21"/>
              </w:rPr>
              <w:t>商业</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17</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2</w:t>
            </w:r>
            <w:r>
              <w:rPr>
                <w:szCs w:val="21"/>
              </w:rPr>
              <w:t>/-2F</w:t>
            </w:r>
          </w:p>
        </w:tc>
        <w:tc>
          <w:tcPr>
            <w:tcW w:w="1874" w:type="pct"/>
            <w:vAlign w:val="center"/>
          </w:tcPr>
          <w:p>
            <w:pPr>
              <w:pStyle w:val="Normal0"/>
              <w:jc w:val="center"/>
              <w:rPr>
                <w:rFonts w:hint="eastAsia"/>
                <w:szCs w:val="21"/>
                <w:highlight w:val="red"/>
              </w:rPr>
            </w:pPr>
            <w:r>
              <w:rPr>
                <w:rFonts w:hint="eastAsia"/>
                <w:szCs w:val="21"/>
              </w:rPr>
              <w:t>商业</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18</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2</w:t>
            </w:r>
            <w:r>
              <w:rPr>
                <w:szCs w:val="21"/>
              </w:rPr>
              <w:t>/-</w:t>
            </w:r>
            <w:r>
              <w:rPr>
                <w:rFonts w:hint="eastAsia"/>
                <w:szCs w:val="21"/>
              </w:rPr>
              <w:t>1</w:t>
            </w:r>
            <w:r>
              <w:rPr>
                <w:szCs w:val="21"/>
              </w:rPr>
              <w:t>F</w:t>
            </w:r>
          </w:p>
        </w:tc>
        <w:tc>
          <w:tcPr>
            <w:tcW w:w="1874" w:type="pct"/>
            <w:vAlign w:val="center"/>
          </w:tcPr>
          <w:p>
            <w:pPr>
              <w:pStyle w:val="Normal0"/>
              <w:jc w:val="center"/>
              <w:rPr>
                <w:rFonts w:hint="eastAsia"/>
                <w:szCs w:val="21"/>
                <w:highlight w:val="red"/>
              </w:rPr>
            </w:pPr>
            <w:r>
              <w:rPr>
                <w:rFonts w:hint="eastAsia"/>
                <w:szCs w:val="21"/>
              </w:rPr>
              <w:t>商业</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19</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2</w:t>
            </w:r>
            <w:r>
              <w:rPr>
                <w:szCs w:val="21"/>
              </w:rPr>
              <w:t>/-2F</w:t>
            </w:r>
          </w:p>
        </w:tc>
        <w:tc>
          <w:tcPr>
            <w:tcW w:w="1874" w:type="pct"/>
            <w:vAlign w:val="center"/>
          </w:tcPr>
          <w:p>
            <w:pPr>
              <w:pStyle w:val="Normal0"/>
              <w:jc w:val="center"/>
              <w:rPr>
                <w:rFonts w:hint="eastAsia"/>
                <w:szCs w:val="21"/>
                <w:highlight w:val="red"/>
              </w:rPr>
            </w:pPr>
            <w:r>
              <w:rPr>
                <w:rFonts w:hint="eastAsia"/>
                <w:szCs w:val="21"/>
              </w:rPr>
              <w:t>商业</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20</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1</w:t>
            </w:r>
            <w:r>
              <w:rPr>
                <w:szCs w:val="21"/>
              </w:rPr>
              <w:t>/-</w:t>
            </w:r>
            <w:r>
              <w:rPr>
                <w:rFonts w:hint="eastAsia"/>
                <w:szCs w:val="21"/>
              </w:rPr>
              <w:t>1</w:t>
            </w:r>
            <w:r>
              <w:rPr>
                <w:szCs w:val="21"/>
              </w:rPr>
              <w:t>F</w:t>
            </w:r>
          </w:p>
        </w:tc>
        <w:tc>
          <w:tcPr>
            <w:tcW w:w="1874" w:type="pct"/>
            <w:vAlign w:val="center"/>
          </w:tcPr>
          <w:p>
            <w:pPr>
              <w:pStyle w:val="Normal0"/>
              <w:jc w:val="center"/>
              <w:rPr>
                <w:rFonts w:hint="eastAsia"/>
                <w:szCs w:val="21"/>
                <w:highlight w:val="red"/>
              </w:rPr>
            </w:pPr>
            <w:r>
              <w:rPr>
                <w:rFonts w:hint="eastAsia"/>
                <w:szCs w:val="21"/>
              </w:rPr>
              <w:t>老年活动站、社区居委会</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21</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2</w:t>
            </w:r>
            <w:r>
              <w:rPr>
                <w:szCs w:val="21"/>
              </w:rPr>
              <w:t>/-</w:t>
            </w:r>
            <w:r>
              <w:rPr>
                <w:rFonts w:hint="eastAsia"/>
                <w:szCs w:val="21"/>
              </w:rPr>
              <w:t>1</w:t>
            </w:r>
            <w:r>
              <w:rPr>
                <w:szCs w:val="21"/>
              </w:rPr>
              <w:t>F</w:t>
            </w:r>
          </w:p>
        </w:tc>
        <w:tc>
          <w:tcPr>
            <w:tcW w:w="1874" w:type="pct"/>
            <w:vAlign w:val="center"/>
          </w:tcPr>
          <w:p>
            <w:pPr>
              <w:pStyle w:val="Normal0"/>
              <w:jc w:val="center"/>
              <w:rPr>
                <w:rFonts w:hint="eastAsia"/>
                <w:szCs w:val="21"/>
                <w:highlight w:val="red"/>
              </w:rPr>
            </w:pPr>
            <w:r>
              <w:rPr>
                <w:rFonts w:hint="eastAsia"/>
                <w:szCs w:val="21"/>
              </w:rPr>
              <w:t>商业</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22</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1</w:t>
            </w:r>
            <w:r>
              <w:rPr>
                <w:szCs w:val="21"/>
              </w:rPr>
              <w:t>/-</w:t>
            </w:r>
            <w:r>
              <w:rPr>
                <w:rFonts w:hint="eastAsia"/>
                <w:szCs w:val="21"/>
              </w:rPr>
              <w:t>1</w:t>
            </w:r>
            <w:r>
              <w:rPr>
                <w:szCs w:val="21"/>
              </w:rPr>
              <w:t>F</w:t>
            </w:r>
          </w:p>
        </w:tc>
        <w:tc>
          <w:tcPr>
            <w:tcW w:w="1874" w:type="pct"/>
            <w:vAlign w:val="center"/>
          </w:tcPr>
          <w:p>
            <w:pPr>
              <w:pStyle w:val="Normal0"/>
              <w:jc w:val="center"/>
              <w:rPr>
                <w:rFonts w:hint="eastAsia"/>
                <w:szCs w:val="21"/>
                <w:highlight w:val="red"/>
              </w:rPr>
            </w:pPr>
            <w:r>
              <w:rPr>
                <w:rFonts w:hint="eastAsia"/>
                <w:szCs w:val="21"/>
              </w:rPr>
              <w:t>物业</w:t>
            </w:r>
            <w:r>
              <w:rPr>
                <w:rFonts w:hint="eastAsia"/>
                <w:szCs w:val="21"/>
                <w:lang w:eastAsia="zh-CN"/>
              </w:rPr>
              <w:t>管理管控</w:t>
            </w:r>
            <w:r>
              <w:rPr>
                <w:rFonts w:hint="eastAsia"/>
                <w:szCs w:val="21"/>
              </w:rPr>
              <w:t>用房、邮政所</w:t>
            </w:r>
          </w:p>
        </w:tc>
      </w:tr>
      <w:tr>
        <w:tblPrEx>
          <w:tblW w:w="4877" w:type="pct"/>
          <w:jc w:val="center"/>
          <w:tblLayout w:type="fixed"/>
          <w:tblCellMar>
            <w:top w:w="0" w:type="dxa"/>
            <w:left w:w="108" w:type="dxa"/>
            <w:bottom w:w="0" w:type="dxa"/>
            <w:right w:w="108" w:type="dxa"/>
          </w:tblCellMar>
        </w:tblPrEx>
        <w:trPr>
          <w:trHeight w:val="397"/>
          <w:jc w:val="center"/>
        </w:trPr>
        <w:tc>
          <w:tcPr>
            <w:tcW w:w="691" w:type="pct"/>
            <w:vAlign w:val="center"/>
          </w:tcPr>
          <w:p>
            <w:pPr>
              <w:pStyle w:val="Normal0"/>
              <w:jc w:val="center"/>
              <w:rPr>
                <w:rFonts w:hint="eastAsia"/>
                <w:szCs w:val="21"/>
              </w:rPr>
            </w:pPr>
            <w:r>
              <w:rPr>
                <w:rFonts w:hint="eastAsia"/>
                <w:szCs w:val="21"/>
              </w:rPr>
              <w:t>23</w:t>
            </w:r>
          </w:p>
        </w:tc>
        <w:tc>
          <w:tcPr>
            <w:tcW w:w="1383" w:type="pct"/>
            <w:vAlign w:val="center"/>
          </w:tcPr>
          <w:p>
            <w:pPr>
              <w:pStyle w:val="Normal0"/>
              <w:jc w:val="center"/>
              <w:rPr>
                <w:rFonts w:hAnsi="宋体" w:hint="eastAsia"/>
                <w:szCs w:val="21"/>
              </w:rPr>
            </w:pPr>
            <w:r>
              <w:rPr>
                <w:rFonts w:hAnsi="宋体" w:hint="eastAsia"/>
                <w:szCs w:val="21"/>
              </w:rPr>
              <w:t>配套公建</w:t>
            </w:r>
          </w:p>
        </w:tc>
        <w:tc>
          <w:tcPr>
            <w:tcW w:w="1052" w:type="pct"/>
            <w:vAlign w:val="center"/>
          </w:tcPr>
          <w:p>
            <w:pPr>
              <w:pStyle w:val="Normal0"/>
              <w:jc w:val="center"/>
              <w:rPr>
                <w:rFonts w:hint="eastAsia"/>
                <w:szCs w:val="21"/>
              </w:rPr>
            </w:pPr>
            <w:r>
              <w:rPr>
                <w:rFonts w:hint="eastAsia"/>
                <w:szCs w:val="21"/>
              </w:rPr>
              <w:t>2</w:t>
            </w:r>
            <w:r>
              <w:rPr>
                <w:szCs w:val="21"/>
              </w:rPr>
              <w:t>/-</w:t>
            </w:r>
            <w:r>
              <w:rPr>
                <w:rFonts w:hint="eastAsia"/>
                <w:szCs w:val="21"/>
              </w:rPr>
              <w:t>1</w:t>
            </w:r>
            <w:r>
              <w:rPr>
                <w:szCs w:val="21"/>
              </w:rPr>
              <w:t>F</w:t>
            </w:r>
          </w:p>
        </w:tc>
        <w:tc>
          <w:tcPr>
            <w:tcW w:w="1874" w:type="pct"/>
            <w:vAlign w:val="center"/>
          </w:tcPr>
          <w:p>
            <w:pPr>
              <w:pStyle w:val="Normal0"/>
              <w:jc w:val="center"/>
              <w:rPr>
                <w:rFonts w:hint="eastAsia"/>
                <w:szCs w:val="21"/>
                <w:highlight w:val="red"/>
              </w:rPr>
            </w:pPr>
            <w:r>
              <w:rPr>
                <w:rFonts w:hint="eastAsia"/>
                <w:szCs w:val="21"/>
              </w:rPr>
              <w:t>商业</w:t>
            </w:r>
          </w:p>
        </w:tc>
      </w:tr>
    </w:tbl>
    <w:p>
      <w:pPr>
        <w:sectPr>
          <w:headerReference w:type="even" r:id="rId101"/>
          <w:headerReference w:type="default" r:id="rId102"/>
          <w:footerReference w:type="even" r:id="rId103"/>
          <w:footerReference w:type="default" r:id="rId104"/>
          <w:headerReference w:type="first" r:id="rId105"/>
          <w:footerReference w:type="first" r:id="rId106"/>
          <w:pgSz w:w="11906" w:h="16838"/>
          <w:pgMar w:top="1440" w:right="1797" w:bottom="1440" w:left="1797" w:header="851" w:footer="992" w:gutter="0"/>
          <w:pgNumType w:start="13"/>
          <w:cols w:num="1" w:space="425"/>
          <w:docGrid w:linePitch="312" w:charSpace="0"/>
        </w:sectPr>
      </w:pPr>
    </w:p>
    <w:p>
      <w:pPr>
        <w:sectPr>
          <w:headerReference w:type="even" r:id="rId107"/>
          <w:headerReference w:type="default" r:id="rId108"/>
          <w:footerReference w:type="even" r:id="rId109"/>
          <w:footerReference w:type="default" r:id="rId110"/>
          <w:headerReference w:type="first" r:id="rId111"/>
          <w:footerReference w:type="first" r:id="rId112"/>
          <w:pgSz w:w="11906" w:h="16838"/>
          <w:pgMar w:top="1440" w:right="1797" w:bottom="1440" w:left="1797" w:header="851" w:footer="992" w:gutter="0"/>
          <w:pgNumType w:start="24"/>
          <w:cols w:num="1" w:space="425"/>
          <w:docGrid w:linePitch="312" w:charSpace="0"/>
        </w:sectPr>
      </w:pPr>
    </w:p>
    <w:p>
      <w:pPr>
        <w:pStyle w:val="Heading3"/>
        <w:rPr>
          <w:rFonts w:hint="eastAsia"/>
          <w:lang w:eastAsia="zh-CN"/>
        </w:rPr>
      </w:pPr>
      <w:bookmarkStart w:id="21" w:name="_Toc340052878"/>
      <w:r>
        <w:rPr>
          <w:rFonts w:hint="eastAsia"/>
          <w:lang w:eastAsia="zh-CN"/>
        </w:rPr>
        <w:t>3.2施工期污染源分析</w:t>
      </w:r>
      <w:bookmarkEnd w:id="21"/>
    </w:p>
    <w:p>
      <w:pPr>
        <w:pStyle w:val="Normal0"/>
        <w:spacing w:line="360" w:lineRule="auto"/>
        <w:ind w:firstLine="410" w:firstLineChars="171"/>
        <w:rPr>
          <w:rFonts w:eastAsia="黑体"/>
          <w:sz w:val="24"/>
        </w:rPr>
      </w:pPr>
      <w:bookmarkStart w:id="22" w:name="_Toc64011091"/>
      <w:bookmarkStart w:id="23" w:name="_Toc64011748"/>
      <w:bookmarkStart w:id="24" w:name="_Toc131576351"/>
      <w:bookmarkStart w:id="25" w:name="_Toc64609374"/>
      <w:bookmarkStart w:id="26" w:name="_Toc64206414"/>
      <w:bookmarkStart w:id="27" w:name="_Toc131509420"/>
      <w:bookmarkStart w:id="28" w:name="_Toc77623397"/>
      <w:bookmarkStart w:id="29" w:name="_Toc131576782"/>
      <w:bookmarkStart w:id="30" w:name="_Toc132623773"/>
      <w:bookmarkStart w:id="31" w:name="_Toc144872154"/>
      <w:bookmarkStart w:id="32" w:name="_Toc132526746"/>
      <w:bookmarkStart w:id="33" w:name="_Toc144881204"/>
      <w:bookmarkStart w:id="34" w:name="_Toc152049123"/>
      <w:bookmarkStart w:id="35" w:name="_Toc169949375"/>
      <w:bookmarkStart w:id="36" w:name="_Toc152049292"/>
      <w:bookmarkStart w:id="37" w:name="_Toc169251686"/>
      <w:r>
        <w:rPr>
          <w:rFonts w:eastAsia="黑体"/>
          <w:sz w:val="24"/>
        </w:rPr>
        <w:t>（一）施工扬尘</w:t>
      </w:r>
    </w:p>
    <w:p>
      <w:pPr>
        <w:pStyle w:val="Normal0"/>
        <w:spacing w:line="360" w:lineRule="auto"/>
        <w:ind w:firstLine="480" w:firstLineChars="200"/>
        <w:rPr>
          <w:sz w:val="24"/>
        </w:rPr>
      </w:pPr>
      <w:r>
        <w:rPr>
          <w:sz w:val="24"/>
        </w:rPr>
        <w:t>施工扬尘主要来自以下几方面：</w:t>
      </w:r>
    </w:p>
    <w:p>
      <w:pPr>
        <w:pStyle w:val="Normal0"/>
        <w:spacing w:line="360" w:lineRule="auto"/>
        <w:ind w:firstLine="480" w:firstLineChars="200"/>
        <w:rPr>
          <w:sz w:val="24"/>
        </w:rPr>
      </w:pPr>
      <w:r>
        <w:rPr>
          <w:sz w:val="24"/>
        </w:rPr>
        <w:t>1、土方的挖掘扬尘及现场堆放扬尘；</w:t>
      </w:r>
    </w:p>
    <w:p>
      <w:pPr>
        <w:pStyle w:val="Normal0"/>
        <w:spacing w:line="360" w:lineRule="auto"/>
        <w:ind w:firstLine="480" w:firstLineChars="200"/>
        <w:rPr>
          <w:sz w:val="24"/>
        </w:rPr>
      </w:pPr>
      <w:r>
        <w:rPr>
          <w:sz w:val="24"/>
        </w:rPr>
        <w:t>2、建筑材料（白灰、水泥、砂子、石子、砖等）的现场搬运及堆放扬尘；</w:t>
      </w:r>
    </w:p>
    <w:p>
      <w:pPr>
        <w:pStyle w:val="Normal0"/>
        <w:spacing w:line="360" w:lineRule="auto"/>
        <w:ind w:firstLine="480" w:firstLineChars="200"/>
        <w:rPr>
          <w:sz w:val="24"/>
        </w:rPr>
      </w:pPr>
      <w:r>
        <w:rPr>
          <w:sz w:val="24"/>
        </w:rPr>
        <w:t>3、施工垃圾的清理及堆放扬尘；</w:t>
      </w:r>
    </w:p>
    <w:p>
      <w:pPr>
        <w:pStyle w:val="Normal0"/>
        <w:spacing w:line="360" w:lineRule="auto"/>
        <w:ind w:firstLine="480" w:firstLineChars="200"/>
        <w:rPr>
          <w:sz w:val="24"/>
        </w:rPr>
      </w:pPr>
      <w:r>
        <w:rPr>
          <w:sz w:val="24"/>
        </w:rPr>
        <w:t>4、人来车往造成的现场道路扬尘。</w:t>
      </w:r>
    </w:p>
    <w:p>
      <w:pPr>
        <w:pStyle w:val="Normal0"/>
        <w:spacing w:line="360" w:lineRule="auto"/>
        <w:ind w:firstLine="410" w:firstLineChars="171"/>
        <w:rPr>
          <w:rFonts w:eastAsia="黑体"/>
          <w:sz w:val="24"/>
        </w:rPr>
      </w:pPr>
      <w:r>
        <w:rPr>
          <w:rFonts w:eastAsia="黑体"/>
          <w:sz w:val="24"/>
        </w:rPr>
        <w:t>（二）施工期噪声源</w:t>
      </w:r>
    </w:p>
    <w:p>
      <w:pPr>
        <w:pStyle w:val="a0"/>
        <w:ind w:firstLine="480" w:firstLineChars="200"/>
      </w:pPr>
      <w:r>
        <w:t>施工噪声来自施工过程的</w:t>
      </w:r>
      <w:r>
        <w:rPr>
          <w:rFonts w:hint="eastAsia"/>
        </w:rPr>
        <w:t>土方、基础、结构和装修四个阶段。这四个阶段所占施工时间比例较长，采用的施工机械较多，噪声污染也较严重，不同阶段又各有其独立的噪声特性。</w:t>
      </w:r>
    </w:p>
    <w:p>
      <w:pPr>
        <w:pStyle w:val="a0"/>
      </w:pPr>
      <w:r>
        <w:rPr>
          <w:rFonts w:hint="eastAsia"/>
        </w:rPr>
        <w:t>（</w:t>
      </w:r>
      <w:r>
        <w:t>1</w:t>
      </w:r>
      <w:r>
        <w:rPr>
          <w:rFonts w:hint="eastAsia"/>
        </w:rPr>
        <w:t>）土方工程阶段</w:t>
      </w:r>
    </w:p>
    <w:p>
      <w:pPr>
        <w:pStyle w:val="a0"/>
        <w:rPr>
          <w:rFonts w:hint="eastAsia"/>
        </w:rPr>
      </w:pPr>
      <w:r>
        <w:rPr>
          <w:rFonts w:hint="eastAsia"/>
        </w:rPr>
        <w:t>土石方阶段的主要噪声源有挖掘机、推土机、装载机以及各种运输车辆，这类施工机械绝大部分是移动性声源。有些声源如各种运输车辆移动范围较大，有些声源如推土机、挖掘机等，虽然是移动性声源，但位移区域较小。几种声源的声功率级范围在</w:t>
      </w:r>
      <w:r>
        <w:t>100</w:t>
      </w:r>
      <w:r>
        <w:rPr>
          <w:rFonts w:hint="eastAsia"/>
        </w:rPr>
        <w:t>～</w:t>
      </w:r>
      <w:r>
        <w:t>110dB(A)</w:t>
      </w:r>
      <w:r>
        <w:rPr>
          <w:rFonts w:hint="eastAsia"/>
        </w:rPr>
        <w:t>，均无明显的指向性。挖掘机的平均运转噪声为84</w:t>
      </w:r>
      <w:r>
        <w:t xml:space="preserve"> dB(A)</w:t>
      </w:r>
      <w:r>
        <w:rPr>
          <w:rFonts w:hint="eastAsia"/>
        </w:rPr>
        <w:t>，推土机的平均运转噪声为78</w:t>
      </w:r>
      <w:r>
        <w:t xml:space="preserve"> dB(A)</w:t>
      </w:r>
      <w:r>
        <w:rPr>
          <w:rFonts w:hint="eastAsia"/>
        </w:rPr>
        <w:t>。运输车辆的声级范围为85~100</w:t>
      </w:r>
      <w:r>
        <w:t xml:space="preserve"> dB(A)</w:t>
      </w:r>
      <w:r>
        <w:rPr>
          <w:rFonts w:hint="eastAsia"/>
        </w:rPr>
        <w:t>，本</w:t>
      </w:r>
      <w:r>
        <w:rPr>
          <w:rFonts w:hint="eastAsia"/>
          <w:lang w:eastAsia="zh-CN"/>
        </w:rPr>
        <w:t>相关项目</w:t>
      </w:r>
      <w:r>
        <w:rPr>
          <w:rFonts w:hint="eastAsia"/>
        </w:rPr>
        <w:t>取值100</w:t>
      </w:r>
      <w:r>
        <w:t xml:space="preserve"> dB(A)</w:t>
      </w:r>
      <w:r>
        <w:rPr>
          <w:rFonts w:hint="eastAsia"/>
        </w:rPr>
        <w:t>。</w:t>
      </w:r>
    </w:p>
    <w:p>
      <w:pPr>
        <w:pStyle w:val="a0"/>
      </w:pPr>
      <w:r>
        <w:t>（2）基础施工阶段</w:t>
      </w:r>
    </w:p>
    <w:p>
      <w:pPr>
        <w:pStyle w:val="a0"/>
        <w:ind w:firstLine="480" w:firstLineChars="200"/>
        <w:rPr>
          <w:rFonts w:hint="eastAsia"/>
        </w:rPr>
      </w:pPr>
      <w:r>
        <w:t>基础施工阶段的主要噪声源是各种打桩机以及一些打井机、风镐、移动式空压机等。这些声源基本都是一些固定源，其中以打桩机为最主要的声源，其噪声强度与土层结构有关，时间特性为周期性脉冲噪声</w:t>
      </w:r>
      <w:r>
        <w:rPr>
          <w:rFonts w:hint="eastAsia"/>
        </w:rPr>
        <w:t>，</w:t>
      </w:r>
      <w:r>
        <w:t>打桩时的声级一般为</w:t>
      </w:r>
      <w:r>
        <w:rPr>
          <w:rFonts w:hint="eastAsia"/>
        </w:rPr>
        <w:t>120</w:t>
      </w:r>
      <w:r>
        <w:t>dB(A)，并具有明显的指向性，背向排气口一侧噪声比最大方向低4～9dB(A)。</w:t>
      </w:r>
      <w:r>
        <w:rPr>
          <w:rFonts w:hint="eastAsia"/>
        </w:rPr>
        <w:t>打桩机的平均运转噪声为91~105</w:t>
      </w:r>
      <w:r>
        <w:t xml:space="preserve"> dB(A)</w:t>
      </w:r>
      <w:r>
        <w:rPr>
          <w:rFonts w:hint="eastAsia"/>
        </w:rPr>
        <w:t>，本</w:t>
      </w:r>
      <w:r>
        <w:rPr>
          <w:rFonts w:hint="eastAsia"/>
          <w:lang w:eastAsia="zh-CN"/>
        </w:rPr>
        <w:t>相关项目</w:t>
      </w:r>
      <w:r>
        <w:rPr>
          <w:rFonts w:hint="eastAsia"/>
        </w:rPr>
        <w:t>取值105</w:t>
      </w:r>
      <w:r>
        <w:t>dB(A)</w:t>
      </w:r>
      <w:r>
        <w:rPr>
          <w:rFonts w:hint="eastAsia"/>
        </w:rPr>
        <w:t>。</w:t>
      </w:r>
    </w:p>
    <w:p>
      <w:pPr>
        <w:pStyle w:val="a0"/>
      </w:pPr>
      <w:r>
        <w:t>（3）结构施工阶段</w:t>
      </w:r>
    </w:p>
    <w:p>
      <w:pPr>
        <w:pStyle w:val="a0"/>
        <w:ind w:firstLine="480" w:firstLineChars="200"/>
        <w:rPr>
          <w:rFonts w:hint="eastAsia"/>
        </w:rPr>
        <w:sectPr>
          <w:headerReference w:type="even" r:id="rId113"/>
          <w:headerReference w:type="default" r:id="rId114"/>
          <w:footerReference w:type="even" r:id="rId115"/>
          <w:footerReference w:type="default" r:id="rId116"/>
          <w:headerReference w:type="first" r:id="rId117"/>
          <w:footerReference w:type="first" r:id="rId118"/>
          <w:type w:val="nextPage"/>
          <w:pgSz w:w="11906" w:h="16838"/>
          <w:pgMar w:top="1440" w:right="1797" w:bottom="1440" w:left="1797" w:header="851" w:footer="992" w:gutter="0"/>
          <w:pgNumType w:start="14"/>
          <w:cols w:num="1" w:space="425"/>
          <w:titlePg w:val="0"/>
          <w:docGrid w:linePitch="312" w:charSpace="0"/>
        </w:sectPr>
      </w:pPr>
      <w:r>
        <w:t>结构施工阶段是建筑施工中周期最长的阶段，使用的设备品种较多，主要声源有各种运输设备（如汽车、吊车、塔式吊车、运输平台、施工电梯等）和结构工程设备（如混凝土搅拌机、振捣棒、水泥搅拌机和运输车辆等）以及结构施工一般辅助设备（如电锯、砂轮锯等），噪声多为撞击声。</w:t>
      </w:r>
    </w:p>
    <w:p>
      <w:pPr>
        <w:sectPr>
          <w:headerReference w:type="even" r:id="rId119"/>
          <w:headerReference w:type="default" r:id="rId120"/>
          <w:footerReference w:type="even" r:id="rId121"/>
          <w:footerReference w:type="default" r:id="rId122"/>
          <w:headerReference w:type="first" r:id="rId123"/>
          <w:footerReference w:type="first" r:id="rId124"/>
          <w:pgSz w:w="11906" w:h="16838"/>
          <w:pgMar w:top="1440" w:right="1797" w:bottom="1440" w:left="1797" w:header="851" w:footer="992" w:gutter="0"/>
          <w:pgNumType w:start="24"/>
          <w:cols w:num="1" w:space="425"/>
          <w:docGrid w:linePitch="312" w:charSpace="0"/>
        </w:sectPr>
      </w:pPr>
    </w:p>
    <w:p>
      <w:pPr>
        <w:pStyle w:val="a0"/>
        <w:ind w:firstLine="480" w:firstLineChars="200"/>
        <w:rPr>
          <w:rFonts w:hint="eastAsia"/>
        </w:rPr>
      </w:pPr>
      <w:r>
        <w:rPr>
          <w:rFonts w:hint="eastAsia"/>
        </w:rPr>
        <w:t>混凝土搅拌机的平均运转噪声为73~84</w:t>
      </w:r>
      <w:r>
        <w:t>dB(A)</w:t>
      </w:r>
      <w:r>
        <w:rPr>
          <w:rFonts w:hint="eastAsia"/>
        </w:rPr>
        <w:t>，本</w:t>
      </w:r>
      <w:r>
        <w:rPr>
          <w:rFonts w:hint="eastAsia"/>
          <w:lang w:eastAsia="zh-CN"/>
        </w:rPr>
        <w:t>相关项目</w:t>
      </w:r>
      <w:r>
        <w:rPr>
          <w:rFonts w:hint="eastAsia"/>
        </w:rPr>
        <w:t>取值84</w:t>
      </w:r>
      <w:r>
        <w:t xml:space="preserve"> dB(A)</w:t>
      </w:r>
      <w:r>
        <w:rPr>
          <w:rFonts w:hint="eastAsia"/>
        </w:rPr>
        <w:t>。吊车、振捣棒的声级范围为65~70</w:t>
      </w:r>
      <w:r>
        <w:t xml:space="preserve"> dB(A)</w:t>
      </w:r>
      <w:r>
        <w:rPr>
          <w:rFonts w:hint="eastAsia"/>
        </w:rPr>
        <w:t>，本</w:t>
      </w:r>
      <w:r>
        <w:rPr>
          <w:rFonts w:hint="eastAsia"/>
          <w:lang w:eastAsia="zh-CN"/>
        </w:rPr>
        <w:t>相关项目</w:t>
      </w:r>
      <w:r>
        <w:rPr>
          <w:rFonts w:hint="eastAsia"/>
        </w:rPr>
        <w:t>取值70</w:t>
      </w:r>
      <w:r>
        <w:t xml:space="preserve"> dB(A)</w:t>
      </w:r>
      <w:r>
        <w:rPr>
          <w:rFonts w:hint="eastAsia"/>
        </w:rPr>
        <w:t>。</w:t>
      </w:r>
    </w:p>
    <w:p>
      <w:pPr>
        <w:pStyle w:val="a0"/>
      </w:pPr>
      <w:r>
        <w:t>（4）装修阶段</w:t>
      </w:r>
    </w:p>
    <w:p>
      <w:pPr>
        <w:pStyle w:val="a0"/>
        <w:ind w:firstLine="480" w:firstLineChars="200"/>
        <w:rPr>
          <w:rFonts w:hint="eastAsia"/>
        </w:rPr>
      </w:pPr>
      <w:r>
        <w:t>装修阶段一般占总施工时间比例较长，但声源数量较少，强噪声源更少，主要噪声源包括砂轮机、电钻、电梯、吊车、切割机等。大多数声源的声功率级较低，均在90dB(A)左右，即使有些声源声功率较高，使用时间很短，有些声源还在房间内部使用，从装修阶段的工地边界噪声来看，等效声级L</w:t>
      </w:r>
      <w:r>
        <w:rPr>
          <w:vertAlign w:val="subscript"/>
        </w:rPr>
        <w:t>eq</w:t>
      </w:r>
      <w:r>
        <w:t>分布范围为63～70dB(A)，一般均小于70dB(A)，因此可以认为装修阶段不构成施工的主要噪声源。</w:t>
      </w:r>
    </w:p>
    <w:p>
      <w:pPr>
        <w:pStyle w:val="a1"/>
        <w:rPr>
          <w:szCs w:val="24"/>
        </w:rPr>
      </w:pPr>
      <w:r>
        <w:rPr>
          <w:szCs w:val="24"/>
        </w:rPr>
        <w:t>综上所述，主要施工、运输设备噪声源强见表</w:t>
      </w:r>
      <w:r>
        <w:rPr>
          <w:rFonts w:hint="eastAsia"/>
          <w:szCs w:val="24"/>
        </w:rPr>
        <w:t>4</w:t>
      </w:r>
      <w:r>
        <w:rPr>
          <w:szCs w:val="24"/>
        </w:rPr>
        <w:t>。</w:t>
      </w:r>
    </w:p>
    <w:p>
      <w:pPr>
        <w:pStyle w:val="Normal0"/>
        <w:spacing w:after="120" w:afterLines="50"/>
        <w:jc w:val="center"/>
        <w:rPr>
          <w:rFonts w:ascii="黑体" w:eastAsia="黑体" w:hint="eastAsia"/>
        </w:rPr>
      </w:pPr>
      <w:r>
        <w:rPr>
          <w:rFonts w:ascii="黑体" w:eastAsia="黑体" w:hint="eastAsia"/>
          <w:szCs w:val="21"/>
        </w:rPr>
        <w:tab/>
      </w:r>
      <w:r>
        <w:rPr>
          <w:rFonts w:ascii="黑体" w:eastAsia="黑体" w:hint="eastAsia"/>
          <w:szCs w:val="21"/>
        </w:rPr>
        <w:t xml:space="preserve">表4  </w:t>
      </w:r>
      <w:r>
        <w:rPr>
          <w:rFonts w:ascii="黑体" w:eastAsia="黑体" w:hint="eastAsia"/>
        </w:rPr>
        <w:t>常规建筑施工机械及其噪声级      单位：</w:t>
      </w:r>
      <w:r>
        <w:rPr>
          <w:rFonts w:eastAsia="黑体"/>
        </w:rPr>
        <w:t>dB（A）</w:t>
      </w:r>
    </w:p>
    <w:tbl>
      <w:tblPr>
        <w:tblStyle w:val="TableNormal"/>
        <w:tblW w:w="618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tblGrid>
        <w:gridCol w:w="3618"/>
        <w:gridCol w:w="2566"/>
      </w:tblGrid>
      <w:tr>
        <w:tblPrEx>
          <w:tblW w:w="618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Ex>
        <w:trPr>
          <w:trHeight w:val="397"/>
          <w:jc w:val="center"/>
        </w:trPr>
        <w:tc>
          <w:tcPr>
            <w:tcW w:w="3618" w:type="dxa"/>
            <w:vAlign w:val="center"/>
          </w:tcPr>
          <w:p>
            <w:pPr>
              <w:pStyle w:val="Normal0"/>
              <w:jc w:val="center"/>
              <w:rPr>
                <w:szCs w:val="21"/>
              </w:rPr>
            </w:pPr>
            <w:r>
              <w:rPr>
                <w:szCs w:val="21"/>
              </w:rPr>
              <w:t>机械名称</w:t>
            </w:r>
          </w:p>
        </w:tc>
        <w:tc>
          <w:tcPr>
            <w:tcW w:w="2566" w:type="dxa"/>
            <w:vAlign w:val="center"/>
          </w:tcPr>
          <w:p>
            <w:pPr>
              <w:pStyle w:val="Normal0"/>
              <w:jc w:val="center"/>
              <w:rPr>
                <w:szCs w:val="21"/>
              </w:rPr>
            </w:pPr>
            <w:r>
              <w:rPr>
                <w:szCs w:val="21"/>
              </w:rPr>
              <w:t>噪声强度</w:t>
            </w:r>
          </w:p>
        </w:tc>
      </w:tr>
      <w:tr>
        <w:tblPrEx>
          <w:tblW w:w="6184" w:type="dxa"/>
          <w:jc w:val="center"/>
          <w:tblCellMar>
            <w:top w:w="0" w:type="dxa"/>
            <w:left w:w="108" w:type="dxa"/>
            <w:bottom w:w="0" w:type="dxa"/>
            <w:right w:w="108" w:type="dxa"/>
          </w:tblCellMar>
        </w:tblPrEx>
        <w:trPr>
          <w:trHeight w:val="397"/>
          <w:jc w:val="center"/>
        </w:trPr>
        <w:tc>
          <w:tcPr>
            <w:tcW w:w="3618" w:type="dxa"/>
            <w:vAlign w:val="center"/>
          </w:tcPr>
          <w:p>
            <w:pPr>
              <w:pStyle w:val="Normal0"/>
              <w:jc w:val="center"/>
              <w:rPr>
                <w:rFonts w:hint="eastAsia"/>
                <w:szCs w:val="21"/>
              </w:rPr>
            </w:pPr>
            <w:r>
              <w:rPr>
                <w:rFonts w:hint="eastAsia"/>
                <w:szCs w:val="21"/>
              </w:rPr>
              <w:t>运输车辆</w:t>
            </w:r>
          </w:p>
        </w:tc>
        <w:tc>
          <w:tcPr>
            <w:tcW w:w="2566" w:type="dxa"/>
            <w:vAlign w:val="center"/>
          </w:tcPr>
          <w:p>
            <w:pPr>
              <w:pStyle w:val="Normal0"/>
              <w:jc w:val="center"/>
              <w:rPr>
                <w:rFonts w:hint="eastAsia"/>
                <w:szCs w:val="21"/>
              </w:rPr>
            </w:pPr>
            <w:r>
              <w:rPr>
                <w:rFonts w:hint="eastAsia"/>
                <w:szCs w:val="21"/>
              </w:rPr>
              <w:t>100</w:t>
            </w:r>
          </w:p>
        </w:tc>
      </w:tr>
      <w:tr>
        <w:tblPrEx>
          <w:tblW w:w="6184" w:type="dxa"/>
          <w:jc w:val="center"/>
          <w:tblCellMar>
            <w:top w:w="0" w:type="dxa"/>
            <w:left w:w="108" w:type="dxa"/>
            <w:bottom w:w="0" w:type="dxa"/>
            <w:right w:w="108" w:type="dxa"/>
          </w:tblCellMar>
        </w:tblPrEx>
        <w:trPr>
          <w:trHeight w:val="397"/>
          <w:jc w:val="center"/>
        </w:trPr>
        <w:tc>
          <w:tcPr>
            <w:tcW w:w="3618" w:type="dxa"/>
            <w:vAlign w:val="center"/>
          </w:tcPr>
          <w:p>
            <w:pPr>
              <w:pStyle w:val="Normal0"/>
              <w:jc w:val="center"/>
              <w:rPr>
                <w:rFonts w:hint="eastAsia"/>
                <w:szCs w:val="21"/>
              </w:rPr>
            </w:pPr>
            <w:r>
              <w:rPr>
                <w:rFonts w:hint="eastAsia"/>
                <w:szCs w:val="21"/>
              </w:rPr>
              <w:t>挖掘机</w:t>
            </w:r>
          </w:p>
        </w:tc>
        <w:tc>
          <w:tcPr>
            <w:tcW w:w="2566" w:type="dxa"/>
            <w:vAlign w:val="center"/>
          </w:tcPr>
          <w:p>
            <w:pPr>
              <w:pStyle w:val="Normal0"/>
              <w:jc w:val="center"/>
              <w:rPr>
                <w:rFonts w:hint="eastAsia"/>
                <w:szCs w:val="21"/>
              </w:rPr>
            </w:pPr>
            <w:r>
              <w:rPr>
                <w:rFonts w:hint="eastAsia"/>
                <w:szCs w:val="21"/>
              </w:rPr>
              <w:t>84</w:t>
            </w:r>
          </w:p>
        </w:tc>
      </w:tr>
      <w:tr>
        <w:tblPrEx>
          <w:tblW w:w="6184" w:type="dxa"/>
          <w:jc w:val="center"/>
          <w:tblCellMar>
            <w:top w:w="0" w:type="dxa"/>
            <w:left w:w="108" w:type="dxa"/>
            <w:bottom w:w="0" w:type="dxa"/>
            <w:right w:w="108" w:type="dxa"/>
          </w:tblCellMar>
        </w:tblPrEx>
        <w:trPr>
          <w:trHeight w:val="397"/>
          <w:jc w:val="center"/>
        </w:trPr>
        <w:tc>
          <w:tcPr>
            <w:tcW w:w="3618" w:type="dxa"/>
            <w:vAlign w:val="center"/>
          </w:tcPr>
          <w:p>
            <w:pPr>
              <w:pStyle w:val="Normal0"/>
              <w:jc w:val="center"/>
              <w:rPr>
                <w:szCs w:val="21"/>
              </w:rPr>
            </w:pPr>
            <w:r>
              <w:rPr>
                <w:szCs w:val="21"/>
              </w:rPr>
              <w:t>推土机</w:t>
            </w:r>
          </w:p>
        </w:tc>
        <w:tc>
          <w:tcPr>
            <w:tcW w:w="2566" w:type="dxa"/>
            <w:vAlign w:val="center"/>
          </w:tcPr>
          <w:p>
            <w:pPr>
              <w:pStyle w:val="Normal0"/>
              <w:jc w:val="center"/>
              <w:rPr>
                <w:szCs w:val="21"/>
              </w:rPr>
            </w:pPr>
            <w:r>
              <w:rPr>
                <w:rFonts w:hint="eastAsia"/>
                <w:szCs w:val="21"/>
              </w:rPr>
              <w:t>78</w:t>
            </w:r>
          </w:p>
        </w:tc>
      </w:tr>
      <w:tr>
        <w:tblPrEx>
          <w:tblW w:w="6184" w:type="dxa"/>
          <w:jc w:val="center"/>
          <w:tblCellMar>
            <w:top w:w="0" w:type="dxa"/>
            <w:left w:w="108" w:type="dxa"/>
            <w:bottom w:w="0" w:type="dxa"/>
            <w:right w:w="108" w:type="dxa"/>
          </w:tblCellMar>
        </w:tblPrEx>
        <w:trPr>
          <w:trHeight w:val="397"/>
          <w:jc w:val="center"/>
        </w:trPr>
        <w:tc>
          <w:tcPr>
            <w:tcW w:w="3618" w:type="dxa"/>
            <w:vAlign w:val="center"/>
          </w:tcPr>
          <w:p>
            <w:pPr>
              <w:pStyle w:val="Normal0"/>
              <w:jc w:val="center"/>
              <w:rPr>
                <w:rFonts w:hint="eastAsia"/>
                <w:szCs w:val="21"/>
              </w:rPr>
            </w:pPr>
            <w:r>
              <w:rPr>
                <w:szCs w:val="21"/>
              </w:rPr>
              <w:t>混凝土</w:t>
            </w:r>
            <w:r>
              <w:rPr>
                <w:rFonts w:hint="eastAsia"/>
                <w:szCs w:val="21"/>
              </w:rPr>
              <w:t>搅拌机</w:t>
            </w:r>
          </w:p>
        </w:tc>
        <w:tc>
          <w:tcPr>
            <w:tcW w:w="2566" w:type="dxa"/>
            <w:vAlign w:val="center"/>
          </w:tcPr>
          <w:p>
            <w:pPr>
              <w:pStyle w:val="Normal0"/>
              <w:jc w:val="center"/>
              <w:rPr>
                <w:rFonts w:hint="eastAsia"/>
                <w:szCs w:val="21"/>
              </w:rPr>
            </w:pPr>
            <w:r>
              <w:rPr>
                <w:rFonts w:hint="eastAsia"/>
                <w:szCs w:val="21"/>
              </w:rPr>
              <w:t>84</w:t>
            </w:r>
          </w:p>
        </w:tc>
      </w:tr>
      <w:tr>
        <w:tblPrEx>
          <w:tblW w:w="6184" w:type="dxa"/>
          <w:jc w:val="center"/>
          <w:tblCellMar>
            <w:top w:w="0" w:type="dxa"/>
            <w:left w:w="108" w:type="dxa"/>
            <w:bottom w:w="0" w:type="dxa"/>
            <w:right w:w="108" w:type="dxa"/>
          </w:tblCellMar>
        </w:tblPrEx>
        <w:trPr>
          <w:trHeight w:val="397"/>
          <w:jc w:val="center"/>
        </w:trPr>
        <w:tc>
          <w:tcPr>
            <w:tcW w:w="3618" w:type="dxa"/>
            <w:tcBorders>
              <w:bottom w:val="single" w:sz="4" w:space="0" w:color="auto"/>
            </w:tcBorders>
            <w:vAlign w:val="center"/>
          </w:tcPr>
          <w:p>
            <w:pPr>
              <w:pStyle w:val="Normal0"/>
              <w:jc w:val="center"/>
              <w:rPr>
                <w:rFonts w:hint="eastAsia"/>
                <w:szCs w:val="21"/>
              </w:rPr>
            </w:pPr>
            <w:r>
              <w:rPr>
                <w:szCs w:val="21"/>
              </w:rPr>
              <w:t>打桩机</w:t>
            </w:r>
          </w:p>
        </w:tc>
        <w:tc>
          <w:tcPr>
            <w:tcW w:w="2566" w:type="dxa"/>
            <w:tcBorders>
              <w:bottom w:val="single" w:sz="4" w:space="0" w:color="auto"/>
            </w:tcBorders>
            <w:vAlign w:val="center"/>
          </w:tcPr>
          <w:p>
            <w:pPr>
              <w:pStyle w:val="Normal0"/>
              <w:jc w:val="center"/>
              <w:rPr>
                <w:rFonts w:hint="eastAsia"/>
                <w:szCs w:val="21"/>
              </w:rPr>
            </w:pPr>
            <w:r>
              <w:rPr>
                <w:rFonts w:hint="eastAsia"/>
                <w:szCs w:val="21"/>
              </w:rPr>
              <w:t>105</w:t>
            </w:r>
          </w:p>
        </w:tc>
      </w:tr>
      <w:tr>
        <w:tblPrEx>
          <w:tblW w:w="6184" w:type="dxa"/>
          <w:jc w:val="center"/>
          <w:tblCellMar>
            <w:top w:w="0" w:type="dxa"/>
            <w:left w:w="108" w:type="dxa"/>
            <w:bottom w:w="0" w:type="dxa"/>
            <w:right w:w="108" w:type="dxa"/>
          </w:tblCellMar>
        </w:tblPrEx>
        <w:trPr>
          <w:trHeight w:val="397"/>
          <w:jc w:val="center"/>
        </w:trPr>
        <w:tc>
          <w:tcPr>
            <w:tcW w:w="3618" w:type="dxa"/>
            <w:tcBorders>
              <w:top w:val="single" w:sz="4" w:space="0" w:color="auto"/>
              <w:bottom w:val="single" w:sz="4" w:space="0" w:color="auto"/>
            </w:tcBorders>
            <w:vAlign w:val="center"/>
          </w:tcPr>
          <w:p>
            <w:pPr>
              <w:pStyle w:val="Normal0"/>
              <w:jc w:val="center"/>
              <w:rPr>
                <w:rFonts w:hint="eastAsia"/>
                <w:szCs w:val="21"/>
              </w:rPr>
            </w:pPr>
            <w:r>
              <w:rPr>
                <w:rFonts w:hint="eastAsia"/>
                <w:szCs w:val="21"/>
              </w:rPr>
              <w:t>吊车</w:t>
            </w:r>
          </w:p>
        </w:tc>
        <w:tc>
          <w:tcPr>
            <w:tcW w:w="2566" w:type="dxa"/>
            <w:tcBorders>
              <w:top w:val="single" w:sz="4" w:space="0" w:color="auto"/>
              <w:bottom w:val="single" w:sz="4" w:space="0" w:color="auto"/>
            </w:tcBorders>
            <w:vAlign w:val="center"/>
          </w:tcPr>
          <w:p>
            <w:pPr>
              <w:pStyle w:val="Normal0"/>
              <w:jc w:val="center"/>
              <w:rPr>
                <w:rFonts w:hint="eastAsia"/>
                <w:szCs w:val="21"/>
              </w:rPr>
            </w:pPr>
            <w:r>
              <w:rPr>
                <w:rFonts w:hint="eastAsia"/>
                <w:szCs w:val="21"/>
              </w:rPr>
              <w:t>70</w:t>
            </w:r>
          </w:p>
        </w:tc>
      </w:tr>
      <w:tr>
        <w:tblPrEx>
          <w:tblW w:w="6184" w:type="dxa"/>
          <w:jc w:val="center"/>
          <w:tblCellMar>
            <w:top w:w="0" w:type="dxa"/>
            <w:left w:w="108" w:type="dxa"/>
            <w:bottom w:w="0" w:type="dxa"/>
            <w:right w:w="108" w:type="dxa"/>
          </w:tblCellMar>
        </w:tblPrEx>
        <w:trPr>
          <w:trHeight w:val="397"/>
          <w:jc w:val="center"/>
        </w:trPr>
        <w:tc>
          <w:tcPr>
            <w:tcW w:w="3618" w:type="dxa"/>
            <w:tcBorders>
              <w:top w:val="single" w:sz="4" w:space="0" w:color="auto"/>
            </w:tcBorders>
            <w:vAlign w:val="center"/>
          </w:tcPr>
          <w:p>
            <w:pPr>
              <w:pStyle w:val="Normal0"/>
              <w:jc w:val="center"/>
              <w:rPr>
                <w:rFonts w:hint="eastAsia"/>
                <w:szCs w:val="21"/>
              </w:rPr>
            </w:pPr>
            <w:r>
              <w:rPr>
                <w:rFonts w:hint="eastAsia"/>
                <w:szCs w:val="21"/>
              </w:rPr>
              <w:t>振捣棒</w:t>
            </w:r>
          </w:p>
        </w:tc>
        <w:tc>
          <w:tcPr>
            <w:tcW w:w="2566" w:type="dxa"/>
            <w:tcBorders>
              <w:top w:val="single" w:sz="4" w:space="0" w:color="auto"/>
            </w:tcBorders>
            <w:vAlign w:val="center"/>
          </w:tcPr>
          <w:p>
            <w:pPr>
              <w:pStyle w:val="Normal0"/>
              <w:jc w:val="center"/>
              <w:rPr>
                <w:rFonts w:hint="eastAsia"/>
                <w:szCs w:val="21"/>
              </w:rPr>
            </w:pPr>
            <w:r>
              <w:rPr>
                <w:rFonts w:hint="eastAsia"/>
                <w:szCs w:val="21"/>
              </w:rPr>
              <w:t>70</w:t>
            </w:r>
          </w:p>
        </w:tc>
      </w:tr>
    </w:tbl>
    <w:p>
      <w:pPr>
        <w:pStyle w:val="Normal0"/>
        <w:spacing w:before="120" w:beforeLines="50" w:line="360" w:lineRule="auto"/>
        <w:ind w:firstLine="410" w:firstLineChars="171"/>
        <w:rPr>
          <w:rFonts w:eastAsia="黑体"/>
          <w:sz w:val="24"/>
        </w:rPr>
      </w:pPr>
      <w:r>
        <w:rPr>
          <w:rFonts w:eastAsia="黑体"/>
          <w:sz w:val="24"/>
        </w:rPr>
        <w:t>（三） 施工期废水</w:t>
      </w:r>
    </w:p>
    <w:p>
      <w:pPr>
        <w:pStyle w:val="Normal0"/>
        <w:spacing w:line="360" w:lineRule="auto"/>
        <w:ind w:firstLine="480" w:firstLineChars="200"/>
        <w:rPr>
          <w:sz w:val="24"/>
        </w:rPr>
      </w:pPr>
      <w:r>
        <w:rPr>
          <w:sz w:val="24"/>
        </w:rPr>
        <w:t>施工期产生废水包括施工人员的生活污水和施工本身产生的废水，施工废水主要包括混凝土养护排水，以及各种车辆冲洗水。</w:t>
      </w:r>
    </w:p>
    <w:p>
      <w:pPr>
        <w:pStyle w:val="Normal0"/>
        <w:spacing w:line="360" w:lineRule="auto"/>
        <w:ind w:firstLine="410" w:firstLineChars="171"/>
        <w:rPr>
          <w:rFonts w:eastAsia="黑体"/>
          <w:sz w:val="24"/>
        </w:rPr>
      </w:pPr>
      <w:r>
        <w:rPr>
          <w:rFonts w:eastAsia="黑体"/>
          <w:sz w:val="24"/>
        </w:rPr>
        <w:t>（四）施工期固体废物</w:t>
      </w:r>
    </w:p>
    <w:p>
      <w:pPr>
        <w:pStyle w:val="Normal0"/>
        <w:spacing w:line="360" w:lineRule="auto"/>
        <w:ind w:firstLine="480" w:firstLineChars="200"/>
        <w:rPr>
          <w:rFonts w:hint="eastAsia"/>
          <w:sz w:val="24"/>
        </w:rPr>
      </w:pPr>
      <w:r>
        <w:rPr>
          <w:sz w:val="24"/>
        </w:rPr>
        <w:t>施工期固体废物主要为施工人员的生活垃圾、施工渣土及损坏或废弃的各种建筑装修材料。</w:t>
      </w:r>
    </w:p>
    <w:p>
      <w:pPr>
        <w:pStyle w:val="Heading3"/>
        <w:rPr>
          <w:rFonts w:hint="eastAsia"/>
          <w:lang w:eastAsia="zh-CN"/>
        </w:rPr>
      </w:pPr>
      <w:bookmarkStart w:id="38" w:name="_Toc340052879"/>
      <w:r>
        <w:rPr>
          <w:rFonts w:hint="eastAsia"/>
          <w:lang w:eastAsia="zh-CN"/>
        </w:rPr>
        <w:t>3.3运营期污染源分析</w:t>
      </w:r>
      <w:bookmarkEnd w:id="38"/>
    </w:p>
    <w:p>
      <w:pPr>
        <w:pStyle w:val="Normal0"/>
        <w:spacing w:line="360" w:lineRule="auto"/>
        <w:ind w:firstLine="410" w:firstLineChars="171"/>
        <w:rPr>
          <w:rFonts w:eastAsia="黑体" w:hint="eastAsia"/>
          <w:sz w:val="24"/>
        </w:rPr>
      </w:pPr>
      <w:r>
        <w:rPr>
          <w:rFonts w:eastAsia="黑体"/>
          <w:sz w:val="24"/>
        </w:rPr>
        <w:t>（一）大气污染源分析</w:t>
      </w:r>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Start w:id="39" w:name="_Toc152049293"/>
      <w:bookmarkStart w:id="40" w:name="_Toc144872155"/>
      <w:bookmarkStart w:id="41" w:name="_Toc132526747"/>
      <w:bookmarkStart w:id="42" w:name="_Toc169949376"/>
      <w:bookmarkStart w:id="43" w:name="_Toc131509421"/>
      <w:bookmarkStart w:id="44" w:name="_Toc64609375"/>
      <w:bookmarkStart w:id="45" w:name="_Toc131576783"/>
      <w:bookmarkStart w:id="46" w:name="_Toc64011749"/>
      <w:bookmarkStart w:id="47" w:name="_Toc144881205"/>
      <w:bookmarkStart w:id="48" w:name="_Toc77623398"/>
      <w:bookmarkStart w:id="49" w:name="_Toc64206415"/>
      <w:bookmarkStart w:id="50" w:name="_Toc64011092"/>
      <w:bookmarkStart w:id="51" w:name="_Toc131576352"/>
      <w:bookmarkStart w:id="52" w:name="_Toc169251687"/>
      <w:bookmarkStart w:id="53" w:name="_Toc152049124"/>
      <w:bookmarkStart w:id="54" w:name="_Toc132623774"/>
    </w:p>
    <w:p>
      <w:pPr>
        <w:pStyle w:val="Normal0"/>
        <w:tabs>
          <w:tab w:val="left" w:pos="2820"/>
        </w:tabs>
        <w:adjustRightInd w:val="0"/>
        <w:snapToGrid w:val="0"/>
        <w:spacing w:line="360" w:lineRule="auto"/>
        <w:ind w:firstLine="480" w:firstLineChars="200"/>
        <w:rPr>
          <w:rFonts w:hint="eastAsia"/>
          <w:sz w:val="24"/>
        </w:rPr>
        <w:sectPr>
          <w:headerReference w:type="even" r:id="rId125"/>
          <w:headerReference w:type="default" r:id="rId126"/>
          <w:footerReference w:type="even" r:id="rId127"/>
          <w:footerReference w:type="default" r:id="rId128"/>
          <w:headerReference w:type="first" r:id="rId129"/>
          <w:footerReference w:type="first" r:id="rId130"/>
          <w:type w:val="nextPage"/>
          <w:pgSz w:w="11906" w:h="16838"/>
          <w:pgMar w:top="1440" w:right="1797" w:bottom="1440" w:left="1797" w:header="851" w:footer="992" w:gutter="0"/>
          <w:pgNumType w:start="15"/>
          <w:cols w:num="1" w:space="425"/>
          <w:titlePg w:val="0"/>
          <w:docGrid w:linePitch="312" w:charSpace="0"/>
        </w:sectPr>
      </w:pPr>
      <w:r>
        <w:rPr>
          <w:rFonts w:hint="eastAsia"/>
          <w:sz w:val="24"/>
        </w:rPr>
        <w:t>本</w:t>
      </w:r>
      <w:r>
        <w:rPr>
          <w:rFonts w:hint="eastAsia"/>
          <w:sz w:val="24"/>
          <w:lang w:eastAsia="zh-CN"/>
        </w:rPr>
        <w:t>相关项目</w:t>
      </w:r>
      <w:r>
        <w:rPr>
          <w:rFonts w:hint="eastAsia"/>
          <w:sz w:val="24"/>
        </w:rPr>
        <w:t>设有一个地下车库，位于地下二层，面积25377平方米，设有1269个停车位。</w:t>
      </w:r>
    </w:p>
    <w:p>
      <w:pPr>
        <w:sectPr>
          <w:headerReference w:type="even" r:id="rId131"/>
          <w:headerReference w:type="default" r:id="rId132"/>
          <w:footerReference w:type="even" r:id="rId133"/>
          <w:footerReference w:type="default" r:id="rId134"/>
          <w:headerReference w:type="first" r:id="rId135"/>
          <w:footerReference w:type="first" r:id="rId136"/>
          <w:pgSz w:w="11906" w:h="16838"/>
          <w:pgMar w:top="1440" w:right="1797" w:bottom="1440" w:left="1797" w:header="851" w:footer="992" w:gutter="0"/>
          <w:pgNumType w:start="24"/>
          <w:cols w:num="1" w:space="425"/>
          <w:docGrid w:linePitch="312" w:charSpace="0"/>
        </w:sectPr>
      </w:pPr>
    </w:p>
    <w:p>
      <w:pPr>
        <w:pStyle w:val="Normal0"/>
        <w:tabs>
          <w:tab w:val="left" w:pos="2820"/>
        </w:tabs>
        <w:adjustRightInd w:val="0"/>
        <w:snapToGrid w:val="0"/>
        <w:spacing w:before="120" w:beforeLines="50" w:line="360" w:lineRule="auto"/>
        <w:ind w:firstLine="480" w:firstLineChars="200"/>
        <w:rPr>
          <w:sz w:val="24"/>
        </w:rPr>
      </w:pPr>
      <w:r>
        <w:rPr>
          <w:sz w:val="24"/>
        </w:rPr>
        <w:t>汽车进出车库时怠速或低速运转时产生汽车尾气，其主要污染物为CO、NO</w:t>
      </w:r>
      <w:r>
        <w:rPr>
          <w:sz w:val="24"/>
          <w:vertAlign w:val="subscript"/>
        </w:rPr>
        <w:t>X</w:t>
      </w:r>
      <w:r>
        <w:rPr>
          <w:sz w:val="24"/>
        </w:rPr>
        <w:t>、碳氢化合物。CO是汽油燃烧的产物；NO</w:t>
      </w:r>
      <w:r>
        <w:rPr>
          <w:sz w:val="24"/>
          <w:vertAlign w:val="subscript"/>
        </w:rPr>
        <w:t>X</w:t>
      </w:r>
      <w:r>
        <w:rPr>
          <w:sz w:val="24"/>
        </w:rPr>
        <w:t>是汽油爆裂时，进入的空气中氮与氧化合而成的产物；碳氢化合物是汽油不完全燃烧的产物。汽车污染物排放数据参数见表</w:t>
      </w:r>
      <w:r>
        <w:rPr>
          <w:rFonts w:hint="eastAsia"/>
          <w:sz w:val="24"/>
        </w:rPr>
        <w:t>5</w:t>
      </w:r>
      <w:r>
        <w:rPr>
          <w:sz w:val="24"/>
        </w:rPr>
        <w:t>：</w:t>
      </w:r>
    </w:p>
    <w:p>
      <w:pPr>
        <w:pStyle w:val="Normal0"/>
        <w:spacing w:line="360" w:lineRule="auto"/>
        <w:ind w:firstLine="472" w:firstLineChars="225"/>
        <w:jc w:val="center"/>
        <w:rPr>
          <w:rFonts w:eastAsia="黑体"/>
        </w:rPr>
      </w:pPr>
      <w:r>
        <w:rPr>
          <w:rFonts w:eastAsia="黑体"/>
        </w:rPr>
        <w:t>表</w:t>
      </w:r>
      <w:r>
        <w:rPr>
          <w:rFonts w:eastAsia="黑体" w:hint="eastAsia"/>
        </w:rPr>
        <w:t>5</w:t>
      </w:r>
      <w:r>
        <w:rPr>
          <w:rFonts w:eastAsia="黑体"/>
        </w:rPr>
        <w:t xml:space="preserve"> </w:t>
      </w:r>
      <w:r>
        <w:rPr>
          <w:rFonts w:eastAsia="黑体" w:hint="eastAsia"/>
        </w:rPr>
        <w:t xml:space="preserve"> </w:t>
      </w:r>
      <w:r>
        <w:rPr>
          <w:rFonts w:eastAsia="黑体"/>
        </w:rPr>
        <w:t xml:space="preserve"> </w:t>
      </w:r>
      <w:r>
        <w:rPr>
          <w:rFonts w:eastAsia="黑体" w:hint="eastAsia"/>
        </w:rPr>
        <w:t>工况法汽车污染物</w:t>
      </w:r>
      <w:r>
        <w:rPr>
          <w:rFonts w:eastAsia="黑体"/>
        </w:rPr>
        <w:t xml:space="preserve">排放值    单位：g/km </w:t>
      </w:r>
    </w:p>
    <w:tbl>
      <w:tblPr>
        <w:tblStyle w:val="TableNormal"/>
        <w:tblW w:w="4750" w:type="pct"/>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58"/>
        <w:gridCol w:w="1919"/>
        <w:gridCol w:w="1919"/>
        <w:gridCol w:w="1706"/>
      </w:tblGrid>
      <w:tr>
        <w:tblPrEx>
          <w:tblW w:w="4750" w:type="pct"/>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397"/>
          <w:jc w:val="center"/>
        </w:trPr>
        <w:tc>
          <w:tcPr>
            <w:tcW w:w="2582"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lang w:eastAsia="zh-CN"/>
              </w:rPr>
              <w:t>相关项目</w:t>
            </w:r>
          </w:p>
        </w:tc>
        <w:tc>
          <w:tcPr>
            <w:tcW w:w="1937" w:type="dxa"/>
            <w:tcBorders>
              <w:top w:val="single" w:sz="4" w:space="0" w:color="auto"/>
              <w:left w:val="single" w:sz="4" w:space="0" w:color="auto"/>
              <w:bottom w:val="single" w:sz="4" w:space="0" w:color="auto"/>
              <w:right w:val="single" w:sz="4" w:space="0" w:color="auto"/>
            </w:tcBorders>
            <w:vAlign w:val="center"/>
          </w:tcPr>
          <w:p>
            <w:pPr>
              <w:pStyle w:val="Normal0"/>
              <w:jc w:val="center"/>
            </w:pPr>
            <w:r>
              <w:t>CO</w:t>
            </w:r>
          </w:p>
        </w:tc>
        <w:tc>
          <w:tcPr>
            <w:tcW w:w="1937" w:type="dxa"/>
            <w:tcBorders>
              <w:top w:val="single" w:sz="4" w:space="0" w:color="auto"/>
              <w:left w:val="single" w:sz="4" w:space="0" w:color="auto"/>
              <w:bottom w:val="single" w:sz="4" w:space="0" w:color="auto"/>
              <w:right w:val="single" w:sz="4" w:space="0" w:color="auto"/>
            </w:tcBorders>
            <w:vAlign w:val="center"/>
          </w:tcPr>
          <w:p>
            <w:pPr>
              <w:pStyle w:val="Normal0"/>
              <w:jc w:val="center"/>
              <w:rPr>
                <w:vertAlign w:val="subscript"/>
              </w:rPr>
            </w:pPr>
            <w:r>
              <w:t>NO</w:t>
            </w:r>
            <w:r>
              <w:rPr>
                <w:vertAlign w:val="subscript"/>
              </w:rPr>
              <w:t>X</w:t>
            </w:r>
          </w:p>
        </w:tc>
        <w:tc>
          <w:tcPr>
            <w:tcW w:w="1721" w:type="dxa"/>
            <w:tcBorders>
              <w:top w:val="single" w:sz="4" w:space="0" w:color="auto"/>
              <w:left w:val="single" w:sz="4" w:space="0" w:color="auto"/>
              <w:bottom w:val="single" w:sz="4" w:space="0" w:color="auto"/>
              <w:right w:val="single" w:sz="4" w:space="0" w:color="auto"/>
            </w:tcBorders>
            <w:vAlign w:val="center"/>
          </w:tcPr>
          <w:p>
            <w:pPr>
              <w:pStyle w:val="Normal0"/>
              <w:jc w:val="center"/>
            </w:pPr>
            <w:r>
              <w:t>碳氢化合物</w:t>
            </w:r>
          </w:p>
        </w:tc>
      </w:tr>
      <w:tr>
        <w:tblPrEx>
          <w:tblW w:w="4750" w:type="pct"/>
          <w:jc w:val="center"/>
          <w:tblLayout w:type="fixed"/>
          <w:tblCellMar>
            <w:top w:w="0" w:type="dxa"/>
            <w:left w:w="108" w:type="dxa"/>
            <w:bottom w:w="0" w:type="dxa"/>
            <w:right w:w="108" w:type="dxa"/>
          </w:tblCellMar>
        </w:tblPrEx>
        <w:trPr>
          <w:trHeight w:val="397"/>
          <w:jc w:val="center"/>
        </w:trPr>
        <w:tc>
          <w:tcPr>
            <w:tcW w:w="2582"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rPr>
              <w:t>北京城区综合工况</w:t>
            </w:r>
          </w:p>
        </w:tc>
        <w:tc>
          <w:tcPr>
            <w:tcW w:w="1937"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rPr>
              <w:t>26.10</w:t>
            </w:r>
          </w:p>
        </w:tc>
        <w:tc>
          <w:tcPr>
            <w:tcW w:w="1937"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rPr>
              <w:t>0.85</w:t>
            </w:r>
          </w:p>
        </w:tc>
        <w:tc>
          <w:tcPr>
            <w:tcW w:w="1721"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rPr>
              <w:t>1.78</w:t>
            </w:r>
          </w:p>
        </w:tc>
      </w:tr>
    </w:tbl>
    <w:p>
      <w:pPr>
        <w:pStyle w:val="Normal0"/>
        <w:spacing w:line="360" w:lineRule="auto"/>
        <w:ind w:firstLine="480" w:firstLineChars="200"/>
        <w:rPr>
          <w:rFonts w:hint="eastAsia"/>
          <w:sz w:val="24"/>
        </w:rPr>
      </w:pPr>
      <w:r>
        <w:rPr>
          <w:sz w:val="24"/>
        </w:rPr>
        <w:t>地下车库设计有送排风系统，换气次数按照每小时6次，则需要换气量合计为</w:t>
      </w:r>
      <w:r>
        <w:rPr>
          <w:rFonts w:hint="eastAsia"/>
          <w:sz w:val="24"/>
        </w:rPr>
        <w:t>913572</w:t>
      </w:r>
      <w:r>
        <w:rPr>
          <w:sz w:val="24"/>
        </w:rPr>
        <w:t>m</w:t>
      </w:r>
      <w:r>
        <w:rPr>
          <w:sz w:val="24"/>
          <w:vertAlign w:val="superscript"/>
        </w:rPr>
        <w:t>3</w:t>
      </w:r>
      <w:r>
        <w:rPr>
          <w:sz w:val="24"/>
        </w:rPr>
        <w:t>/h，根据地下车库的布局和面积，设计</w:t>
      </w:r>
      <w:r>
        <w:rPr>
          <w:rFonts w:hint="eastAsia"/>
          <w:sz w:val="24"/>
        </w:rPr>
        <w:t>6</w:t>
      </w:r>
      <w:r>
        <w:rPr>
          <w:sz w:val="24"/>
        </w:rPr>
        <w:t>个进、排风口，</w:t>
      </w:r>
      <w:r>
        <w:rPr>
          <w:rFonts w:hint="eastAsia"/>
          <w:sz w:val="24"/>
        </w:rPr>
        <w:t>由于本车库为</w:t>
      </w:r>
      <w:r>
        <w:rPr>
          <w:rFonts w:hint="eastAsia"/>
          <w:sz w:val="24"/>
          <w:lang w:eastAsia="zh-CN"/>
        </w:rPr>
        <w:t>相关项目</w:t>
      </w:r>
      <w:r>
        <w:rPr>
          <w:rFonts w:hint="eastAsia"/>
          <w:sz w:val="24"/>
        </w:rPr>
        <w:t>配套使用，车辆进出地下车库主要在每天早上6:00至晚上10:00，这段时间需启动全部排风机进行通风换气。</w:t>
      </w:r>
    </w:p>
    <w:p>
      <w:pPr>
        <w:pStyle w:val="Normal0"/>
        <w:spacing w:line="360" w:lineRule="auto"/>
        <w:ind w:right="-109" w:firstLine="540" w:rightChars="-52" w:firstLineChars="225"/>
        <w:rPr>
          <w:rFonts w:hint="eastAsia"/>
          <w:sz w:val="24"/>
        </w:rPr>
      </w:pPr>
      <w:r>
        <w:rPr>
          <w:sz w:val="24"/>
        </w:rPr>
        <w:t>根据本</w:t>
      </w:r>
      <w:r>
        <w:rPr>
          <w:rFonts w:hint="eastAsia"/>
          <w:sz w:val="24"/>
          <w:lang w:eastAsia="zh-CN"/>
        </w:rPr>
        <w:t>相关项目</w:t>
      </w:r>
      <w:r>
        <w:rPr>
          <w:sz w:val="24"/>
        </w:rPr>
        <w:t>初步设计</w:t>
      </w:r>
      <w:r>
        <w:rPr>
          <w:rFonts w:hint="eastAsia"/>
          <w:sz w:val="24"/>
          <w:lang w:eastAsia="zh-CN"/>
        </w:rPr>
        <w:t>合适的方案</w:t>
      </w:r>
      <w:r>
        <w:rPr>
          <w:sz w:val="24"/>
        </w:rPr>
        <w:t>，</w:t>
      </w:r>
      <w:r>
        <w:rPr>
          <w:rFonts w:hint="eastAsia"/>
          <w:sz w:val="24"/>
          <w:lang w:eastAsia="zh-CN"/>
        </w:rPr>
        <w:t>相关项目</w:t>
      </w:r>
      <w:r>
        <w:rPr>
          <w:sz w:val="24"/>
        </w:rPr>
        <w:t>地下车库废气通过</w:t>
      </w:r>
      <w:r>
        <w:rPr>
          <w:rFonts w:hint="eastAsia"/>
          <w:sz w:val="24"/>
        </w:rPr>
        <w:t>百叶窗式</w:t>
      </w:r>
      <w:r>
        <w:rPr>
          <w:sz w:val="24"/>
        </w:rPr>
        <w:t>排气筒（</w:t>
      </w:r>
      <w:r>
        <w:rPr>
          <w:rFonts w:hint="eastAsia"/>
          <w:sz w:val="24"/>
        </w:rPr>
        <w:t>百叶窗下沿距地面</w:t>
      </w:r>
      <w:r>
        <w:rPr>
          <w:sz w:val="24"/>
        </w:rPr>
        <w:t>约2.5米）</w:t>
      </w:r>
      <w:r>
        <w:rPr>
          <w:rFonts w:hint="eastAsia"/>
          <w:sz w:val="24"/>
        </w:rPr>
        <w:t>排入大气中</w:t>
      </w:r>
      <w:r>
        <w:rPr>
          <w:sz w:val="24"/>
        </w:rPr>
        <w:t>。</w:t>
      </w:r>
    </w:p>
    <w:p>
      <w:pPr>
        <w:pStyle w:val="Normal0"/>
        <w:spacing w:line="360" w:lineRule="auto"/>
        <w:ind w:right="-109" w:firstLine="472" w:rightChars="-52" w:firstLineChars="225"/>
        <w:jc w:val="center"/>
        <w:rPr>
          <w:rFonts w:eastAsia="黑体"/>
        </w:rPr>
      </w:pPr>
      <w:r>
        <w:rPr>
          <w:rFonts w:eastAsia="黑体"/>
        </w:rPr>
        <w:t>表</w:t>
      </w:r>
      <w:r>
        <w:rPr>
          <w:rFonts w:eastAsia="黑体" w:hint="eastAsia"/>
        </w:rPr>
        <w:t>6</w:t>
      </w:r>
      <w:r>
        <w:rPr>
          <w:rFonts w:eastAsia="黑体"/>
        </w:rPr>
        <w:t xml:space="preserve">  正常情况下地下车库污染物排放情况</w:t>
      </w:r>
    </w:p>
    <w:p>
      <w:pPr>
        <w:pStyle w:val="Normal0"/>
        <w:spacing w:line="360" w:lineRule="auto"/>
        <w:ind w:firstLine="4462" w:firstLineChars="2125"/>
      </w:pPr>
      <w:r>
        <w:rPr>
          <w:rFonts w:eastAsia="黑体"/>
        </w:rPr>
        <w:t>单位：浓度mg/m</w:t>
      </w:r>
      <w:r>
        <w:rPr>
          <w:rFonts w:eastAsia="黑体"/>
          <w:vertAlign w:val="superscript"/>
        </w:rPr>
        <w:t>3</w:t>
      </w:r>
      <w:r>
        <w:rPr>
          <w:rFonts w:eastAsia="黑体"/>
        </w:rPr>
        <w:t>、速率kg/h、排放量kg/a</w:t>
      </w:r>
    </w:p>
    <w:tbl>
      <w:tblPr>
        <w:tblStyle w:val="TableNormal"/>
        <w:tblW w:w="8509"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1196"/>
        <w:gridCol w:w="785"/>
        <w:gridCol w:w="703"/>
        <w:gridCol w:w="938"/>
        <w:gridCol w:w="778"/>
        <w:gridCol w:w="699"/>
        <w:gridCol w:w="912"/>
        <w:gridCol w:w="832"/>
        <w:gridCol w:w="797"/>
        <w:gridCol w:w="869"/>
      </w:tblGrid>
      <w:tr>
        <w:tblPrEx>
          <w:tblW w:w="8509"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397"/>
          <w:jc w:val="center"/>
        </w:trPr>
        <w:tc>
          <w:tcPr>
            <w:tcW w:w="1196" w:type="dxa"/>
            <w:vMerge w:val="restart"/>
            <w:tcBorders>
              <w:top w:val="single" w:sz="4" w:space="0" w:color="auto"/>
              <w:left w:val="single" w:sz="4" w:space="0" w:color="auto"/>
              <w:bottom w:val="single" w:sz="4" w:space="0" w:color="auto"/>
              <w:right w:val="single" w:sz="4" w:space="0" w:color="auto"/>
            </w:tcBorders>
            <w:vAlign w:val="center"/>
          </w:tcPr>
          <w:p>
            <w:pPr>
              <w:pStyle w:val="a2"/>
              <w:rPr>
                <w:rFonts w:eastAsia="宋体" w:hint="eastAsia"/>
                <w:lang w:eastAsia="zh-CN"/>
              </w:rPr>
            </w:pPr>
            <w:r>
              <w:rPr>
                <w:rFonts w:hint="eastAsia"/>
                <w:lang w:eastAsia="zh-CN"/>
              </w:rPr>
              <w:t>相关项目</w:t>
            </w:r>
          </w:p>
        </w:tc>
        <w:tc>
          <w:tcPr>
            <w:tcW w:w="2426" w:type="dxa"/>
            <w:gridSpan w:val="3"/>
            <w:tcBorders>
              <w:top w:val="single" w:sz="4" w:space="0" w:color="auto"/>
              <w:left w:val="single" w:sz="4" w:space="0" w:color="auto"/>
              <w:bottom w:val="single" w:sz="4" w:space="0" w:color="auto"/>
              <w:right w:val="single" w:sz="4" w:space="0" w:color="auto"/>
            </w:tcBorders>
            <w:vAlign w:val="center"/>
          </w:tcPr>
          <w:p>
            <w:pPr>
              <w:pStyle w:val="Normal0"/>
              <w:jc w:val="center"/>
            </w:pPr>
            <w:r>
              <w:t>CO</w:t>
            </w:r>
          </w:p>
        </w:tc>
        <w:tc>
          <w:tcPr>
            <w:tcW w:w="2389" w:type="dxa"/>
            <w:gridSpan w:val="3"/>
            <w:tcBorders>
              <w:top w:val="single" w:sz="4" w:space="0" w:color="auto"/>
              <w:left w:val="single" w:sz="4" w:space="0" w:color="auto"/>
              <w:bottom w:val="single" w:sz="4" w:space="0" w:color="auto"/>
              <w:right w:val="single" w:sz="4" w:space="0" w:color="auto"/>
            </w:tcBorders>
            <w:vAlign w:val="center"/>
          </w:tcPr>
          <w:p>
            <w:pPr>
              <w:pStyle w:val="a2"/>
            </w:pPr>
            <w:r>
              <w:t>碳氢化合物</w:t>
            </w:r>
          </w:p>
        </w:tc>
        <w:tc>
          <w:tcPr>
            <w:tcW w:w="2498" w:type="dxa"/>
            <w:gridSpan w:val="3"/>
            <w:tcBorders>
              <w:top w:val="single" w:sz="4" w:space="0" w:color="auto"/>
              <w:left w:val="single" w:sz="4" w:space="0" w:color="auto"/>
              <w:bottom w:val="single" w:sz="4" w:space="0" w:color="auto"/>
              <w:right w:val="single" w:sz="4" w:space="0" w:color="auto"/>
            </w:tcBorders>
            <w:vAlign w:val="center"/>
          </w:tcPr>
          <w:p>
            <w:pPr>
              <w:pStyle w:val="Normal0"/>
              <w:jc w:val="center"/>
              <w:rPr>
                <w:vertAlign w:val="subscript"/>
              </w:rPr>
            </w:pPr>
            <w:r>
              <w:t>NO</w:t>
            </w:r>
            <w:r>
              <w:rPr>
                <w:vertAlign w:val="subscript"/>
              </w:rPr>
              <w:t>X</w:t>
            </w:r>
          </w:p>
        </w:tc>
      </w:tr>
      <w:tr>
        <w:tblPrEx>
          <w:tblW w:w="8509" w:type="dxa"/>
          <w:jc w:val="center"/>
          <w:tblLayout w:type="fixed"/>
          <w:tblCellMar>
            <w:top w:w="0" w:type="dxa"/>
            <w:left w:w="108" w:type="dxa"/>
            <w:bottom w:w="0" w:type="dxa"/>
            <w:right w:w="108" w:type="dxa"/>
          </w:tblCellMar>
        </w:tblPrEx>
        <w:trPr>
          <w:trHeight w:val="397"/>
          <w:jc w:val="center"/>
        </w:trPr>
        <w:tc>
          <w:tcPr>
            <w:tcW w:w="1196" w:type="dxa"/>
            <w:vMerge/>
            <w:tcBorders>
              <w:top w:val="single" w:sz="4" w:space="0" w:color="auto"/>
              <w:left w:val="single" w:sz="4" w:space="0" w:color="auto"/>
              <w:bottom w:val="single" w:sz="4" w:space="0" w:color="auto"/>
              <w:right w:val="single" w:sz="4" w:space="0" w:color="auto"/>
            </w:tcBorders>
            <w:vAlign w:val="center"/>
          </w:tcPr>
          <w:p>
            <w:pPr>
              <w:pStyle w:val="Normal0"/>
              <w:widowControl/>
            </w:pPr>
          </w:p>
        </w:tc>
        <w:tc>
          <w:tcPr>
            <w:tcW w:w="785" w:type="dxa"/>
            <w:tcBorders>
              <w:top w:val="single" w:sz="4" w:space="0" w:color="auto"/>
              <w:left w:val="single" w:sz="4" w:space="0" w:color="auto"/>
              <w:bottom w:val="single" w:sz="4" w:space="0" w:color="auto"/>
              <w:right w:val="single" w:sz="4" w:space="0" w:color="auto"/>
            </w:tcBorders>
            <w:vAlign w:val="center"/>
          </w:tcPr>
          <w:p>
            <w:pPr>
              <w:pStyle w:val="Normal0"/>
              <w:ind w:left="-200" w:firstLine="200" w:leftChars="-95" w:firstLineChars="95"/>
              <w:jc w:val="center"/>
            </w:pPr>
            <w:r>
              <w:t>浓度</w:t>
            </w:r>
          </w:p>
        </w:tc>
        <w:tc>
          <w:tcPr>
            <w:tcW w:w="703" w:type="dxa"/>
            <w:tcBorders>
              <w:top w:val="single" w:sz="4" w:space="0" w:color="auto"/>
              <w:left w:val="single" w:sz="4" w:space="0" w:color="auto"/>
              <w:bottom w:val="single" w:sz="4" w:space="0" w:color="auto"/>
              <w:right w:val="single" w:sz="4" w:space="0" w:color="auto"/>
            </w:tcBorders>
            <w:vAlign w:val="center"/>
          </w:tcPr>
          <w:p>
            <w:pPr>
              <w:pStyle w:val="Normal0"/>
              <w:jc w:val="center"/>
            </w:pPr>
            <w:r>
              <w:t>速率</w:t>
            </w:r>
          </w:p>
        </w:tc>
        <w:tc>
          <w:tcPr>
            <w:tcW w:w="938" w:type="dxa"/>
            <w:tcBorders>
              <w:top w:val="single" w:sz="4" w:space="0" w:color="auto"/>
              <w:left w:val="single" w:sz="4" w:space="0" w:color="auto"/>
              <w:bottom w:val="single" w:sz="4" w:space="0" w:color="auto"/>
              <w:right w:val="single" w:sz="4" w:space="0" w:color="auto"/>
            </w:tcBorders>
            <w:vAlign w:val="center"/>
          </w:tcPr>
          <w:p>
            <w:pPr>
              <w:pStyle w:val="Normal0"/>
              <w:jc w:val="center"/>
            </w:pPr>
            <w:r>
              <w:t>排放量</w:t>
            </w:r>
          </w:p>
        </w:tc>
        <w:tc>
          <w:tcPr>
            <w:tcW w:w="778" w:type="dxa"/>
            <w:tcBorders>
              <w:top w:val="single" w:sz="4" w:space="0" w:color="auto"/>
              <w:left w:val="single" w:sz="4" w:space="0" w:color="auto"/>
              <w:bottom w:val="single" w:sz="4" w:space="0" w:color="auto"/>
              <w:right w:val="single" w:sz="4" w:space="0" w:color="auto"/>
            </w:tcBorders>
            <w:vAlign w:val="center"/>
          </w:tcPr>
          <w:p>
            <w:pPr>
              <w:pStyle w:val="Normal0"/>
              <w:jc w:val="center"/>
            </w:pPr>
            <w:r>
              <w:t>浓度</w:t>
            </w:r>
          </w:p>
        </w:tc>
        <w:tc>
          <w:tcPr>
            <w:tcW w:w="699" w:type="dxa"/>
            <w:tcBorders>
              <w:top w:val="single" w:sz="4" w:space="0" w:color="auto"/>
              <w:left w:val="single" w:sz="4" w:space="0" w:color="auto"/>
              <w:bottom w:val="single" w:sz="4" w:space="0" w:color="auto"/>
              <w:right w:val="single" w:sz="4" w:space="0" w:color="auto"/>
            </w:tcBorders>
            <w:vAlign w:val="center"/>
          </w:tcPr>
          <w:p>
            <w:pPr>
              <w:pStyle w:val="Normal0"/>
              <w:jc w:val="center"/>
            </w:pPr>
            <w:r>
              <w:t>速率</w:t>
            </w:r>
          </w:p>
        </w:tc>
        <w:tc>
          <w:tcPr>
            <w:tcW w:w="912" w:type="dxa"/>
            <w:tcBorders>
              <w:top w:val="single" w:sz="4" w:space="0" w:color="auto"/>
              <w:left w:val="single" w:sz="4" w:space="0" w:color="auto"/>
              <w:bottom w:val="single" w:sz="4" w:space="0" w:color="auto"/>
              <w:right w:val="single" w:sz="4" w:space="0" w:color="auto"/>
            </w:tcBorders>
            <w:vAlign w:val="center"/>
          </w:tcPr>
          <w:p>
            <w:pPr>
              <w:pStyle w:val="Normal0"/>
              <w:jc w:val="center"/>
            </w:pPr>
            <w:r>
              <w:t>排放量</w:t>
            </w:r>
          </w:p>
        </w:tc>
        <w:tc>
          <w:tcPr>
            <w:tcW w:w="832" w:type="dxa"/>
            <w:tcBorders>
              <w:top w:val="single" w:sz="4" w:space="0" w:color="auto"/>
              <w:left w:val="single" w:sz="4" w:space="0" w:color="auto"/>
              <w:bottom w:val="single" w:sz="4" w:space="0" w:color="auto"/>
              <w:right w:val="single" w:sz="4" w:space="0" w:color="auto"/>
            </w:tcBorders>
            <w:vAlign w:val="center"/>
          </w:tcPr>
          <w:p>
            <w:pPr>
              <w:pStyle w:val="Normal0"/>
              <w:jc w:val="center"/>
            </w:pPr>
            <w:r>
              <w:t>浓度</w:t>
            </w:r>
          </w:p>
        </w:tc>
        <w:tc>
          <w:tcPr>
            <w:tcW w:w="797" w:type="dxa"/>
            <w:tcBorders>
              <w:top w:val="single" w:sz="4" w:space="0" w:color="auto"/>
              <w:left w:val="single" w:sz="4" w:space="0" w:color="auto"/>
              <w:bottom w:val="single" w:sz="4" w:space="0" w:color="auto"/>
              <w:right w:val="single" w:sz="4" w:space="0" w:color="auto"/>
            </w:tcBorders>
            <w:vAlign w:val="center"/>
          </w:tcPr>
          <w:p>
            <w:pPr>
              <w:pStyle w:val="Normal0"/>
              <w:jc w:val="center"/>
            </w:pPr>
            <w:r>
              <w:t>速率</w:t>
            </w:r>
          </w:p>
        </w:tc>
        <w:tc>
          <w:tcPr>
            <w:tcW w:w="869" w:type="dxa"/>
            <w:tcBorders>
              <w:top w:val="single" w:sz="4" w:space="0" w:color="auto"/>
              <w:left w:val="single" w:sz="4" w:space="0" w:color="auto"/>
              <w:bottom w:val="single" w:sz="4" w:space="0" w:color="auto"/>
              <w:right w:val="single" w:sz="4" w:space="0" w:color="auto"/>
            </w:tcBorders>
            <w:vAlign w:val="center"/>
          </w:tcPr>
          <w:p>
            <w:pPr>
              <w:pStyle w:val="Normal0"/>
              <w:jc w:val="center"/>
            </w:pPr>
            <w:r>
              <w:t>排放量</w:t>
            </w:r>
          </w:p>
        </w:tc>
      </w:tr>
      <w:tr>
        <w:tblPrEx>
          <w:tblW w:w="8509" w:type="dxa"/>
          <w:jc w:val="center"/>
          <w:tblLayout w:type="fixed"/>
          <w:tblCellMar>
            <w:top w:w="0" w:type="dxa"/>
            <w:left w:w="108" w:type="dxa"/>
            <w:bottom w:w="0" w:type="dxa"/>
            <w:right w:w="108" w:type="dxa"/>
          </w:tblCellMar>
        </w:tblPrEx>
        <w:trPr>
          <w:trHeight w:val="397"/>
          <w:jc w:val="center"/>
        </w:trPr>
        <w:tc>
          <w:tcPr>
            <w:tcW w:w="1196" w:type="dxa"/>
            <w:tcBorders>
              <w:top w:val="single" w:sz="4" w:space="0" w:color="auto"/>
              <w:left w:val="single" w:sz="4" w:space="0" w:color="auto"/>
              <w:bottom w:val="single" w:sz="4" w:space="0" w:color="auto"/>
              <w:right w:val="single" w:sz="4" w:space="0" w:color="auto"/>
            </w:tcBorders>
            <w:vAlign w:val="center"/>
          </w:tcPr>
          <w:p>
            <w:pPr>
              <w:pStyle w:val="a2"/>
            </w:pPr>
            <w:r>
              <w:t>地下车库</w:t>
            </w:r>
          </w:p>
        </w:tc>
        <w:tc>
          <w:tcPr>
            <w:tcW w:w="785"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rPr>
              <w:t>0.906</w:t>
            </w:r>
          </w:p>
        </w:tc>
        <w:tc>
          <w:tcPr>
            <w:tcW w:w="703"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rPr>
              <w:t>0.103</w:t>
            </w:r>
          </w:p>
        </w:tc>
        <w:tc>
          <w:tcPr>
            <w:tcW w:w="938"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rPr>
              <w:t>4835.65</w:t>
            </w:r>
          </w:p>
        </w:tc>
        <w:tc>
          <w:tcPr>
            <w:tcW w:w="778"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highlight w:val="red"/>
              </w:rPr>
            </w:pPr>
            <w:r>
              <w:rPr>
                <w:rFonts w:hint="eastAsia"/>
              </w:rPr>
              <w:t>0.062</w:t>
            </w:r>
          </w:p>
        </w:tc>
        <w:tc>
          <w:tcPr>
            <w:tcW w:w="699"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highlight w:val="red"/>
              </w:rPr>
            </w:pPr>
            <w:r>
              <w:rPr>
                <w:rFonts w:hint="eastAsia"/>
              </w:rPr>
              <w:t>0.007</w:t>
            </w:r>
          </w:p>
        </w:tc>
        <w:tc>
          <w:tcPr>
            <w:tcW w:w="912"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rPr>
            </w:pPr>
            <w:r>
              <w:rPr>
                <w:rFonts w:hint="eastAsia"/>
              </w:rPr>
              <w:t>329.79</w:t>
            </w:r>
          </w:p>
        </w:tc>
        <w:tc>
          <w:tcPr>
            <w:tcW w:w="832"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highlight w:val="red"/>
              </w:rPr>
            </w:pPr>
            <w:r>
              <w:rPr>
                <w:rFonts w:hint="eastAsia"/>
              </w:rPr>
              <w:t>0.030</w:t>
            </w:r>
          </w:p>
        </w:tc>
        <w:tc>
          <w:tcPr>
            <w:tcW w:w="797"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highlight w:val="red"/>
              </w:rPr>
            </w:pPr>
            <w:r>
              <w:rPr>
                <w:rFonts w:hint="eastAsia"/>
              </w:rPr>
              <w:t>0.0034</w:t>
            </w:r>
          </w:p>
        </w:tc>
        <w:tc>
          <w:tcPr>
            <w:tcW w:w="869" w:type="dxa"/>
            <w:tcBorders>
              <w:top w:val="single" w:sz="4" w:space="0" w:color="auto"/>
              <w:left w:val="single" w:sz="4" w:space="0" w:color="auto"/>
              <w:bottom w:val="single" w:sz="4" w:space="0" w:color="auto"/>
              <w:right w:val="single" w:sz="4" w:space="0" w:color="auto"/>
            </w:tcBorders>
            <w:vAlign w:val="center"/>
          </w:tcPr>
          <w:p>
            <w:pPr>
              <w:pStyle w:val="Normal0"/>
              <w:jc w:val="center"/>
              <w:rPr>
                <w:rFonts w:hint="eastAsia"/>
                <w:highlight w:val="red"/>
              </w:rPr>
            </w:pPr>
            <w:r>
              <w:rPr>
                <w:rFonts w:hint="eastAsia"/>
              </w:rPr>
              <w:t>157.48</w:t>
            </w:r>
          </w:p>
        </w:tc>
      </w:tr>
      <w:tr>
        <w:tblPrEx>
          <w:tblW w:w="8509" w:type="dxa"/>
          <w:jc w:val="center"/>
          <w:tblLayout w:type="fixed"/>
          <w:tblCellMar>
            <w:top w:w="0" w:type="dxa"/>
            <w:left w:w="108" w:type="dxa"/>
            <w:bottom w:w="0" w:type="dxa"/>
            <w:right w:w="108" w:type="dxa"/>
          </w:tblCellMar>
        </w:tblPrEx>
        <w:trPr>
          <w:trHeight w:val="397"/>
          <w:jc w:val="center"/>
        </w:trPr>
        <w:tc>
          <w:tcPr>
            <w:tcW w:w="1196" w:type="dxa"/>
            <w:tcBorders>
              <w:top w:val="single" w:sz="4" w:space="0" w:color="auto"/>
              <w:left w:val="single" w:sz="4" w:space="0" w:color="auto"/>
              <w:bottom w:val="single" w:sz="4" w:space="0" w:color="auto"/>
              <w:right w:val="single" w:sz="4" w:space="0" w:color="auto"/>
            </w:tcBorders>
            <w:vAlign w:val="center"/>
          </w:tcPr>
          <w:p>
            <w:pPr>
              <w:pStyle w:val="Normal0"/>
              <w:jc w:val="center"/>
            </w:pPr>
            <w:r>
              <w:t>标准</w:t>
            </w:r>
          </w:p>
        </w:tc>
        <w:tc>
          <w:tcPr>
            <w:tcW w:w="785" w:type="dxa"/>
            <w:tcBorders>
              <w:top w:val="single" w:sz="4" w:space="0" w:color="auto"/>
              <w:left w:val="single" w:sz="4" w:space="0" w:color="auto"/>
              <w:bottom w:val="single" w:sz="4" w:space="0" w:color="auto"/>
              <w:right w:val="single" w:sz="4" w:space="0" w:color="auto"/>
            </w:tcBorders>
            <w:vAlign w:val="center"/>
          </w:tcPr>
          <w:p>
            <w:pPr>
              <w:pStyle w:val="Normal0"/>
              <w:jc w:val="center"/>
            </w:pPr>
            <w:r>
              <w:t>15</w:t>
            </w:r>
          </w:p>
        </w:tc>
        <w:tc>
          <w:tcPr>
            <w:tcW w:w="703" w:type="dxa"/>
            <w:tcBorders>
              <w:top w:val="single" w:sz="4" w:space="0" w:color="auto"/>
              <w:left w:val="single" w:sz="4" w:space="0" w:color="auto"/>
              <w:bottom w:val="single" w:sz="4" w:space="0" w:color="auto"/>
              <w:right w:val="single" w:sz="4" w:space="0" w:color="auto"/>
            </w:tcBorders>
            <w:vAlign w:val="center"/>
          </w:tcPr>
          <w:p>
            <w:pPr>
              <w:pStyle w:val="Normal0"/>
              <w:jc w:val="center"/>
            </w:pPr>
            <w:r>
              <w:t>0.153</w:t>
            </w:r>
          </w:p>
        </w:tc>
        <w:tc>
          <w:tcPr>
            <w:tcW w:w="938" w:type="dxa"/>
            <w:tcBorders>
              <w:top w:val="single" w:sz="4" w:space="0" w:color="auto"/>
              <w:left w:val="single" w:sz="4" w:space="0" w:color="auto"/>
              <w:bottom w:val="single" w:sz="4" w:space="0" w:color="auto"/>
              <w:right w:val="single" w:sz="4" w:space="0" w:color="auto"/>
            </w:tcBorders>
            <w:vAlign w:val="center"/>
          </w:tcPr>
          <w:p>
            <w:pPr>
              <w:pStyle w:val="Normal0"/>
              <w:jc w:val="center"/>
            </w:pPr>
            <w:r>
              <w:t>--</w:t>
            </w:r>
          </w:p>
        </w:tc>
        <w:tc>
          <w:tcPr>
            <w:tcW w:w="778" w:type="dxa"/>
            <w:tcBorders>
              <w:top w:val="single" w:sz="4" w:space="0" w:color="auto"/>
              <w:left w:val="single" w:sz="4" w:space="0" w:color="auto"/>
              <w:bottom w:val="single" w:sz="4" w:space="0" w:color="auto"/>
              <w:right w:val="single" w:sz="4" w:space="0" w:color="auto"/>
            </w:tcBorders>
            <w:vAlign w:val="center"/>
          </w:tcPr>
          <w:p>
            <w:pPr>
              <w:pStyle w:val="Normal0"/>
              <w:jc w:val="center"/>
            </w:pPr>
            <w:r>
              <w:t>10</w:t>
            </w:r>
          </w:p>
        </w:tc>
        <w:tc>
          <w:tcPr>
            <w:tcW w:w="699" w:type="dxa"/>
            <w:tcBorders>
              <w:top w:val="single" w:sz="4" w:space="0" w:color="auto"/>
              <w:left w:val="single" w:sz="4" w:space="0" w:color="auto"/>
              <w:bottom w:val="single" w:sz="4" w:space="0" w:color="auto"/>
              <w:right w:val="single" w:sz="4" w:space="0" w:color="auto"/>
            </w:tcBorders>
            <w:vAlign w:val="center"/>
          </w:tcPr>
          <w:p>
            <w:pPr>
              <w:pStyle w:val="Normal0"/>
              <w:jc w:val="center"/>
            </w:pPr>
            <w:r>
              <w:t>0.088</w:t>
            </w:r>
          </w:p>
        </w:tc>
        <w:tc>
          <w:tcPr>
            <w:tcW w:w="912" w:type="dxa"/>
            <w:tcBorders>
              <w:top w:val="single" w:sz="4" w:space="0" w:color="auto"/>
              <w:left w:val="single" w:sz="4" w:space="0" w:color="auto"/>
              <w:bottom w:val="single" w:sz="4" w:space="0" w:color="auto"/>
              <w:right w:val="single" w:sz="4" w:space="0" w:color="auto"/>
            </w:tcBorders>
            <w:vAlign w:val="center"/>
          </w:tcPr>
          <w:p>
            <w:pPr>
              <w:pStyle w:val="Normal0"/>
              <w:jc w:val="center"/>
            </w:pPr>
            <w:r>
              <w:t>--</w:t>
            </w:r>
          </w:p>
        </w:tc>
        <w:tc>
          <w:tcPr>
            <w:tcW w:w="832" w:type="dxa"/>
            <w:tcBorders>
              <w:top w:val="single" w:sz="4" w:space="0" w:color="auto"/>
              <w:left w:val="single" w:sz="4" w:space="0" w:color="auto"/>
              <w:bottom w:val="single" w:sz="4" w:space="0" w:color="auto"/>
              <w:right w:val="single" w:sz="4" w:space="0" w:color="auto"/>
            </w:tcBorders>
            <w:vAlign w:val="center"/>
          </w:tcPr>
          <w:p>
            <w:pPr>
              <w:pStyle w:val="Normal0"/>
              <w:jc w:val="center"/>
            </w:pPr>
            <w:r>
              <w:t>0.6</w:t>
            </w:r>
          </w:p>
        </w:tc>
        <w:tc>
          <w:tcPr>
            <w:tcW w:w="797" w:type="dxa"/>
            <w:tcBorders>
              <w:top w:val="single" w:sz="4" w:space="0" w:color="auto"/>
              <w:left w:val="single" w:sz="4" w:space="0" w:color="auto"/>
              <w:bottom w:val="single" w:sz="4" w:space="0" w:color="auto"/>
              <w:right w:val="single" w:sz="4" w:space="0" w:color="auto"/>
            </w:tcBorders>
            <w:vAlign w:val="center"/>
          </w:tcPr>
          <w:p>
            <w:pPr>
              <w:pStyle w:val="Normal0"/>
              <w:jc w:val="center"/>
            </w:pPr>
            <w:r>
              <w:t>0.007</w:t>
            </w:r>
          </w:p>
        </w:tc>
        <w:tc>
          <w:tcPr>
            <w:tcW w:w="869" w:type="dxa"/>
            <w:tcBorders>
              <w:top w:val="single" w:sz="4" w:space="0" w:color="auto"/>
              <w:left w:val="single" w:sz="4" w:space="0" w:color="auto"/>
              <w:bottom w:val="single" w:sz="4" w:space="0" w:color="auto"/>
              <w:right w:val="single" w:sz="4" w:space="0" w:color="auto"/>
            </w:tcBorders>
            <w:vAlign w:val="center"/>
          </w:tcPr>
          <w:p>
            <w:pPr>
              <w:pStyle w:val="Normal0"/>
              <w:jc w:val="center"/>
            </w:pPr>
            <w:r>
              <w:t>--</w:t>
            </w:r>
          </w:p>
        </w:tc>
      </w:tr>
      <w:tr>
        <w:tblPrEx>
          <w:tblW w:w="8509" w:type="dxa"/>
          <w:jc w:val="center"/>
          <w:tblLayout w:type="fixed"/>
          <w:tblCellMar>
            <w:top w:w="0" w:type="dxa"/>
            <w:left w:w="108" w:type="dxa"/>
            <w:bottom w:w="0" w:type="dxa"/>
            <w:right w:w="108" w:type="dxa"/>
          </w:tblCellMar>
        </w:tblPrEx>
        <w:trPr>
          <w:trHeight w:val="397"/>
          <w:jc w:val="center"/>
        </w:trPr>
        <w:tc>
          <w:tcPr>
            <w:tcW w:w="8509" w:type="dxa"/>
            <w:gridSpan w:val="10"/>
            <w:tcBorders>
              <w:top w:val="single" w:sz="4" w:space="0" w:color="auto"/>
              <w:left w:val="single" w:sz="4" w:space="0" w:color="auto"/>
              <w:bottom w:val="single" w:sz="4" w:space="0" w:color="auto"/>
              <w:right w:val="single" w:sz="4" w:space="0" w:color="auto"/>
            </w:tcBorders>
            <w:vAlign w:val="center"/>
          </w:tcPr>
          <w:p>
            <w:pPr>
              <w:pStyle w:val="Normal0"/>
              <w:ind w:left="850" w:hanging="850" w:hangingChars="405"/>
            </w:pPr>
            <w:r>
              <w:t>备注：地下车库汽车的流动量按设计车位数量上每个车位的汽车出入车库一次计算；</w:t>
            </w:r>
          </w:p>
          <w:p>
            <w:pPr>
              <w:pStyle w:val="Normal0"/>
              <w:ind w:left="756" w:hanging="116" w:leftChars="305" w:hangingChars="55"/>
            </w:pPr>
            <w:r>
              <w:t>排放速率为每个排气筒的排放速率，排放量为</w:t>
            </w:r>
            <w:r>
              <w:rPr>
                <w:rFonts w:hint="eastAsia"/>
              </w:rPr>
              <w:t>6</w:t>
            </w:r>
            <w:r>
              <w:t>个排放口总的排放量。</w:t>
            </w:r>
          </w:p>
        </w:tc>
      </w:tr>
    </w:tbl>
    <w:p>
      <w:pPr>
        <w:pStyle w:val="Normal0"/>
        <w:spacing w:before="120" w:beforeLines="50" w:line="360" w:lineRule="auto"/>
        <w:ind w:firstLine="360" w:firstLineChars="150"/>
        <w:rPr>
          <w:rFonts w:eastAsia="黑体" w:hint="eastAsia"/>
          <w:sz w:val="24"/>
        </w:rPr>
      </w:pPr>
      <w:r>
        <w:rPr>
          <w:rFonts w:eastAsia="黑体"/>
          <w:sz w:val="24"/>
        </w:rPr>
        <w:t>（二）水污染源分析</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pPr>
        <w:pStyle w:val="Normal0"/>
        <w:spacing w:line="360" w:lineRule="auto"/>
        <w:ind w:firstLine="480" w:firstLineChars="200"/>
        <w:rPr>
          <w:b/>
          <w:bCs/>
          <w:sz w:val="24"/>
        </w:rPr>
      </w:pPr>
      <w:r>
        <w:rPr>
          <w:b/>
          <w:bCs/>
          <w:sz w:val="24"/>
        </w:rPr>
        <w:t>1、拟建</w:t>
      </w:r>
      <w:r>
        <w:rPr>
          <w:rFonts w:hint="eastAsia"/>
          <w:b/>
          <w:bCs/>
          <w:sz w:val="24"/>
          <w:lang w:eastAsia="zh-CN"/>
        </w:rPr>
        <w:t>相关项目</w:t>
      </w:r>
      <w:r>
        <w:rPr>
          <w:b/>
          <w:bCs/>
          <w:sz w:val="24"/>
        </w:rPr>
        <w:t>用水量及排水量估算</w:t>
      </w:r>
    </w:p>
    <w:p>
      <w:pPr>
        <w:pStyle w:val="Normal0"/>
        <w:spacing w:line="360" w:lineRule="auto"/>
        <w:ind w:firstLine="480" w:firstLineChars="200"/>
        <w:rPr>
          <w:rFonts w:hint="eastAsia"/>
          <w:sz w:val="24"/>
        </w:rPr>
      </w:pPr>
      <w:r>
        <w:rPr>
          <w:rFonts w:hint="eastAsia"/>
          <w:sz w:val="24"/>
        </w:rPr>
        <w:t>本</w:t>
      </w:r>
      <w:r>
        <w:rPr>
          <w:rFonts w:hint="eastAsia"/>
          <w:sz w:val="24"/>
          <w:lang w:eastAsia="zh-CN"/>
        </w:rPr>
        <w:t>相关项目</w:t>
      </w:r>
      <w:r>
        <w:rPr>
          <w:rFonts w:hint="eastAsia"/>
          <w:sz w:val="24"/>
        </w:rPr>
        <w:t>建设</w:t>
      </w:r>
      <w:r>
        <w:rPr>
          <w:rFonts w:hint="eastAsia"/>
          <w:sz w:val="24"/>
          <w:lang w:eastAsia="zh-CN"/>
        </w:rPr>
        <w:t>合适的内容</w:t>
      </w:r>
      <w:r>
        <w:rPr>
          <w:rFonts w:hint="eastAsia"/>
          <w:sz w:val="24"/>
        </w:rPr>
        <w:t>为住宅及配套公建，</w:t>
      </w:r>
      <w:r>
        <w:rPr>
          <w:sz w:val="24"/>
        </w:rPr>
        <w:t>住宅部分</w:t>
      </w:r>
      <w:r>
        <w:rPr>
          <w:rFonts w:hint="eastAsia"/>
          <w:sz w:val="24"/>
        </w:rPr>
        <w:t>用</w:t>
      </w:r>
      <w:r>
        <w:rPr>
          <w:sz w:val="24"/>
        </w:rPr>
        <w:t>水量的预测按照</w:t>
      </w:r>
      <w:r>
        <w:rPr>
          <w:rFonts w:hint="eastAsia"/>
          <w:sz w:val="24"/>
        </w:rPr>
        <w:t>《城市居民生活用水量标准》（GB/T50331-2002）</w:t>
      </w:r>
      <w:r>
        <w:rPr>
          <w:sz w:val="24"/>
        </w:rPr>
        <w:t>北京</w:t>
      </w:r>
      <w:r>
        <w:rPr>
          <w:rFonts w:hint="eastAsia"/>
          <w:sz w:val="24"/>
        </w:rPr>
        <w:t>市适用</w:t>
      </w:r>
      <w:r>
        <w:rPr>
          <w:sz w:val="24"/>
        </w:rPr>
        <w:t>的人均用水量8</w:t>
      </w:r>
      <w:r>
        <w:rPr>
          <w:rFonts w:hint="eastAsia"/>
          <w:sz w:val="24"/>
        </w:rPr>
        <w:t>5</w:t>
      </w:r>
      <w:r>
        <w:rPr>
          <w:sz w:val="24"/>
        </w:rPr>
        <w:t>~</w:t>
      </w:r>
      <w:r>
        <w:rPr>
          <w:rFonts w:hint="eastAsia"/>
          <w:sz w:val="24"/>
        </w:rPr>
        <w:t>140</w:t>
      </w:r>
      <w:r>
        <w:rPr>
          <w:sz w:val="24"/>
        </w:rPr>
        <w:t>L/人·d，本</w:t>
      </w:r>
      <w:r>
        <w:rPr>
          <w:rFonts w:hint="eastAsia"/>
          <w:sz w:val="24"/>
          <w:lang w:eastAsia="zh-CN"/>
        </w:rPr>
        <w:t>相关项目</w:t>
      </w:r>
      <w:r>
        <w:rPr>
          <w:sz w:val="24"/>
        </w:rPr>
        <w:t>取</w:t>
      </w:r>
      <w:r>
        <w:rPr>
          <w:rFonts w:hint="eastAsia"/>
          <w:sz w:val="24"/>
        </w:rPr>
        <w:t>140</w:t>
      </w:r>
      <w:r>
        <w:rPr>
          <w:sz w:val="24"/>
        </w:rPr>
        <w:t>L/</w:t>
      </w:r>
      <w:r>
        <w:rPr>
          <w:rFonts w:ascii="宋体" w:hAnsi="宋体"/>
          <w:sz w:val="24"/>
        </w:rPr>
        <w:t>d</w:t>
      </w:r>
      <w:r>
        <w:rPr>
          <w:sz w:val="24"/>
        </w:rPr>
        <w:t>·人</w:t>
      </w:r>
      <w:r>
        <w:rPr>
          <w:rFonts w:hint="eastAsia"/>
          <w:sz w:val="24"/>
        </w:rPr>
        <w:t>，其中已包含住宅冲厕中水用水量40L/人</w:t>
      </w:r>
      <w:r>
        <w:rPr>
          <w:sz w:val="24"/>
        </w:rPr>
        <w:t>·</w:t>
      </w:r>
      <w:r>
        <w:rPr>
          <w:rFonts w:hint="eastAsia"/>
          <w:sz w:val="24"/>
        </w:rPr>
        <w:t>d，故住宅部分人均自来水用水量为100</w:t>
      </w:r>
      <w:r>
        <w:rPr>
          <w:sz w:val="24"/>
        </w:rPr>
        <w:t xml:space="preserve"> L/</w:t>
      </w:r>
      <w:r>
        <w:rPr>
          <w:rFonts w:ascii="宋体" w:hAnsi="宋体"/>
          <w:sz w:val="24"/>
        </w:rPr>
        <w:t>d</w:t>
      </w:r>
      <w:r>
        <w:rPr>
          <w:sz w:val="24"/>
        </w:rPr>
        <w:t>·人</w:t>
      </w:r>
      <w:r>
        <w:rPr>
          <w:rFonts w:hint="eastAsia"/>
          <w:sz w:val="24"/>
        </w:rPr>
        <w:t>。配套公建用水量参照《城市给水工程规划规范》（GB50282-98）中0.50~1.00万m</w:t>
      </w:r>
      <w:r>
        <w:rPr>
          <w:rFonts w:hint="eastAsia"/>
          <w:sz w:val="24"/>
          <w:vertAlign w:val="superscript"/>
        </w:rPr>
        <w:t>3</w:t>
      </w:r>
      <w:r>
        <w:rPr>
          <w:rFonts w:hint="eastAsia"/>
          <w:sz w:val="24"/>
        </w:rPr>
        <w:t>/km</w:t>
      </w:r>
      <w:r>
        <w:rPr>
          <w:rFonts w:hint="eastAsia"/>
          <w:sz w:val="24"/>
          <w:vertAlign w:val="superscript"/>
        </w:rPr>
        <w:t>2</w:t>
      </w:r>
      <w:r>
        <w:rPr>
          <w:sz w:val="24"/>
        </w:rPr>
        <w:t>·</w:t>
      </w:r>
      <w:r>
        <w:rPr>
          <w:rFonts w:hint="eastAsia"/>
          <w:sz w:val="24"/>
        </w:rPr>
        <w:t>d，本</w:t>
      </w:r>
      <w:r>
        <w:rPr>
          <w:rFonts w:hint="eastAsia"/>
          <w:sz w:val="24"/>
          <w:lang w:eastAsia="zh-CN"/>
        </w:rPr>
        <w:t>相关项目</w:t>
      </w:r>
      <w:r>
        <w:rPr>
          <w:rFonts w:hint="eastAsia"/>
          <w:sz w:val="24"/>
        </w:rPr>
        <w:t>取0.50万m</w:t>
      </w:r>
      <w:r>
        <w:rPr>
          <w:rFonts w:hint="eastAsia"/>
          <w:sz w:val="24"/>
          <w:vertAlign w:val="superscript"/>
        </w:rPr>
        <w:t>3</w:t>
      </w:r>
      <w:r>
        <w:rPr>
          <w:rFonts w:hint="eastAsia"/>
          <w:sz w:val="24"/>
        </w:rPr>
        <w:t>/km</w:t>
      </w:r>
      <w:r>
        <w:rPr>
          <w:rFonts w:hint="eastAsia"/>
          <w:sz w:val="24"/>
          <w:vertAlign w:val="superscript"/>
        </w:rPr>
        <w:t>2</w:t>
      </w:r>
      <w:r>
        <w:rPr>
          <w:sz w:val="24"/>
        </w:rPr>
        <w:t>·</w:t>
      </w:r>
      <w:r>
        <w:rPr>
          <w:rFonts w:hint="eastAsia"/>
          <w:sz w:val="24"/>
        </w:rPr>
        <w:t>d，即5L/m</w:t>
      </w:r>
      <w:r>
        <w:rPr>
          <w:rFonts w:hint="eastAsia"/>
          <w:sz w:val="24"/>
          <w:vertAlign w:val="superscript"/>
        </w:rPr>
        <w:t>2</w:t>
      </w:r>
      <w:r>
        <w:rPr>
          <w:sz w:val="24"/>
        </w:rPr>
        <w:t>·</w:t>
      </w:r>
      <w:r>
        <w:rPr>
          <w:rFonts w:hint="eastAsia"/>
          <w:sz w:val="24"/>
        </w:rPr>
        <w:t>d，</w:t>
      </w:r>
      <w:r>
        <w:rPr>
          <w:sz w:val="24"/>
        </w:rPr>
        <w:t>则</w:t>
      </w:r>
      <w:r>
        <w:rPr>
          <w:rFonts w:hint="eastAsia"/>
          <w:sz w:val="24"/>
          <w:lang w:eastAsia="zh-CN"/>
        </w:rPr>
        <w:t>相关项目</w:t>
      </w:r>
      <w:r>
        <w:rPr>
          <w:sz w:val="24"/>
        </w:rPr>
        <w:t>用水量预测指标详见表</w:t>
      </w:r>
      <w:r>
        <w:rPr>
          <w:rFonts w:hint="eastAsia"/>
          <w:sz w:val="24"/>
        </w:rPr>
        <w:t>7，本</w:t>
      </w:r>
      <w:r>
        <w:rPr>
          <w:rFonts w:hint="eastAsia"/>
          <w:sz w:val="24"/>
          <w:lang w:eastAsia="zh-CN"/>
        </w:rPr>
        <w:t>相关项目</w:t>
      </w:r>
      <w:r>
        <w:rPr>
          <w:rFonts w:hint="eastAsia"/>
          <w:sz w:val="24"/>
        </w:rPr>
        <w:t>平均日新鲜水用水总量为</w:t>
      </w:r>
      <w:r>
        <w:rPr>
          <w:sz w:val="24"/>
        </w:rPr>
        <w:t>559.7 m</w:t>
      </w:r>
      <w:r>
        <w:rPr>
          <w:sz w:val="24"/>
          <w:vertAlign w:val="superscript"/>
        </w:rPr>
        <w:t>3</w:t>
      </w:r>
      <w:r>
        <w:rPr>
          <w:sz w:val="24"/>
        </w:rPr>
        <w:t>，年用水</w:t>
      </w:r>
      <w:r>
        <w:rPr>
          <w:rFonts w:hint="eastAsia"/>
          <w:sz w:val="24"/>
        </w:rPr>
        <w:t>总</w:t>
      </w:r>
      <w:r>
        <w:rPr>
          <w:sz w:val="24"/>
        </w:rPr>
        <w:t>量为</w:t>
      </w:r>
      <w:r>
        <w:rPr>
          <w:rFonts w:hint="eastAsia"/>
          <w:sz w:val="24"/>
        </w:rPr>
        <w:t>20.43</w:t>
      </w:r>
      <w:r>
        <w:rPr>
          <w:sz w:val="24"/>
        </w:rPr>
        <w:t>万m</w:t>
      </w:r>
      <w:r>
        <w:rPr>
          <w:sz w:val="24"/>
          <w:vertAlign w:val="superscript"/>
        </w:rPr>
        <w:t>3</w:t>
      </w:r>
      <w:r>
        <w:rPr>
          <w:rFonts w:hint="eastAsia"/>
          <w:sz w:val="24"/>
        </w:rPr>
        <w:t>。</w:t>
      </w:r>
    </w:p>
    <w:p>
      <w:pPr>
        <w:pStyle w:val="Normal0"/>
        <w:snapToGrid w:val="0"/>
        <w:spacing w:after="120" w:afterLines="50"/>
        <w:jc w:val="center"/>
        <w:rPr>
          <w:rFonts w:eastAsia="黑体" w:hint="eastAsia"/>
          <w:szCs w:val="21"/>
        </w:rPr>
        <w:sectPr>
          <w:headerReference w:type="even" r:id="rId137"/>
          <w:headerReference w:type="default" r:id="rId138"/>
          <w:footerReference w:type="even" r:id="rId139"/>
          <w:footerReference w:type="default" r:id="rId140"/>
          <w:headerReference w:type="first" r:id="rId141"/>
          <w:footerReference w:type="first" r:id="rId142"/>
          <w:type w:val="nextPage"/>
          <w:pgSz w:w="11906" w:h="16838"/>
          <w:pgMar w:top="1440" w:right="1797" w:bottom="1440" w:left="1797" w:header="851" w:footer="992" w:gutter="0"/>
          <w:pgNumType w:start="16"/>
          <w:cols w:num="1" w:space="425"/>
          <w:titlePg w:val="0"/>
          <w:docGrid w:linePitch="312" w:charSpace="0"/>
        </w:sectPr>
      </w:pPr>
      <w:r>
        <w:rPr>
          <w:rFonts w:eastAsia="黑体"/>
          <w:szCs w:val="21"/>
        </w:rPr>
        <w:t>表</w:t>
      </w:r>
      <w:r>
        <w:rPr>
          <w:rFonts w:eastAsia="黑体" w:hint="eastAsia"/>
          <w:szCs w:val="21"/>
        </w:rPr>
        <w:t>7</w:t>
      </w:r>
      <w:r>
        <w:rPr>
          <w:rFonts w:eastAsia="黑体"/>
          <w:szCs w:val="21"/>
        </w:rPr>
        <w:t xml:space="preserve"> </w:t>
      </w:r>
      <w:r>
        <w:rPr>
          <w:rFonts w:eastAsia="黑体" w:hint="eastAsia"/>
          <w:szCs w:val="21"/>
        </w:rPr>
        <w:t>本</w:t>
      </w:r>
      <w:r>
        <w:rPr>
          <w:rFonts w:eastAsia="黑体" w:hint="eastAsia"/>
          <w:szCs w:val="21"/>
          <w:lang w:eastAsia="zh-CN"/>
        </w:rPr>
        <w:t>相关项目</w:t>
      </w:r>
      <w:r>
        <w:rPr>
          <w:rFonts w:eastAsia="黑体"/>
          <w:szCs w:val="21"/>
        </w:rPr>
        <w:t>用水量预测表</w:t>
      </w:r>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3" w:history="1">
        <w:r>
          <w:rPr>
            <w:rFonts w:ascii="SimSun" w:eastAsia="SimSun" w:hAnsi="SimSun" w:cs="SimSun"/>
            <w:b/>
            <w:bCs/>
            <w:color w:val="0000EE"/>
            <w:kern w:val="0"/>
            <w:sz w:val="30"/>
            <w:szCs w:val="30"/>
            <w:u w:val="single" w:color="0000EE"/>
          </w:rPr>
          <w:t>https://d.book118.com/045034031202011113</w:t>
        </w:r>
      </w:hyperlink>
    </w:p>
    <w:p/>
    <w:sectPr>
      <w:headerReference w:type="even" r:id="rId144"/>
      <w:headerReference w:type="default" r:id="rId145"/>
      <w:footerReference w:type="even" r:id="rId146"/>
      <w:footerReference w:type="default" r:id="rId147"/>
      <w:headerReference w:type="first" r:id="rId148"/>
      <w:footerReference w:type="first" r:id="rId149"/>
      <w:pgSz w:w="11906" w:h="16838"/>
      <w:pgMar w:top="1440" w:right="1797" w:bottom="1440" w:left="1797" w:header="851" w:footer="992" w:gutter="0"/>
      <w:pgNumType w:start="24"/>
      <w:cols w:num="1" w:space="425"/>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II</w:t>
    </w:r>
    <w:r>
      <w:rPr>
        <w:rStyle w:val="PageNumber"/>
      </w:rPr>
      <w:fldChar w:fldCharType="end"/>
    </w:r>
  </w:p>
  <w:p>
    <w:pPr>
      <w:pStyle w:val="Footer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pPr>
      <w:pStyle w:val="Footer0"/>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pPr>
      <w:pStyle w:val="Footer0"/>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pPr>
      <w:pStyle w:val="Footer0"/>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pPr>
      <w:pStyle w:val="Footer0"/>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pPr>
      <w:pStyle w:val="Footer0"/>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pPr>
      <w:pStyle w:val="Footer0"/>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pPr>
      <w:pStyle w:val="Footer0"/>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pPr>
      <w:pStyle w:val="Footer0"/>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pPr>
      <w:pStyle w:val="Footer0"/>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pPr>
      <w:pStyle w:val="Footer0"/>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pPr>
      <w:pStyle w:val="Footer0"/>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pPr>
      <w:pStyle w:val="Footer0"/>
      <w:rPr>
        <w:rFonts w:hint="eastAsia"/>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pPr>
      <w:pStyle w:val="Footer0"/>
      <w:rPr>
        <w:rFonts w:hint="eastAsia"/>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24</w:t>
                </w:r>
                <w:r>
                  <w:fldChar w:fldCharType="end"/>
                </w:r>
                <w:r>
                  <w:rPr>
                    <w:rFonts w:hint="eastAsia"/>
                  </w:rPr>
                  <w:t xml:space="preserve"> 页</w:t>
                </w:r>
              </w:p>
            </w:txbxContent>
          </v:textbox>
          <w10:wrap anchorx="margin"/>
        </v:shape>
      </w:pict>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pPr>
      <w:pStyle w:val="Footer0"/>
      <w:rPr>
        <w:rFonts w:hint="eastAsia"/>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24</w:t>
                </w:r>
                <w:r>
                  <w:fldChar w:fldCharType="end"/>
                </w:r>
                <w:r>
                  <w:rPr>
                    <w:rFonts w:hint="eastAsia"/>
                  </w:rPr>
                  <w:t xml:space="preserve"> 页</w:t>
                </w:r>
              </w:p>
            </w:txbxContent>
          </v:textbox>
          <w10:wrap anchorx="margin"/>
        </v:shape>
      </w:pict>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pPr>
      <w:pStyle w:val="Footer0"/>
      <w:rPr>
        <w:rFonts w:hint="eastAsia"/>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24</w:t>
                </w:r>
                <w:r>
                  <w:fldChar w:fldCharType="end"/>
                </w:r>
                <w:r>
                  <w:rPr>
                    <w:rFonts w:hint="eastAsia"/>
                  </w:rPr>
                  <w:t xml:space="preserve"> 页</w:t>
                </w:r>
              </w:p>
            </w:txbxContent>
          </v:textbox>
          <w10:wrap anchorx="margin"/>
        </v:shape>
      </w:pict>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pPr>
      <w:pStyle w:val="Footer0"/>
      <w:rPr>
        <w:rFonts w:hint="eastAsia"/>
      </w:rP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Footer0"/>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2050"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24</w:t>
                </w:r>
                <w:r>
                  <w:fldChar w:fldCharType="end"/>
                </w:r>
                <w:r>
                  <w:rPr>
                    <w:rFonts w:hint="eastAsia"/>
                  </w:rPr>
                  <w:t xml:space="preserve"> 页</w:t>
                </w:r>
              </w:p>
            </w:txbxContent>
          </v:textbox>
          <w10:wrap anchorx="margin"/>
        </v:shape>
      </w:pict>
    </w: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Bdr>
        <w:bottom w:val="none" w:sz="0" w:space="0" w:color="auto"/>
      </w:pBdr>
    </w:pP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24</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2376"/>
    <w:rsid w:val="00004FDC"/>
    <w:rsid w:val="000061BC"/>
    <w:rsid w:val="0006114D"/>
    <w:rsid w:val="00061C62"/>
    <w:rsid w:val="000700BD"/>
    <w:rsid w:val="000B2E44"/>
    <w:rsid w:val="000B5083"/>
    <w:rsid w:val="000E3B33"/>
    <w:rsid w:val="00112A30"/>
    <w:rsid w:val="00117C87"/>
    <w:rsid w:val="00121E6C"/>
    <w:rsid w:val="00131887"/>
    <w:rsid w:val="00133F6A"/>
    <w:rsid w:val="0014369A"/>
    <w:rsid w:val="001469C5"/>
    <w:rsid w:val="0015262C"/>
    <w:rsid w:val="00170E8F"/>
    <w:rsid w:val="001724A0"/>
    <w:rsid w:val="00187B30"/>
    <w:rsid w:val="00195811"/>
    <w:rsid w:val="001A3173"/>
    <w:rsid w:val="001B54A7"/>
    <w:rsid w:val="001D20CB"/>
    <w:rsid w:val="001D6035"/>
    <w:rsid w:val="001E42CD"/>
    <w:rsid w:val="0022318F"/>
    <w:rsid w:val="00232563"/>
    <w:rsid w:val="002361FE"/>
    <w:rsid w:val="00244284"/>
    <w:rsid w:val="0024619C"/>
    <w:rsid w:val="00252B25"/>
    <w:rsid w:val="00254892"/>
    <w:rsid w:val="00285E5F"/>
    <w:rsid w:val="00295F92"/>
    <w:rsid w:val="002A5865"/>
    <w:rsid w:val="002C2D8D"/>
    <w:rsid w:val="002E4116"/>
    <w:rsid w:val="002F37CF"/>
    <w:rsid w:val="00303697"/>
    <w:rsid w:val="00307258"/>
    <w:rsid w:val="0031770D"/>
    <w:rsid w:val="0034708E"/>
    <w:rsid w:val="00353FF3"/>
    <w:rsid w:val="00364412"/>
    <w:rsid w:val="003659B7"/>
    <w:rsid w:val="00374B5B"/>
    <w:rsid w:val="00385801"/>
    <w:rsid w:val="003905E6"/>
    <w:rsid w:val="003E079E"/>
    <w:rsid w:val="003E4592"/>
    <w:rsid w:val="003F6785"/>
    <w:rsid w:val="0040056D"/>
    <w:rsid w:val="00405BDE"/>
    <w:rsid w:val="00435FD3"/>
    <w:rsid w:val="00441175"/>
    <w:rsid w:val="0044632E"/>
    <w:rsid w:val="004728CD"/>
    <w:rsid w:val="00473A8E"/>
    <w:rsid w:val="0048596E"/>
    <w:rsid w:val="00486502"/>
    <w:rsid w:val="004B5620"/>
    <w:rsid w:val="004B6D89"/>
    <w:rsid w:val="004E49CF"/>
    <w:rsid w:val="004E4F36"/>
    <w:rsid w:val="004E5733"/>
    <w:rsid w:val="004E7924"/>
    <w:rsid w:val="0050278C"/>
    <w:rsid w:val="005072CB"/>
    <w:rsid w:val="0051236E"/>
    <w:rsid w:val="005207BE"/>
    <w:rsid w:val="005306D2"/>
    <w:rsid w:val="00537FAA"/>
    <w:rsid w:val="00546110"/>
    <w:rsid w:val="005579B0"/>
    <w:rsid w:val="005937AB"/>
    <w:rsid w:val="005B57CB"/>
    <w:rsid w:val="005C0E70"/>
    <w:rsid w:val="005C2849"/>
    <w:rsid w:val="005E33E6"/>
    <w:rsid w:val="00604BBF"/>
    <w:rsid w:val="00615ED3"/>
    <w:rsid w:val="0063648E"/>
    <w:rsid w:val="006426D4"/>
    <w:rsid w:val="006462B8"/>
    <w:rsid w:val="00646989"/>
    <w:rsid w:val="0064769F"/>
    <w:rsid w:val="00650DFD"/>
    <w:rsid w:val="006616B8"/>
    <w:rsid w:val="00673585"/>
    <w:rsid w:val="00684181"/>
    <w:rsid w:val="00687FE0"/>
    <w:rsid w:val="006A3F65"/>
    <w:rsid w:val="006A6535"/>
    <w:rsid w:val="006C27CA"/>
    <w:rsid w:val="006D33D6"/>
    <w:rsid w:val="006E3284"/>
    <w:rsid w:val="006E4EC4"/>
    <w:rsid w:val="006E696D"/>
    <w:rsid w:val="007039CF"/>
    <w:rsid w:val="00706635"/>
    <w:rsid w:val="0071224E"/>
    <w:rsid w:val="007444AF"/>
    <w:rsid w:val="00745F42"/>
    <w:rsid w:val="00761A6E"/>
    <w:rsid w:val="007624DD"/>
    <w:rsid w:val="00762D99"/>
    <w:rsid w:val="007B0FE4"/>
    <w:rsid w:val="007B146E"/>
    <w:rsid w:val="007B29FC"/>
    <w:rsid w:val="007B76B0"/>
    <w:rsid w:val="007D1BB9"/>
    <w:rsid w:val="007D3873"/>
    <w:rsid w:val="007D68C2"/>
    <w:rsid w:val="007E14F4"/>
    <w:rsid w:val="007E42E0"/>
    <w:rsid w:val="007F288B"/>
    <w:rsid w:val="007F7876"/>
    <w:rsid w:val="00802B5D"/>
    <w:rsid w:val="00824D35"/>
    <w:rsid w:val="00826469"/>
    <w:rsid w:val="00851FF4"/>
    <w:rsid w:val="008716CA"/>
    <w:rsid w:val="008723E3"/>
    <w:rsid w:val="008940CE"/>
    <w:rsid w:val="008A0183"/>
    <w:rsid w:val="008B05B2"/>
    <w:rsid w:val="008C11C7"/>
    <w:rsid w:val="008E34E3"/>
    <w:rsid w:val="008E4F71"/>
    <w:rsid w:val="009017A1"/>
    <w:rsid w:val="009079B1"/>
    <w:rsid w:val="00911E47"/>
    <w:rsid w:val="00917CE5"/>
    <w:rsid w:val="009425DD"/>
    <w:rsid w:val="009541AD"/>
    <w:rsid w:val="0096188A"/>
    <w:rsid w:val="00984D18"/>
    <w:rsid w:val="0098553B"/>
    <w:rsid w:val="009A2E02"/>
    <w:rsid w:val="009B143B"/>
    <w:rsid w:val="009D6E5A"/>
    <w:rsid w:val="009E5A52"/>
    <w:rsid w:val="00A01286"/>
    <w:rsid w:val="00A13241"/>
    <w:rsid w:val="00A2014B"/>
    <w:rsid w:val="00A23219"/>
    <w:rsid w:val="00A540F6"/>
    <w:rsid w:val="00A976B8"/>
    <w:rsid w:val="00AB319C"/>
    <w:rsid w:val="00AB3EEF"/>
    <w:rsid w:val="00AB478D"/>
    <w:rsid w:val="00AC1E27"/>
    <w:rsid w:val="00AC4FC7"/>
    <w:rsid w:val="00AD5DFB"/>
    <w:rsid w:val="00B0081A"/>
    <w:rsid w:val="00B15E66"/>
    <w:rsid w:val="00B2258C"/>
    <w:rsid w:val="00B237F8"/>
    <w:rsid w:val="00B24585"/>
    <w:rsid w:val="00B31E3A"/>
    <w:rsid w:val="00B404F6"/>
    <w:rsid w:val="00B42703"/>
    <w:rsid w:val="00B5082A"/>
    <w:rsid w:val="00B60712"/>
    <w:rsid w:val="00B70919"/>
    <w:rsid w:val="00B75DEC"/>
    <w:rsid w:val="00B83010"/>
    <w:rsid w:val="00B905D5"/>
    <w:rsid w:val="00BC51F1"/>
    <w:rsid w:val="00BD24C4"/>
    <w:rsid w:val="00BD5405"/>
    <w:rsid w:val="00BD722F"/>
    <w:rsid w:val="00BE0D0D"/>
    <w:rsid w:val="00C00FE3"/>
    <w:rsid w:val="00C150E3"/>
    <w:rsid w:val="00C1729B"/>
    <w:rsid w:val="00C17F5F"/>
    <w:rsid w:val="00C3480A"/>
    <w:rsid w:val="00C374C8"/>
    <w:rsid w:val="00C53E46"/>
    <w:rsid w:val="00C82CCA"/>
    <w:rsid w:val="00C90336"/>
    <w:rsid w:val="00C931D6"/>
    <w:rsid w:val="00C950BC"/>
    <w:rsid w:val="00CA1731"/>
    <w:rsid w:val="00CA1AE0"/>
    <w:rsid w:val="00CA3063"/>
    <w:rsid w:val="00CA5C78"/>
    <w:rsid w:val="00CE4AE7"/>
    <w:rsid w:val="00CE674A"/>
    <w:rsid w:val="00CF645F"/>
    <w:rsid w:val="00D02104"/>
    <w:rsid w:val="00D15A2B"/>
    <w:rsid w:val="00D16826"/>
    <w:rsid w:val="00D17BE1"/>
    <w:rsid w:val="00D21054"/>
    <w:rsid w:val="00D32F00"/>
    <w:rsid w:val="00D3496E"/>
    <w:rsid w:val="00D442EA"/>
    <w:rsid w:val="00D52F49"/>
    <w:rsid w:val="00D70CBD"/>
    <w:rsid w:val="00D86F25"/>
    <w:rsid w:val="00D94783"/>
    <w:rsid w:val="00D97713"/>
    <w:rsid w:val="00DA5463"/>
    <w:rsid w:val="00DB010E"/>
    <w:rsid w:val="00DB4C6E"/>
    <w:rsid w:val="00DC032C"/>
    <w:rsid w:val="00DC7419"/>
    <w:rsid w:val="00DD03FF"/>
    <w:rsid w:val="00DD43D5"/>
    <w:rsid w:val="00DD6EBE"/>
    <w:rsid w:val="00DE399A"/>
    <w:rsid w:val="00DE70F6"/>
    <w:rsid w:val="00E063E4"/>
    <w:rsid w:val="00E105BC"/>
    <w:rsid w:val="00E15654"/>
    <w:rsid w:val="00E157C1"/>
    <w:rsid w:val="00E16272"/>
    <w:rsid w:val="00E24B09"/>
    <w:rsid w:val="00E44FBE"/>
    <w:rsid w:val="00E4635E"/>
    <w:rsid w:val="00E71236"/>
    <w:rsid w:val="00E73211"/>
    <w:rsid w:val="00E82718"/>
    <w:rsid w:val="00E9784C"/>
    <w:rsid w:val="00EB4E72"/>
    <w:rsid w:val="00EB56E6"/>
    <w:rsid w:val="00EC5C1B"/>
    <w:rsid w:val="00ED3C59"/>
    <w:rsid w:val="00EE557C"/>
    <w:rsid w:val="00EF34AA"/>
    <w:rsid w:val="00EF4DB5"/>
    <w:rsid w:val="00F04EA9"/>
    <w:rsid w:val="00F10DE8"/>
    <w:rsid w:val="00F17018"/>
    <w:rsid w:val="00F2648E"/>
    <w:rsid w:val="00F3406D"/>
    <w:rsid w:val="00F36C3D"/>
    <w:rsid w:val="00F56845"/>
    <w:rsid w:val="00F66F37"/>
    <w:rsid w:val="00F84BF2"/>
    <w:rsid w:val="00FA0604"/>
    <w:rsid w:val="00FB0406"/>
    <w:rsid w:val="00FC25C7"/>
    <w:rsid w:val="00FE005B"/>
    <w:rsid w:val="00FE08FF"/>
    <w:rsid w:val="00FE13EE"/>
    <w:rsid w:val="00FF4976"/>
    <w:rsid w:val="1B775F20"/>
    <w:rsid w:val="49B755B6"/>
    <w:rsid w:val="53D629E8"/>
    <w:rsid w:val="54DB397E"/>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39" w:unhideWhenUsed="0"/>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paragraph" w:styleId="Heading2">
    <w:name w:val="heading 2"/>
    <w:basedOn w:val="Normal"/>
    <w:next w:val="Normal0"/>
    <w:qFormat/>
    <w:pPr>
      <w:keepNext/>
      <w:keepLines/>
      <w:spacing w:before="360" w:after="120" w:line="415" w:lineRule="auto"/>
      <w:outlineLvl w:val="1"/>
    </w:pPr>
    <w:rPr>
      <w:rFonts w:ascii="Arial" w:eastAsia="黑体" w:hAnsi="Arial"/>
      <w:b/>
      <w:bCs/>
      <w:sz w:val="32"/>
      <w:szCs w:val="32"/>
    </w:rPr>
  </w:style>
  <w:style w:type="paragraph" w:styleId="Heading3">
    <w:name w:val="heading 3"/>
    <w:basedOn w:val="Normal"/>
    <w:next w:val="Normal0"/>
    <w:link w:val="CharChar2"/>
    <w:qFormat/>
    <w:pPr>
      <w:keepNext/>
      <w:keepLines/>
      <w:spacing w:before="360" w:after="120" w:line="415" w:lineRule="auto"/>
      <w:outlineLvl w:val="2"/>
    </w:pPr>
    <w:rPr>
      <w:rFonts w:ascii="Times New Roman" w:hAnsi="Times New Roman"/>
      <w:b/>
      <w:bCs/>
      <w:sz w:val="28"/>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customStyle="1" w:styleId="Normal0">
    <w:name w:val="Normal_0"/>
    <w:autoRedefine/>
    <w:qFormat/>
    <w:pPr>
      <w:widowControl w:val="0"/>
      <w:jc w:val="both"/>
    </w:pPr>
    <w:rPr>
      <w:rFonts w:ascii="Times New Roman" w:eastAsia="宋体" w:hAnsi="Times New Roman" w:cstheme="minorBidi"/>
      <w:kern w:val="2"/>
      <w:sz w:val="21"/>
      <w:szCs w:val="24"/>
      <w:lang w:val="en-US" w:eastAsia="zh-CN" w:bidi="ar-SA"/>
    </w:rPr>
  </w:style>
  <w:style w:type="paragraph" w:styleId="NormalIndent">
    <w:name w:val="Normal Indent"/>
    <w:basedOn w:val="Normal"/>
    <w:link w:val="Char"/>
    <w:pPr>
      <w:adjustRightInd w:val="0"/>
      <w:snapToGrid w:val="0"/>
      <w:spacing w:line="360" w:lineRule="auto"/>
      <w:ind w:firstLine="200" w:firstLineChars="200"/>
    </w:pPr>
    <w:rPr>
      <w:rFonts w:ascii="宋体" w:hAnsi="宋体"/>
      <w:sz w:val="24"/>
      <w:szCs w:val="20"/>
    </w:rPr>
  </w:style>
  <w:style w:type="paragraph" w:styleId="BodyTextIndent">
    <w:name w:val="Body Text Indent"/>
    <w:basedOn w:val="Normal"/>
    <w:pPr>
      <w:spacing w:after="120"/>
      <w:ind w:left="420" w:leftChars="200"/>
    </w:pPr>
    <w:rPr>
      <w:rFonts w:ascii="Times New Roman" w:hAnsi="Times New Roman"/>
      <w:szCs w:val="24"/>
    </w:rPr>
  </w:style>
  <w:style w:type="paragraph" w:styleId="TOC3">
    <w:name w:val="toc 3"/>
    <w:basedOn w:val="Normal"/>
    <w:next w:val="Normal0"/>
    <w:autoRedefine/>
    <w:uiPriority w:val="39"/>
    <w:pPr>
      <w:tabs>
        <w:tab w:val="left" w:pos="1134"/>
        <w:tab w:val="right" w:leader="dot" w:pos="8222"/>
      </w:tabs>
      <w:ind w:firstLine="566" w:firstLineChars="236"/>
    </w:pPr>
    <w:rPr>
      <w:rFonts w:ascii="Times New Roman" w:hAnsi="Times New Roman"/>
      <w:szCs w:val="24"/>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Normal"/>
    <w:next w:val="Normal0"/>
    <w:autoRedefine/>
    <w:uiPriority w:val="39"/>
    <w:pPr>
      <w:tabs>
        <w:tab w:val="left" w:pos="567"/>
        <w:tab w:val="right" w:leader="dot" w:pos="8222"/>
      </w:tabs>
      <w:spacing w:line="360" w:lineRule="auto"/>
      <w:ind w:firstLine="4" w:firstLineChars="2"/>
    </w:pPr>
    <w:rPr>
      <w:rFonts w:ascii="Times New Roman" w:hAnsi="Times New Roman"/>
      <w:bCs/>
      <w:sz w:val="22"/>
      <w:szCs w:val="24"/>
    </w:rPr>
  </w:style>
  <w:style w:type="character" w:styleId="PageNumber">
    <w:name w:val="page number"/>
    <w:basedOn w:val="DefaultParagraphFont"/>
    <w:qFormat/>
  </w:style>
  <w:style w:type="character" w:styleId="Hyperlink">
    <w:name w:val="Hyperlink"/>
    <w:uiPriority w:val="99"/>
    <w:rPr>
      <w:rFonts w:ascii="宋体" w:eastAsia="宋体" w:hAnsi="宋体" w:cs="宋体"/>
      <w:color w:val="0000FF"/>
      <w:kern w:val="2"/>
      <w:sz w:val="24"/>
      <w:szCs w:val="24"/>
      <w:u w:val="single"/>
      <w:lang w:val="en-US" w:eastAsia="zh-CN" w:bidi="ar-SA"/>
    </w:rPr>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Footer0">
    <w:name w:val="Footer_0"/>
    <w:basedOn w:val="Normal0"/>
    <w:link w:val="CharChar1"/>
    <w:pPr>
      <w:tabs>
        <w:tab w:val="center" w:pos="4153"/>
        <w:tab w:val="right" w:pos="8306"/>
      </w:tabs>
      <w:snapToGrid w:val="0"/>
      <w:jc w:val="left"/>
    </w:pPr>
    <w:rPr>
      <w:sz w:val="18"/>
      <w:szCs w:val="18"/>
    </w:rPr>
  </w:style>
  <w:style w:type="character" w:customStyle="1" w:styleId="CharChar1">
    <w:name w:val=" Char Char1"/>
    <w:link w:val="Footer0"/>
    <w:qFormat/>
    <w:rPr>
      <w:kern w:val="2"/>
      <w:sz w:val="18"/>
      <w:szCs w:val="18"/>
    </w:rPr>
  </w:style>
  <w:style w:type="character" w:customStyle="1" w:styleId="Char">
    <w:name w:val="表正文 Char"/>
    <w:link w:val="NormalIndent"/>
    <w:autoRedefine/>
    <w:qFormat/>
    <w:rPr>
      <w:rFonts w:ascii="宋体" w:hAnsi="宋体"/>
      <w:kern w:val="2"/>
      <w:sz w:val="24"/>
    </w:rPr>
  </w:style>
  <w:style w:type="paragraph" w:customStyle="1" w:styleId="a">
    <w:name w:val="报告"/>
    <w:basedOn w:val="BodyTextIndent"/>
    <w:qFormat/>
    <w:pPr>
      <w:spacing w:after="0" w:line="480" w:lineRule="atLeast"/>
      <w:ind w:left="0" w:firstLine="200" w:leftChars="0" w:firstLineChars="200"/>
    </w:pPr>
    <w:rPr>
      <w:kern w:val="0"/>
      <w:sz w:val="24"/>
    </w:rPr>
  </w:style>
  <w:style w:type="character" w:customStyle="1" w:styleId="CharChar2">
    <w:name w:val=" Char Char2"/>
    <w:link w:val="Heading3"/>
    <w:rPr>
      <w:b/>
      <w:bCs/>
      <w:kern w:val="2"/>
      <w:sz w:val="28"/>
      <w:szCs w:val="32"/>
    </w:rPr>
  </w:style>
  <w:style w:type="paragraph" w:customStyle="1" w:styleId="a0">
    <w:name w:val="报告书"/>
    <w:basedOn w:val="Normal"/>
    <w:pPr>
      <w:spacing w:line="360" w:lineRule="auto"/>
      <w:ind w:firstLine="482"/>
    </w:pPr>
    <w:rPr>
      <w:rFonts w:ascii="Times New Roman" w:hAnsi="Times New Roman"/>
      <w:sz w:val="24"/>
      <w:szCs w:val="24"/>
    </w:rPr>
  </w:style>
  <w:style w:type="paragraph" w:customStyle="1" w:styleId="a1">
    <w:name w:val="中文报告书样式"/>
    <w:basedOn w:val="Normal"/>
    <w:autoRedefine/>
    <w:qFormat/>
    <w:pPr>
      <w:adjustRightInd w:val="0"/>
      <w:snapToGrid w:val="0"/>
      <w:spacing w:line="360" w:lineRule="auto"/>
      <w:ind w:firstLine="480" w:firstLineChars="200"/>
      <w:textAlignment w:val="baseline"/>
    </w:pPr>
    <w:rPr>
      <w:rFonts w:ascii="Times New Roman" w:hAnsi="Times New Roman"/>
      <w:kern w:val="24"/>
      <w:sz w:val="24"/>
      <w:szCs w:val="20"/>
    </w:rPr>
  </w:style>
  <w:style w:type="paragraph" w:customStyle="1" w:styleId="a2">
    <w:name w:val="图表头"/>
    <w:basedOn w:val="Normal"/>
    <w:autoRedefine/>
    <w:qFormat/>
    <w:pPr>
      <w:tabs>
        <w:tab w:val="left" w:pos="770"/>
      </w:tabs>
      <w:spacing w:line="360" w:lineRule="auto"/>
      <w:jc w:val="center"/>
    </w:pPr>
    <w:rPr>
      <w:rFonts w:ascii="Times New Roman" w:hAnsi="Times New Roman"/>
      <w:color w:val="000000"/>
      <w:szCs w:val="20"/>
    </w:rPr>
  </w:style>
  <w:style w:type="paragraph" w:customStyle="1" w:styleId="a3">
    <w:name w:val="表文"/>
    <w:basedOn w:val="Normal"/>
    <w:pPr>
      <w:spacing w:line="320" w:lineRule="atLeast"/>
    </w:pPr>
    <w:rPr>
      <w:rFonts w:ascii="Times New Roman" w:hAnsi="Times New Roman"/>
      <w:sz w:val="24"/>
      <w:szCs w:val="24"/>
    </w:rPr>
  </w:style>
  <w:style w:type="paragraph" w:customStyle="1" w:styleId="a4">
    <w:name w:val="图表名"/>
    <w:basedOn w:val="Normal"/>
    <w:autoRedefine/>
    <w:qFormat/>
    <w:pPr>
      <w:spacing w:before="120" w:after="120"/>
      <w:ind w:right="420"/>
      <w:jc w:val="center"/>
    </w:pPr>
    <w:rPr>
      <w:rFonts w:ascii="Times New Roman" w:eastAsia="黑体" w:hAnsi="Times New Roman"/>
      <w:szCs w:val="21"/>
    </w:rPr>
  </w:style>
  <w:style w:type="paragraph" w:customStyle="1" w:styleId="a5">
    <w:name w:val="中文报告书"/>
    <w:basedOn w:val="Normal"/>
    <w:autoRedefine/>
    <w:pPr>
      <w:adjustRightInd w:val="0"/>
      <w:spacing w:line="480" w:lineRule="atLeast"/>
      <w:ind w:firstLine="200" w:firstLineChars="200"/>
      <w:textAlignment w:val="baseline"/>
    </w:pPr>
    <w:rPr>
      <w:rFonts w:ascii="Times New Roman" w:hAnsi="Times New Roman"/>
      <w:kern w:val="24"/>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5.xml" /><Relationship Id="rId101" Type="http://schemas.openxmlformats.org/officeDocument/2006/relationships/header" Target="header46.xml" /><Relationship Id="rId102" Type="http://schemas.openxmlformats.org/officeDocument/2006/relationships/header" Target="header47.xml" /><Relationship Id="rId103" Type="http://schemas.openxmlformats.org/officeDocument/2006/relationships/footer" Target="footer46.xml" /><Relationship Id="rId104" Type="http://schemas.openxmlformats.org/officeDocument/2006/relationships/footer" Target="footer47.xml" /><Relationship Id="rId105" Type="http://schemas.openxmlformats.org/officeDocument/2006/relationships/header" Target="header48.xml" /><Relationship Id="rId106" Type="http://schemas.openxmlformats.org/officeDocument/2006/relationships/footer" Target="footer48.xml" /><Relationship Id="rId107" Type="http://schemas.openxmlformats.org/officeDocument/2006/relationships/header" Target="header49.xml" /><Relationship Id="rId108" Type="http://schemas.openxmlformats.org/officeDocument/2006/relationships/header" Target="header50.xml" /><Relationship Id="rId109" Type="http://schemas.openxmlformats.org/officeDocument/2006/relationships/footer" Target="footer49.xml" /><Relationship Id="rId11" Type="http://schemas.openxmlformats.org/officeDocument/2006/relationships/header" Target="header4.xml" /><Relationship Id="rId110" Type="http://schemas.openxmlformats.org/officeDocument/2006/relationships/footer" Target="footer50.xml" /><Relationship Id="rId111" Type="http://schemas.openxmlformats.org/officeDocument/2006/relationships/header" Target="header51.xml" /><Relationship Id="rId112" Type="http://schemas.openxmlformats.org/officeDocument/2006/relationships/footer" Target="footer51.xml" /><Relationship Id="rId113" Type="http://schemas.openxmlformats.org/officeDocument/2006/relationships/header" Target="header52.xml" /><Relationship Id="rId114" Type="http://schemas.openxmlformats.org/officeDocument/2006/relationships/header" Target="header53.xml" /><Relationship Id="rId115" Type="http://schemas.openxmlformats.org/officeDocument/2006/relationships/footer" Target="footer52.xml" /><Relationship Id="rId116" Type="http://schemas.openxmlformats.org/officeDocument/2006/relationships/footer" Target="footer53.xml" /><Relationship Id="rId117" Type="http://schemas.openxmlformats.org/officeDocument/2006/relationships/header" Target="header54.xml" /><Relationship Id="rId118" Type="http://schemas.openxmlformats.org/officeDocument/2006/relationships/footer" Target="footer54.xml" /><Relationship Id="rId119" Type="http://schemas.openxmlformats.org/officeDocument/2006/relationships/header" Target="header55.xml" /><Relationship Id="rId12" Type="http://schemas.openxmlformats.org/officeDocument/2006/relationships/header" Target="header5.xml" /><Relationship Id="rId120" Type="http://schemas.openxmlformats.org/officeDocument/2006/relationships/header" Target="header56.xml" /><Relationship Id="rId121" Type="http://schemas.openxmlformats.org/officeDocument/2006/relationships/footer" Target="footer55.xml" /><Relationship Id="rId122" Type="http://schemas.openxmlformats.org/officeDocument/2006/relationships/footer" Target="footer56.xml" /><Relationship Id="rId123" Type="http://schemas.openxmlformats.org/officeDocument/2006/relationships/header" Target="header57.xml" /><Relationship Id="rId124" Type="http://schemas.openxmlformats.org/officeDocument/2006/relationships/footer" Target="footer57.xml" /><Relationship Id="rId125" Type="http://schemas.openxmlformats.org/officeDocument/2006/relationships/header" Target="header58.xml" /><Relationship Id="rId126" Type="http://schemas.openxmlformats.org/officeDocument/2006/relationships/header" Target="header59.xml" /><Relationship Id="rId127" Type="http://schemas.openxmlformats.org/officeDocument/2006/relationships/footer" Target="footer58.xml" /><Relationship Id="rId128" Type="http://schemas.openxmlformats.org/officeDocument/2006/relationships/footer" Target="footer59.xml" /><Relationship Id="rId129" Type="http://schemas.openxmlformats.org/officeDocument/2006/relationships/header" Target="header60.xml" /><Relationship Id="rId13" Type="http://schemas.openxmlformats.org/officeDocument/2006/relationships/footer" Target="footer4.xml" /><Relationship Id="rId130" Type="http://schemas.openxmlformats.org/officeDocument/2006/relationships/footer" Target="footer60.xml" /><Relationship Id="rId131" Type="http://schemas.openxmlformats.org/officeDocument/2006/relationships/header" Target="header61.xml" /><Relationship Id="rId132" Type="http://schemas.openxmlformats.org/officeDocument/2006/relationships/header" Target="header62.xml" /><Relationship Id="rId133" Type="http://schemas.openxmlformats.org/officeDocument/2006/relationships/footer" Target="footer61.xml" /><Relationship Id="rId134" Type="http://schemas.openxmlformats.org/officeDocument/2006/relationships/footer" Target="footer62.xml" /><Relationship Id="rId135" Type="http://schemas.openxmlformats.org/officeDocument/2006/relationships/header" Target="header63.xml" /><Relationship Id="rId136" Type="http://schemas.openxmlformats.org/officeDocument/2006/relationships/footer" Target="footer63.xml" /><Relationship Id="rId137" Type="http://schemas.openxmlformats.org/officeDocument/2006/relationships/header" Target="header64.xml" /><Relationship Id="rId138" Type="http://schemas.openxmlformats.org/officeDocument/2006/relationships/header" Target="header65.xml" /><Relationship Id="rId139" Type="http://schemas.openxmlformats.org/officeDocument/2006/relationships/footer" Target="footer64.xml" /><Relationship Id="rId14" Type="http://schemas.openxmlformats.org/officeDocument/2006/relationships/footer" Target="footer5.xml" /><Relationship Id="rId140" Type="http://schemas.openxmlformats.org/officeDocument/2006/relationships/footer" Target="footer65.xml" /><Relationship Id="rId141" Type="http://schemas.openxmlformats.org/officeDocument/2006/relationships/header" Target="header66.xml" /><Relationship Id="rId142" Type="http://schemas.openxmlformats.org/officeDocument/2006/relationships/footer" Target="footer66.xml" /><Relationship Id="rId143" Type="http://schemas.openxmlformats.org/officeDocument/2006/relationships/hyperlink" Target="https://d.book118.com/045034031202011113" TargetMode="External" /><Relationship Id="rId144" Type="http://schemas.openxmlformats.org/officeDocument/2006/relationships/header" Target="header67.xml" /><Relationship Id="rId145" Type="http://schemas.openxmlformats.org/officeDocument/2006/relationships/header" Target="header68.xml" /><Relationship Id="rId146" Type="http://schemas.openxmlformats.org/officeDocument/2006/relationships/footer" Target="footer67.xml" /><Relationship Id="rId147" Type="http://schemas.openxmlformats.org/officeDocument/2006/relationships/footer" Target="footer68.xml" /><Relationship Id="rId148" Type="http://schemas.openxmlformats.org/officeDocument/2006/relationships/header" Target="header69.xml" /><Relationship Id="rId149" Type="http://schemas.openxmlformats.org/officeDocument/2006/relationships/footer" Target="footer69.xml" /><Relationship Id="rId15" Type="http://schemas.openxmlformats.org/officeDocument/2006/relationships/header" Target="header6.xml" /><Relationship Id="rId150" Type="http://schemas.openxmlformats.org/officeDocument/2006/relationships/theme" Target="theme/theme1.xml" /><Relationship Id="rId151" Type="http://schemas.openxmlformats.org/officeDocument/2006/relationships/styles" Target="styles.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customXml" Target="../customXml/item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image" Target="media/image1.jpeg" /><Relationship Id="rId54" Type="http://schemas.openxmlformats.org/officeDocument/2006/relationships/image" Target="media/image2.png" /><Relationship Id="rId55" Type="http://schemas.openxmlformats.org/officeDocument/2006/relationships/image" Target="media/image3.png" /><Relationship Id="rId56" Type="http://schemas.openxmlformats.org/officeDocument/2006/relationships/header" Target="header25.xml" /><Relationship Id="rId57" Type="http://schemas.openxmlformats.org/officeDocument/2006/relationships/header" Target="header26.xml" /><Relationship Id="rId58" Type="http://schemas.openxmlformats.org/officeDocument/2006/relationships/footer" Target="footer25.xml" /><Relationship Id="rId59" Type="http://schemas.openxmlformats.org/officeDocument/2006/relationships/footer" Target="footer26.xml" /><Relationship Id="rId6" Type="http://schemas.openxmlformats.org/officeDocument/2006/relationships/header" Target="header2.xml" /><Relationship Id="rId60" Type="http://schemas.openxmlformats.org/officeDocument/2006/relationships/header" Target="header27.xml" /><Relationship Id="rId61" Type="http://schemas.openxmlformats.org/officeDocument/2006/relationships/footer" Target="footer27.xml" /><Relationship Id="rId62" Type="http://schemas.openxmlformats.org/officeDocument/2006/relationships/header" Target="header28.xml" /><Relationship Id="rId63" Type="http://schemas.openxmlformats.org/officeDocument/2006/relationships/header" Target="header29.xml" /><Relationship Id="rId64" Type="http://schemas.openxmlformats.org/officeDocument/2006/relationships/footer" Target="footer28.xml" /><Relationship Id="rId65" Type="http://schemas.openxmlformats.org/officeDocument/2006/relationships/footer" Target="footer29.xml" /><Relationship Id="rId66" Type="http://schemas.openxmlformats.org/officeDocument/2006/relationships/header" Target="header30.xml" /><Relationship Id="rId67" Type="http://schemas.openxmlformats.org/officeDocument/2006/relationships/footer" Target="footer30.xml" /><Relationship Id="rId68" Type="http://schemas.openxmlformats.org/officeDocument/2006/relationships/image" Target="media/image4.jpeg" /><Relationship Id="rId69" Type="http://schemas.openxmlformats.org/officeDocument/2006/relationships/header" Target="header31.xml" /><Relationship Id="rId7" Type="http://schemas.openxmlformats.org/officeDocument/2006/relationships/footer" Target="footer1.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image" Target="media/image5.jpeg" /><Relationship Id="rId76" Type="http://schemas.openxmlformats.org/officeDocument/2006/relationships/header" Target="header34.xml" /><Relationship Id="rId77" Type="http://schemas.openxmlformats.org/officeDocument/2006/relationships/header" Target="header35.xml" /><Relationship Id="rId78" Type="http://schemas.openxmlformats.org/officeDocument/2006/relationships/footer" Target="footer34.xml" /><Relationship Id="rId79" Type="http://schemas.openxmlformats.org/officeDocument/2006/relationships/footer" Target="footer35.xml" /><Relationship Id="rId8" Type="http://schemas.openxmlformats.org/officeDocument/2006/relationships/footer" Target="footer2.xml"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header" Target="header37.xml" /><Relationship Id="rId83" Type="http://schemas.openxmlformats.org/officeDocument/2006/relationships/header" Target="header38.xml" /><Relationship Id="rId84" Type="http://schemas.openxmlformats.org/officeDocument/2006/relationships/footer" Target="footer37.xml" /><Relationship Id="rId85" Type="http://schemas.openxmlformats.org/officeDocument/2006/relationships/footer" Target="footer38.xml" /><Relationship Id="rId86" Type="http://schemas.openxmlformats.org/officeDocument/2006/relationships/header" Target="header39.xml" /><Relationship Id="rId87" Type="http://schemas.openxmlformats.org/officeDocument/2006/relationships/footer" Target="footer39.xml" /><Relationship Id="rId88" Type="http://schemas.openxmlformats.org/officeDocument/2006/relationships/header" Target="header40.xml" /><Relationship Id="rId89" Type="http://schemas.openxmlformats.org/officeDocument/2006/relationships/header" Target="header41.xml" /><Relationship Id="rId9" Type="http://schemas.openxmlformats.org/officeDocument/2006/relationships/header" Target="header3.xml" /><Relationship Id="rId90" Type="http://schemas.openxmlformats.org/officeDocument/2006/relationships/footer" Target="footer40.xml" /><Relationship Id="rId91" Type="http://schemas.openxmlformats.org/officeDocument/2006/relationships/footer" Target="footer41.xml" /><Relationship Id="rId92" Type="http://schemas.openxmlformats.org/officeDocument/2006/relationships/header" Target="header42.xml" /><Relationship Id="rId93" Type="http://schemas.openxmlformats.org/officeDocument/2006/relationships/footer" Target="footer42.xml" /><Relationship Id="rId94" Type="http://schemas.openxmlformats.org/officeDocument/2006/relationships/image" Target="media/image6.jpeg" /><Relationship Id="rId95" Type="http://schemas.openxmlformats.org/officeDocument/2006/relationships/header" Target="header43.xml" /><Relationship Id="rId96" Type="http://schemas.openxmlformats.org/officeDocument/2006/relationships/header" Target="header44.xml" /><Relationship Id="rId97" Type="http://schemas.openxmlformats.org/officeDocument/2006/relationships/footer" Target="footer43.xml" /><Relationship Id="rId98" Type="http://schemas.openxmlformats.org/officeDocument/2006/relationships/footer" Target="footer44.xml" /><Relationship Id="rId99" Type="http://schemas.openxmlformats.org/officeDocument/2006/relationships/header" Target="header4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2049"/>
    <customShpInfo spid="_x0000_s2050"/>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7"/>
    <customShpInfo spid="_x0000_s1038"/>
    <customShpInfo spid="_x0000_s1039"/>
    <customShpInfo spid="_x0000_s1036"/>
    <customShpInfo spid="_x0000_s1040"/>
    <customShpInfo spid="_x0000_s1035"/>
    <customShpInfo spid="_x0000_s1041"/>
    <customShpInfo spid="_x0000_s1043"/>
    <customShpInfo spid="_x0000_s1044"/>
    <customShpInfo spid="_x0000_s1045"/>
    <customShpInfo spid="_x0000_s1046"/>
    <customShpInfo spid="_x0000_s1042"/>
    <customShpInfo spid="_x0000_s1047"/>
    <customShpInfo spid="_x0000_s1048"/>
    <customShpInfo spid="_x0000_s1049"/>
    <customShpInfo spid="_x0000_s1050"/>
    <customShpInfo spid="_x0000_s1051"/>
    <customShpInfo spid="_x0000_s1052"/>
    <customShpInfo spid="_x0000_s1053"/>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6"/>
    <customShpInfo spid="_x0000_s1078"/>
    <customShpInfo spid="_x0000_s1079"/>
    <customShpInfo spid="_x0000_s1077"/>
    <customShpInfo spid="_x0000_s1075"/>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54"/>
    <customShpInfo spid="_x0000_s1091"/>
    <customShpInfo spid="_x0000_s1093"/>
    <customShpInfo spid="_x0000_s1094"/>
    <customShpInfo spid="_x0000_s1095"/>
    <customShpInfo spid="_x0000_s1096"/>
    <customShpInfo spid="_x0000_s1097"/>
    <customShpInfo spid="_x0000_s1098"/>
    <customShpInfo spid="_x0000_s1100"/>
    <customShpInfo spid="_x0000_s1102"/>
    <customShpInfo spid="_x0000_s1103"/>
    <customShpInfo spid="_x0000_s1101"/>
    <customShpInfo spid="_x0000_s1099"/>
    <customShpInfo spid="_x0000_s1106"/>
    <customShpInfo spid="_x0000_s1107"/>
    <customShpInfo spid="_x0000_s1108"/>
    <customShpInfo spid="_x0000_s1105"/>
    <customShpInfo spid="_x0000_s1109"/>
    <customShpInfo spid="_x0000_s1110"/>
    <customShpInfo spid="_x0000_s1104"/>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092"/>
    <customShpInfo spid="_x0000_s1131"/>
    <customShpInfo spid="_x0000_s1132"/>
    <customShpInfo spid="_x0000_s1133"/>
    <customShpInfo spid="_x0000_s1134"/>
    <customShpInfo spid="_x0000_s1135"/>
    <customShpInfo spid="_x0000_s1136"/>
    <customShpInfo spid="_x0000_s1139"/>
    <customShpInfo spid="_x0000_s1140"/>
    <customShpInfo spid="_x0000_s1138"/>
    <customShpInfo spid="_x0000_s1141"/>
    <customShpInfo spid="_x0000_s1137"/>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30"/>
    <customShpInfo spid="_x0000_s115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24</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2024-02-23T16:28:22Z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0C08FB7010F84CAEAE256770DD5BB543_12</vt:lpwstr>
  </property>
  <property fmtid="{D5CDD505-2E9C-101B-9397-08002B2CF9AE}" pid="3" name="KSOProductBuildVer">
    <vt:lpwstr>2052-12.1.0.16388</vt:lpwstr>
  </property>
</Properties>
</file>