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spacing w:before="161" w:line="755" w:lineRule="exact"/>
        <w:ind w:left="2414" w:right="1320" w:firstLine="0"/>
        <w:jc w:val="center"/>
        <w:rPr>
          <w:b/>
          <w:sz w:val="66"/>
        </w:rPr>
      </w:pPr>
      <w:r>
        <w:drawing>
          <wp:anchor distT="0" distB="0" distL="0" distR="0" simplePos="0" relativeHeight="251658240" behindDoc="1" locked="0" layoutInCell="1" allowOverlap="1">
            <wp:simplePos x="0" y="0"/>
            <wp:positionH relativeFrom="page">
              <wp:posOffset>0</wp:posOffset>
            </wp:positionH>
            <wp:positionV relativeFrom="paragraph">
              <wp:posOffset>-1471929</wp:posOffset>
            </wp:positionV>
            <wp:extent cx="11340845" cy="11734546"/>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11340845" cy="11734546"/>
                    </a:xfrm>
                    <a:prstGeom prst="rect">
                      <a:avLst/>
                    </a:prstGeom>
                  </pic:spPr>
                </pic:pic>
              </a:graphicData>
            </a:graphic>
          </wp:anchor>
        </w:drawing>
      </w:r>
      <w:r>
        <w:rPr>
          <w:b/>
          <w:sz w:val="66"/>
        </w:rPr>
        <w:t>省电力公司绍兴电力局</w:t>
      </w:r>
    </w:p>
    <w:p>
      <w:pPr>
        <w:spacing w:before="0" w:line="266" w:lineRule="exact"/>
        <w:ind w:left="5649" w:right="0" w:firstLine="0"/>
        <w:jc w:val="left"/>
        <w:rPr>
          <w:rFonts w:ascii="Times New Roman"/>
          <w:sz w:val="31"/>
        </w:rPr>
      </w:pPr>
      <w:r>
        <w:rPr>
          <w:rFonts w:ascii="Times New Roman"/>
          <w:sz w:val="31"/>
        </w:rPr>
        <w:t>XX</w:t>
      </w:r>
    </w:p>
    <w:p>
      <w:pPr>
        <w:pStyle w:val="BodyText"/>
        <w:rPr>
          <w:rFonts w:ascii="Times New Roman"/>
          <w:sz w:val="20"/>
        </w:rPr>
      </w:pPr>
    </w:p>
    <w:p>
      <w:pPr>
        <w:pStyle w:val="BodyText"/>
        <w:rPr>
          <w:rFonts w:ascii="Times New Roman"/>
          <w:sz w:val="20"/>
        </w:rPr>
      </w:pPr>
    </w:p>
    <w:p>
      <w:pPr>
        <w:spacing w:before="168"/>
        <w:ind w:left="2414" w:right="1819" w:firstLine="0"/>
        <w:jc w:val="center"/>
        <w:rPr>
          <w:b/>
          <w:sz w:val="66"/>
        </w:rPr>
      </w:pPr>
      <w:r>
        <w:rPr>
          <w:b/>
          <w:sz w:val="66"/>
        </w:rPr>
        <w:t>XX 年输变电工程施工第二批专项招标（变电）</w:t>
      </w:r>
    </w:p>
    <w:p>
      <w:pPr>
        <w:pStyle w:val="BodyText"/>
        <w:rPr>
          <w:b/>
          <w:sz w:val="66"/>
        </w:rPr>
      </w:pPr>
    </w:p>
    <w:p>
      <w:pPr>
        <w:pStyle w:val="Heading1"/>
        <w:spacing w:before="457"/>
      </w:pPr>
      <w:r>
        <w:t>110</w:t>
      </w:r>
      <w:r>
        <w:rPr>
          <w:spacing w:val="-67"/>
        </w:rPr>
        <w:t xml:space="preserve"> 千伏 </w:t>
      </w:r>
      <w:r>
        <w:t>XX</w:t>
      </w:r>
      <w:r>
        <w:rPr>
          <w:spacing w:val="-13"/>
        </w:rPr>
        <w:t xml:space="preserve"> 变电气设备安装工程投标文件</w:t>
      </w:r>
      <w:r>
        <w:t>（标四）</w:t>
      </w:r>
    </w:p>
    <w:p>
      <w:pPr>
        <w:pStyle w:val="BodyText"/>
        <w:rPr>
          <w:b/>
          <w:sz w:val="54"/>
        </w:rPr>
      </w:pPr>
    </w:p>
    <w:p>
      <w:pPr>
        <w:pStyle w:val="BodyText"/>
        <w:rPr>
          <w:b/>
          <w:sz w:val="54"/>
        </w:rPr>
      </w:pPr>
    </w:p>
    <w:p>
      <w:pPr>
        <w:spacing w:before="428"/>
        <w:ind w:left="2408" w:right="1819" w:firstLine="0"/>
        <w:jc w:val="center"/>
        <w:rPr>
          <w:b/>
          <w:sz w:val="90"/>
        </w:rPr>
      </w:pPr>
      <w:r>
        <w:rPr>
          <w:b/>
          <w:sz w:val="90"/>
        </w:rPr>
        <w:t>技术标</w:t>
      </w:r>
    </w:p>
    <w:p>
      <w:pPr>
        <w:pStyle w:val="BodyText"/>
        <w:rPr>
          <w:b/>
          <w:sz w:val="90"/>
        </w:rPr>
      </w:pPr>
    </w:p>
    <w:p>
      <w:pPr>
        <w:pStyle w:val="BodyText"/>
        <w:rPr>
          <w:b/>
          <w:sz w:val="90"/>
        </w:rPr>
      </w:pPr>
    </w:p>
    <w:p>
      <w:pPr>
        <w:pStyle w:val="BodyText"/>
        <w:rPr>
          <w:b/>
          <w:sz w:val="90"/>
        </w:rPr>
      </w:pPr>
    </w:p>
    <w:p>
      <w:pPr>
        <w:pStyle w:val="Heading2"/>
        <w:tabs>
          <w:tab w:val="left" w:pos="5671"/>
        </w:tabs>
        <w:spacing w:before="785"/>
        <w:ind w:left="4705"/>
      </w:pPr>
      <w:r>
        <w:t>审</w:t>
        <w:tab/>
      </w:r>
      <w:r>
        <w:rPr>
          <w:w w:val="95"/>
        </w:rPr>
        <w:t>批：</w:t>
      </w:r>
    </w:p>
    <w:p>
      <w:pPr>
        <w:pStyle w:val="BodyText"/>
        <w:spacing w:before="11"/>
        <w:rPr>
          <w:b/>
          <w:sz w:val="45"/>
        </w:rPr>
      </w:pPr>
    </w:p>
    <w:p>
      <w:pPr>
        <w:tabs>
          <w:tab w:val="left" w:pos="5671"/>
        </w:tabs>
        <w:spacing w:before="0"/>
        <w:ind w:left="4705" w:right="0" w:firstLine="0"/>
        <w:jc w:val="left"/>
        <w:rPr>
          <w:b/>
          <w:sz w:val="48"/>
        </w:rPr>
      </w:pPr>
      <w:r>
        <w:rPr>
          <w:b/>
          <w:sz w:val="48"/>
        </w:rPr>
        <w:t>审</w:t>
        <w:tab/>
      </w:r>
      <w:r>
        <w:rPr>
          <w:b/>
          <w:w w:val="95"/>
          <w:sz w:val="48"/>
        </w:rPr>
        <w:t>核：</w:t>
      </w:r>
    </w:p>
    <w:p>
      <w:pPr>
        <w:pStyle w:val="BodyText"/>
        <w:spacing w:before="7"/>
        <w:rPr>
          <w:b/>
          <w:sz w:val="45"/>
        </w:rPr>
      </w:pPr>
    </w:p>
    <w:p>
      <w:pPr>
        <w:pStyle w:val="Heading2"/>
        <w:tabs>
          <w:tab w:val="left" w:pos="5671"/>
        </w:tabs>
        <w:ind w:left="4705"/>
      </w:pPr>
      <w:r>
        <w:t>编</w:t>
        <w:tab/>
      </w:r>
      <w:r>
        <w:rPr>
          <w:w w:val="95"/>
        </w:rPr>
        <w:t>写：</w:t>
      </w:r>
    </w:p>
    <w:p>
      <w:pPr>
        <w:pStyle w:val="BodyText"/>
        <w:rPr>
          <w:b/>
          <w:sz w:val="48"/>
        </w:rPr>
      </w:pPr>
    </w:p>
    <w:p>
      <w:pPr>
        <w:pStyle w:val="BodyText"/>
        <w:rPr>
          <w:b/>
          <w:sz w:val="48"/>
        </w:rPr>
      </w:pPr>
    </w:p>
    <w:p>
      <w:pPr>
        <w:pStyle w:val="BodyText"/>
        <w:spacing w:before="3"/>
        <w:rPr>
          <w:b/>
          <w:sz w:val="34"/>
        </w:rPr>
      </w:pPr>
    </w:p>
    <w:p>
      <w:pPr>
        <w:tabs>
          <w:tab w:val="left" w:pos="4964"/>
        </w:tabs>
        <w:spacing w:before="0"/>
        <w:ind w:left="3517" w:right="0" w:firstLine="0"/>
        <w:jc w:val="left"/>
        <w:rPr>
          <w:b/>
          <w:sz w:val="48"/>
        </w:rPr>
      </w:pPr>
      <w:r>
        <w:rPr>
          <w:b/>
          <w:sz w:val="48"/>
        </w:rPr>
        <w:t>单</w:t>
        <w:tab/>
      </w:r>
      <w:r>
        <w:rPr>
          <w:b/>
          <w:w w:val="95"/>
          <w:sz w:val="48"/>
        </w:rPr>
        <w:t>位：</w:t>
      </w:r>
    </w:p>
    <w:p>
      <w:pPr>
        <w:pStyle w:val="Heading2"/>
        <w:tabs>
          <w:tab w:val="left" w:pos="4964"/>
        </w:tabs>
        <w:spacing w:before="321"/>
      </w:pPr>
      <w:r>
        <w:t>地</w:t>
        <w:tab/>
      </w:r>
      <w:r>
        <w:rPr>
          <w:w w:val="95"/>
        </w:rPr>
        <w:t>址：</w:t>
      </w:r>
    </w:p>
    <w:p>
      <w:pPr>
        <w:tabs>
          <w:tab w:val="left" w:pos="4964"/>
        </w:tabs>
        <w:spacing w:before="321"/>
        <w:ind w:left="3517" w:right="0" w:firstLine="0"/>
        <w:jc w:val="left"/>
        <w:rPr>
          <w:b/>
          <w:sz w:val="48"/>
        </w:rPr>
      </w:pPr>
      <w:r>
        <w:rPr>
          <w:b/>
          <w:sz w:val="48"/>
        </w:rPr>
        <w:t>电</w:t>
        <w:tab/>
      </w:r>
      <w:r>
        <w:rPr>
          <w:b/>
          <w:w w:val="95"/>
          <w:sz w:val="48"/>
        </w:rPr>
        <w:t>话：</w:t>
      </w:r>
    </w:p>
    <w:p>
      <w:pPr>
        <w:tabs>
          <w:tab w:val="left" w:pos="4964"/>
        </w:tabs>
        <w:spacing w:before="321"/>
        <w:ind w:left="3517" w:right="0" w:firstLine="0"/>
        <w:jc w:val="left"/>
        <w:rPr>
          <w:b/>
          <w:sz w:val="48"/>
        </w:rPr>
      </w:pPr>
      <w:r>
        <w:rPr>
          <w:b/>
          <w:sz w:val="48"/>
        </w:rPr>
        <w:t>日</w:t>
        <w:tab/>
      </w:r>
      <w:r>
        <w:rPr>
          <w:b/>
          <w:w w:val="95"/>
          <w:sz w:val="48"/>
        </w:rPr>
        <w:t>期：</w:t>
      </w:r>
    </w:p>
    <w:p>
      <w:pPr>
        <w:spacing w:after="0"/>
        <w:jc w:val="left"/>
        <w:rPr>
          <w:sz w:val="48"/>
        </w:rPr>
        <w:sectPr>
          <w:type w:val="continuous"/>
          <w:pgSz w:w="17860" w:h="25260"/>
          <w:pgMar w:top="0" w:right="0" w:bottom="280" w:left="0" w:header="708" w:footer="708"/>
          <w:cols w:space="708"/>
        </w:sectPr>
      </w:pPr>
    </w:p>
    <w:p>
      <w:pPr>
        <w:pStyle w:val="Heading1"/>
        <w:spacing w:before="4"/>
      </w:pPr>
      <w:r>
        <w:t>110</w:t>
      </w:r>
      <w:r>
        <w:rPr>
          <w:spacing w:val="-67"/>
        </w:rPr>
        <w:t xml:space="preserve"> 千伏 </w:t>
      </w:r>
      <w:r>
        <w:t>XX</w:t>
      </w:r>
      <w:r>
        <w:rPr>
          <w:spacing w:val="-14"/>
        </w:rPr>
        <w:t xml:space="preserve"> 变电气安装工程投标文件</w:t>
      </w:r>
      <w:r>
        <w:t>（标四）</w:t>
      </w:r>
    </w:p>
    <w:p>
      <w:pPr>
        <w:tabs>
          <w:tab w:val="left" w:pos="9560"/>
        </w:tabs>
        <w:spacing w:before="66" w:line="398" w:lineRule="auto"/>
        <w:ind w:left="8234" w:right="7638" w:hanging="8"/>
        <w:jc w:val="center"/>
        <w:rPr>
          <w:b/>
          <w:sz w:val="66"/>
        </w:rPr>
      </w:pPr>
      <w:r>
        <w:rPr>
          <w:b/>
          <w:w w:val="95"/>
          <w:sz w:val="66"/>
        </w:rPr>
        <w:t>技术标</w:t>
      </w:r>
      <w:r>
        <w:rPr>
          <w:b/>
          <w:sz w:val="66"/>
        </w:rPr>
        <w:t>目</w:t>
        <w:tab/>
      </w:r>
      <w:r>
        <w:rPr>
          <w:b/>
          <w:spacing w:val="-18"/>
          <w:sz w:val="66"/>
        </w:rPr>
        <w:t>录</w:t>
      </w:r>
    </w:p>
    <w:p>
      <w:pPr>
        <w:spacing w:after="0" w:line="398" w:lineRule="auto"/>
        <w:jc w:val="center"/>
        <w:rPr>
          <w:sz w:val="66"/>
        </w:rPr>
        <w:sectPr>
          <w:pgSz w:w="17860" w:h="25260"/>
          <w:pgMar w:top="2020" w:right="0" w:bottom="2604" w:left="0" w:header="708" w:footer="708"/>
          <w:pgNumType w:start="2"/>
          <w:cols w:space="708"/>
        </w:sectPr>
      </w:pPr>
    </w:p>
    <w:sdt>
      <w:sdtPr>
        <w:id w:val="546277162"/>
        <w:docPartObj>
          <w:docPartGallery w:val="Table of Contents"/>
          <w:docPartUnique/>
        </w:docPartObj>
      </w:sdtPr>
      <w:sdtContent>
        <w:p>
          <w:pPr>
            <w:pStyle w:val="TOC3"/>
            <w:tabs>
              <w:tab w:val="right" w:leader="dot" w:pos="14944"/>
            </w:tabs>
            <w:rPr>
              <w:b w:val="0"/>
              <w:i w:val="0"/>
              <w:sz w:val="45"/>
            </w:rPr>
          </w:pPr>
          <w:r>
            <w:rPr>
              <w:i w:val="0"/>
              <w:sz w:val="45"/>
            </w:rPr>
            <w:t>综合说明及承诺</w:t>
            <w:tab/>
          </w:r>
          <w:r>
            <w:rPr>
              <w:b w:val="0"/>
              <w:i w:val="0"/>
              <w:sz w:val="45"/>
            </w:rPr>
            <w:t>001</w:t>
          </w:r>
        </w:p>
        <w:p>
          <w:pPr>
            <w:pStyle w:val="TOC1"/>
            <w:spacing w:before="294"/>
          </w:pPr>
          <w:hyperlink w:anchor="_TOC_250015" w:history="1">
            <w:r>
              <w:t>一、工程概况及特点</w:t>
            </w:r>
          </w:hyperlink>
        </w:p>
        <w:p>
          <w:pPr>
            <w:pStyle w:val="TOC2"/>
            <w:numPr>
              <w:ilvl w:val="0"/>
              <w:numId w:val="30"/>
            </w:numPr>
            <w:tabs>
              <w:tab w:val="left" w:pos="3230"/>
              <w:tab w:val="right" w:leader="dot" w:pos="14933"/>
            </w:tabs>
            <w:spacing w:before="296" w:after="0" w:line="240" w:lineRule="auto"/>
            <w:ind w:left="3229" w:right="0" w:hanging="677"/>
            <w:jc w:val="left"/>
          </w:pPr>
          <w:r>
            <w:t>工程概况</w:t>
            <w:tab/>
            <w:t>003</w:t>
          </w:r>
        </w:p>
        <w:p>
          <w:pPr>
            <w:pStyle w:val="TOC2"/>
            <w:numPr>
              <w:ilvl w:val="0"/>
              <w:numId w:val="30"/>
            </w:numPr>
            <w:tabs>
              <w:tab w:val="left" w:pos="3230"/>
              <w:tab w:val="right" w:leader="dot" w:pos="14937"/>
            </w:tabs>
            <w:spacing w:before="291" w:after="0" w:line="240" w:lineRule="auto"/>
            <w:ind w:left="3229" w:right="0" w:hanging="677"/>
            <w:jc w:val="left"/>
          </w:pPr>
          <w:hyperlink w:anchor="_TOC_250014" w:history="1">
            <w:r>
              <w:t>工程施工承包范围</w:t>
              <w:tab/>
              <w:t>003</w:t>
            </w:r>
          </w:hyperlink>
        </w:p>
        <w:p>
          <w:pPr>
            <w:pStyle w:val="TOC2"/>
            <w:numPr>
              <w:ilvl w:val="0"/>
              <w:numId w:val="30"/>
            </w:numPr>
            <w:tabs>
              <w:tab w:val="left" w:pos="3230"/>
              <w:tab w:val="right" w:leader="dot" w:pos="14933"/>
            </w:tabs>
            <w:spacing w:before="295" w:after="0" w:line="240" w:lineRule="auto"/>
            <w:ind w:left="3229" w:right="0" w:hanging="677"/>
            <w:jc w:val="left"/>
          </w:pPr>
          <w:hyperlink w:anchor="_TOC_250013" w:history="1">
            <w:r>
              <w:t>工程特点</w:t>
              <w:tab/>
              <w:t>004</w:t>
            </w:r>
          </w:hyperlink>
        </w:p>
        <w:p>
          <w:pPr>
            <w:pStyle w:val="TOC1"/>
            <w:spacing w:before="294"/>
          </w:pPr>
          <w:hyperlink w:anchor="_TOC_250012" w:history="1">
            <w:r>
              <w:t>二、施工组织管理</w:t>
            </w:r>
          </w:hyperlink>
        </w:p>
        <w:p>
          <w:pPr>
            <w:pStyle w:val="TOC2"/>
            <w:numPr>
              <w:ilvl w:val="0"/>
              <w:numId w:val="29"/>
            </w:numPr>
            <w:tabs>
              <w:tab w:val="left" w:pos="3230"/>
              <w:tab w:val="right" w:leader="dot" w:pos="14937"/>
            </w:tabs>
            <w:spacing w:before="291" w:after="0" w:line="240" w:lineRule="auto"/>
            <w:ind w:left="3229" w:right="0" w:hanging="677"/>
            <w:jc w:val="left"/>
          </w:pPr>
          <w:hyperlink w:anchor="_TOC_250011" w:history="1">
            <w:r>
              <w:t>施工组织管理机构组建</w:t>
              <w:tab/>
              <w:t>005</w:t>
            </w:r>
          </w:hyperlink>
        </w:p>
        <w:p>
          <w:pPr>
            <w:pStyle w:val="TOC2"/>
            <w:numPr>
              <w:ilvl w:val="0"/>
              <w:numId w:val="29"/>
            </w:numPr>
            <w:tabs>
              <w:tab w:val="left" w:pos="3230"/>
              <w:tab w:val="right" w:leader="dot" w:pos="14937"/>
            </w:tabs>
            <w:spacing w:before="295" w:after="0" w:line="240" w:lineRule="auto"/>
            <w:ind w:left="3229" w:right="0" w:hanging="677"/>
            <w:jc w:val="left"/>
          </w:pPr>
          <w:hyperlink w:anchor="_TOC_250010" w:history="1">
            <w:r>
              <w:t>施工组织管理结构图</w:t>
              <w:tab/>
              <w:t>006</w:t>
            </w:r>
          </w:hyperlink>
        </w:p>
        <w:p>
          <w:pPr>
            <w:pStyle w:val="TOC2"/>
            <w:numPr>
              <w:ilvl w:val="0"/>
              <w:numId w:val="29"/>
            </w:numPr>
            <w:tabs>
              <w:tab w:val="left" w:pos="3230"/>
              <w:tab w:val="right" w:leader="dot" w:pos="14937"/>
            </w:tabs>
            <w:spacing w:before="295" w:after="0" w:line="240" w:lineRule="auto"/>
            <w:ind w:left="3229" w:right="0" w:hanging="677"/>
            <w:jc w:val="left"/>
          </w:pPr>
          <w:r>
            <w:t>现场施工管理工作</w:t>
            <w:tab/>
            <w:t>006</w:t>
          </w:r>
        </w:p>
        <w:p>
          <w:pPr>
            <w:pStyle w:val="TOC2"/>
            <w:numPr>
              <w:ilvl w:val="0"/>
              <w:numId w:val="29"/>
            </w:numPr>
            <w:tabs>
              <w:tab w:val="left" w:pos="3230"/>
              <w:tab w:val="right" w:leader="dot" w:pos="14937"/>
            </w:tabs>
            <w:spacing w:before="291" w:after="0" w:line="240" w:lineRule="auto"/>
            <w:ind w:left="3229" w:right="0" w:hanging="677"/>
            <w:jc w:val="left"/>
          </w:pPr>
          <w:hyperlink w:anchor="_TOC_250009" w:history="1">
            <w:r>
              <w:t>现场施工主要管理职责</w:t>
              <w:tab/>
              <w:t>007</w:t>
            </w:r>
          </w:hyperlink>
        </w:p>
        <w:p>
          <w:pPr>
            <w:pStyle w:val="TOC1"/>
          </w:pPr>
          <w:hyperlink w:anchor="_TOC_250008" w:history="1">
            <w:r>
              <w:t>三、施工总平面布置</w:t>
            </w:r>
          </w:hyperlink>
        </w:p>
        <w:p>
          <w:pPr>
            <w:pStyle w:val="TOC2"/>
            <w:numPr>
              <w:ilvl w:val="0"/>
              <w:numId w:val="28"/>
            </w:numPr>
            <w:tabs>
              <w:tab w:val="left" w:pos="3230"/>
              <w:tab w:val="right" w:leader="dot" w:pos="14937"/>
            </w:tabs>
            <w:spacing w:before="294" w:after="0" w:line="240" w:lineRule="auto"/>
            <w:ind w:left="3229" w:right="0" w:hanging="677"/>
            <w:jc w:val="left"/>
          </w:pPr>
          <w:hyperlink w:anchor="_TOC_250007" w:history="1">
            <w:r>
              <w:t>施工总平面布置总体规划</w:t>
              <w:tab/>
              <w:t>008</w:t>
            </w:r>
          </w:hyperlink>
        </w:p>
        <w:p>
          <w:pPr>
            <w:pStyle w:val="TOC2"/>
            <w:numPr>
              <w:ilvl w:val="0"/>
              <w:numId w:val="28"/>
            </w:numPr>
            <w:tabs>
              <w:tab w:val="left" w:pos="3230"/>
              <w:tab w:val="right" w:leader="dot" w:pos="14937"/>
            </w:tabs>
            <w:spacing w:before="291" w:after="0" w:line="240" w:lineRule="auto"/>
            <w:ind w:left="3229" w:right="0" w:hanging="677"/>
            <w:jc w:val="left"/>
          </w:pPr>
          <w:hyperlink w:anchor="_TOC_250006" w:history="1">
            <w:r>
              <w:t>施工总平面布置管理原则</w:t>
              <w:tab/>
              <w:t>008</w:t>
            </w:r>
          </w:hyperlink>
        </w:p>
        <w:p>
          <w:pPr>
            <w:pStyle w:val="TOC2"/>
            <w:numPr>
              <w:ilvl w:val="0"/>
              <w:numId w:val="28"/>
            </w:numPr>
            <w:tabs>
              <w:tab w:val="left" w:pos="3231"/>
              <w:tab w:val="right" w:leader="dot" w:pos="14933"/>
            </w:tabs>
            <w:spacing w:before="295" w:after="0" w:line="240" w:lineRule="auto"/>
            <w:ind w:left="3231" w:right="0" w:hanging="678"/>
            <w:jc w:val="left"/>
          </w:pPr>
          <w:hyperlink w:anchor="_TOC_250005" w:history="1">
            <w:r>
              <w:t>具体布置安排</w:t>
              <w:tab/>
              <w:t>008</w:t>
            </w:r>
          </w:hyperlink>
        </w:p>
        <w:p>
          <w:pPr>
            <w:pStyle w:val="TOC1"/>
          </w:pPr>
          <w:hyperlink w:anchor="_TOC_250004" w:history="1">
            <w:r>
              <w:t>四、工期目标控制、网络计划安排</w:t>
            </w:r>
          </w:hyperlink>
        </w:p>
        <w:p>
          <w:pPr>
            <w:pStyle w:val="TOC2"/>
            <w:numPr>
              <w:ilvl w:val="0"/>
              <w:numId w:val="27"/>
            </w:numPr>
            <w:tabs>
              <w:tab w:val="left" w:pos="3230"/>
              <w:tab w:val="right" w:leader="dot" w:pos="14937"/>
            </w:tabs>
            <w:spacing w:before="292" w:after="0" w:line="240" w:lineRule="auto"/>
            <w:ind w:left="3229" w:right="0" w:hanging="677"/>
            <w:jc w:val="left"/>
          </w:pPr>
          <w:hyperlink w:anchor="_TOC_250003" w:history="1">
            <w:r>
              <w:t>工期总体进度安排</w:t>
              <w:tab/>
              <w:t>009</w:t>
            </w:r>
          </w:hyperlink>
        </w:p>
        <w:p>
          <w:pPr>
            <w:pStyle w:val="TOC2"/>
            <w:numPr>
              <w:ilvl w:val="0"/>
              <w:numId w:val="27"/>
            </w:numPr>
            <w:tabs>
              <w:tab w:val="left" w:pos="3230"/>
              <w:tab w:val="right" w:leader="dot" w:pos="14937"/>
            </w:tabs>
            <w:spacing w:before="294" w:after="0" w:line="240" w:lineRule="auto"/>
            <w:ind w:left="3229" w:right="0" w:hanging="677"/>
            <w:jc w:val="left"/>
          </w:pPr>
          <w:r>
            <w:t>工期目标保证措施</w:t>
            <w:tab/>
            <w:t>010</w:t>
          </w:r>
        </w:p>
        <w:p>
          <w:pPr>
            <w:pStyle w:val="TOC1"/>
          </w:pPr>
          <w:hyperlink w:anchor="_TOC_250002" w:history="1">
            <w:r>
              <w:t>五、主要施工技术措施</w:t>
            </w:r>
          </w:hyperlink>
        </w:p>
        <w:p>
          <w:pPr>
            <w:pStyle w:val="TOC2"/>
            <w:numPr>
              <w:ilvl w:val="0"/>
              <w:numId w:val="26"/>
            </w:numPr>
            <w:tabs>
              <w:tab w:val="left" w:pos="3230"/>
              <w:tab w:val="right" w:leader="dot" w:pos="14933"/>
            </w:tabs>
            <w:spacing w:before="291" w:after="0" w:line="240" w:lineRule="auto"/>
            <w:ind w:left="3229" w:right="0" w:hanging="677"/>
            <w:jc w:val="left"/>
            <w:sectPr>
              <w:type w:val="continuous"/>
              <w:pgSz w:w="17860" w:h="25260"/>
              <w:pgMar w:top="2220" w:right="0" w:bottom="2604" w:left="0" w:header="708" w:footer="708"/>
              <w:pgNumType w:start="3"/>
              <w:cols w:space="708"/>
            </w:sectPr>
          </w:pPr>
          <w:r>
            <w:t>施工准备排</w:t>
            <w:tab/>
            <w:t>011</w:t>
          </w:r>
        </w:p>
      </w:sdtContent>
    </w:sdt>
    <w:sdt>
      <w:sdtPr>
        <w:id w:val="1094617401"/>
        <w:docPartObj>
          <w:docPartGallery w:val="Table of Contents"/>
          <w:docPartUnique/>
        </w:docPartObj>
      </w:sdtPr>
      <w:sdtContent>
        <w:p>
          <w:pPr>
            <w:pStyle w:val="TOC2"/>
            <w:numPr>
              <w:ilvl w:val="0"/>
              <w:numId w:val="26"/>
            </w:numPr>
            <w:tabs>
              <w:tab w:val="left" w:pos="3230"/>
              <w:tab w:val="right" w:leader="dot" w:pos="14937"/>
            </w:tabs>
            <w:spacing w:before="295" w:after="25" w:line="240" w:lineRule="auto"/>
            <w:ind w:left="3229" w:right="0" w:hanging="677"/>
            <w:jc w:val="left"/>
          </w:pPr>
          <w:hyperlink w:anchor="_TOC_250001" w:history="1">
            <w:r>
              <w:t>施工工序总体安排</w:t>
              <w:tab/>
              <w:t>012</w:t>
            </w:r>
          </w:hyperlink>
        </w:p>
        <w:p>
          <w:pPr>
            <w:pStyle w:val="TOC2"/>
            <w:numPr>
              <w:ilvl w:val="0"/>
              <w:numId w:val="26"/>
            </w:numPr>
            <w:tabs>
              <w:tab w:val="left" w:pos="3230"/>
              <w:tab w:val="right" w:leader="dot" w:pos="14937"/>
            </w:tabs>
            <w:spacing w:before="24" w:after="0" w:line="240" w:lineRule="auto"/>
            <w:ind w:left="3229" w:right="0" w:hanging="677"/>
            <w:jc w:val="left"/>
          </w:pPr>
          <w:hyperlink w:anchor="_TOC_250000" w:history="1">
            <w:r>
              <w:t>主要施工技术措施</w:t>
              <w:tab/>
              <w:t>013</w:t>
            </w:r>
          </w:hyperlink>
        </w:p>
      </w:sdtContent>
    </w:sdt>
    <w:p>
      <w:pPr>
        <w:spacing w:after="0" w:line="240" w:lineRule="auto"/>
        <w:jc w:val="left"/>
        <w:sectPr>
          <w:type w:val="nextPage"/>
          <w:pgSz w:w="17860" w:h="25260"/>
          <w:pgMar w:top="2220" w:right="0" w:bottom="2604" w:left="0" w:header="708" w:footer="708"/>
          <w:pgNumType w:start="4"/>
          <w:cols w:space="708"/>
          <w:titlePg w:val="0"/>
        </w:sectPr>
      </w:pPr>
    </w:p>
    <w:p>
      <w:pPr>
        <w:pStyle w:val="BodyText"/>
        <w:spacing w:before="324"/>
        <w:ind w:left="3183"/>
      </w:pPr>
      <w:r>
        <w:t>Ⅰ 主变安装施工方案；</w:t>
      </w:r>
    </w:p>
    <w:p>
      <w:pPr>
        <w:pStyle w:val="BodyText"/>
        <w:spacing w:before="305" w:line="374" w:lineRule="auto"/>
        <w:ind w:left="3183" w:right="5791"/>
      </w:pPr>
      <w:r>
        <w:rPr>
          <w:spacing w:val="-138"/>
          <w:w w:val="175"/>
        </w:rPr>
        <w:t xml:space="preserve">" </w:t>
      </w:r>
      <w:r>
        <w:rPr>
          <w:w w:val="105"/>
        </w:rPr>
        <w:t>110kV</w:t>
      </w:r>
      <w:r>
        <w:rPr>
          <w:spacing w:val="-128"/>
          <w:w w:val="105"/>
        </w:rPr>
        <w:t xml:space="preserve"> </w:t>
      </w:r>
      <w:r>
        <w:rPr>
          <w:w w:val="105"/>
        </w:rPr>
        <w:t>GIS</w:t>
      </w:r>
      <w:r>
        <w:rPr>
          <w:spacing w:val="-16"/>
          <w:w w:val="105"/>
        </w:rPr>
        <w:t xml:space="preserve"> 组合电器安装、调试技术措施； </w:t>
      </w:r>
      <w:r>
        <w:rPr>
          <w:spacing w:val="-5"/>
          <w:w w:val="105"/>
        </w:rPr>
        <w:t>Ⅲ 构支架安装施工方案；</w:t>
      </w:r>
    </w:p>
    <w:p>
      <w:pPr>
        <w:pStyle w:val="BodyText"/>
        <w:spacing w:line="376" w:lineRule="auto"/>
        <w:ind w:left="3183" w:right="9827"/>
      </w:pPr>
      <w:r>
        <w:t>Ⅳ 二次接线及调试方案； Ⅴ 特殊工序控制；</w:t>
      </w:r>
    </w:p>
    <w:p>
      <w:pPr>
        <w:pStyle w:val="BodyText"/>
        <w:spacing w:line="530" w:lineRule="exact"/>
        <w:ind w:left="3183"/>
      </w:pPr>
      <w:r>
        <w:t>Ⅵ 联动调试。</w:t>
      </w:r>
    </w:p>
    <w:p>
      <w:pPr>
        <w:spacing w:before="270"/>
        <w:ind w:left="2553" w:right="0" w:firstLine="0"/>
        <w:jc w:val="left"/>
        <w:rPr>
          <w:b/>
          <w:sz w:val="45"/>
        </w:rPr>
      </w:pPr>
      <w:r>
        <w:rPr>
          <w:b/>
          <w:sz w:val="45"/>
        </w:rPr>
        <w:t>六、工程质量管理目标及保证措施</w:t>
      </w:r>
    </w:p>
    <w:p>
      <w:pPr>
        <w:pStyle w:val="ListParagraph"/>
        <w:numPr>
          <w:ilvl w:val="0"/>
          <w:numId w:val="25"/>
        </w:numPr>
        <w:tabs>
          <w:tab w:val="left" w:pos="3230"/>
          <w:tab w:val="right" w:leader="dot" w:pos="14937"/>
        </w:tabs>
        <w:spacing w:before="294" w:after="0" w:line="240" w:lineRule="auto"/>
        <w:ind w:left="3229" w:right="0" w:hanging="677"/>
        <w:jc w:val="left"/>
        <w:rPr>
          <w:sz w:val="45"/>
        </w:rPr>
      </w:pPr>
      <w:r>
        <w:rPr>
          <w:sz w:val="45"/>
        </w:rPr>
        <w:t>工程质量目标及方针</w:t>
        <w:tab/>
        <w:t>032</w:t>
      </w:r>
    </w:p>
    <w:p>
      <w:pPr>
        <w:pStyle w:val="ListParagraph"/>
        <w:numPr>
          <w:ilvl w:val="0"/>
          <w:numId w:val="25"/>
        </w:numPr>
        <w:tabs>
          <w:tab w:val="left" w:pos="3230"/>
          <w:tab w:val="right" w:leader="dot" w:pos="14937"/>
        </w:tabs>
        <w:spacing w:before="291" w:after="0" w:line="240" w:lineRule="auto"/>
        <w:ind w:left="3229" w:right="0" w:hanging="677"/>
        <w:jc w:val="left"/>
        <w:rPr>
          <w:sz w:val="45"/>
        </w:rPr>
      </w:pPr>
      <w:r>
        <w:rPr>
          <w:sz w:val="45"/>
        </w:rPr>
        <w:t>工程质量管理组织机构及组织措施</w:t>
        <w:tab/>
        <w:t>032</w:t>
      </w:r>
    </w:p>
    <w:p>
      <w:pPr>
        <w:pStyle w:val="ListParagraph"/>
        <w:numPr>
          <w:ilvl w:val="0"/>
          <w:numId w:val="25"/>
        </w:numPr>
        <w:tabs>
          <w:tab w:val="left" w:pos="3230"/>
          <w:tab w:val="right" w:leader="dot" w:pos="14937"/>
        </w:tabs>
        <w:spacing w:before="295" w:after="0" w:line="240" w:lineRule="auto"/>
        <w:ind w:left="3229" w:right="0" w:hanging="677"/>
        <w:jc w:val="left"/>
        <w:rPr>
          <w:sz w:val="45"/>
        </w:rPr>
      </w:pPr>
      <w:r>
        <w:rPr>
          <w:sz w:val="45"/>
        </w:rPr>
        <w:t>工程质量保证措施</w:t>
        <w:tab/>
        <w:t>033</w:t>
      </w:r>
    </w:p>
    <w:p>
      <w:pPr>
        <w:pStyle w:val="Heading3"/>
        <w:spacing w:before="294"/>
        <w:ind w:left="2553"/>
      </w:pPr>
      <w:r>
        <w:t>七、安全管理目标及保证措施</w:t>
      </w:r>
    </w:p>
    <w:p>
      <w:pPr>
        <w:pStyle w:val="ListParagraph"/>
        <w:numPr>
          <w:ilvl w:val="0"/>
          <w:numId w:val="24"/>
        </w:numPr>
        <w:tabs>
          <w:tab w:val="left" w:pos="3230"/>
          <w:tab w:val="right" w:leader="dot" w:pos="14933"/>
        </w:tabs>
        <w:spacing w:before="292" w:after="0" w:line="240" w:lineRule="auto"/>
        <w:ind w:left="3229" w:right="0" w:hanging="677"/>
        <w:jc w:val="left"/>
        <w:rPr>
          <w:sz w:val="45"/>
        </w:rPr>
      </w:pPr>
      <w:r>
        <w:rPr>
          <w:sz w:val="45"/>
        </w:rPr>
        <w:t>安全管理目标</w:t>
        <w:tab/>
        <w:t>036</w:t>
      </w:r>
    </w:p>
    <w:p>
      <w:pPr>
        <w:pStyle w:val="ListParagraph"/>
        <w:numPr>
          <w:ilvl w:val="0"/>
          <w:numId w:val="24"/>
        </w:numPr>
        <w:tabs>
          <w:tab w:val="left" w:pos="3230"/>
          <w:tab w:val="right" w:leader="dot" w:pos="14937"/>
        </w:tabs>
        <w:spacing w:before="295" w:after="0" w:line="240" w:lineRule="auto"/>
        <w:ind w:left="3229" w:right="0" w:hanging="677"/>
        <w:jc w:val="left"/>
        <w:rPr>
          <w:sz w:val="45"/>
        </w:rPr>
      </w:pPr>
      <w:r>
        <w:rPr>
          <w:sz w:val="45"/>
        </w:rPr>
        <w:t>安全管理机构及职责</w:t>
        <w:tab/>
        <w:t>036</w:t>
      </w:r>
    </w:p>
    <w:p>
      <w:pPr>
        <w:pStyle w:val="ListParagraph"/>
        <w:numPr>
          <w:ilvl w:val="0"/>
          <w:numId w:val="24"/>
        </w:numPr>
        <w:tabs>
          <w:tab w:val="left" w:pos="3231"/>
          <w:tab w:val="right" w:leader="dot" w:pos="14937"/>
        </w:tabs>
        <w:spacing w:before="294" w:after="0" w:line="240" w:lineRule="auto"/>
        <w:ind w:left="3231" w:right="0" w:hanging="678"/>
        <w:jc w:val="left"/>
        <w:rPr>
          <w:sz w:val="45"/>
        </w:rPr>
      </w:pPr>
      <w:r>
        <w:rPr>
          <w:sz w:val="45"/>
        </w:rPr>
        <w:t>安全管理规章制度体系</w:t>
        <w:tab/>
        <w:t>037</w:t>
      </w:r>
    </w:p>
    <w:p>
      <w:pPr>
        <w:pStyle w:val="ListParagraph"/>
        <w:numPr>
          <w:ilvl w:val="0"/>
          <w:numId w:val="24"/>
        </w:numPr>
        <w:tabs>
          <w:tab w:val="left" w:pos="3231"/>
          <w:tab w:val="right" w:leader="dot" w:pos="14937"/>
        </w:tabs>
        <w:spacing w:before="291" w:after="0" w:line="240" w:lineRule="auto"/>
        <w:ind w:left="3231" w:right="0" w:hanging="678"/>
        <w:jc w:val="left"/>
        <w:rPr>
          <w:sz w:val="45"/>
        </w:rPr>
      </w:pPr>
      <w:r>
        <w:rPr>
          <w:sz w:val="45"/>
        </w:rPr>
        <w:t>安全保证措施及危险点预控</w:t>
        <w:tab/>
        <w:t>039</w:t>
      </w:r>
    </w:p>
    <w:p>
      <w:pPr>
        <w:pStyle w:val="Heading3"/>
        <w:spacing w:before="295"/>
        <w:ind w:left="2553"/>
      </w:pPr>
      <w:r>
        <w:t>八、环境保护、文明施工保证措施</w:t>
      </w:r>
    </w:p>
    <w:p>
      <w:pPr>
        <w:pStyle w:val="ListParagraph"/>
        <w:numPr>
          <w:ilvl w:val="0"/>
          <w:numId w:val="23"/>
        </w:numPr>
        <w:tabs>
          <w:tab w:val="left" w:pos="3230"/>
          <w:tab w:val="right" w:leader="dot" w:pos="14933"/>
        </w:tabs>
        <w:spacing w:before="295" w:after="0" w:line="240" w:lineRule="auto"/>
        <w:ind w:left="3229" w:right="0" w:hanging="677"/>
        <w:jc w:val="left"/>
        <w:rPr>
          <w:sz w:val="45"/>
        </w:rPr>
      </w:pPr>
      <w:r>
        <w:rPr>
          <w:sz w:val="45"/>
        </w:rPr>
        <w:t>环境保护</w:t>
        <w:tab/>
        <w:t>040</w:t>
      </w:r>
    </w:p>
    <w:p>
      <w:pPr>
        <w:pStyle w:val="ListParagraph"/>
        <w:numPr>
          <w:ilvl w:val="0"/>
          <w:numId w:val="23"/>
        </w:numPr>
        <w:tabs>
          <w:tab w:val="left" w:pos="3230"/>
          <w:tab w:val="right" w:leader="dot" w:pos="14933"/>
        </w:tabs>
        <w:spacing w:before="291" w:after="0" w:line="240" w:lineRule="auto"/>
        <w:ind w:left="3229" w:right="0" w:hanging="677"/>
        <w:jc w:val="left"/>
        <w:rPr>
          <w:sz w:val="45"/>
        </w:rPr>
      </w:pPr>
      <w:r>
        <w:rPr>
          <w:sz w:val="45"/>
        </w:rPr>
        <w:t>文明施工</w:t>
        <w:tab/>
        <w:t>041</w:t>
      </w:r>
    </w:p>
    <w:p>
      <w:pPr>
        <w:pStyle w:val="Heading3"/>
        <w:spacing w:before="295"/>
        <w:ind w:left="2553"/>
      </w:pPr>
      <w:r>
        <w:t>九、计划、统计和信息管理</w:t>
      </w:r>
    </w:p>
    <w:p>
      <w:pPr>
        <w:pStyle w:val="ListParagraph"/>
        <w:numPr>
          <w:ilvl w:val="0"/>
          <w:numId w:val="22"/>
        </w:numPr>
        <w:tabs>
          <w:tab w:val="left" w:pos="3230"/>
          <w:tab w:val="right" w:leader="dot" w:pos="14487"/>
        </w:tabs>
        <w:spacing w:before="295" w:after="0" w:line="240" w:lineRule="auto"/>
        <w:ind w:left="3229" w:right="0" w:hanging="677"/>
        <w:jc w:val="left"/>
        <w:rPr>
          <w:sz w:val="45"/>
        </w:rPr>
      </w:pPr>
      <w:r>
        <w:rPr>
          <w:sz w:val="45"/>
        </w:rPr>
        <w:t>计划、统计报表编制和管理</w:t>
        <w:tab/>
        <w:t>043</w:t>
      </w:r>
    </w:p>
    <w:p>
      <w:pPr>
        <w:pStyle w:val="ListParagraph"/>
        <w:numPr>
          <w:ilvl w:val="0"/>
          <w:numId w:val="22"/>
        </w:numPr>
        <w:tabs>
          <w:tab w:val="left" w:pos="3230"/>
          <w:tab w:val="right" w:leader="dot" w:pos="14933"/>
        </w:tabs>
        <w:spacing w:before="291" w:after="0" w:line="240" w:lineRule="auto"/>
        <w:ind w:left="3229" w:right="0" w:hanging="677"/>
        <w:jc w:val="left"/>
        <w:rPr>
          <w:sz w:val="45"/>
        </w:rPr>
      </w:pPr>
      <w:r>
        <w:rPr>
          <w:sz w:val="45"/>
        </w:rPr>
        <w:t>信息管理</w:t>
        <w:tab/>
        <w:t>043</w:t>
      </w:r>
    </w:p>
    <w:p>
      <w:pPr>
        <w:pStyle w:val="Heading3"/>
        <w:spacing w:before="295"/>
        <w:ind w:left="2553"/>
        <w:sectPr>
          <w:type w:val="continuous"/>
          <w:pgSz w:w="17860" w:h="25260"/>
          <w:pgMar w:top="2200" w:right="0" w:bottom="280" w:left="0" w:header="708" w:footer="708"/>
          <w:pgNumType w:start="5"/>
          <w:cols w:space="708"/>
        </w:sectPr>
      </w:pPr>
      <w:r>
        <w:t>十、项目所在地政策处理协调措施</w:t>
      </w:r>
    </w:p>
    <w:p>
      <w:pPr>
        <w:tabs>
          <w:tab w:val="right" w:leader="dot" w:pos="14937"/>
        </w:tabs>
        <w:spacing w:before="294"/>
        <w:ind w:left="2553" w:right="0" w:firstLine="0"/>
        <w:jc w:val="left"/>
        <w:rPr>
          <w:sz w:val="45"/>
        </w:rPr>
      </w:pPr>
      <w:r>
        <w:rPr>
          <w:sz w:val="45"/>
        </w:rPr>
        <w:t>1.</w:t>
      </w:r>
      <w:r>
        <w:rPr>
          <w:spacing w:val="1"/>
          <w:sz w:val="45"/>
        </w:rPr>
        <w:t xml:space="preserve"> </w:t>
      </w:r>
      <w:r>
        <w:rPr>
          <w:sz w:val="45"/>
        </w:rPr>
        <w:t>项目所在地政策处理协调措施</w:t>
        <w:tab/>
        <w:t>045</w:t>
      </w:r>
    </w:p>
    <w:p>
      <w:pPr>
        <w:spacing w:after="0"/>
        <w:jc w:val="left"/>
        <w:rPr>
          <w:sz w:val="45"/>
        </w:rPr>
        <w:sectPr>
          <w:type w:val="nextPage"/>
          <w:pgSz w:w="17860" w:h="25260"/>
          <w:pgMar w:top="2200" w:right="0" w:bottom="280" w:left="0" w:header="708" w:footer="708"/>
          <w:pgNumType w:start="6"/>
          <w:cols w:space="708"/>
          <w:titlePg w:val="0"/>
        </w:sectPr>
      </w:pPr>
    </w:p>
    <w:p>
      <w:pPr>
        <w:pStyle w:val="Heading3"/>
        <w:spacing w:before="24"/>
        <w:ind w:left="2553"/>
      </w:pPr>
      <w:r>
        <w:t>十一、项目整套启动度运行配合措施</w:t>
      </w:r>
    </w:p>
    <w:p>
      <w:pPr>
        <w:tabs>
          <w:tab w:val="left" w:leader="dot" w:pos="14262"/>
        </w:tabs>
        <w:spacing w:before="295"/>
        <w:ind w:left="2553" w:right="0" w:firstLine="0"/>
        <w:jc w:val="left"/>
        <w:rPr>
          <w:sz w:val="45"/>
        </w:rPr>
      </w:pPr>
      <w:r>
        <w:rPr>
          <w:sz w:val="45"/>
        </w:rPr>
        <w:t>1.</w:t>
      </w:r>
      <w:r>
        <w:rPr>
          <w:spacing w:val="1"/>
          <w:sz w:val="45"/>
        </w:rPr>
        <w:t xml:space="preserve"> </w:t>
      </w:r>
      <w:r>
        <w:rPr>
          <w:sz w:val="45"/>
        </w:rPr>
        <w:t>项目整套启动度运行配合措施</w:t>
        <w:tab/>
        <w:t>046</w:t>
      </w:r>
    </w:p>
    <w:p>
      <w:pPr>
        <w:pStyle w:val="Heading3"/>
        <w:spacing w:before="294"/>
        <w:ind w:left="2553"/>
      </w:pPr>
      <w:r>
        <w:t>十二、附件</w:t>
      </w:r>
    </w:p>
    <w:p>
      <w:pPr>
        <w:tabs>
          <w:tab w:val="left" w:leader="dot" w:pos="14262"/>
        </w:tabs>
        <w:spacing w:before="291"/>
        <w:ind w:left="2780" w:right="0" w:firstLine="0"/>
        <w:jc w:val="left"/>
        <w:rPr>
          <w:sz w:val="45"/>
        </w:rPr>
      </w:pPr>
      <w:r>
        <w:rPr>
          <w:sz w:val="45"/>
        </w:rPr>
        <w:t>附图一、迪荡变电气安装工程施工进度横道图</w:t>
        <w:tab/>
        <w:t>047</w:t>
      </w:r>
    </w:p>
    <w:p>
      <w:pPr>
        <w:tabs>
          <w:tab w:val="left" w:leader="dot" w:pos="14262"/>
        </w:tabs>
        <w:spacing w:before="295"/>
        <w:ind w:left="2780" w:right="0" w:firstLine="0"/>
        <w:jc w:val="left"/>
        <w:rPr>
          <w:sz w:val="45"/>
        </w:rPr>
      </w:pPr>
      <w:r>
        <w:rPr>
          <w:sz w:val="45"/>
        </w:rPr>
        <w:t>附图二、迪荡变电气安装工程施工进度计划网络图</w:t>
        <w:tab/>
        <w:t>048</w:t>
      </w:r>
    </w:p>
    <w:p>
      <w:pPr>
        <w:tabs>
          <w:tab w:val="left" w:leader="dot" w:pos="14262"/>
        </w:tabs>
        <w:spacing w:before="295"/>
        <w:ind w:left="2780" w:right="0" w:firstLine="0"/>
        <w:jc w:val="left"/>
        <w:rPr>
          <w:sz w:val="45"/>
        </w:rPr>
      </w:pPr>
      <w:r>
        <w:rPr>
          <w:sz w:val="45"/>
        </w:rPr>
        <w:t>附件三、项目经理简历表</w:t>
        <w:tab/>
        <w:t>049</w:t>
      </w:r>
    </w:p>
    <w:p>
      <w:pPr>
        <w:tabs>
          <w:tab w:val="left" w:leader="dot" w:pos="14262"/>
        </w:tabs>
        <w:spacing w:before="292"/>
        <w:ind w:left="4579" w:right="0" w:firstLine="0"/>
        <w:jc w:val="left"/>
        <w:rPr>
          <w:sz w:val="45"/>
        </w:rPr>
      </w:pPr>
      <w:r>
        <w:rPr>
          <w:sz w:val="45"/>
        </w:rPr>
        <w:t>项目经理证书</w:t>
        <w:tab/>
        <w:t>050</w:t>
      </w:r>
    </w:p>
    <w:p>
      <w:pPr>
        <w:tabs>
          <w:tab w:val="left" w:leader="dot" w:pos="13812"/>
        </w:tabs>
        <w:spacing w:before="294"/>
        <w:ind w:left="2780" w:right="0" w:firstLine="0"/>
        <w:jc w:val="left"/>
        <w:rPr>
          <w:sz w:val="45"/>
        </w:rPr>
      </w:pPr>
      <w:r>
        <w:rPr>
          <w:sz w:val="45"/>
        </w:rPr>
        <w:t>附件四、项目现场工程技术、管理人员</w:t>
        <w:tab/>
        <w:t>051</w:t>
      </w:r>
    </w:p>
    <w:p>
      <w:pPr>
        <w:tabs>
          <w:tab w:val="left" w:leader="dot" w:pos="14262"/>
        </w:tabs>
        <w:spacing w:before="295"/>
        <w:ind w:left="2780" w:right="0" w:firstLine="0"/>
        <w:jc w:val="left"/>
        <w:rPr>
          <w:sz w:val="45"/>
        </w:rPr>
      </w:pPr>
      <w:r>
        <w:rPr>
          <w:sz w:val="45"/>
        </w:rPr>
        <w:t>附件九、主要施工机械设备表</w:t>
        <w:tab/>
        <w:t>052</w:t>
      </w:r>
    </w:p>
    <w:p>
      <w:pPr>
        <w:tabs>
          <w:tab w:val="left" w:leader="dot" w:pos="14262"/>
        </w:tabs>
        <w:spacing w:before="291"/>
        <w:ind w:left="2780" w:right="0" w:firstLine="0"/>
        <w:jc w:val="left"/>
        <w:rPr>
          <w:sz w:val="45"/>
        </w:rPr>
      </w:pPr>
      <w:r>
        <w:rPr>
          <w:sz w:val="45"/>
        </w:rPr>
        <w:t>附件十、劳动力投入计划</w:t>
        <w:tab/>
        <w:t>053</w:t>
      </w:r>
    </w:p>
    <w:p>
      <w:pPr>
        <w:tabs>
          <w:tab w:val="left" w:leader="dot" w:pos="14262"/>
        </w:tabs>
        <w:spacing w:before="295"/>
        <w:ind w:left="2780" w:right="0" w:firstLine="0"/>
        <w:jc w:val="left"/>
        <w:rPr>
          <w:sz w:val="45"/>
        </w:rPr>
      </w:pPr>
      <w:r>
        <w:rPr>
          <w:sz w:val="45"/>
        </w:rPr>
        <w:t>附件十一、劳动力资源图示及动态分布</w:t>
        <w:tab/>
        <w:t>053</w:t>
      </w:r>
    </w:p>
    <w:p>
      <w:pPr>
        <w:tabs>
          <w:tab w:val="left" w:leader="dot" w:pos="14262"/>
        </w:tabs>
        <w:spacing w:before="294"/>
        <w:ind w:left="2780" w:right="0" w:firstLine="0"/>
        <w:jc w:val="left"/>
        <w:rPr>
          <w:sz w:val="45"/>
        </w:rPr>
      </w:pPr>
      <w:r>
        <w:rPr>
          <w:sz w:val="45"/>
        </w:rPr>
        <w:t>附件十二、工程拟分包情况</w:t>
        <w:tab/>
        <w:t>054</w:t>
      </w:r>
    </w:p>
    <w:p>
      <w:pPr>
        <w:tabs>
          <w:tab w:val="left" w:leader="dot" w:pos="14262"/>
        </w:tabs>
        <w:spacing w:before="292"/>
        <w:ind w:left="2780" w:right="0" w:firstLine="0"/>
        <w:jc w:val="left"/>
        <w:rPr>
          <w:sz w:val="45"/>
        </w:rPr>
      </w:pPr>
      <w:r>
        <w:rPr>
          <w:sz w:val="45"/>
        </w:rPr>
        <w:t>附件十三、施工安全环境管理协议</w:t>
        <w:tab/>
        <w:t>055</w:t>
      </w:r>
    </w:p>
    <w:p>
      <w:pPr>
        <w:tabs>
          <w:tab w:val="left" w:leader="dot" w:pos="14262"/>
        </w:tabs>
        <w:spacing w:before="295"/>
        <w:ind w:left="2780" w:right="0" w:firstLine="0"/>
        <w:jc w:val="left"/>
        <w:rPr>
          <w:sz w:val="45"/>
        </w:rPr>
      </w:pPr>
      <w:r>
        <w:rPr>
          <w:sz w:val="45"/>
        </w:rPr>
        <w:t>附件十四、工程建设项目廉洁责任书</w:t>
        <w:tab/>
        <w:t>061</w:t>
      </w:r>
    </w:p>
    <w:p>
      <w:pPr>
        <w:tabs>
          <w:tab w:val="left" w:leader="dot" w:pos="14262"/>
        </w:tabs>
        <w:spacing w:before="294"/>
        <w:ind w:left="2780" w:right="0" w:firstLine="0"/>
        <w:jc w:val="left"/>
        <w:rPr>
          <w:sz w:val="45"/>
        </w:rPr>
      </w:pPr>
      <w:r>
        <w:rPr>
          <w:sz w:val="45"/>
        </w:rPr>
        <w:t>附件十五、告知书</w:t>
        <w:tab/>
        <w:t>064</w:t>
      </w:r>
    </w:p>
    <w:p>
      <w:pPr>
        <w:pStyle w:val="Heading3"/>
        <w:spacing w:before="291"/>
        <w:ind w:left="2553"/>
      </w:pPr>
      <w:r>
        <w:t>十三、企业资格证明文件</w:t>
      </w:r>
    </w:p>
    <w:p>
      <w:pPr>
        <w:pStyle w:val="ListParagraph"/>
        <w:numPr>
          <w:ilvl w:val="0"/>
          <w:numId w:val="21"/>
        </w:numPr>
        <w:tabs>
          <w:tab w:val="left" w:pos="3230"/>
          <w:tab w:val="left" w:leader="dot" w:pos="14258"/>
        </w:tabs>
        <w:spacing w:before="295" w:after="0" w:line="240" w:lineRule="auto"/>
        <w:ind w:left="3229" w:right="0" w:hanging="677"/>
        <w:jc w:val="left"/>
        <w:rPr>
          <w:sz w:val="45"/>
        </w:rPr>
      </w:pPr>
      <w:r>
        <w:rPr>
          <w:sz w:val="45"/>
        </w:rPr>
        <w:t>企业营业执照</w:t>
        <w:tab/>
        <w:t>065</w:t>
      </w:r>
    </w:p>
    <w:p>
      <w:pPr>
        <w:pStyle w:val="ListParagraph"/>
        <w:numPr>
          <w:ilvl w:val="0"/>
          <w:numId w:val="21"/>
        </w:numPr>
        <w:tabs>
          <w:tab w:val="left" w:pos="3231"/>
          <w:tab w:val="left" w:leader="dot" w:pos="14262"/>
        </w:tabs>
        <w:spacing w:before="295" w:after="0" w:line="240" w:lineRule="auto"/>
        <w:ind w:left="3231" w:right="0" w:hanging="678"/>
        <w:jc w:val="left"/>
        <w:rPr>
          <w:sz w:val="45"/>
        </w:rPr>
      </w:pPr>
      <w:r>
        <w:rPr>
          <w:sz w:val="45"/>
        </w:rPr>
        <w:t>企业组织机构代码证</w:t>
        <w:tab/>
        <w:t>067</w:t>
      </w:r>
    </w:p>
    <w:p>
      <w:pPr>
        <w:pStyle w:val="ListParagraph"/>
        <w:numPr>
          <w:ilvl w:val="0"/>
          <w:numId w:val="21"/>
        </w:numPr>
        <w:tabs>
          <w:tab w:val="left" w:pos="3230"/>
          <w:tab w:val="left" w:leader="dot" w:pos="14262"/>
        </w:tabs>
        <w:spacing w:before="291" w:after="0" w:line="240" w:lineRule="auto"/>
        <w:ind w:left="3229" w:right="0" w:hanging="677"/>
        <w:jc w:val="left"/>
        <w:rPr>
          <w:sz w:val="45"/>
        </w:rPr>
      </w:pPr>
      <w:r>
        <w:rPr>
          <w:sz w:val="45"/>
        </w:rPr>
        <w:t>企业资质等级证书</w:t>
        <w:tab/>
        <w:t>068</w:t>
      </w:r>
    </w:p>
    <w:p>
      <w:pPr>
        <w:pStyle w:val="ListParagraph"/>
        <w:numPr>
          <w:ilvl w:val="0"/>
          <w:numId w:val="21"/>
        </w:numPr>
        <w:tabs>
          <w:tab w:val="left" w:pos="3231"/>
          <w:tab w:val="left" w:leader="dot" w:pos="14262"/>
        </w:tabs>
        <w:spacing w:before="295" w:after="0" w:line="240" w:lineRule="auto"/>
        <w:ind w:left="3231" w:right="0" w:hanging="678"/>
        <w:jc w:val="left"/>
        <w:rPr>
          <w:sz w:val="45"/>
        </w:rPr>
      </w:pPr>
      <w:r>
        <w:rPr>
          <w:sz w:val="45"/>
        </w:rPr>
        <w:t>企业近三年安全情况</w:t>
        <w:tab/>
        <w:t>070</w:t>
      </w:r>
    </w:p>
    <w:p>
      <w:pPr>
        <w:pStyle w:val="ListParagraph"/>
        <w:numPr>
          <w:ilvl w:val="0"/>
          <w:numId w:val="21"/>
        </w:numPr>
        <w:tabs>
          <w:tab w:val="left" w:pos="3230"/>
          <w:tab w:val="left" w:leader="dot" w:pos="14262"/>
        </w:tabs>
        <w:spacing w:before="295" w:after="0" w:line="240" w:lineRule="auto"/>
        <w:ind w:left="3229" w:right="0" w:hanging="677"/>
        <w:jc w:val="left"/>
        <w:rPr>
          <w:sz w:val="45"/>
        </w:rPr>
      </w:pPr>
      <w:r>
        <w:rPr>
          <w:sz w:val="45"/>
        </w:rPr>
        <w:t>安全生产许可证</w:t>
        <w:tab/>
        <w:t>071</w:t>
      </w:r>
    </w:p>
    <w:p>
      <w:pPr>
        <w:pStyle w:val="ListParagraph"/>
        <w:numPr>
          <w:ilvl w:val="0"/>
          <w:numId w:val="21"/>
        </w:numPr>
        <w:tabs>
          <w:tab w:val="left" w:pos="3231"/>
          <w:tab w:val="left" w:leader="dot" w:pos="14262"/>
        </w:tabs>
        <w:spacing w:before="291" w:after="0" w:line="240" w:lineRule="auto"/>
        <w:ind w:left="3231" w:right="0" w:hanging="678"/>
        <w:jc w:val="left"/>
        <w:rPr>
          <w:sz w:val="45"/>
        </w:rPr>
      </w:pPr>
      <w:r>
        <w:rPr>
          <w:sz w:val="45"/>
        </w:rPr>
        <w:t>有效通过省级安全性评价文件</w:t>
        <w:tab/>
        <w:t>074</w:t>
      </w:r>
    </w:p>
    <w:p>
      <w:pPr>
        <w:pStyle w:val="ListParagraph"/>
        <w:numPr>
          <w:ilvl w:val="0"/>
          <w:numId w:val="21"/>
        </w:numPr>
        <w:tabs>
          <w:tab w:val="left" w:pos="3230"/>
          <w:tab w:val="left" w:leader="dot" w:pos="14262"/>
        </w:tabs>
        <w:spacing w:before="294" w:after="0" w:line="240" w:lineRule="auto"/>
        <w:ind w:left="3229" w:right="0" w:hanging="677"/>
        <w:jc w:val="left"/>
        <w:rPr>
          <w:sz w:val="45"/>
        </w:rPr>
      </w:pPr>
      <w:r>
        <w:rPr>
          <w:sz w:val="45"/>
        </w:rPr>
        <w:t>承装(</w:t>
      </w:r>
      <w:r>
        <w:rPr>
          <w:spacing w:val="3"/>
          <w:sz w:val="45"/>
        </w:rPr>
        <w:t>修</w:t>
      </w:r>
      <w:r>
        <w:rPr>
          <w:rFonts w:ascii="幼圆" w:eastAsia="幼圆" w:hint="eastAsia"/>
          <w:spacing w:val="-4"/>
          <w:sz w:val="45"/>
        </w:rPr>
        <w:t>﹑</w:t>
      </w:r>
      <w:r>
        <w:rPr>
          <w:spacing w:val="4"/>
          <w:sz w:val="45"/>
        </w:rPr>
        <w:t>试</w:t>
      </w:r>
      <w:r>
        <w:rPr>
          <w:sz w:val="45"/>
        </w:rPr>
        <w:t>)电力设施许可证</w:t>
        <w:tab/>
        <w:t>078</w:t>
      </w:r>
    </w:p>
    <w:p>
      <w:pPr>
        <w:pStyle w:val="ListParagraph"/>
        <w:numPr>
          <w:ilvl w:val="0"/>
          <w:numId w:val="21"/>
        </w:numPr>
        <w:tabs>
          <w:tab w:val="left" w:pos="3230"/>
          <w:tab w:val="left" w:leader="dot" w:pos="14262"/>
        </w:tabs>
        <w:spacing w:before="295" w:after="0" w:line="240" w:lineRule="auto"/>
        <w:ind w:left="3229" w:right="0" w:hanging="677"/>
        <w:jc w:val="left"/>
        <w:rPr>
          <w:sz w:val="45"/>
        </w:rPr>
      </w:pPr>
      <w:r>
        <w:rPr>
          <w:sz w:val="45"/>
        </w:rPr>
        <w:t>企业质量管理体系认证</w:t>
        <w:tab/>
        <w:t>081</w:t>
      </w:r>
    </w:p>
    <w:p>
      <w:pPr>
        <w:spacing w:after="0" w:line="240" w:lineRule="auto"/>
        <w:jc w:val="left"/>
        <w:rPr>
          <w:sz w:val="45"/>
        </w:rPr>
        <w:sectPr>
          <w:pgSz w:w="17860" w:h="25260"/>
          <w:pgMar w:top="2200" w:right="0" w:bottom="280" w:left="0" w:header="708" w:footer="708"/>
          <w:pgNumType w:start="7"/>
          <w:cols w:space="708"/>
        </w:sectPr>
      </w:pPr>
    </w:p>
    <w:p>
      <w:pPr>
        <w:pStyle w:val="ListParagraph"/>
        <w:numPr>
          <w:ilvl w:val="0"/>
          <w:numId w:val="21"/>
        </w:numPr>
        <w:tabs>
          <w:tab w:val="left" w:pos="3230"/>
          <w:tab w:val="right" w:leader="dot" w:pos="14937"/>
        </w:tabs>
        <w:spacing w:before="24" w:after="0" w:line="240" w:lineRule="auto"/>
        <w:ind w:left="3229" w:right="0" w:hanging="677"/>
        <w:jc w:val="left"/>
        <w:rPr>
          <w:sz w:val="45"/>
        </w:rPr>
      </w:pPr>
      <w:r>
        <w:rPr>
          <w:sz w:val="45"/>
        </w:rPr>
        <w:t>近三年来所承建工程业绩情况表</w:t>
        <w:tab/>
        <w:t>083</w:t>
      </w:r>
    </w:p>
    <w:p>
      <w:pPr>
        <w:pStyle w:val="ListParagraph"/>
        <w:numPr>
          <w:ilvl w:val="0"/>
          <w:numId w:val="21"/>
        </w:numPr>
        <w:tabs>
          <w:tab w:val="left" w:pos="3453"/>
          <w:tab w:val="right" w:leader="dot" w:pos="14933"/>
        </w:tabs>
        <w:spacing w:before="295" w:after="0" w:line="240" w:lineRule="auto"/>
        <w:ind w:left="3453" w:right="0" w:hanging="900"/>
        <w:jc w:val="left"/>
        <w:rPr>
          <w:sz w:val="45"/>
        </w:rPr>
      </w:pPr>
      <w:r>
        <w:rPr>
          <w:sz w:val="45"/>
        </w:rPr>
        <w:t>企业施工政策处理业绩统计表</w:t>
        <w:tab/>
        <w:t>084</w:t>
      </w:r>
    </w:p>
    <w:p>
      <w:pPr>
        <w:pStyle w:val="ListParagraph"/>
        <w:numPr>
          <w:ilvl w:val="0"/>
          <w:numId w:val="21"/>
        </w:numPr>
        <w:tabs>
          <w:tab w:val="left" w:pos="3453"/>
          <w:tab w:val="right" w:leader="dot" w:pos="14933"/>
        </w:tabs>
        <w:spacing w:before="294" w:after="0" w:line="240" w:lineRule="auto"/>
        <w:ind w:left="3453" w:right="0" w:hanging="900"/>
        <w:jc w:val="left"/>
        <w:rPr>
          <w:sz w:val="45"/>
        </w:rPr>
      </w:pPr>
      <w:r>
        <w:rPr>
          <w:sz w:val="45"/>
        </w:rPr>
        <w:t>企业目前在建工程情况表</w:t>
        <w:tab/>
        <w:t>085</w:t>
      </w:r>
    </w:p>
    <w:p>
      <w:pPr>
        <w:pStyle w:val="ListParagraph"/>
        <w:numPr>
          <w:ilvl w:val="0"/>
          <w:numId w:val="21"/>
        </w:numPr>
        <w:tabs>
          <w:tab w:val="left" w:pos="3454"/>
          <w:tab w:val="right" w:leader="dot" w:pos="14933"/>
        </w:tabs>
        <w:spacing w:before="270" w:after="0" w:line="240" w:lineRule="auto"/>
        <w:ind w:left="3454" w:right="0" w:hanging="901"/>
        <w:jc w:val="left"/>
        <w:rPr>
          <w:sz w:val="45"/>
        </w:rPr>
      </w:pPr>
      <w:r>
        <w:rPr>
          <w:sz w:val="45"/>
        </w:rPr>
        <w:t>特殊工种上岗证</w:t>
        <w:tab/>
        <w:t>086</w:t>
      </w:r>
    </w:p>
    <w:p>
      <w:pPr>
        <w:pStyle w:val="ListParagraph"/>
        <w:numPr>
          <w:ilvl w:val="0"/>
          <w:numId w:val="21"/>
        </w:numPr>
        <w:tabs>
          <w:tab w:val="left" w:pos="3454"/>
          <w:tab w:val="right" w:leader="dot" w:pos="14933"/>
        </w:tabs>
        <w:spacing w:before="262" w:after="0" w:line="240" w:lineRule="auto"/>
        <w:ind w:left="3454" w:right="0" w:hanging="901"/>
        <w:jc w:val="left"/>
        <w:rPr>
          <w:sz w:val="45"/>
        </w:rPr>
      </w:pPr>
      <w:r>
        <w:rPr>
          <w:sz w:val="45"/>
        </w:rPr>
        <w:t>企业荣誉</w:t>
        <w:tab/>
        <w:t>094</w:t>
      </w:r>
    </w:p>
    <w:p>
      <w:pPr>
        <w:spacing w:after="0" w:line="240" w:lineRule="auto"/>
        <w:jc w:val="left"/>
        <w:rPr>
          <w:sz w:val="45"/>
        </w:rPr>
        <w:sectPr>
          <w:pgSz w:w="17860" w:h="25260"/>
          <w:pgMar w:top="2200" w:right="0" w:bottom="280" w:left="0" w:header="708" w:footer="708"/>
          <w:pgNumType w:start="8"/>
          <w:cols w:space="708"/>
        </w:sectPr>
      </w:pPr>
    </w:p>
    <w:p>
      <w:pPr>
        <w:spacing w:before="8" w:line="326" w:lineRule="auto"/>
        <w:ind w:left="7543" w:right="4746" w:hanging="2233"/>
        <w:jc w:val="left"/>
        <w:rPr>
          <w:b/>
          <w:sz w:val="48"/>
        </w:rPr>
      </w:pPr>
      <w:r>
        <w:rPr>
          <w:b/>
          <w:sz w:val="48"/>
        </w:rPr>
        <w:t>110</w:t>
      </w:r>
      <w:r>
        <w:rPr>
          <w:b/>
          <w:spacing w:val="-67"/>
          <w:sz w:val="48"/>
        </w:rPr>
        <w:t xml:space="preserve"> 千伏 </w:t>
      </w:r>
      <w:r>
        <w:rPr>
          <w:b/>
          <w:sz w:val="48"/>
        </w:rPr>
        <w:t>XX</w:t>
      </w:r>
      <w:r>
        <w:rPr>
          <w:b/>
          <w:spacing w:val="-16"/>
          <w:sz w:val="48"/>
        </w:rPr>
        <w:t xml:space="preserve"> 变电气设备安装工程投标</w:t>
      </w:r>
      <w:r>
        <w:rPr>
          <w:b/>
          <w:sz w:val="48"/>
        </w:rPr>
        <w:t>综合说明及承诺</w:t>
      </w:r>
    </w:p>
    <w:p>
      <w:pPr>
        <w:pStyle w:val="BodyText"/>
        <w:rPr>
          <w:b/>
          <w:sz w:val="48"/>
        </w:rPr>
      </w:pPr>
    </w:p>
    <w:p>
      <w:pPr>
        <w:pStyle w:val="BodyText"/>
        <w:spacing w:before="342" w:line="374" w:lineRule="auto"/>
        <w:ind w:left="2553" w:right="1827" w:firstLine="925"/>
      </w:pPr>
      <w:r>
        <w:rPr>
          <w:spacing w:val="-6"/>
        </w:rPr>
        <w:t xml:space="preserve">本投标项目为浙江省电力公司绍兴电力局 </w:t>
      </w:r>
      <w:r>
        <w:t>2008</w:t>
      </w:r>
      <w:r>
        <w:rPr>
          <w:spacing w:val="-9"/>
        </w:rPr>
        <w:t xml:space="preserve"> 年输变电工程施工第二次专项招标（变电）中（标五</w:t>
      </w:r>
      <w:r>
        <w:rPr>
          <w:spacing w:val="-4"/>
        </w:rPr>
        <w:t>）—110</w:t>
      </w:r>
      <w:r>
        <w:rPr>
          <w:spacing w:val="-9"/>
        </w:rPr>
        <w:t xml:space="preserve"> 千伏迪荡变电气设备安装工程， 公司在获得参加投标资格后，仔细认真地了解了工程招标文件和相关资 </w:t>
      </w:r>
      <w:r>
        <w:rPr>
          <w:spacing w:val="-10"/>
        </w:rPr>
        <w:t xml:space="preserve">料，为确保项目施工方案优越性，公司在各个方面进行了详细分析研讨， </w:t>
      </w:r>
      <w:r>
        <w:t>并落实了本工程技术标—施工组织方案编写。</w:t>
      </w:r>
    </w:p>
    <w:p>
      <w:pPr>
        <w:pStyle w:val="BodyText"/>
        <w:spacing w:before="1" w:line="374" w:lineRule="auto"/>
        <w:ind w:left="2553" w:right="1730" w:firstLine="907"/>
        <w:jc w:val="both"/>
      </w:pPr>
      <w:r>
        <w:rPr>
          <w:spacing w:val="-22"/>
        </w:rPr>
        <w:t xml:space="preserve">让用户放心、让用户满意是我们一贯追求目标，本工程若我公司中标， </w:t>
      </w:r>
      <w:r>
        <w:t>我们将继续坚持贯彻执行“安全第一、预防为主、质量为上、以人为本” 企业生产方针，通过遵循“项目化运作、创新化发展、精细化管理、标准化建设”企业工作思路，进一步加强项目现场各项管理，为工程创优并顺</w:t>
      </w:r>
      <w:r>
        <w:rPr>
          <w:spacing w:val="-20"/>
        </w:rPr>
        <w:t>利投产打好基础。近几年来，我公司承建工程屡次获得了绍兴市“兰花杯” 及“国网”优质工程，本工程我们以此为目标，保证圆满完成任务。在此此特作如下安排及承诺：</w:t>
      </w:r>
    </w:p>
    <w:p>
      <w:pPr>
        <w:pStyle w:val="BodyText"/>
        <w:spacing w:before="6" w:line="374" w:lineRule="auto"/>
        <w:ind w:left="3384" w:right="6375"/>
      </w:pPr>
      <w:r>
        <w:t>工程名称：110 千伏XX</w:t>
      </w:r>
      <w:r>
        <w:rPr>
          <w:spacing w:val="-14"/>
        </w:rPr>
        <w:t xml:space="preserve"> 变电气设备安装工程</w:t>
      </w:r>
      <w:r>
        <w:t>工程地点：</w:t>
      </w:r>
    </w:p>
    <w:p>
      <w:pPr>
        <w:pStyle w:val="BodyText"/>
        <w:spacing w:line="376" w:lineRule="auto"/>
        <w:ind w:left="3384" w:right="12368"/>
      </w:pPr>
      <w:r>
        <w:rPr>
          <w:spacing w:val="-4"/>
        </w:rPr>
        <w:t>建设单位： 项目单位：</w:t>
      </w:r>
    </w:p>
    <w:p>
      <w:pPr>
        <w:pStyle w:val="Heading4"/>
        <w:spacing w:line="374" w:lineRule="auto"/>
        <w:ind w:left="3381" w:right="4564" w:firstLine="3"/>
      </w:pPr>
      <w:r>
        <w:rPr>
          <w:spacing w:val="-7"/>
        </w:rPr>
        <w:t xml:space="preserve">投标工期承诺：本工程我方承诺在 </w:t>
      </w:r>
      <w:r>
        <w:t>90</w:t>
      </w:r>
      <w:r>
        <w:rPr>
          <w:spacing w:val="-18"/>
        </w:rPr>
        <w:t xml:space="preserve"> 个日历天完工。</w:t>
      </w:r>
      <w:r>
        <w:t>投标项目经理：</w:t>
      </w:r>
    </w:p>
    <w:p>
      <w:pPr>
        <w:spacing w:before="0" w:line="374" w:lineRule="auto"/>
        <w:ind w:left="2553" w:right="1956" w:firstLine="831"/>
        <w:jc w:val="both"/>
        <w:rPr>
          <w:b/>
          <w:sz w:val="42"/>
        </w:rPr>
      </w:pPr>
      <w:r>
        <w:rPr>
          <w:b/>
          <w:spacing w:val="-12"/>
          <w:sz w:val="42"/>
        </w:rPr>
        <w:t>投标质量承诺：本工程我方承诺质量优良并达到《国家电网公司输变</w:t>
      </w:r>
      <w:r>
        <w:rPr>
          <w:b/>
          <w:spacing w:val="-15"/>
          <w:sz w:val="42"/>
        </w:rPr>
        <w:t>电工程达标投产考核办法》</w:t>
      </w:r>
      <w:r>
        <w:rPr>
          <w:b/>
          <w:sz w:val="42"/>
        </w:rPr>
        <w:t>（</w:t>
      </w:r>
      <w:r>
        <w:rPr>
          <w:b/>
          <w:spacing w:val="3"/>
          <w:sz w:val="42"/>
        </w:rPr>
        <w:t>国家电网基建</w:t>
      </w:r>
      <w:r>
        <w:rPr>
          <w:b/>
          <w:sz w:val="42"/>
        </w:rPr>
        <w:t>[2005]255</w:t>
      </w:r>
      <w:r>
        <w:rPr>
          <w:b/>
          <w:spacing w:val="-6"/>
          <w:sz w:val="42"/>
        </w:rPr>
        <w:t xml:space="preserve"> 号</w:t>
      </w:r>
      <w:r>
        <w:rPr>
          <w:b/>
          <w:sz w:val="42"/>
        </w:rPr>
        <w:t>）要求，争创绍兴市“兰花杯”优质工程。</w:t>
      </w:r>
    </w:p>
    <w:p>
      <w:pPr>
        <w:spacing w:after="0" w:line="374" w:lineRule="auto"/>
        <w:jc w:val="both"/>
        <w:rPr>
          <w:sz w:val="42"/>
        </w:rPr>
        <w:sectPr>
          <w:pgSz w:w="17860" w:h="25260"/>
          <w:pgMar w:top="2140" w:right="0" w:bottom="280" w:left="0" w:header="708" w:footer="708"/>
          <w:pgNumType w:start="9"/>
          <w:cols w:space="708"/>
        </w:sectPr>
      </w:pPr>
    </w:p>
    <w:p>
      <w:pPr>
        <w:pStyle w:val="Heading4"/>
        <w:spacing w:before="17"/>
        <w:ind w:left="3463"/>
      </w:pPr>
      <w:r>
        <w:t>安全文明施工承诺：按安全文明标化工地要求实施。</w:t>
      </w:r>
    </w:p>
    <w:p>
      <w:pPr>
        <w:pStyle w:val="BodyText"/>
        <w:spacing w:before="301" w:line="374" w:lineRule="auto"/>
        <w:ind w:left="2553" w:right="1922" w:firstLine="910"/>
      </w:pPr>
      <w:r>
        <w:rPr>
          <w:b/>
          <w:spacing w:val="-24"/>
        </w:rPr>
        <w:t>其他投标承诺：</w:t>
      </w:r>
      <w:r>
        <w:rPr>
          <w:spacing w:val="-1"/>
        </w:rPr>
        <w:t>在合同执行期间我方承诺按业主方项目管理要求分别</w:t>
      </w:r>
      <w:r>
        <w:rPr>
          <w:spacing w:val="16"/>
        </w:rPr>
        <w:t>编制本工程与</w:t>
      </w:r>
      <w:r>
        <w:t>SAP</w:t>
      </w:r>
      <w:r>
        <w:rPr>
          <w:spacing w:val="-10"/>
        </w:rPr>
        <w:t xml:space="preserve"> 项目管理软件接口“服务收货批量导入数据</w:t>
      </w:r>
      <w:r>
        <w:rPr>
          <w:spacing w:val="-90"/>
        </w:rPr>
        <w:t>”、“合同价</w:t>
      </w:r>
      <w:r>
        <w:rPr>
          <w:spacing w:val="-39"/>
        </w:rPr>
        <w:t>导入表格”、“项目三级进度计划导入表格”、“项目实际进度确认导入表</w:t>
      </w:r>
      <w:r>
        <w:rPr>
          <w:spacing w:val="-17"/>
          <w:w w:val="100"/>
        </w:rPr>
        <w:t>格”，并保证以书面和电子文档形式提供给发包方。</w:t>
      </w:r>
    </w:p>
    <w:p>
      <w:pPr>
        <w:spacing w:before="1" w:line="374" w:lineRule="auto"/>
        <w:ind w:left="2553" w:right="1838" w:firstLine="831"/>
        <w:jc w:val="both"/>
        <w:rPr>
          <w:b/>
          <w:sz w:val="42"/>
        </w:rPr>
      </w:pPr>
      <w:r>
        <w:rPr>
          <w:b/>
          <w:spacing w:val="-1"/>
          <w:sz w:val="42"/>
        </w:rPr>
        <w:t>如若中标，我公司一定信守承诺，积极配合业主方各项工作，积极为</w:t>
      </w:r>
      <w:r>
        <w:rPr>
          <w:b/>
          <w:spacing w:val="-12"/>
          <w:sz w:val="42"/>
        </w:rPr>
        <w:t>项目建设做好服务，为绍兴电网建设、为绍兴电力事业发展作出自己应有贡献。</w:t>
      </w:r>
    </w:p>
    <w:p>
      <w:pPr>
        <w:spacing w:after="0" w:line="374" w:lineRule="auto"/>
        <w:jc w:val="both"/>
        <w:rPr>
          <w:sz w:val="42"/>
        </w:rPr>
        <w:sectPr>
          <w:pgSz w:w="17860" w:h="25260"/>
          <w:pgMar w:top="2240" w:right="0" w:bottom="280" w:left="0" w:header="708" w:footer="708"/>
          <w:pgNumType w:start="10"/>
          <w:cols w:space="708"/>
        </w:sectPr>
      </w:pPr>
    </w:p>
    <w:p>
      <w:pPr>
        <w:pStyle w:val="Heading2"/>
        <w:spacing w:before="8"/>
        <w:ind w:left="2390" w:right="1819"/>
        <w:jc w:val="center"/>
      </w:pPr>
      <w:bookmarkStart w:id="0" w:name="_TOC_250015"/>
      <w:bookmarkEnd w:id="0"/>
      <w:r>
        <w:t>一、工程概况及特点</w:t>
      </w:r>
    </w:p>
    <w:p>
      <w:pPr>
        <w:pStyle w:val="BodyText"/>
        <w:spacing w:before="9"/>
        <w:rPr>
          <w:b/>
          <w:sz w:val="22"/>
        </w:rPr>
      </w:pPr>
    </w:p>
    <w:p>
      <w:pPr>
        <w:pStyle w:val="Heading4"/>
        <w:spacing w:before="42" w:line="374" w:lineRule="auto"/>
        <w:ind w:right="12545"/>
      </w:pPr>
      <w:r>
        <w:t>1、工程概况： XXXXXXXXXX</w:t>
      </w:r>
    </w:p>
    <w:p>
      <w:pPr>
        <w:pStyle w:val="BodyText"/>
        <w:spacing w:before="2" w:line="374" w:lineRule="auto"/>
        <w:ind w:left="3384" w:right="12158" w:firstLine="208"/>
      </w:pPr>
      <w:r>
        <w:t>工程名称： 工程地点： 建设单位： 设计单位：</w:t>
      </w:r>
    </w:p>
    <w:p>
      <w:pPr>
        <w:pStyle w:val="BodyText"/>
        <w:spacing w:before="2"/>
        <w:ind w:left="3384"/>
      </w:pPr>
      <w:r>
        <w:t>招标工期要求：</w:t>
      </w:r>
    </w:p>
    <w:p>
      <w:pPr>
        <w:pStyle w:val="BodyText"/>
        <w:spacing w:before="301" w:line="376" w:lineRule="auto"/>
        <w:ind w:left="2553" w:right="1838" w:firstLine="831"/>
      </w:pPr>
      <w:r>
        <w:rPr>
          <w:spacing w:val="-1"/>
        </w:rPr>
        <w:t>招标质量要求：优良并达到《国家电网公司输变电工程达标投产考核</w:t>
      </w:r>
      <w:r>
        <w:rPr>
          <w:spacing w:val="-72"/>
        </w:rPr>
        <w:t>办法》</w:t>
      </w:r>
      <w:r>
        <w:t>（</w:t>
      </w:r>
      <w:r>
        <w:rPr>
          <w:spacing w:val="-2"/>
        </w:rPr>
        <w:t>国家电网基建</w:t>
      </w:r>
      <w:r>
        <w:t>[2005]255</w:t>
      </w:r>
      <w:r>
        <w:rPr>
          <w:spacing w:val="-56"/>
        </w:rPr>
        <w:t xml:space="preserve"> 号</w:t>
      </w:r>
      <w:r>
        <w:t>）</w:t>
      </w:r>
      <w:r>
        <w:rPr>
          <w:spacing w:val="-2"/>
        </w:rPr>
        <w:t>要求 。</w:t>
      </w:r>
    </w:p>
    <w:p>
      <w:pPr>
        <w:pStyle w:val="Heading4"/>
        <w:spacing w:line="530" w:lineRule="exact"/>
      </w:pPr>
      <w:bookmarkStart w:id="1" w:name="_TOC_250014"/>
      <w:bookmarkEnd w:id="1"/>
      <w:r>
        <w:t>2、工程施工承包范围：</w:t>
      </w:r>
    </w:p>
    <w:p>
      <w:pPr>
        <w:pStyle w:val="BodyText"/>
        <w:spacing w:before="301" w:line="376" w:lineRule="auto"/>
        <w:ind w:left="2553" w:right="1829" w:firstLine="838"/>
      </w:pPr>
      <w:r>
        <w:t>变电所电气设备安装工程（</w:t>
      </w:r>
      <w:r>
        <w:rPr>
          <w:spacing w:val="-1"/>
        </w:rPr>
        <w:t>含站内通信、但不包括建筑物上埋管及穿</w:t>
      </w:r>
      <w:r>
        <w:rPr>
          <w:w w:val="100"/>
        </w:rPr>
        <w:t>线</w:t>
      </w:r>
      <w:r>
        <w:rPr>
          <w:spacing w:val="-209"/>
          <w:w w:val="100"/>
        </w:rPr>
        <w:t>）</w:t>
      </w:r>
      <w:r>
        <w:rPr>
          <w:w w:val="100"/>
        </w:rPr>
        <w:t>；</w:t>
      </w:r>
    </w:p>
    <w:p>
      <w:pPr>
        <w:pStyle w:val="BodyText"/>
        <w:spacing w:line="374" w:lineRule="auto"/>
        <w:ind w:left="3391" w:right="4159"/>
      </w:pPr>
      <w:r>
        <w:t>设备、构支架（含二次灌浆</w:t>
      </w:r>
      <w:r>
        <w:rPr>
          <w:spacing w:val="-224"/>
        </w:rPr>
        <w:t>）</w:t>
      </w:r>
      <w:r>
        <w:rPr>
          <w:spacing w:val="-2"/>
        </w:rPr>
        <w:t xml:space="preserve">、爬梯、钢梁等组立安装； </w:t>
      </w:r>
      <w:r>
        <w:t>设备接地引下线制作、安装、连接；</w:t>
      </w:r>
    </w:p>
    <w:p>
      <w:pPr>
        <w:pStyle w:val="BodyText"/>
        <w:spacing w:line="374" w:lineRule="auto"/>
        <w:ind w:left="2553" w:right="2067" w:firstLine="838"/>
      </w:pPr>
      <w:r>
        <w:rPr>
          <w:spacing w:val="-2"/>
        </w:rPr>
        <w:t>单体调试、分系统调试、整套启动调试、特殊调试,竣工图编制</w:t>
      </w:r>
      <w:r>
        <w:t>（</w:t>
      </w:r>
      <w:r>
        <w:rPr>
          <w:spacing w:val="-18"/>
        </w:rPr>
        <w:t>施</w:t>
      </w:r>
      <w:r>
        <w:rPr>
          <w:w w:val="100"/>
        </w:rPr>
        <w:t>工单位部分</w:t>
      </w:r>
      <w:r>
        <w:rPr>
          <w:spacing w:val="-217"/>
          <w:w w:val="100"/>
        </w:rPr>
        <w:t>）</w:t>
      </w:r>
      <w:r>
        <w:rPr>
          <w:w w:val="100"/>
        </w:rPr>
        <w:t>；</w:t>
      </w:r>
    </w:p>
    <w:p>
      <w:pPr>
        <w:pStyle w:val="BodyText"/>
        <w:spacing w:line="376" w:lineRule="auto"/>
        <w:ind w:left="3391" w:right="9411"/>
      </w:pPr>
      <w:r>
        <w:t>甲供设备材料现场保管等； 设备现场卸车。</w:t>
      </w:r>
    </w:p>
    <w:p>
      <w:pPr>
        <w:pStyle w:val="Heading4"/>
        <w:spacing w:line="531" w:lineRule="exact"/>
      </w:pPr>
      <w:bookmarkStart w:id="2" w:name="_TOC_250013"/>
      <w:bookmarkEnd w:id="2"/>
      <w:r>
        <w:t>3、工程特点：</w:t>
      </w:r>
    </w:p>
    <w:p>
      <w:pPr>
        <w:pStyle w:val="BodyText"/>
        <w:spacing w:before="293" w:line="374" w:lineRule="auto"/>
        <w:ind w:left="2553" w:right="1742" w:firstLine="838"/>
        <w:jc w:val="both"/>
      </w:pPr>
      <w:r>
        <w:rPr>
          <w:spacing w:val="-2"/>
        </w:rPr>
        <w:t>本工程变压器为两圈变，电压等级分为：</w:t>
      </w:r>
      <w:r>
        <w:rPr>
          <w:spacing w:val="-20"/>
        </w:rPr>
        <w:t>110kV</w:t>
      </w:r>
      <w:r>
        <w:rPr>
          <w:spacing w:val="-17"/>
        </w:rPr>
        <w:t xml:space="preserve">、 </w:t>
      </w:r>
      <w:r>
        <w:t>10kV</w:t>
      </w:r>
      <w:r>
        <w:rPr>
          <w:spacing w:val="-16"/>
        </w:rPr>
        <w:t xml:space="preserve"> 两个等级。主</w:t>
      </w:r>
      <w:r>
        <w:rPr>
          <w:spacing w:val="-12"/>
        </w:rPr>
        <w:t>变选用三相双圈自冷式有载调压变压器，型号为</w:t>
      </w:r>
      <w:r>
        <w:t>SZ10－50000/110，主变</w:t>
      </w:r>
      <w:r>
        <w:rPr>
          <w:spacing w:val="-4"/>
        </w:rPr>
        <w:t>分接头：</w:t>
      </w:r>
      <w:r>
        <w:rPr>
          <w:spacing w:val="-16"/>
        </w:rPr>
        <w:t>110±8×1.25%/10.5kV</w:t>
      </w:r>
      <w:r>
        <w:rPr>
          <w:spacing w:val="-10"/>
        </w:rPr>
        <w:t>，接线组别：</w:t>
      </w:r>
      <w:r>
        <w:rPr>
          <w:spacing w:val="-38"/>
        </w:rPr>
        <w:t>Yn,d11</w:t>
      </w:r>
      <w:r>
        <w:rPr>
          <w:spacing w:val="-11"/>
        </w:rPr>
        <w:t>，短路阻抗：</w:t>
      </w:r>
      <w:r>
        <w:rPr>
          <w:spacing w:val="-22"/>
        </w:rPr>
        <w:t>Ud＝17％；</w:t>
      </w:r>
    </w:p>
    <w:p>
      <w:pPr>
        <w:pStyle w:val="BodyText"/>
        <w:spacing w:before="2"/>
        <w:ind w:left="3391"/>
        <w:jc w:val="both"/>
      </w:pPr>
      <w:r>
        <w:t>110kV 配电装置为内桥接线，采用国产户内GIS 组合电器；</w:t>
      </w:r>
    </w:p>
    <w:p>
      <w:pPr>
        <w:spacing w:after="0"/>
        <w:jc w:val="both"/>
        <w:sectPr>
          <w:pgSz w:w="17860" w:h="25260"/>
          <w:pgMar w:top="2140" w:right="0" w:bottom="280" w:left="0" w:header="708" w:footer="708"/>
          <w:pgNumType w:start="11"/>
          <w:cols w:space="708"/>
        </w:sectPr>
      </w:pPr>
    </w:p>
    <w:p>
      <w:pPr>
        <w:pStyle w:val="BodyText"/>
        <w:spacing w:before="17" w:line="374" w:lineRule="auto"/>
        <w:ind w:left="2553" w:right="1940" w:firstLine="838"/>
      </w:pPr>
      <w:r>
        <w:t>10kV</w:t>
      </w:r>
      <w:r>
        <w:rPr>
          <w:spacing w:val="-19"/>
        </w:rPr>
        <w:t xml:space="preserve"> 配电装置为单母分段，户内双列布置。开关柜采用国厂中置移开</w:t>
      </w:r>
      <w:r>
        <w:t>式金属铠装开关柜，配合资厂真空断路器。</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1"/>
        <w:rPr>
          <w:sz w:val="53"/>
        </w:rPr>
      </w:pPr>
    </w:p>
    <w:p>
      <w:pPr>
        <w:pStyle w:val="Heading2"/>
        <w:ind w:left="7302"/>
      </w:pPr>
      <w:bookmarkStart w:id="3" w:name="_TOC_250012"/>
      <w:bookmarkEnd w:id="3"/>
      <w:r>
        <w:t>二、施工组织管理</w:t>
      </w:r>
    </w:p>
    <w:p>
      <w:pPr>
        <w:pStyle w:val="Heading4"/>
        <w:spacing w:before="302"/>
      </w:pPr>
      <w:bookmarkStart w:id="4" w:name="_TOC_250011"/>
      <w:bookmarkEnd w:id="4"/>
      <w:r>
        <w:t>1、施工组织管理机构组建</w:t>
      </w:r>
    </w:p>
    <w:p>
      <w:pPr>
        <w:pStyle w:val="BodyText"/>
        <w:spacing w:before="300" w:line="374" w:lineRule="auto"/>
        <w:ind w:left="2553" w:right="1729" w:firstLine="838"/>
      </w:pPr>
      <w:r>
        <w:rPr>
          <w:spacing w:val="-7"/>
        </w:rPr>
        <w:t>根据公司相关制度结合本工程实际情况，本工程采用项目经理负责制</w:t>
      </w:r>
      <w:r>
        <w:rPr>
          <w:spacing w:val="-20"/>
        </w:rPr>
        <w:t>施工，成立项目经理部，全面负责工程施工组织、指挥、管理、协调控制。项目经理部本着科学管理、精干高效、结构合理原则，选派具有开拓精神、</w:t>
      </w:r>
      <w:r>
        <w:t>施工经验丰富、勤奋能干工程技术人员和管理人员参加项目建设。</w:t>
      </w:r>
    </w:p>
    <w:p>
      <w:pPr>
        <w:pStyle w:val="BodyText"/>
        <w:spacing w:before="1"/>
        <w:ind w:left="3391"/>
      </w:pPr>
      <w:r>
        <w:t>工程施工管理机构合理组织是整个施工中非常重要因素，一个好组织</w:t>
      </w:r>
    </w:p>
    <w:p>
      <w:pPr>
        <w:spacing w:after="0"/>
        <w:sectPr>
          <w:pgSz w:w="17860" w:h="25260"/>
          <w:pgMar w:top="2240" w:right="0" w:bottom="280" w:left="0" w:header="708" w:footer="708"/>
          <w:pgNumType w:start="12"/>
          <w:cols w:space="708"/>
        </w:sectPr>
      </w:pPr>
    </w:p>
    <w:p>
      <w:pPr>
        <w:pStyle w:val="BodyText"/>
        <w:spacing w:before="17" w:line="374" w:lineRule="auto"/>
        <w:ind w:left="2553" w:right="1827"/>
      </w:pPr>
      <w:r>
        <w:t>机构对保证工程工期、质量、安全生产各方面能起到关键性作用。为确保工程各方面达到预期目标，本工程施工管理组织采取安排如下：</w:t>
      </w:r>
    </w:p>
    <w:p>
      <w:pPr>
        <w:pStyle w:val="ListParagraph"/>
        <w:numPr>
          <w:ilvl w:val="1"/>
          <w:numId w:val="31"/>
        </w:numPr>
        <w:tabs>
          <w:tab w:val="left" w:pos="4127"/>
        </w:tabs>
        <w:spacing w:before="0" w:after="0" w:line="537" w:lineRule="exact"/>
        <w:ind w:left="4126" w:right="0" w:hanging="736"/>
        <w:jc w:val="left"/>
        <w:rPr>
          <w:sz w:val="42"/>
        </w:rPr>
      </w:pPr>
      <w:r>
        <w:rPr>
          <w:sz w:val="42"/>
        </w:rPr>
        <w:t>公司管理机构组织</w:t>
      </w:r>
    </w:p>
    <w:p>
      <w:pPr>
        <w:pStyle w:val="ListParagraph"/>
        <w:numPr>
          <w:ilvl w:val="2"/>
          <w:numId w:val="31"/>
        </w:numPr>
        <w:tabs>
          <w:tab w:val="left" w:pos="4548"/>
        </w:tabs>
        <w:spacing w:before="305" w:after="0" w:line="374" w:lineRule="auto"/>
        <w:ind w:left="2553" w:right="1827" w:firstLine="838"/>
        <w:jc w:val="both"/>
        <w:rPr>
          <w:sz w:val="42"/>
        </w:rPr>
      </w:pPr>
      <w:r>
        <w:rPr>
          <w:sz w:val="42"/>
        </w:rPr>
        <w:t>组织设立现场工程项目部，由项目经理直接负责，领导本工程</w:t>
      </w:r>
      <w:r>
        <w:rPr>
          <w:spacing w:val="-1"/>
          <w:sz w:val="42"/>
        </w:rPr>
        <w:t>项目部工作，落实工程质量、安全、文明施工等各方面工作，遵循公司各</w:t>
      </w:r>
      <w:r>
        <w:rPr>
          <w:sz w:val="42"/>
        </w:rPr>
        <w:t>项管理制度，充分发挥先进项目部优势，确保工程顺利开展。</w:t>
      </w:r>
    </w:p>
    <w:p>
      <w:pPr>
        <w:pStyle w:val="ListParagraph"/>
        <w:numPr>
          <w:ilvl w:val="2"/>
          <w:numId w:val="31"/>
        </w:numPr>
        <w:tabs>
          <w:tab w:val="left" w:pos="4548"/>
        </w:tabs>
        <w:spacing w:before="2" w:after="0" w:line="374" w:lineRule="auto"/>
        <w:ind w:left="2553" w:right="1827" w:firstLine="840"/>
        <w:jc w:val="both"/>
        <w:rPr>
          <w:sz w:val="42"/>
        </w:rPr>
      </w:pPr>
      <w:r>
        <w:rPr>
          <w:sz w:val="42"/>
        </w:rPr>
        <w:t>公司工程部、质安部配备专职质量员、安全员，对安全生产、</w:t>
      </w:r>
      <w:r>
        <w:rPr>
          <w:spacing w:val="-1"/>
          <w:sz w:val="42"/>
        </w:rPr>
        <w:t>生产进度、文明施工进行全面指导、帮助，并做好监督、检查及服务管理</w:t>
      </w:r>
      <w:r>
        <w:rPr>
          <w:sz w:val="42"/>
        </w:rPr>
        <w:t>工作。</w:t>
      </w:r>
    </w:p>
    <w:p>
      <w:pPr>
        <w:pStyle w:val="ListParagraph"/>
        <w:numPr>
          <w:ilvl w:val="1"/>
          <w:numId w:val="31"/>
        </w:numPr>
        <w:tabs>
          <w:tab w:val="left" w:pos="4127"/>
        </w:tabs>
        <w:spacing w:before="2" w:after="0" w:line="240" w:lineRule="auto"/>
        <w:ind w:left="4126" w:right="0" w:hanging="736"/>
        <w:jc w:val="left"/>
        <w:rPr>
          <w:sz w:val="42"/>
        </w:rPr>
      </w:pPr>
      <w:r>
        <w:rPr>
          <w:sz w:val="42"/>
        </w:rPr>
        <w:t>项目部管理机构组织</w:t>
      </w:r>
    </w:p>
    <w:p>
      <w:pPr>
        <w:pStyle w:val="ListParagraph"/>
        <w:numPr>
          <w:ilvl w:val="2"/>
          <w:numId w:val="31"/>
        </w:numPr>
        <w:tabs>
          <w:tab w:val="left" w:pos="4548"/>
        </w:tabs>
        <w:spacing w:before="300" w:after="0" w:line="374" w:lineRule="auto"/>
        <w:ind w:left="2553" w:right="1827" w:firstLine="840"/>
        <w:jc w:val="both"/>
        <w:rPr>
          <w:sz w:val="42"/>
        </w:rPr>
      </w:pPr>
      <w:r>
        <w:rPr>
          <w:sz w:val="42"/>
        </w:rPr>
        <w:t>项目部管理机构组织由工程项目经理、技术负责人、安全负责</w:t>
      </w:r>
      <w:r>
        <w:rPr>
          <w:spacing w:val="-1"/>
          <w:sz w:val="42"/>
        </w:rPr>
        <w:t>人、后勤负责人、项目一次负责人、项目二次负责人、材料员、资料员等</w:t>
      </w:r>
      <w:r>
        <w:rPr>
          <w:sz w:val="42"/>
        </w:rPr>
        <w:t>组成。</w:t>
      </w:r>
    </w:p>
    <w:p>
      <w:pPr>
        <w:pStyle w:val="ListParagraph"/>
        <w:numPr>
          <w:ilvl w:val="2"/>
          <w:numId w:val="31"/>
        </w:numPr>
        <w:tabs>
          <w:tab w:val="left" w:pos="4548"/>
        </w:tabs>
        <w:spacing w:before="2" w:after="0" w:line="374" w:lineRule="auto"/>
        <w:ind w:left="2553" w:right="1960" w:firstLine="840"/>
        <w:jc w:val="left"/>
        <w:rPr>
          <w:sz w:val="42"/>
        </w:rPr>
      </w:pPr>
      <w:r>
        <w:rPr>
          <w:spacing w:val="-4"/>
          <w:sz w:val="42"/>
        </w:rPr>
        <w:t>项目部管理人员按各自工作职责,负责相关工作,通过协调、沟</w:t>
      </w:r>
      <w:r>
        <w:rPr>
          <w:sz w:val="42"/>
        </w:rPr>
        <w:t>通，确保工程顺利开展。</w:t>
      </w:r>
    </w:p>
    <w:p>
      <w:pPr>
        <w:pStyle w:val="BodyText"/>
      </w:pPr>
    </w:p>
    <w:p>
      <w:pPr>
        <w:pStyle w:val="BodyText"/>
      </w:pPr>
    </w:p>
    <w:p>
      <w:pPr>
        <w:pStyle w:val="Heading4"/>
        <w:spacing w:before="352"/>
      </w:pPr>
      <w:r>
        <w:pict>
          <v:group id="_x0000_s1025" style="width:602pt;height:344pt;margin-top:57.49pt;margin-left:135pt;mso-position-horizontal-relative:page;position:absolute;z-index:-251657216" coordorigin="2700,1150" coordsize="12040,68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040;height:6880;left:2700;position:absolute;top:1149" stroked="f">
              <v:imagedata r:id="rId5" o:title=""/>
            </v:shape>
            <v:shapetype id="_x0000_t202" coordsize="21600,21600" o:spt="202" path="m,l,21600r21600,l21600,xe">
              <v:stroke joinstyle="miter"/>
              <v:path gradientshapeok="t" o:connecttype="rect"/>
            </v:shapetype>
            <v:shape id="_x0000_s1027" type="#_x0000_t202" style="width:1604;height:317;left:7838;position:absolute;top:139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公司管理层</w:t>
                    </w:r>
                  </w:p>
                </w:txbxContent>
              </v:textbox>
            </v:shape>
            <v:shape id="_x0000_s1028" type="#_x0000_t202" style="width:1288;height:317;left:7997;position:absolute;top:303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项目经理</w:t>
                    </w:r>
                  </w:p>
                </w:txbxContent>
              </v:textbox>
            </v:shape>
            <v:shape id="_x0000_s1029" type="#_x0000_t202" style="width:337;height:951;left:12118;position:absolute;top:5531" filled="f" stroked="f">
              <v:textbox inset="0,0,0,0">
                <w:txbxContent>
                  <w:p>
                    <w:pPr>
                      <w:spacing w:before="24" w:line="192" w:lineRule="auto"/>
                      <w:ind w:left="0" w:right="18" w:firstLine="0"/>
                      <w:jc w:val="both"/>
                      <w:rPr>
                        <w:rFonts w:ascii="宋体" w:eastAsia="宋体" w:hint="eastAsia"/>
                        <w:sz w:val="31"/>
                      </w:rPr>
                    </w:pPr>
                    <w:r>
                      <w:rPr>
                        <w:rFonts w:ascii="宋体" w:eastAsia="宋体" w:hint="eastAsia"/>
                        <w:sz w:val="31"/>
                      </w:rPr>
                      <w:t>资料员</w:t>
                    </w:r>
                  </w:p>
                </w:txbxContent>
              </v:textbox>
            </v:shape>
            <v:shape id="_x0000_s1030" type="#_x0000_t202" style="width:337;height:1581;left:14084;position:absolute;top:5535" filled="f" stroked="f">
              <v:textbox inset="0,0,0,0">
                <w:txbxContent>
                  <w:p>
                    <w:pPr>
                      <w:spacing w:before="24" w:line="192" w:lineRule="auto"/>
                      <w:ind w:left="0" w:right="18" w:firstLine="0"/>
                      <w:jc w:val="both"/>
                      <w:rPr>
                        <w:rFonts w:ascii="宋体" w:eastAsia="宋体" w:hint="eastAsia"/>
                        <w:sz w:val="31"/>
                      </w:rPr>
                    </w:pPr>
                    <w:r>
                      <w:rPr>
                        <w:rFonts w:ascii="宋体" w:eastAsia="宋体" w:hint="eastAsia"/>
                        <w:sz w:val="31"/>
                      </w:rPr>
                      <w:t>后勤负</w:t>
                    </w:r>
                  </w:p>
                  <w:p>
                    <w:pPr>
                      <w:spacing w:before="0" w:line="192" w:lineRule="auto"/>
                      <w:ind w:left="0" w:right="18" w:firstLine="0"/>
                      <w:jc w:val="left"/>
                      <w:rPr>
                        <w:rFonts w:ascii="宋体" w:eastAsia="宋体" w:hint="eastAsia"/>
                        <w:sz w:val="31"/>
                      </w:rPr>
                    </w:pPr>
                    <w:r>
                      <w:rPr>
                        <w:rFonts w:ascii="宋体" w:eastAsia="宋体" w:hint="eastAsia"/>
                        <w:sz w:val="31"/>
                      </w:rPr>
                      <w:t>责人</w:t>
                    </w:r>
                  </w:p>
                </w:txbxContent>
              </v:textbox>
            </v:shape>
          </v:group>
        </w:pict>
      </w:r>
      <w:bookmarkStart w:id="5" w:name="_TOC_250010"/>
      <w:bookmarkEnd w:id="5"/>
      <w:r>
        <w:t>2、施工组织管理结构图</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2"/>
        <w:rPr>
          <w:b/>
          <w:sz w:val="23"/>
        </w:rPr>
      </w:pPr>
    </w:p>
    <w:tbl>
      <w:tblPr>
        <w:tblStyle w:val="TableNormal0"/>
        <w:tblW w:w="0" w:type="auto"/>
        <w:jc w:val="left"/>
        <w:tblInd w:w="28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27"/>
        <w:gridCol w:w="1804"/>
        <w:gridCol w:w="1811"/>
        <w:gridCol w:w="1865"/>
        <w:gridCol w:w="1148"/>
      </w:tblGrid>
      <w:tr>
        <w:tblPrEx>
          <w:tblW w:w="0" w:type="auto"/>
          <w:jc w:val="left"/>
          <w:tblInd w:w="28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38"/>
          <w:jc w:val="left"/>
        </w:trPr>
        <w:tc>
          <w:tcPr>
            <w:tcW w:w="1127" w:type="dxa"/>
          </w:tcPr>
          <w:p>
            <w:pPr>
              <w:pStyle w:val="TableParagraph"/>
              <w:spacing w:line="318" w:lineRule="exact"/>
              <w:ind w:left="50"/>
              <w:rPr>
                <w:rFonts w:ascii="宋体" w:eastAsia="宋体" w:hint="eastAsia"/>
                <w:sz w:val="31"/>
              </w:rPr>
            </w:pPr>
            <w:r>
              <w:rPr>
                <w:rFonts w:ascii="宋体" w:eastAsia="宋体" w:hint="eastAsia"/>
                <w:w w:val="102"/>
                <w:sz w:val="31"/>
              </w:rPr>
              <w:t>技</w:t>
            </w:r>
          </w:p>
        </w:tc>
        <w:tc>
          <w:tcPr>
            <w:tcW w:w="1804" w:type="dxa"/>
          </w:tcPr>
          <w:p>
            <w:pPr>
              <w:pStyle w:val="TableParagraph"/>
              <w:spacing w:before="5" w:line="313" w:lineRule="exact"/>
              <w:ind w:left="31"/>
              <w:jc w:val="center"/>
              <w:rPr>
                <w:rFonts w:ascii="宋体" w:eastAsia="宋体" w:hint="eastAsia"/>
                <w:sz w:val="31"/>
              </w:rPr>
            </w:pPr>
            <w:r>
              <w:rPr>
                <w:rFonts w:ascii="宋体" w:eastAsia="宋体" w:hint="eastAsia"/>
                <w:w w:val="102"/>
                <w:sz w:val="31"/>
              </w:rPr>
              <w:t>安</w:t>
            </w:r>
          </w:p>
        </w:tc>
        <w:tc>
          <w:tcPr>
            <w:tcW w:w="1811" w:type="dxa"/>
          </w:tcPr>
          <w:p>
            <w:pPr>
              <w:pStyle w:val="TableParagraph"/>
              <w:spacing w:before="2" w:line="317" w:lineRule="exact"/>
              <w:ind w:left="726"/>
              <w:rPr>
                <w:rFonts w:ascii="宋体" w:eastAsia="宋体" w:hint="eastAsia"/>
                <w:sz w:val="31"/>
              </w:rPr>
            </w:pPr>
            <w:r>
              <w:rPr>
                <w:rFonts w:ascii="宋体" w:eastAsia="宋体" w:hint="eastAsia"/>
                <w:w w:val="102"/>
                <w:sz w:val="31"/>
              </w:rPr>
              <w:t>项</w:t>
            </w:r>
          </w:p>
        </w:tc>
        <w:tc>
          <w:tcPr>
            <w:tcW w:w="1865" w:type="dxa"/>
          </w:tcPr>
          <w:p>
            <w:pPr>
              <w:pStyle w:val="TableParagraph"/>
              <w:spacing w:line="318" w:lineRule="exact"/>
              <w:ind w:left="766"/>
              <w:rPr>
                <w:rFonts w:ascii="宋体" w:eastAsia="宋体" w:hint="eastAsia"/>
                <w:sz w:val="31"/>
              </w:rPr>
            </w:pPr>
            <w:r>
              <w:rPr>
                <w:rFonts w:ascii="宋体" w:eastAsia="宋体" w:hint="eastAsia"/>
                <w:w w:val="102"/>
                <w:sz w:val="31"/>
              </w:rPr>
              <w:t>项</w:t>
            </w:r>
          </w:p>
        </w:tc>
        <w:tc>
          <w:tcPr>
            <w:tcW w:w="1148" w:type="dxa"/>
          </w:tcPr>
          <w:p>
            <w:pPr>
              <w:pStyle w:val="TableParagraph"/>
              <w:spacing w:line="318" w:lineRule="exact"/>
              <w:ind w:right="49"/>
              <w:jc w:val="right"/>
              <w:rPr>
                <w:rFonts w:ascii="宋体" w:eastAsia="宋体" w:hint="eastAsia"/>
                <w:sz w:val="31"/>
              </w:rPr>
            </w:pPr>
            <w:r>
              <w:rPr>
                <w:rFonts w:ascii="宋体" w:eastAsia="宋体" w:hint="eastAsia"/>
                <w:w w:val="102"/>
                <w:sz w:val="31"/>
              </w:rPr>
              <w:t>材</w:t>
            </w:r>
          </w:p>
        </w:tc>
      </w:tr>
      <w:tr>
        <w:tblPrEx>
          <w:tblW w:w="0" w:type="auto"/>
          <w:jc w:val="left"/>
          <w:tblInd w:w="2851" w:type="dxa"/>
          <w:tblLayout w:type="fixed"/>
          <w:tblCellMar>
            <w:top w:w="0" w:type="dxa"/>
            <w:left w:w="0" w:type="dxa"/>
            <w:bottom w:w="0" w:type="dxa"/>
            <w:right w:w="0" w:type="dxa"/>
          </w:tblCellMar>
          <w:tblLook w:val="01E0"/>
        </w:tblPrEx>
        <w:trPr>
          <w:trHeight w:val="316"/>
          <w:jc w:val="left"/>
        </w:trPr>
        <w:tc>
          <w:tcPr>
            <w:tcW w:w="1127" w:type="dxa"/>
          </w:tcPr>
          <w:p>
            <w:pPr>
              <w:pStyle w:val="TableParagraph"/>
              <w:spacing w:line="297" w:lineRule="exact"/>
              <w:ind w:left="50"/>
              <w:rPr>
                <w:rFonts w:ascii="宋体" w:eastAsia="宋体" w:hint="eastAsia"/>
                <w:sz w:val="31"/>
              </w:rPr>
            </w:pPr>
            <w:r>
              <w:rPr>
                <w:rFonts w:ascii="宋体" w:eastAsia="宋体" w:hint="eastAsia"/>
                <w:w w:val="102"/>
                <w:sz w:val="31"/>
              </w:rPr>
              <w:t>术</w:t>
            </w:r>
          </w:p>
        </w:tc>
        <w:tc>
          <w:tcPr>
            <w:tcW w:w="1804" w:type="dxa"/>
          </w:tcPr>
          <w:p>
            <w:pPr>
              <w:pStyle w:val="TableParagraph"/>
              <w:spacing w:line="297" w:lineRule="exact"/>
              <w:ind w:left="31"/>
              <w:jc w:val="center"/>
              <w:rPr>
                <w:rFonts w:ascii="宋体" w:eastAsia="宋体" w:hint="eastAsia"/>
                <w:sz w:val="31"/>
              </w:rPr>
            </w:pPr>
            <w:r>
              <w:rPr>
                <w:rFonts w:ascii="宋体" w:eastAsia="宋体" w:hint="eastAsia"/>
                <w:w w:val="102"/>
                <w:sz w:val="31"/>
              </w:rPr>
              <w:t>全</w:t>
            </w:r>
          </w:p>
        </w:tc>
        <w:tc>
          <w:tcPr>
            <w:tcW w:w="1811" w:type="dxa"/>
          </w:tcPr>
          <w:p>
            <w:pPr>
              <w:pStyle w:val="TableParagraph"/>
              <w:spacing w:line="297" w:lineRule="exact"/>
              <w:ind w:left="726"/>
              <w:rPr>
                <w:rFonts w:ascii="宋体" w:eastAsia="宋体" w:hint="eastAsia"/>
                <w:sz w:val="31"/>
              </w:rPr>
            </w:pPr>
            <w:r>
              <w:rPr>
                <w:rFonts w:ascii="宋体" w:eastAsia="宋体" w:hint="eastAsia"/>
                <w:w w:val="102"/>
                <w:sz w:val="31"/>
              </w:rPr>
              <w:t>目</w:t>
            </w:r>
          </w:p>
        </w:tc>
        <w:tc>
          <w:tcPr>
            <w:tcW w:w="1865" w:type="dxa"/>
          </w:tcPr>
          <w:p>
            <w:pPr>
              <w:pStyle w:val="TableParagraph"/>
              <w:spacing w:line="297" w:lineRule="exact"/>
              <w:ind w:left="766"/>
              <w:rPr>
                <w:rFonts w:ascii="宋体" w:eastAsia="宋体" w:hint="eastAsia"/>
                <w:sz w:val="31"/>
              </w:rPr>
            </w:pPr>
            <w:r>
              <w:rPr>
                <w:rFonts w:ascii="宋体" w:eastAsia="宋体" w:hint="eastAsia"/>
                <w:w w:val="102"/>
                <w:sz w:val="31"/>
              </w:rPr>
              <w:t>目</w:t>
            </w:r>
          </w:p>
        </w:tc>
        <w:tc>
          <w:tcPr>
            <w:tcW w:w="1148" w:type="dxa"/>
          </w:tcPr>
          <w:p>
            <w:pPr>
              <w:pStyle w:val="TableParagraph"/>
              <w:spacing w:line="297" w:lineRule="exact"/>
              <w:ind w:right="49"/>
              <w:jc w:val="right"/>
              <w:rPr>
                <w:rFonts w:ascii="宋体" w:eastAsia="宋体" w:hint="eastAsia"/>
                <w:sz w:val="31"/>
              </w:rPr>
            </w:pPr>
            <w:r>
              <w:rPr>
                <w:rFonts w:ascii="宋体" w:eastAsia="宋体" w:hint="eastAsia"/>
                <w:w w:val="102"/>
                <w:sz w:val="31"/>
              </w:rPr>
              <w:t>料</w:t>
            </w:r>
          </w:p>
        </w:tc>
      </w:tr>
      <w:tr>
        <w:tblPrEx>
          <w:tblW w:w="0" w:type="auto"/>
          <w:jc w:val="left"/>
          <w:tblInd w:w="2851" w:type="dxa"/>
          <w:tblLayout w:type="fixed"/>
          <w:tblCellMar>
            <w:top w:w="0" w:type="dxa"/>
            <w:left w:w="0" w:type="dxa"/>
            <w:bottom w:w="0" w:type="dxa"/>
            <w:right w:w="0" w:type="dxa"/>
          </w:tblCellMar>
          <w:tblLook w:val="01E0"/>
        </w:tblPrEx>
        <w:trPr>
          <w:trHeight w:val="315"/>
          <w:jc w:val="left"/>
        </w:trPr>
        <w:tc>
          <w:tcPr>
            <w:tcW w:w="1127" w:type="dxa"/>
          </w:tcPr>
          <w:p>
            <w:pPr>
              <w:pStyle w:val="TableParagraph"/>
              <w:spacing w:line="295" w:lineRule="exact"/>
              <w:ind w:left="50"/>
              <w:rPr>
                <w:rFonts w:ascii="宋体" w:eastAsia="宋体" w:hint="eastAsia"/>
                <w:sz w:val="31"/>
              </w:rPr>
            </w:pPr>
            <w:r>
              <w:rPr>
                <w:rFonts w:ascii="宋体" w:eastAsia="宋体" w:hint="eastAsia"/>
                <w:w w:val="102"/>
                <w:sz w:val="31"/>
              </w:rPr>
              <w:t>负</w:t>
            </w:r>
          </w:p>
        </w:tc>
        <w:tc>
          <w:tcPr>
            <w:tcW w:w="1804" w:type="dxa"/>
          </w:tcPr>
          <w:p>
            <w:pPr>
              <w:pStyle w:val="TableParagraph"/>
              <w:spacing w:line="295" w:lineRule="exact"/>
              <w:ind w:left="31"/>
              <w:jc w:val="center"/>
              <w:rPr>
                <w:rFonts w:ascii="宋体" w:eastAsia="宋体" w:hint="eastAsia"/>
                <w:sz w:val="31"/>
              </w:rPr>
            </w:pPr>
            <w:r>
              <w:rPr>
                <w:rFonts w:ascii="宋体" w:eastAsia="宋体" w:hint="eastAsia"/>
                <w:w w:val="102"/>
                <w:sz w:val="31"/>
              </w:rPr>
              <w:t>负</w:t>
            </w:r>
          </w:p>
        </w:tc>
        <w:tc>
          <w:tcPr>
            <w:tcW w:w="1811" w:type="dxa"/>
          </w:tcPr>
          <w:p>
            <w:pPr>
              <w:pStyle w:val="TableParagraph"/>
              <w:spacing w:line="295" w:lineRule="exact"/>
              <w:ind w:left="726"/>
              <w:rPr>
                <w:rFonts w:ascii="宋体" w:eastAsia="宋体" w:hint="eastAsia"/>
                <w:sz w:val="31"/>
              </w:rPr>
            </w:pPr>
            <w:r>
              <w:rPr>
                <w:rFonts w:ascii="宋体" w:eastAsia="宋体" w:hint="eastAsia"/>
                <w:w w:val="102"/>
                <w:sz w:val="31"/>
              </w:rPr>
              <w:t>一</w:t>
            </w:r>
          </w:p>
        </w:tc>
        <w:tc>
          <w:tcPr>
            <w:tcW w:w="1865" w:type="dxa"/>
          </w:tcPr>
          <w:p>
            <w:pPr>
              <w:pStyle w:val="TableParagraph"/>
              <w:spacing w:line="295" w:lineRule="exact"/>
              <w:ind w:left="766"/>
              <w:rPr>
                <w:rFonts w:ascii="宋体" w:eastAsia="宋体" w:hint="eastAsia"/>
                <w:sz w:val="31"/>
              </w:rPr>
            </w:pPr>
            <w:r>
              <w:rPr>
                <w:rFonts w:ascii="宋体" w:eastAsia="宋体" w:hint="eastAsia"/>
                <w:w w:val="102"/>
                <w:sz w:val="31"/>
              </w:rPr>
              <w:t>二</w:t>
            </w:r>
          </w:p>
        </w:tc>
        <w:tc>
          <w:tcPr>
            <w:tcW w:w="1148" w:type="dxa"/>
          </w:tcPr>
          <w:p>
            <w:pPr>
              <w:pStyle w:val="TableParagraph"/>
              <w:spacing w:line="295" w:lineRule="exact"/>
              <w:ind w:right="49"/>
              <w:jc w:val="right"/>
              <w:rPr>
                <w:rFonts w:ascii="宋体" w:eastAsia="宋体" w:hint="eastAsia"/>
                <w:sz w:val="31"/>
              </w:rPr>
            </w:pPr>
            <w:r>
              <w:rPr>
                <w:rFonts w:ascii="宋体" w:eastAsia="宋体" w:hint="eastAsia"/>
                <w:w w:val="102"/>
                <w:sz w:val="31"/>
              </w:rPr>
              <w:t>员</w:t>
            </w:r>
          </w:p>
        </w:tc>
      </w:tr>
      <w:tr>
        <w:tblPrEx>
          <w:tblW w:w="0" w:type="auto"/>
          <w:jc w:val="left"/>
          <w:tblInd w:w="2851" w:type="dxa"/>
          <w:tblLayout w:type="fixed"/>
          <w:tblCellMar>
            <w:top w:w="0" w:type="dxa"/>
            <w:left w:w="0" w:type="dxa"/>
            <w:bottom w:w="0" w:type="dxa"/>
            <w:right w:w="0" w:type="dxa"/>
          </w:tblCellMar>
          <w:tblLook w:val="01E0"/>
        </w:tblPrEx>
        <w:trPr>
          <w:trHeight w:val="315"/>
          <w:jc w:val="left"/>
        </w:trPr>
        <w:tc>
          <w:tcPr>
            <w:tcW w:w="1127" w:type="dxa"/>
          </w:tcPr>
          <w:p>
            <w:pPr>
              <w:pStyle w:val="TableParagraph"/>
              <w:spacing w:line="295" w:lineRule="exact"/>
              <w:ind w:left="50"/>
              <w:rPr>
                <w:rFonts w:ascii="宋体" w:eastAsia="宋体" w:hint="eastAsia"/>
                <w:sz w:val="31"/>
              </w:rPr>
            </w:pPr>
            <w:r>
              <w:rPr>
                <w:rFonts w:ascii="宋体" w:eastAsia="宋体" w:hint="eastAsia"/>
                <w:w w:val="102"/>
                <w:sz w:val="31"/>
              </w:rPr>
              <w:t>责</w:t>
            </w:r>
          </w:p>
        </w:tc>
        <w:tc>
          <w:tcPr>
            <w:tcW w:w="1804" w:type="dxa"/>
          </w:tcPr>
          <w:p>
            <w:pPr>
              <w:pStyle w:val="TableParagraph"/>
              <w:spacing w:line="295" w:lineRule="exact"/>
              <w:ind w:left="31"/>
              <w:jc w:val="center"/>
              <w:rPr>
                <w:rFonts w:ascii="宋体" w:eastAsia="宋体" w:hint="eastAsia"/>
                <w:sz w:val="31"/>
              </w:rPr>
            </w:pPr>
            <w:r>
              <w:rPr>
                <w:rFonts w:ascii="宋体" w:eastAsia="宋体" w:hint="eastAsia"/>
                <w:w w:val="102"/>
                <w:sz w:val="31"/>
              </w:rPr>
              <w:t>责</w:t>
            </w:r>
          </w:p>
        </w:tc>
        <w:tc>
          <w:tcPr>
            <w:tcW w:w="1811" w:type="dxa"/>
          </w:tcPr>
          <w:p>
            <w:pPr>
              <w:pStyle w:val="TableParagraph"/>
              <w:spacing w:line="295" w:lineRule="exact"/>
              <w:ind w:left="726"/>
              <w:rPr>
                <w:rFonts w:ascii="宋体" w:eastAsia="宋体" w:hint="eastAsia"/>
                <w:sz w:val="31"/>
              </w:rPr>
            </w:pPr>
            <w:r>
              <w:rPr>
                <w:rFonts w:ascii="宋体" w:eastAsia="宋体" w:hint="eastAsia"/>
                <w:w w:val="102"/>
                <w:sz w:val="31"/>
              </w:rPr>
              <w:t>次</w:t>
            </w:r>
          </w:p>
        </w:tc>
        <w:tc>
          <w:tcPr>
            <w:tcW w:w="1865" w:type="dxa"/>
          </w:tcPr>
          <w:p>
            <w:pPr>
              <w:pStyle w:val="TableParagraph"/>
              <w:spacing w:line="295" w:lineRule="exact"/>
              <w:ind w:left="766"/>
              <w:rPr>
                <w:rFonts w:ascii="宋体" w:eastAsia="宋体" w:hint="eastAsia"/>
                <w:sz w:val="31"/>
              </w:rPr>
            </w:pPr>
            <w:r>
              <w:rPr>
                <w:rFonts w:ascii="宋体" w:eastAsia="宋体" w:hint="eastAsia"/>
                <w:w w:val="102"/>
                <w:sz w:val="31"/>
              </w:rPr>
              <w:t>次</w:t>
            </w:r>
          </w:p>
        </w:tc>
        <w:tc>
          <w:tcPr>
            <w:tcW w:w="1148" w:type="dxa"/>
          </w:tcPr>
          <w:p>
            <w:pPr>
              <w:pStyle w:val="TableParagraph"/>
              <w:rPr>
                <w:rFonts w:ascii="Times New Roman"/>
                <w:sz w:val="22"/>
              </w:rPr>
            </w:pPr>
          </w:p>
        </w:tc>
      </w:tr>
      <w:tr>
        <w:tblPrEx>
          <w:tblW w:w="0" w:type="auto"/>
          <w:jc w:val="left"/>
          <w:tblInd w:w="2851" w:type="dxa"/>
          <w:tblLayout w:type="fixed"/>
          <w:tblCellMar>
            <w:top w:w="0" w:type="dxa"/>
            <w:left w:w="0" w:type="dxa"/>
            <w:bottom w:w="0" w:type="dxa"/>
            <w:right w:w="0" w:type="dxa"/>
          </w:tblCellMar>
          <w:tblLook w:val="01E0"/>
        </w:tblPrEx>
        <w:trPr>
          <w:trHeight w:val="315"/>
          <w:jc w:val="left"/>
        </w:trPr>
        <w:tc>
          <w:tcPr>
            <w:tcW w:w="1127" w:type="dxa"/>
          </w:tcPr>
          <w:p>
            <w:pPr>
              <w:pStyle w:val="TableParagraph"/>
              <w:spacing w:line="295" w:lineRule="exact"/>
              <w:ind w:left="50"/>
              <w:rPr>
                <w:rFonts w:ascii="宋体" w:eastAsia="宋体" w:hint="eastAsia"/>
                <w:sz w:val="31"/>
              </w:rPr>
            </w:pPr>
            <w:r>
              <w:rPr>
                <w:rFonts w:ascii="宋体" w:eastAsia="宋体" w:hint="eastAsia"/>
                <w:w w:val="102"/>
                <w:sz w:val="31"/>
              </w:rPr>
              <w:t>人</w:t>
            </w:r>
          </w:p>
        </w:tc>
        <w:tc>
          <w:tcPr>
            <w:tcW w:w="1804" w:type="dxa"/>
          </w:tcPr>
          <w:p>
            <w:pPr>
              <w:pStyle w:val="TableParagraph"/>
              <w:spacing w:line="295" w:lineRule="exact"/>
              <w:ind w:left="31"/>
              <w:jc w:val="center"/>
              <w:rPr>
                <w:rFonts w:ascii="宋体" w:eastAsia="宋体" w:hint="eastAsia"/>
                <w:sz w:val="31"/>
              </w:rPr>
            </w:pPr>
            <w:r>
              <w:rPr>
                <w:rFonts w:ascii="宋体" w:eastAsia="宋体" w:hint="eastAsia"/>
                <w:w w:val="102"/>
                <w:sz w:val="31"/>
              </w:rPr>
              <w:t>人</w:t>
            </w:r>
          </w:p>
        </w:tc>
        <w:tc>
          <w:tcPr>
            <w:tcW w:w="1811" w:type="dxa"/>
          </w:tcPr>
          <w:p>
            <w:pPr>
              <w:pStyle w:val="TableParagraph"/>
              <w:spacing w:line="295" w:lineRule="exact"/>
              <w:ind w:left="726"/>
              <w:rPr>
                <w:rFonts w:ascii="宋体" w:eastAsia="宋体" w:hint="eastAsia"/>
                <w:sz w:val="31"/>
              </w:rPr>
            </w:pPr>
            <w:r>
              <w:rPr>
                <w:rFonts w:ascii="宋体" w:eastAsia="宋体" w:hint="eastAsia"/>
                <w:w w:val="102"/>
                <w:sz w:val="31"/>
              </w:rPr>
              <w:t>负</w:t>
            </w:r>
          </w:p>
        </w:tc>
        <w:tc>
          <w:tcPr>
            <w:tcW w:w="1865" w:type="dxa"/>
          </w:tcPr>
          <w:p>
            <w:pPr>
              <w:pStyle w:val="TableParagraph"/>
              <w:spacing w:line="295" w:lineRule="exact"/>
              <w:ind w:left="766"/>
              <w:rPr>
                <w:rFonts w:ascii="宋体" w:eastAsia="宋体" w:hint="eastAsia"/>
                <w:sz w:val="31"/>
              </w:rPr>
            </w:pPr>
            <w:r>
              <w:rPr>
                <w:rFonts w:ascii="宋体" w:eastAsia="宋体" w:hint="eastAsia"/>
                <w:w w:val="102"/>
                <w:sz w:val="31"/>
              </w:rPr>
              <w:t>负</w:t>
            </w:r>
          </w:p>
        </w:tc>
        <w:tc>
          <w:tcPr>
            <w:tcW w:w="1148" w:type="dxa"/>
          </w:tcPr>
          <w:p>
            <w:pPr>
              <w:pStyle w:val="TableParagraph"/>
              <w:rPr>
                <w:rFonts w:ascii="Times New Roman"/>
                <w:sz w:val="22"/>
              </w:rPr>
            </w:pPr>
          </w:p>
        </w:tc>
      </w:tr>
      <w:tr>
        <w:tblPrEx>
          <w:tblW w:w="0" w:type="auto"/>
          <w:jc w:val="left"/>
          <w:tblInd w:w="2851" w:type="dxa"/>
          <w:tblLayout w:type="fixed"/>
          <w:tblCellMar>
            <w:top w:w="0" w:type="dxa"/>
            <w:left w:w="0" w:type="dxa"/>
            <w:bottom w:w="0" w:type="dxa"/>
            <w:right w:w="0" w:type="dxa"/>
          </w:tblCellMar>
          <w:tblLook w:val="01E0"/>
        </w:tblPrEx>
        <w:trPr>
          <w:trHeight w:val="313"/>
          <w:jc w:val="left"/>
        </w:trPr>
        <w:tc>
          <w:tcPr>
            <w:tcW w:w="1127" w:type="dxa"/>
          </w:tcPr>
          <w:p>
            <w:pPr>
              <w:pStyle w:val="TableParagraph"/>
              <w:rPr>
                <w:rFonts w:ascii="Times New Roman"/>
                <w:sz w:val="22"/>
              </w:rPr>
            </w:pPr>
          </w:p>
        </w:tc>
        <w:tc>
          <w:tcPr>
            <w:tcW w:w="1804" w:type="dxa"/>
          </w:tcPr>
          <w:p>
            <w:pPr>
              <w:pStyle w:val="TableParagraph"/>
              <w:rPr>
                <w:rFonts w:ascii="Times New Roman"/>
                <w:sz w:val="22"/>
              </w:rPr>
            </w:pPr>
          </w:p>
        </w:tc>
        <w:tc>
          <w:tcPr>
            <w:tcW w:w="1811" w:type="dxa"/>
          </w:tcPr>
          <w:p>
            <w:pPr>
              <w:pStyle w:val="TableParagraph"/>
              <w:spacing w:line="293" w:lineRule="exact"/>
              <w:ind w:left="726"/>
              <w:rPr>
                <w:rFonts w:ascii="宋体" w:eastAsia="宋体" w:hint="eastAsia"/>
                <w:sz w:val="31"/>
              </w:rPr>
            </w:pPr>
            <w:r>
              <w:rPr>
                <w:rFonts w:ascii="宋体" w:eastAsia="宋体" w:hint="eastAsia"/>
                <w:w w:val="102"/>
                <w:sz w:val="31"/>
              </w:rPr>
              <w:t>责</w:t>
            </w:r>
          </w:p>
        </w:tc>
        <w:tc>
          <w:tcPr>
            <w:tcW w:w="1865" w:type="dxa"/>
          </w:tcPr>
          <w:p>
            <w:pPr>
              <w:pStyle w:val="TableParagraph"/>
              <w:spacing w:line="293" w:lineRule="exact"/>
              <w:ind w:left="766"/>
              <w:rPr>
                <w:rFonts w:ascii="宋体" w:eastAsia="宋体" w:hint="eastAsia"/>
                <w:sz w:val="31"/>
              </w:rPr>
            </w:pPr>
            <w:r>
              <w:rPr>
                <w:rFonts w:ascii="宋体" w:eastAsia="宋体" w:hint="eastAsia"/>
                <w:w w:val="102"/>
                <w:sz w:val="31"/>
              </w:rPr>
              <w:t>责</w:t>
            </w:r>
          </w:p>
        </w:tc>
        <w:tc>
          <w:tcPr>
            <w:tcW w:w="1148" w:type="dxa"/>
          </w:tcPr>
          <w:p>
            <w:pPr>
              <w:pStyle w:val="TableParagraph"/>
              <w:rPr>
                <w:rFonts w:ascii="Times New Roman"/>
                <w:sz w:val="22"/>
              </w:rPr>
            </w:pPr>
          </w:p>
        </w:tc>
      </w:tr>
      <w:tr>
        <w:tblPrEx>
          <w:tblW w:w="0" w:type="auto"/>
          <w:jc w:val="left"/>
          <w:tblInd w:w="2851" w:type="dxa"/>
          <w:tblLayout w:type="fixed"/>
          <w:tblCellMar>
            <w:top w:w="0" w:type="dxa"/>
            <w:left w:w="0" w:type="dxa"/>
            <w:bottom w:w="0" w:type="dxa"/>
            <w:right w:w="0" w:type="dxa"/>
          </w:tblCellMar>
          <w:tblLook w:val="01E0"/>
        </w:tblPrEx>
        <w:trPr>
          <w:trHeight w:val="336"/>
          <w:jc w:val="left"/>
        </w:trPr>
        <w:tc>
          <w:tcPr>
            <w:tcW w:w="1127" w:type="dxa"/>
          </w:tcPr>
          <w:p>
            <w:pPr>
              <w:pStyle w:val="TableParagraph"/>
              <w:rPr>
                <w:rFonts w:ascii="Times New Roman"/>
                <w:sz w:val="24"/>
              </w:rPr>
            </w:pPr>
          </w:p>
        </w:tc>
        <w:tc>
          <w:tcPr>
            <w:tcW w:w="1804" w:type="dxa"/>
          </w:tcPr>
          <w:p>
            <w:pPr>
              <w:pStyle w:val="TableParagraph"/>
              <w:rPr>
                <w:rFonts w:ascii="Times New Roman"/>
                <w:sz w:val="24"/>
              </w:rPr>
            </w:pPr>
          </w:p>
        </w:tc>
        <w:tc>
          <w:tcPr>
            <w:tcW w:w="1811" w:type="dxa"/>
          </w:tcPr>
          <w:p>
            <w:pPr>
              <w:pStyle w:val="TableParagraph"/>
              <w:spacing w:line="317" w:lineRule="exact"/>
              <w:ind w:left="726"/>
              <w:rPr>
                <w:rFonts w:ascii="宋体" w:eastAsia="宋体" w:hint="eastAsia"/>
                <w:sz w:val="31"/>
              </w:rPr>
            </w:pPr>
            <w:r>
              <w:rPr>
                <w:rFonts w:ascii="宋体" w:eastAsia="宋体" w:hint="eastAsia"/>
                <w:w w:val="102"/>
                <w:sz w:val="31"/>
              </w:rPr>
              <w:t>人</w:t>
            </w:r>
          </w:p>
        </w:tc>
        <w:tc>
          <w:tcPr>
            <w:tcW w:w="1865" w:type="dxa"/>
          </w:tcPr>
          <w:p>
            <w:pPr>
              <w:pStyle w:val="TableParagraph"/>
              <w:spacing w:line="317" w:lineRule="exact"/>
              <w:ind w:left="766"/>
              <w:rPr>
                <w:rFonts w:ascii="宋体" w:eastAsia="宋体" w:hint="eastAsia"/>
                <w:sz w:val="31"/>
              </w:rPr>
            </w:pPr>
            <w:r>
              <w:rPr>
                <w:rFonts w:ascii="宋体" w:eastAsia="宋体" w:hint="eastAsia"/>
                <w:w w:val="102"/>
                <w:sz w:val="31"/>
              </w:rPr>
              <w:t>人</w:t>
            </w:r>
          </w:p>
        </w:tc>
        <w:tc>
          <w:tcPr>
            <w:tcW w:w="1148" w:type="dxa"/>
          </w:tcPr>
          <w:p>
            <w:pPr>
              <w:pStyle w:val="TableParagraph"/>
              <w:rPr>
                <w:rFonts w:ascii="Times New Roman"/>
                <w:sz w:val="24"/>
              </w:rPr>
            </w:pPr>
          </w:p>
        </w:tc>
      </w:tr>
    </w:tbl>
    <w:p>
      <w:pPr>
        <w:spacing w:after="0"/>
        <w:rPr>
          <w:rFonts w:ascii="Times New Roman"/>
          <w:sz w:val="24"/>
        </w:rPr>
        <w:sectPr>
          <w:pgSz w:w="17860" w:h="25260"/>
          <w:pgMar w:top="2240" w:right="0" w:bottom="280" w:left="0" w:header="708" w:footer="708"/>
          <w:pgNumType w:start="13"/>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spacing w:before="216" w:line="362" w:lineRule="auto"/>
        <w:ind w:left="2553" w:right="4785" w:firstLine="831"/>
        <w:jc w:val="left"/>
        <w:rPr>
          <w:b/>
          <w:sz w:val="42"/>
        </w:rPr>
      </w:pPr>
      <w:r>
        <w:rPr>
          <w:sz w:val="42"/>
        </w:rPr>
        <w:t>注：详细人员配置情况见工程项目理班子主要成员表</w:t>
      </w:r>
      <w:r>
        <w:rPr>
          <w:b/>
          <w:sz w:val="42"/>
        </w:rPr>
        <w:t>3、现场施工管理工作</w:t>
      </w:r>
    </w:p>
    <w:p>
      <w:pPr>
        <w:pStyle w:val="ListParagraph"/>
        <w:numPr>
          <w:ilvl w:val="1"/>
          <w:numId w:val="32"/>
        </w:numPr>
        <w:tabs>
          <w:tab w:val="left" w:pos="4127"/>
        </w:tabs>
        <w:spacing w:before="0" w:after="0" w:line="533" w:lineRule="exact"/>
        <w:ind w:left="4126" w:right="0" w:hanging="736"/>
        <w:jc w:val="left"/>
        <w:rPr>
          <w:sz w:val="42"/>
        </w:rPr>
      </w:pPr>
      <w:r>
        <w:rPr>
          <w:sz w:val="42"/>
        </w:rPr>
        <w:t>目标管理</w:t>
      </w:r>
    </w:p>
    <w:p>
      <w:pPr>
        <w:pStyle w:val="BodyText"/>
        <w:spacing w:before="272" w:line="362" w:lineRule="auto"/>
        <w:ind w:left="2553" w:right="2066" w:firstLine="838"/>
      </w:pPr>
      <w:r>
        <w:t>在目标管理管理工作中,为明确各项管理目标内容,项目部全体人员应参加制定目标并落实具体实施措施,在总体目标要求下,层层分解,建立到多方位、多层次、全过程目标管理系统。</w:t>
      </w:r>
    </w:p>
    <w:p>
      <w:pPr>
        <w:pStyle w:val="ListParagraph"/>
        <w:numPr>
          <w:ilvl w:val="1"/>
          <w:numId w:val="32"/>
        </w:numPr>
        <w:tabs>
          <w:tab w:val="left" w:pos="4127"/>
        </w:tabs>
        <w:spacing w:before="0" w:after="0" w:line="531" w:lineRule="exact"/>
        <w:ind w:left="4126" w:right="0" w:hanging="736"/>
        <w:jc w:val="left"/>
        <w:rPr>
          <w:sz w:val="42"/>
        </w:rPr>
      </w:pPr>
      <w:r>
        <w:rPr>
          <w:sz w:val="42"/>
        </w:rPr>
        <w:t>计划管理</w:t>
      </w:r>
    </w:p>
    <w:p>
      <w:pPr>
        <w:pStyle w:val="BodyText"/>
        <w:spacing w:before="271" w:line="362" w:lineRule="auto"/>
        <w:ind w:left="2553" w:right="1827" w:firstLine="838"/>
        <w:jc w:val="both"/>
      </w:pPr>
      <w:r>
        <w:t>计划工作由项目部管理层制定，因本工程具有多专业安装特点，计划需在配合、协调方面做到计划管理工作，分阶段、分专业作好周、月工作计划安排，落实人、材、机具体使用计划。</w:t>
      </w:r>
    </w:p>
    <w:p>
      <w:pPr>
        <w:pStyle w:val="ListParagraph"/>
        <w:numPr>
          <w:ilvl w:val="1"/>
          <w:numId w:val="32"/>
        </w:numPr>
        <w:tabs>
          <w:tab w:val="left" w:pos="4127"/>
        </w:tabs>
        <w:spacing w:before="0" w:after="0" w:line="530" w:lineRule="exact"/>
        <w:ind w:left="4126" w:right="0" w:hanging="736"/>
        <w:jc w:val="left"/>
        <w:rPr>
          <w:sz w:val="42"/>
        </w:rPr>
      </w:pPr>
      <w:r>
        <w:rPr>
          <w:sz w:val="42"/>
        </w:rPr>
        <w:t>技术管理</w:t>
      </w:r>
    </w:p>
    <w:p>
      <w:pPr>
        <w:pStyle w:val="BodyText"/>
        <w:spacing w:before="273" w:line="362" w:lineRule="auto"/>
        <w:ind w:left="2553" w:right="1827" w:firstLine="838"/>
        <w:jc w:val="both"/>
      </w:pPr>
      <w:r>
        <w:t>技术管理工作是项目管理工作重点内容之一，其主要任务是正确贯彻执行国家各项技术政策规定、严格执行国家电网相关技术标准，科学地组织实施各项技术方案。</w:t>
      </w:r>
    </w:p>
    <w:p>
      <w:pPr>
        <w:pStyle w:val="ListParagraph"/>
        <w:numPr>
          <w:ilvl w:val="1"/>
          <w:numId w:val="32"/>
        </w:numPr>
        <w:tabs>
          <w:tab w:val="left" w:pos="4127"/>
        </w:tabs>
        <w:spacing w:before="0" w:after="0" w:line="530" w:lineRule="exact"/>
        <w:ind w:left="4126" w:right="0" w:hanging="736"/>
        <w:jc w:val="left"/>
        <w:rPr>
          <w:sz w:val="42"/>
        </w:rPr>
      </w:pPr>
      <w:r>
        <w:rPr>
          <w:sz w:val="42"/>
        </w:rPr>
        <w:t>安全文明生产管理</w:t>
      </w:r>
    </w:p>
    <w:p>
      <w:pPr>
        <w:pStyle w:val="BodyText"/>
        <w:spacing w:before="272" w:line="362" w:lineRule="auto"/>
        <w:ind w:left="2553" w:right="1739" w:firstLine="838"/>
      </w:pPr>
      <w:r>
        <w:t xml:space="preserve">安全文明生产是现代化生产重要手段,是科学组织管理重要组成部分, </w:t>
      </w:r>
      <w:r>
        <w:rPr>
          <w:spacing w:val="-2"/>
        </w:rPr>
        <w:t>对本工程实际情况,在完善自身安全文明施工管理同时,加强对交错作业 配合单位协调、沟通工作，为工程总体实现标化工地而努力。</w:t>
      </w:r>
    </w:p>
    <w:p>
      <w:pPr>
        <w:pStyle w:val="ListParagraph"/>
        <w:numPr>
          <w:ilvl w:val="1"/>
          <w:numId w:val="32"/>
        </w:numPr>
        <w:tabs>
          <w:tab w:val="left" w:pos="4127"/>
        </w:tabs>
        <w:spacing w:before="0" w:after="0" w:line="531" w:lineRule="exact"/>
        <w:ind w:left="4126" w:right="0" w:hanging="736"/>
        <w:jc w:val="left"/>
        <w:rPr>
          <w:sz w:val="42"/>
        </w:rPr>
      </w:pPr>
      <w:r>
        <w:rPr>
          <w:sz w:val="42"/>
        </w:rPr>
        <w:t>材料管理</w:t>
      </w:r>
    </w:p>
    <w:p>
      <w:pPr>
        <w:pStyle w:val="BodyText"/>
        <w:spacing w:before="272" w:line="362" w:lineRule="auto"/>
        <w:ind w:left="2553" w:right="1827" w:firstLine="838"/>
        <w:jc w:val="both"/>
      </w:pPr>
      <w:r>
        <w:t>材料管理是保证工程质量和工期基础条件，因此，必须针对具体工程制定出完善材料管理流程，建立材料采购、验收等一系列规章制度并严格按制度执行，为确保工程建设顺利开展打好基础。</w:t>
      </w:r>
    </w:p>
    <w:p>
      <w:pPr>
        <w:pStyle w:val="Heading4"/>
        <w:spacing w:line="530" w:lineRule="exact"/>
      </w:pPr>
      <w:bookmarkStart w:id="6" w:name="_TOC_250009"/>
      <w:bookmarkEnd w:id="6"/>
      <w:r>
        <w:t>4、现场施工主要管理职责</w:t>
      </w:r>
    </w:p>
    <w:p>
      <w:pPr>
        <w:spacing w:after="0" w:line="530" w:lineRule="exact"/>
        <w:sectPr>
          <w:pgSz w:w="17860" w:h="25260"/>
          <w:pgMar w:top="2420" w:right="0" w:bottom="280" w:left="0" w:header="708" w:footer="708"/>
          <w:pgNumType w:start="14"/>
          <w:cols w:space="708"/>
        </w:sectPr>
      </w:pPr>
    </w:p>
    <w:p>
      <w:pPr>
        <w:pStyle w:val="ListParagraph"/>
        <w:numPr>
          <w:ilvl w:val="1"/>
          <w:numId w:val="18"/>
        </w:numPr>
        <w:tabs>
          <w:tab w:val="left" w:pos="4127"/>
        </w:tabs>
        <w:spacing w:before="12" w:after="0" w:line="362" w:lineRule="auto"/>
        <w:ind w:left="2553" w:right="1827" w:firstLine="838"/>
        <w:jc w:val="both"/>
        <w:rPr>
          <w:rFonts w:ascii="幼圆" w:eastAsia="幼圆" w:hint="eastAsia"/>
          <w:sz w:val="42"/>
        </w:rPr>
      </w:pPr>
      <w:r>
        <w:rPr>
          <w:rFonts w:ascii="幼圆" w:eastAsia="幼圆" w:hint="eastAsia"/>
          <w:sz w:val="42"/>
        </w:rPr>
        <w:t>项目经理：负责本工程项目目标管理、计划管理总体规划；对工</w:t>
      </w:r>
      <w:r>
        <w:rPr>
          <w:rFonts w:ascii="幼圆" w:eastAsia="幼圆" w:hint="eastAsia"/>
          <w:spacing w:val="-1"/>
          <w:sz w:val="42"/>
        </w:rPr>
        <w:t>程质量、安全、工期、材料、后勤等方面全方面总体管理，并负责各方面协调工作，合理配置各项资源，确保工程项目按目标进行；加强职工队伍素质提高和企业精神文明建设，做好职工思想政治工作；协助公司管理层</w:t>
      </w:r>
      <w:r>
        <w:rPr>
          <w:rFonts w:ascii="幼圆" w:eastAsia="幼圆" w:hint="eastAsia"/>
          <w:sz w:val="42"/>
        </w:rPr>
        <w:t>进行项目检查、考核、评比工作。</w:t>
      </w:r>
    </w:p>
    <w:p>
      <w:pPr>
        <w:pStyle w:val="ListParagraph"/>
        <w:numPr>
          <w:ilvl w:val="1"/>
          <w:numId w:val="18"/>
        </w:numPr>
        <w:tabs>
          <w:tab w:val="left" w:pos="4127"/>
        </w:tabs>
        <w:spacing w:before="0" w:after="0" w:line="525" w:lineRule="exact"/>
        <w:ind w:left="4126" w:right="0" w:hanging="736"/>
        <w:jc w:val="both"/>
        <w:rPr>
          <w:rFonts w:ascii="幼圆" w:eastAsia="幼圆" w:hint="eastAsia"/>
          <w:sz w:val="42"/>
        </w:rPr>
      </w:pPr>
      <w:r>
        <w:rPr>
          <w:rFonts w:ascii="幼圆" w:eastAsia="幼圆" w:hint="eastAsia"/>
          <w:sz w:val="42"/>
        </w:rPr>
        <w:t>技术负责人：在项目经理领导下，协助项目经理做好工程技术方</w:t>
      </w:r>
    </w:p>
    <w:p>
      <w:pPr>
        <w:pStyle w:val="BodyText"/>
        <w:spacing w:before="272" w:line="362" w:lineRule="auto"/>
        <w:ind w:left="2553" w:right="1827"/>
        <w:jc w:val="both"/>
        <w:rPr>
          <w:rFonts w:ascii="幼圆" w:eastAsia="幼圆" w:hint="eastAsia"/>
        </w:rPr>
      </w:pPr>
      <w:r>
        <w:rPr>
          <w:rFonts w:ascii="幼圆" w:eastAsia="幼圆" w:hint="eastAsia"/>
        </w:rPr>
        <w:t>面各项工作，负责整个项目技术、质量、材料等方面管理、监督、协调工作；全权处理施工中遇到技术问题，严格按国家有关标准、规定执行；组织工程资料收集、整理、移交和存档工作。</w:t>
      </w:r>
    </w:p>
    <w:p>
      <w:pPr>
        <w:pStyle w:val="ListParagraph"/>
        <w:numPr>
          <w:ilvl w:val="1"/>
          <w:numId w:val="18"/>
        </w:numPr>
        <w:tabs>
          <w:tab w:val="left" w:pos="4127"/>
        </w:tabs>
        <w:spacing w:before="0" w:after="0" w:line="362" w:lineRule="auto"/>
        <w:ind w:left="2553" w:right="1827" w:firstLine="838"/>
        <w:jc w:val="both"/>
        <w:rPr>
          <w:rFonts w:ascii="幼圆" w:eastAsia="幼圆" w:hint="eastAsia"/>
          <w:sz w:val="42"/>
        </w:rPr>
      </w:pPr>
      <w:r>
        <w:rPr>
          <w:rFonts w:ascii="幼圆" w:eastAsia="幼圆" w:hint="eastAsia"/>
          <w:sz w:val="42"/>
        </w:rPr>
        <w:t>安全负责人：在项目经理领导下，协助项目经理做好工程安全文</w:t>
      </w:r>
      <w:r>
        <w:rPr>
          <w:rFonts w:ascii="幼圆" w:eastAsia="幼圆" w:hint="eastAsia"/>
          <w:spacing w:val="-1"/>
          <w:sz w:val="42"/>
        </w:rPr>
        <w:t>明施工工作，负责项目安全生产标准执行，指导、监督、检查项目人员各</w:t>
      </w:r>
      <w:r>
        <w:rPr>
          <w:rFonts w:ascii="幼圆" w:eastAsia="幼圆" w:hint="eastAsia"/>
          <w:sz w:val="42"/>
        </w:rPr>
        <w:t>项工作，确保工程实现安全生产。</w:t>
      </w:r>
    </w:p>
    <w:p>
      <w:pPr>
        <w:pStyle w:val="ListParagraph"/>
        <w:numPr>
          <w:ilvl w:val="1"/>
          <w:numId w:val="18"/>
        </w:numPr>
        <w:tabs>
          <w:tab w:val="left" w:pos="4127"/>
        </w:tabs>
        <w:spacing w:before="0" w:after="0" w:line="362" w:lineRule="auto"/>
        <w:ind w:left="2553" w:right="1827" w:firstLine="838"/>
        <w:jc w:val="both"/>
        <w:rPr>
          <w:rFonts w:ascii="幼圆" w:eastAsia="幼圆" w:hint="eastAsia"/>
          <w:sz w:val="42"/>
        </w:rPr>
      </w:pPr>
      <w:r>
        <w:rPr>
          <w:rFonts w:ascii="幼圆" w:eastAsia="幼圆" w:hint="eastAsia"/>
          <w:sz w:val="42"/>
        </w:rPr>
        <w:t>材料员：在项目经理领导下，做好项目所需材料计划上报、材料</w:t>
      </w:r>
      <w:r>
        <w:rPr>
          <w:rFonts w:ascii="幼圆" w:eastAsia="幼圆" w:hint="eastAsia"/>
          <w:spacing w:val="-1"/>
          <w:sz w:val="42"/>
        </w:rPr>
        <w:t xml:space="preserve">检验、合理配置，严格执行公司及项目部有关材料使用一系列规章制度， </w:t>
      </w:r>
      <w:r>
        <w:rPr>
          <w:rFonts w:ascii="幼圆" w:eastAsia="幼圆" w:hint="eastAsia"/>
          <w:sz w:val="42"/>
        </w:rPr>
        <w:t>做好材料合理控制，保证材料质量，为工程建设圆满完成打好基础。</w:t>
      </w:r>
    </w:p>
    <w:p>
      <w:pPr>
        <w:pStyle w:val="BodyText"/>
        <w:rPr>
          <w:rFonts w:ascii="幼圆"/>
        </w:rPr>
      </w:pPr>
    </w:p>
    <w:p>
      <w:pPr>
        <w:pStyle w:val="BodyText"/>
        <w:spacing w:before="12"/>
        <w:rPr>
          <w:rFonts w:ascii="幼圆"/>
          <w:sz w:val="46"/>
        </w:rPr>
      </w:pPr>
    </w:p>
    <w:p>
      <w:pPr>
        <w:pStyle w:val="Heading2"/>
        <w:ind w:left="2390" w:right="1819"/>
        <w:jc w:val="center"/>
        <w:rPr>
          <w:rFonts w:ascii="幼圆" w:eastAsia="幼圆" w:hint="eastAsia"/>
        </w:rPr>
      </w:pPr>
      <w:bookmarkStart w:id="7" w:name="_TOC_250008"/>
      <w:bookmarkEnd w:id="7"/>
      <w:r>
        <w:rPr>
          <w:rFonts w:ascii="幼圆" w:eastAsia="幼圆" w:hint="eastAsia"/>
        </w:rPr>
        <w:t>三、施工总平面布置</w:t>
      </w:r>
    </w:p>
    <w:p>
      <w:pPr>
        <w:pStyle w:val="Heading4"/>
        <w:spacing w:before="247"/>
        <w:rPr>
          <w:rFonts w:ascii="幼圆" w:eastAsia="幼圆" w:hint="eastAsia"/>
        </w:rPr>
      </w:pPr>
      <w:bookmarkStart w:id="8" w:name="_TOC_250007"/>
      <w:bookmarkEnd w:id="8"/>
      <w:r>
        <w:rPr>
          <w:rFonts w:ascii="幼圆" w:eastAsia="幼圆" w:hint="eastAsia"/>
        </w:rPr>
        <w:t>1、施工总平面布置总体规划</w:t>
      </w:r>
    </w:p>
    <w:p>
      <w:pPr>
        <w:pStyle w:val="BodyText"/>
        <w:spacing w:before="211" w:line="333" w:lineRule="auto"/>
        <w:ind w:left="2553" w:right="1733" w:firstLine="838"/>
        <w:jc w:val="both"/>
        <w:rPr>
          <w:rFonts w:ascii="幼圆" w:eastAsia="幼圆" w:hint="eastAsia"/>
        </w:rPr>
      </w:pPr>
      <w:r>
        <w:rPr>
          <w:rFonts w:ascii="幼圆" w:eastAsia="幼圆" w:hint="eastAsia"/>
          <w:spacing w:val="-20"/>
        </w:rPr>
        <w:t>施工现场平面布置精细设计、严格管理和认真实施，是确保工程安全、</w:t>
      </w:r>
      <w:r>
        <w:rPr>
          <w:rFonts w:ascii="幼圆" w:eastAsia="幼圆" w:hint="eastAsia"/>
        </w:rPr>
        <w:t>文明及提高各项工作效率关键，根据工程情况，施工作业自身存在各个专业交错配合，土建施工单位也存在交错作业等情况，因此制定一个完善市施工作业平面布置就显得十分重要。</w:t>
      </w:r>
    </w:p>
    <w:p>
      <w:pPr>
        <w:pStyle w:val="Heading4"/>
        <w:spacing w:before="7"/>
        <w:rPr>
          <w:rFonts w:ascii="幼圆" w:eastAsia="幼圆" w:hint="eastAsia"/>
        </w:rPr>
      </w:pPr>
      <w:bookmarkStart w:id="9" w:name="_TOC_250006"/>
      <w:bookmarkEnd w:id="9"/>
      <w:r>
        <w:rPr>
          <w:rFonts w:ascii="幼圆" w:eastAsia="幼圆" w:hint="eastAsia"/>
        </w:rPr>
        <w:t>2、施工总平面布置管理原则</w:t>
      </w:r>
    </w:p>
    <w:p>
      <w:pPr>
        <w:pStyle w:val="BodyText"/>
        <w:spacing w:before="215" w:line="333" w:lineRule="auto"/>
        <w:ind w:left="2553" w:right="1827" w:firstLine="838"/>
        <w:rPr>
          <w:rFonts w:ascii="幼圆" w:eastAsia="幼圆" w:hint="eastAsia"/>
        </w:rPr>
      </w:pPr>
      <w:r>
        <w:rPr>
          <w:rFonts w:ascii="幼圆" w:eastAsia="幼圆" w:hint="eastAsia"/>
        </w:rPr>
        <w:t>根据施工总平面设计和阶段布置、各单位交错作业要求，以充分保障阶段性施工重点，保证进度计划顺利实施，在工程实施前制订详细大型机</w:t>
      </w:r>
    </w:p>
    <w:p>
      <w:pPr>
        <w:spacing w:after="0" w:line="333" w:lineRule="auto"/>
        <w:rPr>
          <w:rFonts w:ascii="幼圆" w:eastAsia="幼圆" w:hint="eastAsia"/>
        </w:rPr>
        <w:sectPr>
          <w:pgSz w:w="17860" w:h="25260"/>
          <w:pgMar w:top="2220" w:right="0" w:bottom="280" w:left="0" w:header="708" w:footer="708"/>
          <w:pgNumType w:start="15"/>
          <w:cols w:space="708"/>
        </w:sectPr>
      </w:pPr>
    </w:p>
    <w:p>
      <w:pPr>
        <w:pStyle w:val="BodyText"/>
        <w:spacing w:before="25" w:line="333" w:lineRule="auto"/>
        <w:ind w:left="2553" w:right="1827"/>
      </w:pPr>
      <w:r>
        <w:t>械使用、进出场计划、主材加工、堆放、运输计划，以及各专业之间人员作业计划。同时，制定计划必须严格执行。</w:t>
      </w:r>
    </w:p>
    <w:p>
      <w:pPr>
        <w:pStyle w:val="Heading4"/>
        <w:spacing w:before="2"/>
      </w:pPr>
      <w:bookmarkStart w:id="10" w:name="_TOC_250005"/>
      <w:bookmarkEnd w:id="10"/>
      <w:r>
        <w:t>3、具体布置安排</w:t>
      </w:r>
    </w:p>
    <w:p>
      <w:pPr>
        <w:pStyle w:val="BodyText"/>
        <w:spacing w:before="214" w:line="333" w:lineRule="auto"/>
        <w:ind w:left="2553" w:right="1862" w:firstLine="838"/>
      </w:pPr>
      <w:r>
        <w:t>现场布置主要是确定生活办公区、材料加工区和临时设施搭设区域及相关施工材料、设备放置区域设置。</w:t>
      </w:r>
    </w:p>
    <w:p>
      <w:pPr>
        <w:pStyle w:val="BodyText"/>
        <w:spacing w:before="2" w:line="336" w:lineRule="auto"/>
        <w:ind w:left="2553" w:right="1827" w:firstLine="838"/>
      </w:pPr>
      <w:r>
        <w:t>根据工程实际情况，项目开工时，土建工程已完成 85%左右，及现场实际情况，本工程大致设置四个区域，一是办公区域、二是生活区域、三是材料堆放、加工区域、四是施工作业区域。</w:t>
      </w:r>
    </w:p>
    <w:p>
      <w:pPr>
        <w:pStyle w:val="BodyText"/>
        <w:spacing w:line="336" w:lineRule="auto"/>
        <w:ind w:left="2553" w:right="2042" w:firstLine="838"/>
      </w:pPr>
      <w:r>
        <w:t>办公区域:根据土建施工进展，利用选择一合适房间，作为项目部办公管理使用,在使用过程中要做到对该区域成品保护工作。</w:t>
      </w:r>
    </w:p>
    <w:p>
      <w:pPr>
        <w:pStyle w:val="BodyText"/>
        <w:spacing w:line="333" w:lineRule="auto"/>
        <w:ind w:left="2553" w:right="1829" w:firstLine="838"/>
        <w:jc w:val="both"/>
      </w:pPr>
      <w:r>
        <w:t>生活区域：根据现场情况，利用选择一合适区域作为生活场所，生活场所为人员工作期间各项生活活动区域，同样在使用过程中要做到对该区域成品保护工作。</w:t>
      </w:r>
    </w:p>
    <w:p>
      <w:pPr>
        <w:pStyle w:val="BodyText"/>
        <w:spacing w:line="336" w:lineRule="auto"/>
        <w:ind w:left="2553" w:right="1827" w:firstLine="838"/>
        <w:jc w:val="both"/>
      </w:pPr>
      <w:r>
        <w:t>材料堆放、加工区域：根据现场场外情况，选择有相对较大回旋余地区域作为材料堆放、加工区域，并设置一个加工棚。加工区域旁另设一个堆放废料区域，实现文明施工。</w:t>
      </w:r>
    </w:p>
    <w:p>
      <w:pPr>
        <w:pStyle w:val="BodyText"/>
        <w:spacing w:line="529" w:lineRule="exact"/>
        <w:ind w:left="2414" w:right="854"/>
        <w:jc w:val="center"/>
      </w:pPr>
      <w:r>
        <w:t>施工作业区域：施工作业区域要根据工程进展情况不断变化，根据这</w:t>
      </w:r>
    </w:p>
    <w:p>
      <w:pPr>
        <w:pStyle w:val="BodyText"/>
        <w:spacing w:before="202"/>
        <w:ind w:left="1283" w:right="1819"/>
        <w:jc w:val="center"/>
      </w:pPr>
      <w:r>
        <w:t>一特点，要做好施工作业区域计划安排，作业完毕必须工完场清。</w:t>
      </w:r>
    </w:p>
    <w:p>
      <w:pPr>
        <w:pStyle w:val="Heading2"/>
        <w:spacing w:before="176"/>
        <w:ind w:left="2367" w:right="1819"/>
        <w:jc w:val="center"/>
      </w:pPr>
      <w:bookmarkStart w:id="11" w:name="_TOC_250004"/>
      <w:bookmarkEnd w:id="11"/>
      <w:r>
        <w:t>四、工期目标控制、网络计划安排</w:t>
      </w:r>
    </w:p>
    <w:p>
      <w:pPr>
        <w:pStyle w:val="Heading4"/>
        <w:spacing w:before="334"/>
      </w:pPr>
      <w:bookmarkStart w:id="12" w:name="_TOC_250003"/>
      <w:bookmarkEnd w:id="12"/>
      <w:r>
        <w:t>1、工期总体进度安排</w:t>
      </w:r>
    </w:p>
    <w:p>
      <w:pPr>
        <w:pStyle w:val="BodyText"/>
        <w:spacing w:before="300" w:line="374" w:lineRule="auto"/>
        <w:ind w:left="2553" w:right="1912" w:firstLine="838"/>
        <w:jc w:val="both"/>
      </w:pPr>
      <w:r>
        <w:rPr>
          <w:spacing w:val="-11"/>
        </w:rPr>
        <w:t xml:space="preserve">本工程我公司承诺在 </w:t>
      </w:r>
      <w:r>
        <w:t>90</w:t>
      </w:r>
      <w:r>
        <w:rPr>
          <w:spacing w:val="-11"/>
        </w:rPr>
        <w:t xml:space="preserve"> 个日历天完成，若中标，我们将按业主方要</w:t>
      </w:r>
      <w:r>
        <w:rPr>
          <w:spacing w:val="-8"/>
        </w:rPr>
        <w:t>求及时开工建设，积极做好开工前各项准备工作，本工程计划</w:t>
      </w:r>
      <w:r>
        <w:t>2008</w:t>
      </w:r>
      <w:r>
        <w:rPr>
          <w:spacing w:val="-63"/>
        </w:rPr>
        <w:t xml:space="preserve"> 年 </w:t>
      </w:r>
      <w:r>
        <w:t xml:space="preserve">12 </w:t>
      </w:r>
      <w:r>
        <w:rPr>
          <w:w w:val="100"/>
        </w:rPr>
        <w:t>月</w:t>
      </w:r>
      <w:r>
        <w:rPr>
          <w:spacing w:val="-106"/>
        </w:rPr>
        <w:t xml:space="preserve"> </w:t>
      </w:r>
      <w:r>
        <w:rPr>
          <w:w w:val="100"/>
        </w:rPr>
        <w:t>15</w:t>
      </w:r>
      <w:r>
        <w:rPr>
          <w:spacing w:val="-106"/>
        </w:rPr>
        <w:t xml:space="preserve"> </w:t>
      </w:r>
      <w:r>
        <w:rPr>
          <w:w w:val="100"/>
        </w:rPr>
        <w:t>日开工（具体以开工报告为准</w:t>
      </w:r>
      <w:r>
        <w:rPr>
          <w:spacing w:val="-253"/>
          <w:w w:val="100"/>
        </w:rPr>
        <w:t>）</w:t>
      </w:r>
      <w:r>
        <w:rPr>
          <w:spacing w:val="37"/>
          <w:w w:val="100"/>
        </w:rPr>
        <w:t>，至</w:t>
      </w:r>
      <w:r>
        <w:rPr>
          <w:w w:val="100"/>
        </w:rPr>
        <w:t>2009</w:t>
      </w:r>
      <w:r>
        <w:rPr>
          <w:spacing w:val="-109"/>
        </w:rPr>
        <w:t xml:space="preserve"> </w:t>
      </w:r>
      <w:r>
        <w:rPr>
          <w:w w:val="100"/>
        </w:rPr>
        <w:t>年</w:t>
      </w:r>
      <w:r>
        <w:rPr>
          <w:spacing w:val="-103"/>
        </w:rPr>
        <w:t xml:space="preserve"> </w:t>
      </w:r>
      <w:r>
        <w:rPr>
          <w:w w:val="100"/>
        </w:rPr>
        <w:t>3</w:t>
      </w:r>
      <w:r>
        <w:rPr>
          <w:spacing w:val="-108"/>
        </w:rPr>
        <w:t xml:space="preserve"> </w:t>
      </w:r>
      <w:r>
        <w:rPr>
          <w:w w:val="100"/>
        </w:rPr>
        <w:t>月</w:t>
      </w:r>
      <w:r>
        <w:rPr>
          <w:spacing w:val="-106"/>
        </w:rPr>
        <w:t xml:space="preserve"> </w:t>
      </w:r>
      <w:r>
        <w:rPr>
          <w:w w:val="100"/>
        </w:rPr>
        <w:t>12</w:t>
      </w:r>
      <w:r>
        <w:rPr>
          <w:spacing w:val="-109"/>
        </w:rPr>
        <w:t xml:space="preserve"> </w:t>
      </w:r>
      <w:r>
        <w:rPr>
          <w:spacing w:val="-3"/>
          <w:w w:val="100"/>
        </w:rPr>
        <w:t>日竣工，总日历</w:t>
      </w:r>
      <w:r>
        <w:rPr>
          <w:spacing w:val="-36"/>
        </w:rPr>
        <w:t xml:space="preserve">工期 </w:t>
      </w:r>
      <w:r>
        <w:t>90</w:t>
      </w:r>
      <w:r>
        <w:rPr>
          <w:spacing w:val="-37"/>
        </w:rPr>
        <w:t xml:space="preserve"> 天。</w:t>
      </w:r>
    </w:p>
    <w:p>
      <w:pPr>
        <w:spacing w:before="6" w:line="374" w:lineRule="auto"/>
        <w:ind w:left="2553" w:right="1744" w:firstLine="838"/>
        <w:jc w:val="left"/>
        <w:rPr>
          <w:b/>
          <w:sz w:val="42"/>
        </w:rPr>
      </w:pPr>
      <w:r>
        <w:rPr>
          <w:sz w:val="42"/>
        </w:rPr>
        <w:t>具体详见工程附图《施工进度计划横道图</w:t>
      </w:r>
      <w:r>
        <w:rPr>
          <w:spacing w:val="-58"/>
          <w:sz w:val="42"/>
        </w:rPr>
        <w:t>》、《施工进度计划网络图》。</w:t>
      </w:r>
      <w:r>
        <w:rPr>
          <w:b/>
          <w:sz w:val="42"/>
        </w:rPr>
        <w:t>2、工期目标保证措施</w:t>
      </w:r>
    </w:p>
    <w:p>
      <w:pPr>
        <w:spacing w:after="0" w:line="374" w:lineRule="auto"/>
        <w:jc w:val="left"/>
        <w:rPr>
          <w:sz w:val="42"/>
        </w:rPr>
        <w:sectPr>
          <w:pgSz w:w="17860" w:h="25260"/>
          <w:pgMar w:top="2160" w:right="0" w:bottom="280" w:left="0" w:header="708" w:footer="708"/>
          <w:pgNumType w:start="16"/>
          <w:cols w:space="708"/>
        </w:sectPr>
      </w:pPr>
    </w:p>
    <w:p>
      <w:pPr>
        <w:pStyle w:val="BodyText"/>
        <w:spacing w:before="17" w:line="374" w:lineRule="auto"/>
        <w:ind w:left="2553" w:right="1737" w:firstLine="629"/>
      </w:pPr>
      <w:r>
        <w:t>按工程实际情况，公司管理层会同项目部落实主要施工方案、总施工</w:t>
      </w:r>
      <w:r>
        <w:rPr>
          <w:spacing w:val="-20"/>
        </w:rPr>
        <w:t>进度计划。项目部按进度计划网络节点时间要求落实施工技术组织、材料、</w:t>
      </w:r>
      <w:r>
        <w:t>施工机械及劳动力布置计划，编制详细《施工组织设计</w:t>
      </w:r>
      <w:r>
        <w:rPr>
          <w:spacing w:val="-122"/>
        </w:rPr>
        <w:t>》。</w:t>
      </w:r>
    </w:p>
    <w:p>
      <w:pPr>
        <w:pStyle w:val="BodyText"/>
        <w:spacing w:before="2" w:line="374" w:lineRule="auto"/>
        <w:ind w:left="3183" w:right="2882"/>
      </w:pPr>
      <w:r>
        <w:t>公司将采用一系列制度来加强对施工工期管理，主要措施如下： 管理措施：</w:t>
      </w:r>
    </w:p>
    <w:p>
      <w:pPr>
        <w:pStyle w:val="BodyText"/>
        <w:spacing w:line="376" w:lineRule="auto"/>
        <w:ind w:left="2553" w:right="1652" w:firstLine="629"/>
      </w:pPr>
      <w:r>
        <w:t>①由公司对工程实际进度间接管理，项目部与公司签订项目责任合同， 以明确双方责任。</w:t>
      </w:r>
    </w:p>
    <w:p>
      <w:pPr>
        <w:pStyle w:val="BodyText"/>
        <w:spacing w:line="374" w:lineRule="auto"/>
        <w:ind w:left="2553" w:right="2038" w:firstLine="629"/>
      </w:pPr>
      <w:r>
        <w:rPr>
          <w:spacing w:val="-1"/>
        </w:rPr>
        <w:t>②提高管理水平，落实经济责任制，实行项目承包制，将工期与质量</w:t>
      </w:r>
      <w:r>
        <w:t>作为重点考核内容。</w:t>
      </w:r>
    </w:p>
    <w:p>
      <w:pPr>
        <w:pStyle w:val="BodyText"/>
        <w:spacing w:line="374" w:lineRule="auto"/>
        <w:ind w:left="2553" w:right="1827" w:firstLine="629"/>
      </w:pPr>
      <w:r>
        <w:t>③加强对项目部管理层管理力度，项目部管理人员经常深入现场指导</w:t>
      </w:r>
      <w:r>
        <w:rPr>
          <w:spacing w:val="-1"/>
        </w:rPr>
        <w:t>工作，解决实际问题，保证按计划执行，充分发挥主观能动性，提高劳动</w:t>
      </w:r>
      <w:r>
        <w:t>生产率和施工效率。</w:t>
      </w:r>
    </w:p>
    <w:p>
      <w:pPr>
        <w:pStyle w:val="BodyText"/>
        <w:spacing w:line="374" w:lineRule="auto"/>
        <w:ind w:left="2553" w:right="2038" w:firstLine="629"/>
      </w:pPr>
      <w:r>
        <w:t>④加强对材料供应管理，由材料员对材料进行各项管理，公司对其进行考核，从而进一步使材料管理趋于规范化，保证工程顺利开展。</w:t>
      </w:r>
    </w:p>
    <w:p>
      <w:pPr>
        <w:pStyle w:val="BodyText"/>
        <w:spacing w:line="537" w:lineRule="exact"/>
        <w:ind w:left="3183"/>
      </w:pPr>
      <w:r>
        <w:t>技术措施：</w:t>
      </w:r>
    </w:p>
    <w:p>
      <w:pPr>
        <w:pStyle w:val="BodyText"/>
        <w:spacing w:before="299" w:line="374" w:lineRule="auto"/>
        <w:ind w:left="2553" w:right="2038" w:firstLine="629"/>
      </w:pPr>
      <w:r>
        <w:t>①采用成熟新工艺、新技术来加强、加快工程质量、进度，项目部管理层要不断完善改进相关技术，为项目做服务工作。</w:t>
      </w:r>
    </w:p>
    <w:p>
      <w:pPr>
        <w:pStyle w:val="BodyText"/>
        <w:spacing w:line="376" w:lineRule="auto"/>
        <w:ind w:left="2553" w:right="2038" w:firstLine="629"/>
      </w:pPr>
      <w:r>
        <w:t>②项目部要加强对专业领域人才培养、使用，工作重点、难点要派优秀技术人员进行攻关。</w:t>
      </w:r>
    </w:p>
    <w:p>
      <w:pPr>
        <w:pStyle w:val="BodyText"/>
        <w:spacing w:line="374" w:lineRule="auto"/>
        <w:ind w:left="2553" w:right="2038" w:firstLine="629"/>
      </w:pPr>
      <w:r>
        <w:t>③组织编制各项好技术方案，并落实到具体工作中去，要不断指导、检查各项工作。</w:t>
      </w:r>
    </w:p>
    <w:p>
      <w:pPr>
        <w:pStyle w:val="BodyText"/>
        <w:ind w:left="3183"/>
      </w:pPr>
      <w:r>
        <w:t>动态管理措施：</w:t>
      </w:r>
    </w:p>
    <w:p>
      <w:pPr>
        <w:pStyle w:val="BodyText"/>
        <w:spacing w:before="294" w:line="374" w:lineRule="auto"/>
        <w:ind w:left="2553" w:right="2038" w:firstLine="629"/>
      </w:pPr>
      <w:r>
        <w:t>①编制详细标准及总控制网络计划，采用网络计划技术控制关键工序时间，从而达到控制分段工期目标。</w:t>
      </w:r>
    </w:p>
    <w:p>
      <w:pPr>
        <w:spacing w:after="0" w:line="374" w:lineRule="auto"/>
        <w:sectPr>
          <w:pgSz w:w="17860" w:h="25260"/>
          <w:pgMar w:top="2240" w:right="0" w:bottom="280" w:left="0" w:header="708" w:footer="708"/>
          <w:pgNumType w:start="17"/>
          <w:cols w:space="708"/>
        </w:sectPr>
      </w:pPr>
    </w:p>
    <w:p>
      <w:pPr>
        <w:pStyle w:val="BodyText"/>
        <w:spacing w:before="17" w:line="374" w:lineRule="auto"/>
        <w:ind w:left="2553" w:right="2038" w:firstLine="629"/>
      </w:pPr>
      <w:r>
        <w:t>②采用计算机管理方法，加快信息传送速度，实现工期动态调整，并对关键线路上关键工序进行时间控制、调整，确保工期实现。</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0"/>
        <w:rPr>
          <w:sz w:val="29"/>
        </w:rPr>
      </w:pPr>
    </w:p>
    <w:p>
      <w:pPr>
        <w:pStyle w:val="Heading2"/>
        <w:spacing w:before="1"/>
        <w:ind w:left="2387" w:right="1819"/>
        <w:jc w:val="center"/>
      </w:pPr>
      <w:bookmarkStart w:id="13" w:name="_TOC_250002"/>
      <w:bookmarkEnd w:id="13"/>
      <w:r>
        <w:t>五、主要施工技术措施</w:t>
      </w:r>
    </w:p>
    <w:p>
      <w:pPr>
        <w:pStyle w:val="Heading4"/>
        <w:spacing w:before="336"/>
      </w:pPr>
      <w:r>
        <w:t>1、施工准备</w:t>
      </w:r>
    </w:p>
    <w:p>
      <w:pPr>
        <w:pStyle w:val="ListParagraph"/>
        <w:numPr>
          <w:ilvl w:val="1"/>
          <w:numId w:val="17"/>
        </w:numPr>
        <w:tabs>
          <w:tab w:val="left" w:pos="3288"/>
        </w:tabs>
        <w:spacing w:before="302" w:after="0" w:line="240" w:lineRule="auto"/>
        <w:ind w:left="3287" w:right="0" w:hanging="735"/>
        <w:jc w:val="left"/>
        <w:rPr>
          <w:sz w:val="42"/>
        </w:rPr>
      </w:pPr>
      <w:r>
        <w:rPr>
          <w:sz w:val="42"/>
        </w:rPr>
        <w:t>施工技术资料及施工场地准备</w:t>
      </w:r>
    </w:p>
    <w:p>
      <w:pPr>
        <w:pStyle w:val="ListParagraph"/>
        <w:numPr>
          <w:ilvl w:val="2"/>
          <w:numId w:val="17"/>
        </w:numPr>
        <w:tabs>
          <w:tab w:val="left" w:pos="3709"/>
        </w:tabs>
        <w:spacing w:before="301" w:after="0" w:line="376" w:lineRule="auto"/>
        <w:ind w:left="2553" w:right="2154" w:firstLine="0"/>
        <w:jc w:val="left"/>
        <w:rPr>
          <w:sz w:val="42"/>
        </w:rPr>
      </w:pPr>
      <w:r>
        <w:rPr>
          <w:spacing w:val="-2"/>
          <w:sz w:val="42"/>
        </w:rPr>
        <w:t>开工前认真查阅施工图,收集工程相关资料，参加施工图交底会审</w:t>
      </w:r>
      <w:r>
        <w:rPr>
          <w:sz w:val="42"/>
        </w:rPr>
        <w:t>会，根据会审纪要认真编制施工组织方案、安排工期。</w:t>
      </w:r>
    </w:p>
    <w:p>
      <w:pPr>
        <w:pStyle w:val="ListParagraph"/>
        <w:numPr>
          <w:ilvl w:val="2"/>
          <w:numId w:val="17"/>
        </w:numPr>
        <w:tabs>
          <w:tab w:val="left" w:pos="3709"/>
        </w:tabs>
        <w:spacing w:before="0" w:after="0" w:line="374" w:lineRule="auto"/>
        <w:ind w:left="2553" w:right="1730" w:firstLine="0"/>
        <w:jc w:val="both"/>
        <w:rPr>
          <w:sz w:val="42"/>
        </w:rPr>
      </w:pPr>
      <w:r>
        <w:rPr>
          <w:spacing w:val="-16"/>
          <w:sz w:val="42"/>
        </w:rPr>
        <w:t xml:space="preserve">根据招标要求及工程实际，编制写施工组织设计、施工作业指导书， </w:t>
      </w:r>
      <w:r>
        <w:rPr>
          <w:sz w:val="42"/>
        </w:rPr>
        <w:t>并按工程实施情况及时出版，发放并向施工人员作好交底工作、指导具体实施工作。</w:t>
      </w:r>
    </w:p>
    <w:p>
      <w:pPr>
        <w:spacing w:after="0" w:line="374" w:lineRule="auto"/>
        <w:jc w:val="both"/>
        <w:rPr>
          <w:sz w:val="42"/>
        </w:rPr>
        <w:sectPr>
          <w:pgSz w:w="17860" w:h="25260"/>
          <w:pgMar w:top="2240" w:right="0" w:bottom="280" w:left="0" w:header="708" w:footer="708"/>
          <w:pgNumType w:start="18"/>
          <w:cols w:space="708"/>
        </w:sectPr>
      </w:pPr>
    </w:p>
    <w:p>
      <w:pPr>
        <w:pStyle w:val="ListParagraph"/>
        <w:numPr>
          <w:ilvl w:val="2"/>
          <w:numId w:val="17"/>
        </w:numPr>
        <w:tabs>
          <w:tab w:val="left" w:pos="3709"/>
        </w:tabs>
        <w:spacing w:before="17" w:after="0" w:line="374" w:lineRule="auto"/>
        <w:ind w:left="2553" w:right="1934" w:firstLine="0"/>
        <w:jc w:val="left"/>
        <w:rPr>
          <w:sz w:val="42"/>
        </w:rPr>
      </w:pPr>
      <w:r>
        <w:rPr>
          <w:spacing w:val="-1"/>
          <w:sz w:val="42"/>
        </w:rPr>
        <w:t>及时办理各类进场施工许可证，办好项目部办公、生活住所选择工</w:t>
      </w:r>
      <w:r>
        <w:rPr>
          <w:sz w:val="42"/>
        </w:rPr>
        <w:t>作。</w:t>
      </w:r>
    </w:p>
    <w:p>
      <w:pPr>
        <w:pStyle w:val="ListParagraph"/>
        <w:numPr>
          <w:ilvl w:val="2"/>
          <w:numId w:val="17"/>
        </w:numPr>
        <w:tabs>
          <w:tab w:val="left" w:pos="3709"/>
        </w:tabs>
        <w:spacing w:before="0" w:after="0" w:line="376" w:lineRule="auto"/>
        <w:ind w:left="2553" w:right="1934" w:firstLine="0"/>
        <w:jc w:val="left"/>
        <w:rPr>
          <w:sz w:val="42"/>
        </w:rPr>
      </w:pPr>
      <w:r>
        <w:rPr>
          <w:spacing w:val="-1"/>
          <w:sz w:val="42"/>
        </w:rPr>
        <w:t>根据现场情况，及时做好现场施工场地相关选择准备工作，制定相</w:t>
      </w:r>
      <w:r>
        <w:rPr>
          <w:sz w:val="42"/>
        </w:rPr>
        <w:t>关制度、措施。</w:t>
      </w:r>
    </w:p>
    <w:p>
      <w:pPr>
        <w:pStyle w:val="ListParagraph"/>
        <w:numPr>
          <w:ilvl w:val="1"/>
          <w:numId w:val="17"/>
        </w:numPr>
        <w:tabs>
          <w:tab w:val="left" w:pos="3288"/>
        </w:tabs>
        <w:spacing w:before="0" w:after="0" w:line="530" w:lineRule="exact"/>
        <w:ind w:left="3287" w:right="0" w:hanging="735"/>
        <w:jc w:val="left"/>
        <w:rPr>
          <w:sz w:val="42"/>
        </w:rPr>
      </w:pPr>
      <w:r>
        <w:rPr>
          <w:sz w:val="42"/>
        </w:rPr>
        <w:t>施工材料采购、堆放准备</w:t>
      </w:r>
    </w:p>
    <w:p>
      <w:pPr>
        <w:pStyle w:val="ListParagraph"/>
        <w:numPr>
          <w:ilvl w:val="2"/>
          <w:numId w:val="17"/>
        </w:numPr>
        <w:tabs>
          <w:tab w:val="left" w:pos="3709"/>
        </w:tabs>
        <w:spacing w:before="300" w:after="0" w:line="376" w:lineRule="auto"/>
        <w:ind w:left="2553" w:right="1934" w:firstLine="0"/>
        <w:jc w:val="left"/>
        <w:rPr>
          <w:sz w:val="42"/>
        </w:rPr>
      </w:pPr>
      <w:r>
        <w:rPr>
          <w:spacing w:val="-1"/>
          <w:sz w:val="42"/>
        </w:rPr>
        <w:t>根据施工图相关要求及时编制材料采购计划，上报公司工程部，做</w:t>
      </w:r>
      <w:r>
        <w:rPr>
          <w:sz w:val="42"/>
        </w:rPr>
        <w:t>好材料入库、领用、回收等记录。</w:t>
      </w:r>
    </w:p>
    <w:p>
      <w:pPr>
        <w:pStyle w:val="ListParagraph"/>
        <w:numPr>
          <w:ilvl w:val="2"/>
          <w:numId w:val="17"/>
        </w:numPr>
        <w:tabs>
          <w:tab w:val="left" w:pos="3709"/>
        </w:tabs>
        <w:spacing w:before="0" w:after="0" w:line="374" w:lineRule="auto"/>
        <w:ind w:left="2553" w:right="1827" w:firstLine="0"/>
        <w:jc w:val="left"/>
        <w:rPr>
          <w:sz w:val="42"/>
        </w:rPr>
      </w:pPr>
      <w:r>
        <w:rPr>
          <w:spacing w:val="-3"/>
          <w:sz w:val="42"/>
        </w:rPr>
        <w:t>材料到现场后,配合监理工程师做好材料各类验收工作,材料各类出</w:t>
      </w:r>
      <w:r>
        <w:rPr>
          <w:spacing w:val="-4"/>
          <w:sz w:val="42"/>
        </w:rPr>
        <w:t>厂证件、试验报告要做好资料保存，并根据图纸对材料进行清点、交接。</w:t>
      </w:r>
    </w:p>
    <w:p>
      <w:pPr>
        <w:pStyle w:val="ListParagraph"/>
        <w:numPr>
          <w:ilvl w:val="2"/>
          <w:numId w:val="17"/>
        </w:numPr>
        <w:tabs>
          <w:tab w:val="left" w:pos="3709"/>
        </w:tabs>
        <w:spacing w:before="0" w:after="0" w:line="240" w:lineRule="auto"/>
        <w:ind w:left="3708" w:right="0" w:hanging="1156"/>
        <w:jc w:val="left"/>
        <w:rPr>
          <w:sz w:val="42"/>
        </w:rPr>
      </w:pPr>
      <w:r>
        <w:rPr>
          <w:sz w:val="42"/>
        </w:rPr>
        <w:t>在现场搭建材料堆放、加工工棚，合理选择区域。</w:t>
      </w:r>
    </w:p>
    <w:p>
      <w:pPr>
        <w:pStyle w:val="ListParagraph"/>
        <w:numPr>
          <w:ilvl w:val="1"/>
          <w:numId w:val="17"/>
        </w:numPr>
        <w:tabs>
          <w:tab w:val="left" w:pos="3288"/>
        </w:tabs>
        <w:spacing w:before="295" w:after="0" w:line="240" w:lineRule="auto"/>
        <w:ind w:left="3287" w:right="0" w:hanging="735"/>
        <w:jc w:val="left"/>
        <w:rPr>
          <w:sz w:val="42"/>
        </w:rPr>
      </w:pPr>
      <w:r>
        <w:rPr>
          <w:sz w:val="42"/>
        </w:rPr>
        <w:t>施工机械、工具器准备</w:t>
      </w:r>
    </w:p>
    <w:p>
      <w:pPr>
        <w:pStyle w:val="ListParagraph"/>
        <w:numPr>
          <w:ilvl w:val="2"/>
          <w:numId w:val="17"/>
        </w:numPr>
        <w:tabs>
          <w:tab w:val="left" w:pos="3709"/>
        </w:tabs>
        <w:spacing w:before="301" w:after="0" w:line="376" w:lineRule="auto"/>
        <w:ind w:left="2553" w:right="1934" w:firstLine="0"/>
        <w:jc w:val="left"/>
        <w:rPr>
          <w:sz w:val="42"/>
        </w:rPr>
      </w:pPr>
      <w:r>
        <w:rPr>
          <w:spacing w:val="-1"/>
          <w:sz w:val="42"/>
        </w:rPr>
        <w:t>根据工程情况，编制所需机械设备清单，及时落实。本工程主要施</w:t>
      </w:r>
      <w:r>
        <w:rPr>
          <w:sz w:val="42"/>
        </w:rPr>
        <w:t>工机械配置计划如下：</w:t>
      </w:r>
    </w:p>
    <w:p>
      <w:pPr>
        <w:pStyle w:val="ListParagraph"/>
        <w:numPr>
          <w:ilvl w:val="0"/>
          <w:numId w:val="16"/>
        </w:numPr>
        <w:tabs>
          <w:tab w:val="left" w:pos="3185"/>
          <w:tab w:val="left" w:pos="5602"/>
        </w:tabs>
        <w:spacing w:before="0" w:after="0" w:line="530" w:lineRule="exact"/>
        <w:ind w:left="3184" w:right="0" w:hanging="632"/>
        <w:jc w:val="left"/>
        <w:rPr>
          <w:sz w:val="42"/>
        </w:rPr>
      </w:pPr>
      <w:r>
        <w:rPr>
          <w:sz w:val="42"/>
        </w:rPr>
        <w:t>吊机</w:t>
      </w:r>
      <w:r>
        <w:rPr>
          <w:spacing w:val="-105"/>
          <w:sz w:val="42"/>
        </w:rPr>
        <w:t xml:space="preserve"> </w:t>
      </w:r>
      <w:r>
        <w:rPr>
          <w:sz w:val="42"/>
        </w:rPr>
        <w:t>25T，</w:t>
        <w:tab/>
        <w:t>8T</w:t>
      </w:r>
      <w:r>
        <w:rPr>
          <w:spacing w:val="-3"/>
          <w:sz w:val="42"/>
        </w:rPr>
        <w:t xml:space="preserve"> </w:t>
      </w:r>
      <w:r>
        <w:rPr>
          <w:sz w:val="42"/>
        </w:rPr>
        <w:t>各一辆</w:t>
      </w:r>
    </w:p>
    <w:p>
      <w:pPr>
        <w:pStyle w:val="ListParagraph"/>
        <w:numPr>
          <w:ilvl w:val="0"/>
          <w:numId w:val="16"/>
        </w:numPr>
        <w:tabs>
          <w:tab w:val="left" w:pos="3185"/>
        </w:tabs>
        <w:spacing w:before="300" w:after="0" w:line="240" w:lineRule="auto"/>
        <w:ind w:left="3184" w:right="0" w:hanging="632"/>
        <w:jc w:val="left"/>
        <w:rPr>
          <w:sz w:val="42"/>
        </w:rPr>
      </w:pPr>
      <w:r>
        <w:rPr>
          <w:sz w:val="42"/>
        </w:rPr>
        <w:t>工具车一辆</w:t>
      </w:r>
    </w:p>
    <w:p>
      <w:pPr>
        <w:pStyle w:val="ListParagraph"/>
        <w:numPr>
          <w:ilvl w:val="0"/>
          <w:numId w:val="16"/>
        </w:numPr>
        <w:tabs>
          <w:tab w:val="left" w:pos="3185"/>
        </w:tabs>
        <w:spacing w:before="304" w:after="0" w:line="240" w:lineRule="auto"/>
        <w:ind w:left="3184" w:right="0" w:hanging="632"/>
        <w:jc w:val="left"/>
        <w:rPr>
          <w:sz w:val="42"/>
        </w:rPr>
      </w:pPr>
      <w:r>
        <w:rPr>
          <w:sz w:val="42"/>
        </w:rPr>
        <w:t>大客车一辆</w:t>
      </w:r>
    </w:p>
    <w:p>
      <w:pPr>
        <w:pStyle w:val="ListParagraph"/>
        <w:numPr>
          <w:ilvl w:val="0"/>
          <w:numId w:val="16"/>
        </w:numPr>
        <w:tabs>
          <w:tab w:val="left" w:pos="3185"/>
        </w:tabs>
        <w:spacing w:before="301" w:after="0" w:line="240" w:lineRule="auto"/>
        <w:ind w:left="3184" w:right="0" w:hanging="632"/>
        <w:jc w:val="left"/>
        <w:rPr>
          <w:sz w:val="42"/>
        </w:rPr>
      </w:pPr>
      <w:r>
        <w:rPr>
          <w:sz w:val="42"/>
        </w:rPr>
        <w:t>滤油机：真空式、压力式各一台</w:t>
      </w:r>
    </w:p>
    <w:p>
      <w:pPr>
        <w:pStyle w:val="ListParagraph"/>
        <w:numPr>
          <w:ilvl w:val="0"/>
          <w:numId w:val="16"/>
        </w:numPr>
        <w:tabs>
          <w:tab w:val="left" w:pos="3185"/>
        </w:tabs>
        <w:spacing w:before="301" w:after="0" w:line="240" w:lineRule="auto"/>
        <w:ind w:left="3184" w:right="0" w:hanging="632"/>
        <w:jc w:val="left"/>
        <w:rPr>
          <w:sz w:val="42"/>
        </w:rPr>
      </w:pPr>
      <w:r>
        <w:rPr>
          <w:sz w:val="42"/>
        </w:rPr>
        <w:t>砂轮机、台钻、摇臂钻床各一台</w:t>
      </w:r>
    </w:p>
    <w:p>
      <w:pPr>
        <w:pStyle w:val="ListParagraph"/>
        <w:numPr>
          <w:ilvl w:val="0"/>
          <w:numId w:val="16"/>
        </w:numPr>
        <w:tabs>
          <w:tab w:val="left" w:pos="3185"/>
        </w:tabs>
        <w:spacing w:before="304" w:after="0" w:line="240" w:lineRule="auto"/>
        <w:ind w:left="3184" w:right="0" w:hanging="632"/>
        <w:jc w:val="left"/>
        <w:rPr>
          <w:sz w:val="42"/>
        </w:rPr>
      </w:pPr>
      <w:r>
        <w:rPr>
          <w:sz w:val="42"/>
        </w:rPr>
        <w:t>切割机二台</w:t>
      </w:r>
    </w:p>
    <w:p>
      <w:pPr>
        <w:pStyle w:val="ListParagraph"/>
        <w:numPr>
          <w:ilvl w:val="0"/>
          <w:numId w:val="16"/>
        </w:numPr>
        <w:tabs>
          <w:tab w:val="left" w:pos="3185"/>
        </w:tabs>
        <w:spacing w:before="302" w:after="0" w:line="240" w:lineRule="auto"/>
        <w:ind w:left="3184" w:right="0" w:hanging="632"/>
        <w:jc w:val="left"/>
        <w:rPr>
          <w:sz w:val="42"/>
        </w:rPr>
      </w:pPr>
      <w:r>
        <w:rPr>
          <w:sz w:val="42"/>
        </w:rPr>
        <w:t>电焊机二台</w:t>
      </w:r>
    </w:p>
    <w:p>
      <w:pPr>
        <w:pStyle w:val="ListParagraph"/>
        <w:numPr>
          <w:ilvl w:val="0"/>
          <w:numId w:val="16"/>
        </w:numPr>
        <w:tabs>
          <w:tab w:val="left" w:pos="3185"/>
        </w:tabs>
        <w:spacing w:before="300" w:after="0" w:line="240" w:lineRule="auto"/>
        <w:ind w:left="3184" w:right="0" w:hanging="632"/>
        <w:jc w:val="left"/>
        <w:rPr>
          <w:sz w:val="42"/>
        </w:rPr>
      </w:pPr>
      <w:r>
        <w:rPr>
          <w:sz w:val="42"/>
        </w:rPr>
        <w:t>机械弯管机、弯排机各一台</w:t>
      </w:r>
    </w:p>
    <w:p>
      <w:pPr>
        <w:pStyle w:val="ListParagraph"/>
        <w:numPr>
          <w:ilvl w:val="0"/>
          <w:numId w:val="16"/>
        </w:numPr>
        <w:tabs>
          <w:tab w:val="left" w:pos="3185"/>
        </w:tabs>
        <w:spacing w:before="305" w:after="0" w:line="240" w:lineRule="auto"/>
        <w:ind w:left="3184" w:right="0" w:hanging="632"/>
        <w:jc w:val="left"/>
        <w:rPr>
          <w:sz w:val="42"/>
        </w:rPr>
      </w:pPr>
      <w:r>
        <w:rPr>
          <w:spacing w:val="-27"/>
          <w:sz w:val="42"/>
        </w:rPr>
        <w:t xml:space="preserve">油坦克 </w:t>
      </w:r>
      <w:r>
        <w:rPr>
          <w:sz w:val="42"/>
        </w:rPr>
        <w:t>20T</w:t>
      </w:r>
      <w:r>
        <w:rPr>
          <w:spacing w:val="-2"/>
          <w:sz w:val="42"/>
        </w:rPr>
        <w:t xml:space="preserve"> 一只</w:t>
      </w:r>
    </w:p>
    <w:p>
      <w:pPr>
        <w:pStyle w:val="ListParagraph"/>
        <w:numPr>
          <w:ilvl w:val="0"/>
          <w:numId w:val="16"/>
        </w:numPr>
        <w:tabs>
          <w:tab w:val="left" w:pos="3816"/>
          <w:tab w:val="left" w:pos="3817"/>
        </w:tabs>
        <w:spacing w:before="300" w:after="0" w:line="240" w:lineRule="auto"/>
        <w:ind w:left="3816" w:right="0" w:hanging="1264"/>
        <w:jc w:val="left"/>
        <w:rPr>
          <w:sz w:val="42"/>
        </w:rPr>
      </w:pPr>
      <w:r>
        <w:rPr>
          <w:sz w:val="42"/>
        </w:rPr>
        <w:t>50T、22T</w:t>
      </w:r>
      <w:r>
        <w:rPr>
          <w:spacing w:val="-11"/>
          <w:sz w:val="42"/>
        </w:rPr>
        <w:t xml:space="preserve"> 液压泵、液压机压模各一套</w:t>
      </w:r>
    </w:p>
    <w:p>
      <w:pPr>
        <w:pStyle w:val="ListParagraph"/>
        <w:numPr>
          <w:ilvl w:val="0"/>
          <w:numId w:val="16"/>
        </w:numPr>
        <w:tabs>
          <w:tab w:val="left" w:pos="3397"/>
        </w:tabs>
        <w:spacing w:before="301" w:after="0" w:line="240" w:lineRule="auto"/>
        <w:ind w:left="3396" w:right="0" w:hanging="844"/>
        <w:jc w:val="left"/>
        <w:rPr>
          <w:sz w:val="42"/>
        </w:rPr>
      </w:pPr>
      <w:r>
        <w:rPr>
          <w:sz w:val="42"/>
        </w:rPr>
        <w:t>氩弧焊机一台</w:t>
      </w:r>
    </w:p>
    <w:p>
      <w:pPr>
        <w:spacing w:after="0" w:line="240" w:lineRule="auto"/>
        <w:jc w:val="left"/>
        <w:rPr>
          <w:sz w:val="42"/>
        </w:rPr>
        <w:sectPr>
          <w:pgSz w:w="17860" w:h="25260"/>
          <w:pgMar w:top="2240" w:right="0" w:bottom="280" w:left="0" w:header="708" w:footer="708"/>
          <w:pgNumType w:start="19"/>
          <w:cols w:space="708"/>
        </w:sectPr>
      </w:pPr>
    </w:p>
    <w:p>
      <w:pPr>
        <w:pStyle w:val="ListParagraph"/>
        <w:numPr>
          <w:ilvl w:val="0"/>
          <w:numId w:val="16"/>
        </w:numPr>
        <w:tabs>
          <w:tab w:val="left" w:pos="3397"/>
        </w:tabs>
        <w:spacing w:before="17" w:after="0" w:line="240" w:lineRule="auto"/>
        <w:ind w:left="3396" w:right="0" w:hanging="844"/>
        <w:jc w:val="left"/>
        <w:rPr>
          <w:sz w:val="42"/>
        </w:rPr>
      </w:pPr>
      <w:r>
        <w:rPr>
          <w:sz w:val="42"/>
        </w:rPr>
        <w:t>水平仪一台</w:t>
      </w:r>
    </w:p>
    <w:p>
      <w:pPr>
        <w:pStyle w:val="ListParagraph"/>
        <w:numPr>
          <w:ilvl w:val="0"/>
          <w:numId w:val="16"/>
        </w:numPr>
        <w:tabs>
          <w:tab w:val="left" w:pos="3397"/>
        </w:tabs>
        <w:spacing w:before="301" w:after="0" w:line="240" w:lineRule="auto"/>
        <w:ind w:left="3396" w:right="0" w:hanging="844"/>
        <w:jc w:val="left"/>
        <w:rPr>
          <w:sz w:val="42"/>
        </w:rPr>
      </w:pPr>
      <w:r>
        <w:rPr>
          <w:sz w:val="42"/>
        </w:rPr>
        <w:t>铁道木，木道木若干</w:t>
      </w:r>
    </w:p>
    <w:p>
      <w:pPr>
        <w:pStyle w:val="ListParagraph"/>
        <w:numPr>
          <w:ilvl w:val="0"/>
          <w:numId w:val="16"/>
        </w:numPr>
        <w:tabs>
          <w:tab w:val="left" w:pos="3397"/>
        </w:tabs>
        <w:spacing w:before="301" w:after="0" w:line="240" w:lineRule="auto"/>
        <w:ind w:left="3396" w:right="0" w:hanging="844"/>
        <w:jc w:val="left"/>
        <w:rPr>
          <w:sz w:val="42"/>
        </w:rPr>
      </w:pPr>
      <w:r>
        <w:rPr>
          <w:sz w:val="42"/>
        </w:rPr>
        <w:t>交流耐压试验设备一套</w:t>
      </w:r>
    </w:p>
    <w:p>
      <w:pPr>
        <w:pStyle w:val="ListParagraph"/>
        <w:numPr>
          <w:ilvl w:val="0"/>
          <w:numId w:val="16"/>
        </w:numPr>
        <w:tabs>
          <w:tab w:val="left" w:pos="3397"/>
        </w:tabs>
        <w:spacing w:before="304" w:after="0" w:line="240" w:lineRule="auto"/>
        <w:ind w:left="3396" w:right="0" w:hanging="844"/>
        <w:jc w:val="left"/>
        <w:rPr>
          <w:sz w:val="42"/>
        </w:rPr>
      </w:pPr>
      <w:r>
        <w:rPr>
          <w:sz w:val="42"/>
        </w:rPr>
        <w:t>直流高压发生器一套</w:t>
      </w:r>
    </w:p>
    <w:p>
      <w:pPr>
        <w:pStyle w:val="ListParagraph"/>
        <w:numPr>
          <w:ilvl w:val="0"/>
          <w:numId w:val="16"/>
        </w:numPr>
        <w:tabs>
          <w:tab w:val="left" w:pos="3397"/>
        </w:tabs>
        <w:spacing w:before="301" w:after="0" w:line="240" w:lineRule="auto"/>
        <w:ind w:left="3396" w:right="0" w:hanging="844"/>
        <w:jc w:val="left"/>
        <w:rPr>
          <w:sz w:val="42"/>
        </w:rPr>
      </w:pPr>
      <w:r>
        <w:rPr>
          <w:sz w:val="42"/>
        </w:rPr>
        <w:t>开关测试仪一套</w:t>
      </w:r>
    </w:p>
    <w:p>
      <w:pPr>
        <w:pStyle w:val="ListParagraph"/>
        <w:numPr>
          <w:ilvl w:val="0"/>
          <w:numId w:val="16"/>
        </w:numPr>
        <w:tabs>
          <w:tab w:val="left" w:pos="3397"/>
        </w:tabs>
        <w:spacing w:before="300" w:after="0" w:line="240" w:lineRule="auto"/>
        <w:ind w:left="3396" w:right="0" w:hanging="844"/>
        <w:jc w:val="left"/>
        <w:rPr>
          <w:sz w:val="42"/>
        </w:rPr>
      </w:pPr>
      <w:r>
        <w:rPr>
          <w:sz w:val="42"/>
        </w:rPr>
        <w:t>变压器直流电阻测试仪一套</w:t>
      </w:r>
    </w:p>
    <w:p>
      <w:pPr>
        <w:pStyle w:val="ListParagraph"/>
        <w:numPr>
          <w:ilvl w:val="0"/>
          <w:numId w:val="16"/>
        </w:numPr>
        <w:tabs>
          <w:tab w:val="left" w:pos="3397"/>
        </w:tabs>
        <w:spacing w:before="305" w:after="0" w:line="240" w:lineRule="auto"/>
        <w:ind w:left="3396" w:right="0" w:hanging="844"/>
        <w:jc w:val="left"/>
        <w:rPr>
          <w:sz w:val="42"/>
        </w:rPr>
      </w:pPr>
      <w:r>
        <w:rPr>
          <w:sz w:val="42"/>
        </w:rPr>
        <w:t>介损仪一台</w:t>
      </w:r>
    </w:p>
    <w:p>
      <w:pPr>
        <w:pStyle w:val="ListParagraph"/>
        <w:numPr>
          <w:ilvl w:val="0"/>
          <w:numId w:val="16"/>
        </w:numPr>
        <w:tabs>
          <w:tab w:val="left" w:pos="3397"/>
        </w:tabs>
        <w:spacing w:before="301" w:after="0" w:line="240" w:lineRule="auto"/>
        <w:ind w:left="3396" w:right="0" w:hanging="844"/>
        <w:jc w:val="left"/>
        <w:rPr>
          <w:sz w:val="42"/>
        </w:rPr>
      </w:pPr>
      <w:r>
        <w:rPr>
          <w:sz w:val="42"/>
        </w:rPr>
        <w:t>回路电阻测试仪一台</w:t>
      </w:r>
    </w:p>
    <w:p>
      <w:pPr>
        <w:pStyle w:val="Heading4"/>
        <w:spacing w:before="301"/>
      </w:pPr>
      <w:bookmarkStart w:id="14" w:name="_TOC_250001"/>
      <w:bookmarkEnd w:id="14"/>
      <w:r>
        <w:t>2、施工工序总体安排</w:t>
      </w:r>
    </w:p>
    <w:p>
      <w:pPr>
        <w:pStyle w:val="BodyText"/>
        <w:spacing w:before="304" w:line="374" w:lineRule="auto"/>
        <w:ind w:left="2553" w:right="1716" w:firstLine="831"/>
      </w:pPr>
      <w:r>
        <w:rPr>
          <w:spacing w:val="-8"/>
        </w:rPr>
        <w:t xml:space="preserve">根据业主方要求工程施工工期 </w:t>
      </w:r>
      <w:r>
        <w:t>90</w:t>
      </w:r>
      <w:r>
        <w:rPr>
          <w:spacing w:val="-11"/>
        </w:rPr>
        <w:t xml:space="preserve"> 天，第一个月中旬：构、支架安装完毕，第一个月下旬、第二个月上旬：所有设备安装完毕，第二个月中、下旬：调试、接线完毕，第三个月上旬：各回路，模拟联动，第三个月中旬、下旬：自验收及整改结束，第三个月下旬：提交分公司二级验收及验</w:t>
      </w:r>
      <w:r>
        <w:rPr>
          <w:spacing w:val="-21"/>
        </w:rPr>
        <w:t>收后整改工作，第四个月上旬：交局级验收组验收及验收后整改工作完毕。</w:t>
      </w:r>
      <w:r>
        <w:t>具备投产竣工条件。</w:t>
      </w:r>
    </w:p>
    <w:p>
      <w:pPr>
        <w:pStyle w:val="Heading4"/>
        <w:spacing w:before="4"/>
      </w:pPr>
      <w:bookmarkStart w:id="15" w:name="_TOC_250000"/>
      <w:bookmarkEnd w:id="15"/>
      <w:r>
        <w:t>3、主要施工技术措施</w:t>
      </w:r>
    </w:p>
    <w:p>
      <w:pPr>
        <w:pStyle w:val="ListParagraph"/>
        <w:numPr>
          <w:ilvl w:val="1"/>
          <w:numId w:val="15"/>
        </w:numPr>
        <w:tabs>
          <w:tab w:val="left" w:pos="3288"/>
        </w:tabs>
        <w:spacing w:before="300" w:after="0" w:line="240" w:lineRule="auto"/>
        <w:ind w:left="3287" w:right="0" w:hanging="735"/>
        <w:jc w:val="left"/>
        <w:rPr>
          <w:sz w:val="42"/>
        </w:rPr>
      </w:pPr>
      <w:r>
        <w:rPr>
          <w:sz w:val="42"/>
        </w:rPr>
        <w:t>施工技术及资料准备</w:t>
      </w:r>
    </w:p>
    <w:p>
      <w:pPr>
        <w:pStyle w:val="ListParagraph"/>
        <w:numPr>
          <w:ilvl w:val="2"/>
          <w:numId w:val="15"/>
        </w:numPr>
        <w:tabs>
          <w:tab w:val="left" w:pos="3709"/>
        </w:tabs>
        <w:spacing w:before="301" w:after="0" w:line="240" w:lineRule="auto"/>
        <w:ind w:left="3708" w:right="0" w:hanging="1156"/>
        <w:jc w:val="left"/>
        <w:rPr>
          <w:sz w:val="42"/>
        </w:rPr>
      </w:pPr>
      <w:r>
        <w:rPr>
          <w:sz w:val="42"/>
        </w:rPr>
        <w:t>收集与工程有关资料、文件、信息；</w:t>
      </w:r>
    </w:p>
    <w:p>
      <w:pPr>
        <w:pStyle w:val="ListParagraph"/>
        <w:numPr>
          <w:ilvl w:val="2"/>
          <w:numId w:val="15"/>
        </w:numPr>
        <w:tabs>
          <w:tab w:val="left" w:pos="3709"/>
        </w:tabs>
        <w:spacing w:before="304" w:after="0" w:line="374" w:lineRule="auto"/>
        <w:ind w:left="2553" w:right="1934" w:firstLine="0"/>
        <w:jc w:val="left"/>
        <w:rPr>
          <w:sz w:val="42"/>
        </w:rPr>
      </w:pPr>
      <w:r>
        <w:rPr>
          <w:spacing w:val="-1"/>
          <w:sz w:val="42"/>
        </w:rPr>
        <w:t>做好施工图会审工作，参加由建设单位主持工程施工设计图纸交底</w:t>
      </w:r>
      <w:r>
        <w:rPr>
          <w:sz w:val="42"/>
        </w:rPr>
        <w:t>会审；</w:t>
      </w:r>
    </w:p>
    <w:p>
      <w:pPr>
        <w:pStyle w:val="ListParagraph"/>
        <w:numPr>
          <w:ilvl w:val="2"/>
          <w:numId w:val="15"/>
        </w:numPr>
        <w:tabs>
          <w:tab w:val="left" w:pos="3709"/>
        </w:tabs>
        <w:spacing w:before="0" w:after="0" w:line="538" w:lineRule="exact"/>
        <w:ind w:left="3708" w:right="0" w:hanging="1156"/>
        <w:jc w:val="left"/>
        <w:rPr>
          <w:sz w:val="42"/>
        </w:rPr>
      </w:pPr>
      <w:r>
        <w:rPr>
          <w:sz w:val="42"/>
        </w:rPr>
        <w:t>参照《电力工程施工组织设计手册》关变电卷编制施工组织设计；</w:t>
      </w:r>
    </w:p>
    <w:p>
      <w:pPr>
        <w:pStyle w:val="ListParagraph"/>
        <w:numPr>
          <w:ilvl w:val="2"/>
          <w:numId w:val="15"/>
        </w:numPr>
        <w:tabs>
          <w:tab w:val="left" w:pos="3709"/>
        </w:tabs>
        <w:spacing w:before="305" w:after="0" w:line="240" w:lineRule="auto"/>
        <w:ind w:left="3708" w:right="0" w:hanging="1156"/>
        <w:jc w:val="left"/>
        <w:rPr>
          <w:sz w:val="42"/>
        </w:rPr>
      </w:pPr>
      <w:r>
        <w:rPr>
          <w:sz w:val="42"/>
        </w:rPr>
        <w:t>编制工程总体施工进度计划；</w:t>
      </w:r>
    </w:p>
    <w:p>
      <w:pPr>
        <w:pStyle w:val="ListParagraph"/>
        <w:numPr>
          <w:ilvl w:val="2"/>
          <w:numId w:val="15"/>
        </w:numPr>
        <w:tabs>
          <w:tab w:val="left" w:pos="3709"/>
        </w:tabs>
        <w:spacing w:before="300" w:after="0" w:line="240" w:lineRule="auto"/>
        <w:ind w:left="3708" w:right="0" w:hanging="1156"/>
        <w:jc w:val="left"/>
        <w:rPr>
          <w:sz w:val="42"/>
        </w:rPr>
      </w:pPr>
      <w:r>
        <w:rPr>
          <w:sz w:val="42"/>
        </w:rPr>
        <w:t>编制工程总体施工进度计划；</w:t>
      </w:r>
    </w:p>
    <w:p>
      <w:pPr>
        <w:pStyle w:val="ListParagraph"/>
        <w:numPr>
          <w:ilvl w:val="2"/>
          <w:numId w:val="15"/>
        </w:numPr>
        <w:tabs>
          <w:tab w:val="left" w:pos="3709"/>
        </w:tabs>
        <w:spacing w:before="301" w:after="0" w:line="240" w:lineRule="auto"/>
        <w:ind w:left="3708" w:right="0" w:hanging="1156"/>
        <w:jc w:val="left"/>
        <w:rPr>
          <w:sz w:val="42"/>
        </w:rPr>
      </w:pPr>
      <w:r>
        <w:rPr>
          <w:sz w:val="42"/>
        </w:rPr>
        <w:t>规划好工程施工总平面布置；</w:t>
      </w:r>
    </w:p>
    <w:p>
      <w:pPr>
        <w:spacing w:after="0" w:line="240" w:lineRule="auto"/>
        <w:jc w:val="left"/>
        <w:rPr>
          <w:sz w:val="42"/>
        </w:rPr>
        <w:sectPr>
          <w:pgSz w:w="17860" w:h="25260"/>
          <w:pgMar w:top="2240" w:right="0" w:bottom="280" w:left="0" w:header="708" w:footer="708"/>
          <w:pgNumType w:start="20"/>
          <w:cols w:space="708"/>
        </w:sectPr>
      </w:pPr>
    </w:p>
    <w:p>
      <w:pPr>
        <w:pStyle w:val="ListParagraph"/>
        <w:numPr>
          <w:ilvl w:val="2"/>
          <w:numId w:val="15"/>
        </w:numPr>
        <w:tabs>
          <w:tab w:val="left" w:pos="3709"/>
        </w:tabs>
        <w:spacing w:before="17" w:after="0" w:line="240" w:lineRule="auto"/>
        <w:ind w:left="3708" w:right="0" w:hanging="1156"/>
        <w:jc w:val="left"/>
        <w:rPr>
          <w:sz w:val="42"/>
        </w:rPr>
      </w:pPr>
      <w:r>
        <w:rPr>
          <w:sz w:val="42"/>
        </w:rPr>
        <w:t>参加建设单位对有关设备出厂验收；</w:t>
      </w:r>
    </w:p>
    <w:p>
      <w:pPr>
        <w:pStyle w:val="ListParagraph"/>
        <w:numPr>
          <w:ilvl w:val="2"/>
          <w:numId w:val="15"/>
        </w:numPr>
        <w:tabs>
          <w:tab w:val="left" w:pos="3709"/>
        </w:tabs>
        <w:spacing w:before="301" w:after="0" w:line="374" w:lineRule="auto"/>
        <w:ind w:left="2553" w:right="1934" w:firstLine="0"/>
        <w:jc w:val="left"/>
        <w:rPr>
          <w:sz w:val="42"/>
        </w:rPr>
      </w:pPr>
      <w:r>
        <w:rPr>
          <w:spacing w:val="-1"/>
          <w:sz w:val="42"/>
        </w:rPr>
        <w:t>为确保工程施工质量、安全、进度，编写有关施工方案或施工作业</w:t>
      </w:r>
      <w:r>
        <w:rPr>
          <w:sz w:val="42"/>
        </w:rPr>
        <w:t>指导书、技术措施等，具体如下：</w:t>
      </w:r>
    </w:p>
    <w:p>
      <w:pPr>
        <w:pStyle w:val="Heading4"/>
        <w:spacing w:before="2"/>
      </w:pPr>
      <w:r>
        <w:t>Ⅰ主变安装施工方案；</w:t>
      </w:r>
    </w:p>
    <w:p>
      <w:pPr>
        <w:spacing w:before="301" w:line="374" w:lineRule="auto"/>
        <w:ind w:left="2553" w:right="7034" w:firstLine="0"/>
        <w:jc w:val="left"/>
        <w:rPr>
          <w:b/>
          <w:sz w:val="42"/>
        </w:rPr>
      </w:pPr>
      <w:r>
        <w:rPr>
          <w:b/>
          <w:sz w:val="42"/>
        </w:rPr>
        <w:t>Ⅱ110kV</w:t>
      </w:r>
      <w:r>
        <w:rPr>
          <w:b/>
          <w:spacing w:val="-9"/>
          <w:sz w:val="42"/>
        </w:rPr>
        <w:t xml:space="preserve"> </w:t>
      </w:r>
      <w:r>
        <w:rPr>
          <w:b/>
          <w:sz w:val="42"/>
        </w:rPr>
        <w:t>GIS</w:t>
      </w:r>
      <w:r>
        <w:rPr>
          <w:b/>
          <w:spacing w:val="-12"/>
          <w:sz w:val="42"/>
        </w:rPr>
        <w:t xml:space="preserve"> 组合电器安装、调试技术措施； </w:t>
      </w:r>
      <w:r>
        <w:rPr>
          <w:b/>
          <w:sz w:val="42"/>
        </w:rPr>
        <w:t>Ⅲ构支架安装施工方案；                Ⅳ二次接线及调试方案；</w:t>
      </w:r>
    </w:p>
    <w:p>
      <w:pPr>
        <w:pStyle w:val="Heading4"/>
        <w:spacing w:before="2" w:line="374" w:lineRule="auto"/>
        <w:ind w:right="11893"/>
      </w:pPr>
      <w:r>
        <w:t>Ⅴ特殊工序控制； Ⅵ联动调试。</w:t>
      </w:r>
    </w:p>
    <w:p>
      <w:pPr>
        <w:pStyle w:val="BodyText"/>
        <w:rPr>
          <w:b/>
        </w:rPr>
      </w:pPr>
    </w:p>
    <w:p>
      <w:pPr>
        <w:spacing w:before="303"/>
        <w:ind w:left="2553" w:right="0" w:firstLine="0"/>
        <w:jc w:val="left"/>
        <w:rPr>
          <w:b/>
          <w:sz w:val="42"/>
        </w:rPr>
      </w:pPr>
      <w:r>
        <w:rPr>
          <w:sz w:val="42"/>
        </w:rPr>
        <w:t>Ⅰ、</w:t>
      </w:r>
      <w:r>
        <w:rPr>
          <w:b/>
          <w:sz w:val="42"/>
        </w:rPr>
        <w:t>主变安装施工方案</w:t>
      </w:r>
    </w:p>
    <w:p>
      <w:pPr>
        <w:pStyle w:val="BodyText"/>
        <w:spacing w:before="301"/>
        <w:ind w:left="2553"/>
      </w:pPr>
      <w:r>
        <w:t>⑴装卸：</w:t>
      </w:r>
    </w:p>
    <w:p>
      <w:pPr>
        <w:pStyle w:val="BodyText"/>
        <w:spacing w:before="304" w:line="374" w:lineRule="auto"/>
        <w:ind w:left="2553" w:right="1827"/>
        <w:jc w:val="both"/>
      </w:pPr>
      <w:r>
        <w:t>①变压器装卸可采用起重机吊运或斜面牵引。装卸时应防止因车辆弹簧伸缩或斜面支撑陷落引起过度倾斜。在装卸过程中应设专人观察，发现情况及时采取补救措施。</w:t>
      </w:r>
    </w:p>
    <w:p>
      <w:pPr>
        <w:pStyle w:val="BodyText"/>
        <w:spacing w:before="2" w:line="374" w:lineRule="auto"/>
        <w:ind w:left="2553" w:right="1827"/>
        <w:jc w:val="both"/>
      </w:pPr>
      <w:r>
        <w:rPr>
          <w:spacing w:val="-1"/>
        </w:rPr>
        <w:t>②起吊变压器时，应使用强度足够钢丝绳。钢丝绳与铅重线夹角不宜大于</w:t>
      </w:r>
      <w:r>
        <w:rPr>
          <w:w w:val="100"/>
        </w:rPr>
        <w:t>30</w:t>
      </w:r>
      <w:r>
        <w:t xml:space="preserve"> </w:t>
      </w:r>
      <w:r>
        <w:rPr>
          <w:w w:val="100"/>
        </w:rPr>
        <w:t>。钢丝绳必须系在专用吊攀上（整体</w:t>
      </w:r>
      <w:r>
        <w:rPr>
          <w:spacing w:val="-228"/>
          <w:w w:val="100"/>
        </w:rPr>
        <w:t>）</w:t>
      </w:r>
      <w:r>
        <w:rPr>
          <w:w w:val="100"/>
        </w:rPr>
        <w:t>，严禁使用上节油箱吊攀。</w:t>
      </w:r>
    </w:p>
    <w:p>
      <w:pPr>
        <w:pStyle w:val="BodyText"/>
        <w:spacing w:line="374" w:lineRule="auto"/>
        <w:ind w:left="2553" w:right="1718"/>
        <w:jc w:val="both"/>
      </w:pPr>
      <w:r>
        <w:t>③用千斤顶提升变压器时，应在变压器底部千斤顶支架上着力。各千斤顶升降应协调，尽量使其均匀受力</w:t>
      </w:r>
      <w:r>
        <w:rPr>
          <w:spacing w:val="-314"/>
        </w:rPr>
        <w:t>。</w:t>
      </w:r>
      <w:r>
        <w:t>（</w:t>
      </w:r>
      <w:r>
        <w:rPr>
          <w:spacing w:val="-2"/>
        </w:rPr>
        <w:t xml:space="preserve">防止在非专用千斤顶支架上进行提升， </w:t>
      </w:r>
      <w:r>
        <w:t>使钟罩法兰变形破坏密封结构）</w:t>
      </w:r>
    </w:p>
    <w:p>
      <w:pPr>
        <w:pStyle w:val="BodyText"/>
        <w:spacing w:before="2" w:line="374" w:lineRule="auto"/>
        <w:ind w:left="2553" w:right="1720"/>
      </w:pPr>
      <w:r>
        <w:rPr>
          <w:spacing w:val="-20"/>
        </w:rPr>
        <w:t>④启用冲撞记录仪，分别观察记录进行方向、横向和垂直方向重力加速度。</w:t>
      </w:r>
      <w:r>
        <w:rPr>
          <w:spacing w:val="-4"/>
        </w:rPr>
        <w:t xml:space="preserve">当该方向重力加速度小于 </w:t>
      </w:r>
      <w:r>
        <w:t>1g</w:t>
      </w:r>
      <w:r>
        <w:rPr>
          <w:spacing w:val="-6"/>
        </w:rPr>
        <w:t xml:space="preserve"> 时，可以认为运输全过程正常。当任一方向</w:t>
      </w:r>
      <w:r>
        <w:rPr>
          <w:spacing w:val="-18"/>
        </w:rPr>
        <w:t xml:space="preserve">重力加速度介于 </w:t>
      </w:r>
      <w:r>
        <w:t>1—3g</w:t>
      </w:r>
      <w:r>
        <w:rPr>
          <w:spacing w:val="-11"/>
        </w:rPr>
        <w:t xml:space="preserve"> 时，可认为运输全过程中发生过冲撞。如果任一方</w:t>
      </w:r>
      <w:r>
        <w:rPr>
          <w:spacing w:val="-33"/>
        </w:rPr>
        <w:t>向重力加速度</w:t>
      </w:r>
      <w:r>
        <w:t>（正负向量</w:t>
      </w:r>
      <w:r>
        <w:rPr>
          <w:spacing w:val="-141"/>
        </w:rPr>
        <w:t>）</w:t>
      </w:r>
      <w:r>
        <w:rPr>
          <w:spacing w:val="-13"/>
        </w:rPr>
        <w:t xml:space="preserve">等于或大于 </w:t>
      </w:r>
      <w:r>
        <w:rPr>
          <w:spacing w:val="-46"/>
        </w:rPr>
        <w:t>3g</w:t>
      </w:r>
      <w:r>
        <w:rPr>
          <w:spacing w:val="-8"/>
        </w:rPr>
        <w:t>，可认为运输全过程中发生故障，</w:t>
      </w:r>
    </w:p>
    <w:p>
      <w:pPr>
        <w:spacing w:after="0" w:line="374" w:lineRule="auto"/>
        <w:sectPr>
          <w:pgSz w:w="17860" w:h="25260"/>
          <w:pgMar w:top="2240" w:right="0" w:bottom="280" w:left="0" w:header="708" w:footer="708"/>
          <w:pgNumType w:start="21"/>
          <w:cols w:space="708"/>
        </w:sectPr>
      </w:pPr>
    </w:p>
    <w:p>
      <w:pPr>
        <w:pStyle w:val="BodyText"/>
        <w:spacing w:before="17" w:line="374" w:lineRule="auto"/>
        <w:ind w:left="2553" w:right="1827"/>
      </w:pPr>
      <w:r>
        <w:t>对变压器应进行全面检查，根据检查结果，对是否能安装投运做出明确结论。</w:t>
      </w:r>
    </w:p>
    <w:p>
      <w:pPr>
        <w:pStyle w:val="BodyText"/>
        <w:spacing w:line="537" w:lineRule="exact"/>
        <w:ind w:left="2553"/>
      </w:pPr>
      <w:r>
        <w:t>⑤变压器在运输全过程中偏离铅垂方向倾斜角不得超过 15</w:t>
      </w:r>
      <w:r>
        <w:rPr>
          <w:rFonts w:ascii="Symbol" w:eastAsia="Symbol" w:hAnsi="Symbol"/>
        </w:rPr>
        <w:sym w:font="Symbol" w:char="F0B0"/>
      </w:r>
      <w:r>
        <w:t>。</w:t>
      </w:r>
    </w:p>
    <w:p>
      <w:pPr>
        <w:pStyle w:val="BodyText"/>
        <w:spacing w:before="305"/>
        <w:ind w:left="2553"/>
      </w:pPr>
      <w:r>
        <w:t>⑵验收检查：</w:t>
      </w:r>
    </w:p>
    <w:p>
      <w:pPr>
        <w:pStyle w:val="BodyText"/>
        <w:spacing w:before="300" w:line="374" w:lineRule="auto"/>
        <w:ind w:left="2553" w:right="1827"/>
      </w:pPr>
      <w:r>
        <w:t>①设备运到现场后，卸车时应先清点大件和包装箱数，与运输部门办理接交手续。如发现大件和包装箱损，应及时向承 运单位交涉。</w:t>
      </w:r>
    </w:p>
    <w:p>
      <w:pPr>
        <w:pStyle w:val="BodyText"/>
        <w:spacing w:before="3" w:line="374" w:lineRule="auto"/>
        <w:ind w:left="2553" w:right="1726"/>
      </w:pPr>
      <w:r>
        <w:rPr>
          <w:spacing w:val="-21"/>
        </w:rPr>
        <w:t>②通知制造厂、物质供应及有关部门一起开箱点件</w:t>
      </w:r>
      <w:r>
        <w:t>（</w:t>
      </w:r>
      <w:r>
        <w:rPr>
          <w:spacing w:val="-2"/>
        </w:rPr>
        <w:t>根据制造厂技术文件、</w:t>
      </w:r>
      <w:r>
        <w:rPr>
          <w:w w:val="100"/>
        </w:rPr>
        <w:t>拆卸一缆表及装箱单</w:t>
      </w:r>
      <w:r>
        <w:rPr>
          <w:spacing w:val="-221"/>
          <w:w w:val="100"/>
        </w:rPr>
        <w:t>）</w:t>
      </w:r>
      <w:r>
        <w:rPr>
          <w:w w:val="100"/>
        </w:rPr>
        <w:t>，清点后立挡保存。</w:t>
      </w:r>
    </w:p>
    <w:p>
      <w:pPr>
        <w:pStyle w:val="BodyText"/>
        <w:spacing w:line="537" w:lineRule="exact"/>
        <w:ind w:left="2553"/>
      </w:pPr>
      <w:r>
        <w:t>③进行外观检查：</w:t>
      </w:r>
    </w:p>
    <w:p>
      <w:pPr>
        <w:pStyle w:val="BodyText"/>
        <w:spacing w:before="305"/>
        <w:ind w:left="3604"/>
      </w:pPr>
      <w:r>
        <w:t>A 检查油箱密封是否良好，充油应无渗漏现象，充气压力应保持正压</w:t>
      </w:r>
    </w:p>
    <w:p>
      <w:pPr>
        <w:pStyle w:val="BodyText"/>
        <w:spacing w:before="300"/>
        <w:ind w:left="2553"/>
      </w:pPr>
      <w:r>
        <w:rPr>
          <w:w w:val="100"/>
        </w:rPr>
        <w:t>（不小于</w:t>
      </w:r>
      <w:r>
        <w:rPr>
          <w:spacing w:val="-106"/>
        </w:rPr>
        <w:t xml:space="preserve"> </w:t>
      </w:r>
      <w:r>
        <w:rPr>
          <w:w w:val="100"/>
        </w:rPr>
        <w:t>0.01mp</w:t>
      </w:r>
      <w:r>
        <w:rPr>
          <w:spacing w:val="-9"/>
          <w:w w:val="100"/>
        </w:rPr>
        <w:t>a</w:t>
      </w:r>
      <w:r>
        <w:rPr>
          <w:spacing w:val="-209"/>
          <w:w w:val="100"/>
        </w:rPr>
        <w:t>）</w:t>
      </w:r>
      <w:r>
        <w:rPr>
          <w:w w:val="100"/>
        </w:rPr>
        <w:t>。并记录氮气压力值。</w:t>
      </w:r>
    </w:p>
    <w:p>
      <w:pPr>
        <w:pStyle w:val="BodyText"/>
        <w:spacing w:before="301"/>
        <w:ind w:left="3604"/>
      </w:pPr>
      <w:r>
        <w:t>B 检查套管瓷裙是否完好无损，有无渗漏现象，油位是否正常.</w:t>
      </w:r>
    </w:p>
    <w:p>
      <w:pPr>
        <w:pStyle w:val="BodyText"/>
        <w:spacing w:before="304" w:line="374" w:lineRule="auto"/>
        <w:ind w:left="3604" w:right="1940"/>
      </w:pPr>
      <w:r>
        <w:t>C</w:t>
      </w:r>
      <w:r>
        <w:rPr>
          <w:spacing w:val="-9"/>
        </w:rPr>
        <w:t xml:space="preserve"> 检查冲撞记录仪运行是否正常，原始记录纸由制造厂带回存档。</w:t>
      </w:r>
      <w:r>
        <w:t>D</w:t>
      </w:r>
      <w:r>
        <w:rPr>
          <w:spacing w:val="-98"/>
        </w:rPr>
        <w:t xml:space="preserve"> </w:t>
      </w:r>
      <w:r>
        <w:rPr>
          <w:spacing w:val="-7"/>
        </w:rPr>
        <w:t xml:space="preserve">本体密封检查，对充油变压器可充入 </w:t>
      </w:r>
      <w:r>
        <w:rPr>
          <w:spacing w:val="-6"/>
        </w:rPr>
        <w:t>0</w:t>
      </w:r>
      <w:r>
        <w:t>、03</w:t>
      </w:r>
      <w:r>
        <w:rPr>
          <w:rFonts w:ascii="Symbol" w:eastAsia="Symbol" w:hAnsi="Symbol"/>
        </w:rPr>
        <w:sym w:font="Symbol" w:char="F07E"/>
      </w:r>
      <w:r>
        <w:t>0、04mpa</w:t>
      </w:r>
      <w:r>
        <w:rPr>
          <w:spacing w:val="-21"/>
        </w:rPr>
        <w:t xml:space="preserve"> 高纯氮气，</w:t>
      </w:r>
    </w:p>
    <w:p>
      <w:pPr>
        <w:pStyle w:val="BodyText"/>
        <w:spacing w:line="535" w:lineRule="exact"/>
        <w:ind w:left="2553"/>
      </w:pPr>
      <w:r>
        <w:t>保持 24</w:t>
      </w:r>
      <w:r>
        <w:rPr>
          <w:rFonts w:ascii="Symbol" w:eastAsia="Symbol" w:hAnsi="Symbol"/>
        </w:rPr>
        <w:sym w:font="Symbol" w:char="F07E"/>
      </w:r>
      <w:r>
        <w:t>48h，检查无渗漏现象。</w:t>
      </w:r>
    </w:p>
    <w:p>
      <w:pPr>
        <w:pStyle w:val="BodyText"/>
        <w:spacing w:before="304" w:line="374" w:lineRule="auto"/>
        <w:ind w:left="2553" w:right="1919" w:firstLine="1051"/>
        <w:jc w:val="both"/>
      </w:pPr>
      <w:r>
        <w:t>E110KV</w:t>
      </w:r>
      <w:r>
        <w:rPr>
          <w:spacing w:val="-9"/>
        </w:rPr>
        <w:t xml:space="preserve"> 及以上电容套管密封检查，应根据制造厂产品说明书技术要</w:t>
      </w:r>
      <w:r>
        <w:rPr>
          <w:spacing w:val="-26"/>
        </w:rPr>
        <w:t xml:space="preserve">求，充入 </w:t>
      </w:r>
      <w:r>
        <w:t>0</w:t>
      </w:r>
      <w:r>
        <w:rPr>
          <w:spacing w:val="-29"/>
        </w:rPr>
        <w:t>、</w:t>
      </w:r>
      <w:r>
        <w:t>1</w:t>
      </w:r>
      <w:r>
        <w:rPr>
          <w:rFonts w:ascii="Symbol" w:eastAsia="Symbol" w:hAnsi="Symbol"/>
        </w:rPr>
        <w:sym w:font="Symbol" w:char="F07E"/>
      </w:r>
      <w:r>
        <w:t>0</w:t>
      </w:r>
      <w:r>
        <w:rPr>
          <w:spacing w:val="-28"/>
        </w:rPr>
        <w:t>、</w:t>
      </w:r>
      <w:r>
        <w:t>2mpa</w:t>
      </w:r>
      <w:r>
        <w:rPr>
          <w:spacing w:val="-27"/>
        </w:rPr>
        <w:t xml:space="preserve"> 高纯氮气维持 </w:t>
      </w:r>
      <w:r>
        <w:t>60min</w:t>
      </w:r>
      <w:r>
        <w:rPr>
          <w:spacing w:val="-13"/>
        </w:rPr>
        <w:t xml:space="preserve"> 无渗漏现象。(立在专用支架</w:t>
      </w:r>
      <w:r>
        <w:rPr>
          <w:spacing w:val="-32"/>
        </w:rPr>
        <w:t xml:space="preserve">上，静止 </w:t>
      </w:r>
      <w:r>
        <w:t>24h</w:t>
      </w:r>
      <w:r>
        <w:rPr>
          <w:spacing w:val="-18"/>
        </w:rPr>
        <w:t xml:space="preserve"> 后取油样)。</w:t>
      </w:r>
    </w:p>
    <w:p>
      <w:pPr>
        <w:pStyle w:val="BodyText"/>
        <w:spacing w:line="374" w:lineRule="auto"/>
        <w:ind w:left="2553" w:right="1919" w:firstLine="1051"/>
        <w:jc w:val="both"/>
      </w:pPr>
      <w:r>
        <w:t>F110KV</w:t>
      </w:r>
      <w:r>
        <w:rPr>
          <w:spacing w:val="-9"/>
        </w:rPr>
        <w:t xml:space="preserve"> 及以上电容套管介质损耗角正切及电容量测量，未屏小瓷套</w:t>
      </w:r>
      <w:r>
        <w:t>绝缘电阻测量，主绝缘绝缘电阻测量。</w:t>
      </w:r>
    </w:p>
    <w:p>
      <w:pPr>
        <w:pStyle w:val="BodyText"/>
        <w:spacing w:line="376" w:lineRule="auto"/>
        <w:ind w:left="2553" w:right="1944" w:firstLine="1051"/>
        <w:jc w:val="both"/>
      </w:pPr>
      <w:r>
        <w:t>G</w:t>
      </w:r>
      <w:r>
        <w:rPr>
          <w:spacing w:val="-6"/>
        </w:rPr>
        <w:t xml:space="preserve"> 套管电流互感器密封检查，可充入 </w:t>
      </w:r>
      <w:r>
        <w:t>0.15mpa</w:t>
      </w:r>
      <w:r>
        <w:rPr>
          <w:spacing w:val="-6"/>
        </w:rPr>
        <w:t xml:space="preserve"> 高纯氮气维持 </w:t>
      </w:r>
      <w:r>
        <w:rPr>
          <w:spacing w:val="-4"/>
        </w:rPr>
        <w:t xml:space="preserve">30min </w:t>
      </w:r>
      <w:r>
        <w:t>无渗漏现象。套管电流互感器绝缘电阻测量，变比和伏安特性试验。</w:t>
      </w:r>
    </w:p>
    <w:p>
      <w:pPr>
        <w:pStyle w:val="BodyText"/>
        <w:spacing w:line="530" w:lineRule="exact"/>
        <w:ind w:left="3604"/>
      </w:pPr>
      <w:r>
        <w:t>H</w:t>
      </w:r>
      <w:r>
        <w:rPr>
          <w:spacing w:val="-12"/>
        </w:rPr>
        <w:t xml:space="preserve"> 冷却器检查，是否有进水现象，可充入 </w:t>
      </w:r>
      <w:r>
        <w:t>0.05</w:t>
      </w:r>
      <w:r>
        <w:rPr>
          <w:rFonts w:ascii="Symbol" w:eastAsia="Symbol" w:hAnsi="Symbol"/>
        </w:rPr>
        <w:sym w:font="Symbol" w:char="F07E"/>
      </w:r>
      <w:r>
        <w:t>0.15</w:t>
      </w:r>
      <w:r>
        <w:rPr>
          <w:spacing w:val="9"/>
        </w:rPr>
        <w:t xml:space="preserve"> </w:t>
      </w:r>
      <w:r>
        <w:t>mpa（片式</w:t>
      </w:r>
      <w:r>
        <w:rPr>
          <w:spacing w:val="-213"/>
        </w:rPr>
        <w:t>）</w:t>
      </w:r>
      <w:r>
        <w:t>、</w:t>
      </w:r>
    </w:p>
    <w:p>
      <w:pPr>
        <w:pStyle w:val="BodyText"/>
        <w:spacing w:before="298"/>
        <w:ind w:left="2553"/>
      </w:pPr>
      <w:r>
        <w:t>0.1</w:t>
      </w:r>
      <w:r>
        <w:rPr>
          <w:rFonts w:ascii="Symbol" w:eastAsia="Symbol" w:hAnsi="Symbol"/>
        </w:rPr>
        <w:sym w:font="Symbol" w:char="F07E"/>
      </w:r>
      <w:r>
        <w:t>0.15mpa</w:t>
      </w:r>
      <w:r>
        <w:rPr>
          <w:spacing w:val="-28"/>
        </w:rPr>
        <w:t>(管式)、</w:t>
      </w:r>
      <w:r>
        <w:t>0.25</w:t>
      </w:r>
      <w:r>
        <w:rPr>
          <w:rFonts w:ascii="Symbol" w:eastAsia="Symbol" w:hAnsi="Symbol"/>
        </w:rPr>
        <w:sym w:font="Symbol" w:char="F07E"/>
      </w:r>
      <w:r>
        <w:t>0.275mpa</w:t>
      </w:r>
      <w:r>
        <w:rPr>
          <w:spacing w:val="-10"/>
        </w:rPr>
        <w:t xml:space="preserve">(强油)高纯氮气维持 </w:t>
      </w:r>
      <w:r>
        <w:t>30min</w:t>
      </w:r>
      <w:r>
        <w:rPr>
          <w:spacing w:val="-21"/>
        </w:rPr>
        <w:t xml:space="preserve"> 无渗漏现</w:t>
      </w:r>
    </w:p>
    <w:p>
      <w:pPr>
        <w:spacing w:after="0"/>
        <w:sectPr>
          <w:pgSz w:w="17860" w:h="25260"/>
          <w:pgMar w:top="2240" w:right="0" w:bottom="280" w:left="0" w:header="708" w:footer="708"/>
          <w:pgNumType w:start="22"/>
          <w:cols w:space="708"/>
        </w:sectPr>
      </w:pPr>
    </w:p>
    <w:p>
      <w:pPr>
        <w:pStyle w:val="BodyText"/>
        <w:spacing w:before="17"/>
        <w:ind w:left="2553"/>
      </w:pPr>
      <w:r>
        <w:t>象。</w:t>
      </w:r>
    </w:p>
    <w:p>
      <w:pPr>
        <w:pStyle w:val="BodyText"/>
        <w:spacing w:before="299"/>
        <w:ind w:left="3604"/>
      </w:pPr>
      <w:r>
        <w:t>I 冷却油泵检查，以500V 兆欧表测量绕组相间绝缘电阻≮10M</w:t>
      </w:r>
      <w:r>
        <w:rPr>
          <w:rFonts w:ascii="Symbol" w:eastAsia="Symbol" w:hAnsi="Symbol"/>
        </w:rPr>
        <w:sym w:font="Symbol" w:char="F057"/>
      </w:r>
      <w:r>
        <w:t>，空</w:t>
      </w:r>
    </w:p>
    <w:p>
      <w:pPr>
        <w:pStyle w:val="BodyText"/>
        <w:spacing w:before="2"/>
        <w:rPr>
          <w:sz w:val="20"/>
        </w:rPr>
      </w:pPr>
    </w:p>
    <w:p>
      <w:pPr>
        <w:pStyle w:val="BodyText"/>
        <w:spacing w:before="42" w:line="376" w:lineRule="auto"/>
        <w:ind w:left="2553" w:right="1922"/>
      </w:pPr>
      <w:r>
        <w:rPr>
          <w:w w:val="100"/>
        </w:rPr>
        <w:t>载（时间不大于</w:t>
      </w:r>
      <w:r>
        <w:rPr>
          <w:spacing w:val="-95"/>
        </w:rPr>
        <w:t xml:space="preserve"> </w:t>
      </w:r>
      <w:r>
        <w:rPr>
          <w:w w:val="100"/>
        </w:rPr>
        <w:t>3</w:t>
      </w:r>
      <w:r>
        <w:rPr>
          <w:spacing w:val="-3"/>
          <w:w w:val="100"/>
        </w:rPr>
        <w:t>s</w:t>
      </w:r>
      <w:r>
        <w:rPr>
          <w:spacing w:val="-209"/>
          <w:w w:val="100"/>
        </w:rPr>
        <w:t>）</w:t>
      </w:r>
      <w:r>
        <w:rPr>
          <w:spacing w:val="-1"/>
          <w:w w:val="100"/>
        </w:rPr>
        <w:t>，油泵起动应灵活无异常声音，任何一相空载电流与</w:t>
      </w:r>
      <w:r>
        <w:rPr>
          <w:spacing w:val="-8"/>
        </w:rPr>
        <w:t xml:space="preserve">三相空载电流平均值偏差量应小于 </w:t>
      </w:r>
      <w:r>
        <w:t>10%（注油后</w:t>
      </w:r>
      <w:r>
        <w:rPr>
          <w:spacing w:val="-213"/>
        </w:rPr>
        <w:t>）</w:t>
      </w:r>
      <w:r>
        <w:t>。</w:t>
      </w:r>
    </w:p>
    <w:p>
      <w:pPr>
        <w:pStyle w:val="BodyText"/>
        <w:spacing w:line="530" w:lineRule="exact"/>
        <w:ind w:left="3606"/>
        <w:jc w:val="both"/>
      </w:pPr>
      <w:r>
        <w:t>J 冷却电动机检查，用 500V 兆欧表测量绝缘电阻≮0.5M</w:t>
      </w:r>
      <w:r>
        <w:rPr>
          <w:rFonts w:ascii="Symbol" w:eastAsia="Symbol" w:hAnsi="Symbol"/>
        </w:rPr>
        <w:sym w:font="Symbol" w:char="F057"/>
      </w:r>
      <w:r>
        <w:t>，三相电</w:t>
      </w:r>
    </w:p>
    <w:p>
      <w:pPr>
        <w:pStyle w:val="BodyText"/>
        <w:spacing w:before="301"/>
        <w:ind w:left="2553"/>
      </w:pPr>
      <w:r>
        <w:t>流基本平衡，电动机运转平稳。</w:t>
      </w:r>
    </w:p>
    <w:p>
      <w:pPr>
        <w:pStyle w:val="BodyText"/>
        <w:tabs>
          <w:tab w:val="left" w:pos="4235"/>
        </w:tabs>
        <w:spacing w:before="303" w:line="372" w:lineRule="auto"/>
        <w:ind w:left="2553" w:right="1737" w:firstLine="1051"/>
      </w:pPr>
      <w:r>
        <w:t>K</w:t>
        <w:tab/>
        <w:t>YJ</w:t>
      </w:r>
      <w:r>
        <w:rPr>
          <w:spacing w:val="-26"/>
        </w:rPr>
        <w:t xml:space="preserve"> 型油流继电器检查，可用 </w:t>
      </w:r>
      <w:r>
        <w:t>500V</w:t>
      </w:r>
      <w:r>
        <w:rPr>
          <w:spacing w:val="-13"/>
        </w:rPr>
        <w:t xml:space="preserve"> 兆欧表测量绝缘电阻≮</w:t>
      </w:r>
      <w:r>
        <w:rPr>
          <w:spacing w:val="-4"/>
        </w:rPr>
        <w:t>0.5M</w:t>
      </w:r>
      <w:r>
        <w:rPr>
          <w:rFonts w:ascii="Symbol" w:eastAsia="Symbol" w:hAnsi="Symbol"/>
          <w:spacing w:val="-4"/>
        </w:rPr>
        <w:sym w:font="Symbol" w:char="F057"/>
      </w:r>
      <w:r>
        <w:rPr>
          <w:spacing w:val="-4"/>
        </w:rPr>
        <w:t xml:space="preserve">， </w:t>
      </w:r>
      <w:r>
        <w:rPr>
          <w:spacing w:val="-3"/>
        </w:rPr>
        <w:t>检查微动开关，用手转动挡板 85</w:t>
      </w:r>
      <w:r>
        <w:rPr>
          <w:rFonts w:ascii="Symbol" w:eastAsia="Symbol" w:hAnsi="Symbol"/>
          <w:spacing w:val="-3"/>
        </w:rPr>
        <w:sym w:font="Symbol" w:char="F0B0"/>
      </w:r>
      <w:r>
        <w:t>时，常开和常闭接点应切换。挡板转动</w:t>
      </w:r>
      <w:r>
        <w:rPr>
          <w:spacing w:val="-11"/>
        </w:rPr>
        <w:t xml:space="preserve">灵活，指示正确。并用 </w:t>
      </w:r>
      <w:r>
        <w:t>0、1mpa</w:t>
      </w:r>
      <w:r>
        <w:rPr>
          <w:spacing w:val="-30"/>
        </w:rPr>
        <w:t xml:space="preserve"> 氮气充入维持 </w:t>
      </w:r>
      <w:r>
        <w:t>20min</w:t>
      </w:r>
      <w:r>
        <w:rPr>
          <w:spacing w:val="-23"/>
        </w:rPr>
        <w:t xml:space="preserve"> 无渗漏。</w:t>
      </w:r>
    </w:p>
    <w:p>
      <w:pPr>
        <w:pStyle w:val="BodyText"/>
        <w:spacing w:before="15" w:line="374" w:lineRule="auto"/>
        <w:ind w:left="2553" w:right="1741" w:firstLine="1051"/>
      </w:pPr>
      <w:r>
        <w:t>L</w:t>
      </w:r>
      <w:r>
        <w:rPr>
          <w:spacing w:val="-25"/>
        </w:rPr>
        <w:t xml:space="preserve"> 储油柜检查，内部清洁无杂物、水分，胶囊、隔膜无渗漏、无扭屈， </w:t>
      </w:r>
      <w:r>
        <w:t>气体继电器联管、联管口应具有档罩，油位计动作灵活正确，胶囊可充入0、03mpa</w:t>
      </w:r>
      <w:r>
        <w:rPr>
          <w:spacing w:val="-35"/>
        </w:rPr>
        <w:t xml:space="preserve"> 氮气维持 </w:t>
      </w:r>
      <w:r>
        <w:t>12h</w:t>
      </w:r>
      <w:r>
        <w:rPr>
          <w:spacing w:val="-18"/>
        </w:rPr>
        <w:t xml:space="preserve"> 无渗漏，隔膜储油柜充油后充入 </w:t>
      </w:r>
      <w:r>
        <w:t>0</w:t>
      </w:r>
      <w:r>
        <w:rPr>
          <w:spacing w:val="-3"/>
        </w:rPr>
        <w:t>、</w:t>
      </w:r>
      <w:r>
        <w:t>03mpa</w:t>
      </w:r>
      <w:r>
        <w:rPr>
          <w:spacing w:val="-26"/>
        </w:rPr>
        <w:t xml:space="preserve"> 氮气维</w:t>
      </w:r>
      <w:r>
        <w:rPr>
          <w:spacing w:val="-66"/>
        </w:rPr>
        <w:t xml:space="preserve">持 </w:t>
      </w:r>
      <w:r>
        <w:t>12h</w:t>
      </w:r>
      <w:r>
        <w:rPr>
          <w:spacing w:val="-11"/>
        </w:rPr>
        <w:t xml:space="preserve"> 无渗漏，储油柜内部无尖角且光滑。</w:t>
      </w:r>
    </w:p>
    <w:p>
      <w:pPr>
        <w:pStyle w:val="BodyText"/>
        <w:spacing w:before="2" w:line="374" w:lineRule="auto"/>
        <w:ind w:left="2553" w:right="1938" w:firstLine="1051"/>
      </w:pPr>
      <w:r>
        <w:t>M35KV</w:t>
      </w:r>
      <w:r>
        <w:rPr>
          <w:spacing w:val="-19"/>
        </w:rPr>
        <w:t xml:space="preserve"> 及以下套管检查，外表无破损，内部清洁</w:t>
      </w:r>
      <w:r>
        <w:t>（</w:t>
      </w:r>
      <w:r>
        <w:rPr>
          <w:spacing w:val="-2"/>
        </w:rPr>
        <w:t>有绝缘管应进行干</w:t>
      </w:r>
      <w:r>
        <w:t>燥）有条件可进行耐压试验（注意检查附加绝缘绝缘情况</w:t>
      </w:r>
      <w:r>
        <w:rPr>
          <w:spacing w:val="-244"/>
        </w:rPr>
        <w:t>）</w:t>
      </w:r>
      <w:r>
        <w:t>。</w:t>
      </w:r>
    </w:p>
    <w:p>
      <w:pPr>
        <w:pStyle w:val="BodyText"/>
        <w:spacing w:before="2" w:line="372" w:lineRule="auto"/>
        <w:ind w:left="2553" w:right="1940" w:firstLine="1051"/>
        <w:jc w:val="both"/>
      </w:pPr>
      <w:r>
        <w:t>N</w:t>
      </w:r>
      <w:r>
        <w:rPr>
          <w:spacing w:val="-19"/>
        </w:rPr>
        <w:t xml:space="preserve"> 瓦斯继电器检查，可充入 </w:t>
      </w:r>
      <w:r>
        <w:t>0、15mpa</w:t>
      </w:r>
      <w:r>
        <w:rPr>
          <w:spacing w:val="-34"/>
        </w:rPr>
        <w:t xml:space="preserve"> 氮气维持 </w:t>
      </w:r>
      <w:r>
        <w:t>20min</w:t>
      </w:r>
      <w:r>
        <w:rPr>
          <w:spacing w:val="-18"/>
        </w:rPr>
        <w:t xml:space="preserve"> 无渗漏，并送</w:t>
      </w:r>
      <w:r>
        <w:rPr>
          <w:spacing w:val="-27"/>
        </w:rPr>
        <w:t>校验，</w:t>
      </w:r>
      <w:r>
        <w:rPr>
          <w:spacing w:val="-80"/>
        </w:rPr>
        <w:t>（</w:t>
      </w:r>
      <w:r>
        <w:t>机械及电气试验</w:t>
      </w:r>
      <w:r>
        <w:rPr>
          <w:spacing w:val="-31"/>
        </w:rPr>
        <w:t>）</w:t>
      </w:r>
      <w:r>
        <w:rPr>
          <w:spacing w:val="10"/>
        </w:rPr>
        <w:t xml:space="preserve">，自冷式 </w:t>
      </w:r>
      <w:r>
        <w:rPr>
          <w:spacing w:val="16"/>
        </w:rPr>
        <w:t>0</w:t>
      </w:r>
      <w:r>
        <w:rPr>
          <w:spacing w:val="18"/>
        </w:rPr>
        <w:t>、</w:t>
      </w:r>
      <w:r>
        <w:rPr>
          <w:spacing w:val="5"/>
        </w:rPr>
        <w:t>8</w:t>
      </w:r>
      <w:r>
        <w:rPr>
          <w:rFonts w:ascii="Symbol" w:eastAsia="Symbol" w:hAnsi="Symbol"/>
          <w:spacing w:val="5"/>
        </w:rPr>
        <w:sym w:font="Symbol" w:char="F07E"/>
      </w:r>
      <w:r>
        <w:rPr>
          <w:spacing w:val="5"/>
        </w:rPr>
        <w:t>1</w:t>
      </w:r>
      <w:r>
        <w:rPr>
          <w:spacing w:val="18"/>
        </w:rPr>
        <w:t>、</w:t>
      </w:r>
      <w:r>
        <w:rPr>
          <w:spacing w:val="2"/>
        </w:rPr>
        <w:t>0m/s</w:t>
      </w:r>
      <w:r>
        <w:rPr>
          <w:spacing w:val="15"/>
        </w:rPr>
        <w:t xml:space="preserve">,强油循环 </w:t>
      </w:r>
      <w:r>
        <w:rPr>
          <w:spacing w:val="16"/>
        </w:rPr>
        <w:t>1</w:t>
      </w:r>
      <w:r>
        <w:rPr>
          <w:spacing w:val="18"/>
        </w:rPr>
        <w:t>、</w:t>
      </w:r>
      <w:r>
        <w:rPr>
          <w:spacing w:val="4"/>
        </w:rPr>
        <w:t>0</w:t>
      </w:r>
      <w:r>
        <w:rPr>
          <w:rFonts w:ascii="Symbol" w:eastAsia="Symbol" w:hAnsi="Symbol"/>
          <w:spacing w:val="4"/>
        </w:rPr>
        <w:sym w:font="Symbol" w:char="F07E"/>
      </w:r>
      <w:r>
        <w:rPr>
          <w:spacing w:val="4"/>
        </w:rPr>
        <w:t>1</w:t>
      </w:r>
      <w:r>
        <w:t>、2m/s,120MVA</w:t>
      </w:r>
      <w:r>
        <w:rPr>
          <w:spacing w:val="-33"/>
        </w:rPr>
        <w:t xml:space="preserve"> 以上变压器 </w:t>
      </w:r>
      <w:r>
        <w:t>1、</w:t>
      </w:r>
      <w:r>
        <w:rPr>
          <w:spacing w:val="-2"/>
        </w:rPr>
        <w:t>2</w:t>
      </w:r>
      <w:r>
        <w:rPr>
          <w:rFonts w:ascii="Symbol" w:eastAsia="Symbol" w:hAnsi="Symbol"/>
          <w:spacing w:val="-2"/>
        </w:rPr>
        <w:sym w:font="Symbol" w:char="F07E"/>
      </w:r>
      <w:r>
        <w:rPr>
          <w:spacing w:val="-2"/>
        </w:rPr>
        <w:t>1</w:t>
      </w:r>
      <w:r>
        <w:t>、3m/s.（一般调度部门出整定单）</w:t>
      </w:r>
    </w:p>
    <w:p>
      <w:pPr>
        <w:pStyle w:val="BodyText"/>
        <w:spacing w:before="11" w:line="374" w:lineRule="auto"/>
        <w:ind w:left="2553" w:right="1932" w:firstLine="1051"/>
        <w:jc w:val="both"/>
      </w:pPr>
      <w:r>
        <w:t>O</w:t>
      </w:r>
      <w:r>
        <w:rPr>
          <w:spacing w:val="-21"/>
        </w:rPr>
        <w:t xml:space="preserve"> 压力释放阀检查，用 </w:t>
      </w:r>
      <w:r>
        <w:t>0、05</w:t>
      </w:r>
      <w:r>
        <w:rPr>
          <w:rFonts w:ascii="Symbol" w:eastAsia="Symbol" w:hAnsi="Symbol"/>
        </w:rPr>
        <w:sym w:font="Symbol" w:char="F07E"/>
      </w:r>
      <w:r>
        <w:t>0、07mpa</w:t>
      </w:r>
      <w:r>
        <w:rPr>
          <w:spacing w:val="-12"/>
        </w:rPr>
        <w:t xml:space="preserve"> 氮气充入专用试验容器，检</w:t>
      </w:r>
      <w:r>
        <w:t>测动作状态（泄漏、微动开关动作压力值</w:t>
      </w:r>
      <w:r>
        <w:rPr>
          <w:spacing w:val="-236"/>
        </w:rPr>
        <w:t>）</w:t>
      </w:r>
      <w:r>
        <w:t>。</w:t>
      </w:r>
    </w:p>
    <w:p>
      <w:pPr>
        <w:pStyle w:val="BodyText"/>
        <w:spacing w:line="374" w:lineRule="auto"/>
        <w:ind w:left="2553" w:right="1949" w:firstLine="1051"/>
        <w:jc w:val="both"/>
      </w:pPr>
      <w:r>
        <w:rPr>
          <w:w w:val="100"/>
        </w:rPr>
        <w:t>P</w:t>
      </w:r>
      <w:r>
        <w:rPr>
          <w:spacing w:val="-39"/>
        </w:rPr>
        <w:t xml:space="preserve"> </w:t>
      </w:r>
      <w:r>
        <w:rPr>
          <w:w w:val="100"/>
        </w:rPr>
        <w:t>各类连接管道可用</w:t>
      </w:r>
      <w:r>
        <w:rPr>
          <w:spacing w:val="-44"/>
        </w:rPr>
        <w:t xml:space="preserve"> </w:t>
      </w:r>
      <w:r>
        <w:rPr>
          <w:spacing w:val="-2"/>
          <w:w w:val="100"/>
        </w:rPr>
        <w:t>0</w:t>
      </w:r>
      <w:r>
        <w:rPr>
          <w:w w:val="100"/>
        </w:rPr>
        <w:t>、</w:t>
      </w:r>
      <w:r>
        <w:rPr>
          <w:spacing w:val="1"/>
          <w:w w:val="100"/>
        </w:rPr>
        <w:t>1</w:t>
      </w:r>
      <w:r>
        <w:rPr>
          <w:rFonts w:ascii="Symbol" w:eastAsia="Symbol" w:hAnsi="Symbol"/>
          <w:spacing w:val="-1"/>
          <w:w w:val="100"/>
        </w:rPr>
        <w:sym w:font="Symbol" w:char="F07E"/>
      </w:r>
      <w:r>
        <w:rPr>
          <w:spacing w:val="-2"/>
          <w:w w:val="100"/>
        </w:rPr>
        <w:t>0</w:t>
      </w:r>
      <w:r>
        <w:rPr>
          <w:w w:val="100"/>
        </w:rPr>
        <w:t>、2mpa</w:t>
      </w:r>
      <w:r>
        <w:rPr>
          <w:spacing w:val="-41"/>
        </w:rPr>
        <w:t xml:space="preserve"> </w:t>
      </w:r>
      <w:r>
        <w:rPr>
          <w:w w:val="100"/>
        </w:rPr>
        <w:t>氮气检查（可采用肥皂水</w:t>
      </w:r>
      <w:r>
        <w:rPr>
          <w:spacing w:val="-224"/>
          <w:w w:val="100"/>
        </w:rPr>
        <w:t>）</w:t>
      </w:r>
      <w:r>
        <w:rPr>
          <w:spacing w:val="-9"/>
          <w:w w:val="100"/>
        </w:rPr>
        <w:t>，内</w:t>
      </w:r>
      <w:r>
        <w:t>部用白布铁丝捅净。</w:t>
      </w:r>
    </w:p>
    <w:p>
      <w:pPr>
        <w:pStyle w:val="BodyText"/>
        <w:ind w:left="3604"/>
        <w:jc w:val="both"/>
      </w:pPr>
      <w:r>
        <w:t>Q 本体取油样送检。</w:t>
      </w:r>
    </w:p>
    <w:p>
      <w:pPr>
        <w:pStyle w:val="BodyText"/>
        <w:spacing w:before="300"/>
        <w:ind w:left="3604"/>
        <w:jc w:val="both"/>
      </w:pPr>
      <w:r>
        <w:t>R 建立原始技术挡案。</w:t>
      </w:r>
    </w:p>
    <w:p>
      <w:pPr>
        <w:spacing w:after="0"/>
        <w:jc w:val="both"/>
        <w:sectPr>
          <w:pgSz w:w="17860" w:h="25260"/>
          <w:pgMar w:top="2240" w:right="0" w:bottom="280" w:left="0" w:header="708" w:footer="708"/>
          <w:pgNumType w:start="23"/>
          <w:cols w:space="708"/>
        </w:sectPr>
      </w:pPr>
    </w:p>
    <w:p>
      <w:pPr>
        <w:pStyle w:val="Heading4"/>
        <w:spacing w:before="17"/>
      </w:pPr>
      <w:r>
        <w:rPr>
          <w:spacing w:val="-35"/>
          <w:w w:val="99"/>
        </w:rPr>
        <w:t>⑶器身检查：</w:t>
      </w:r>
      <w:r>
        <w:rPr>
          <w:w w:val="99"/>
        </w:rPr>
        <w:t>（吊罩或吊大盖）</w:t>
      </w:r>
    </w:p>
    <w:p>
      <w:pPr>
        <w:pStyle w:val="BodyText"/>
        <w:spacing w:before="301" w:line="374" w:lineRule="auto"/>
        <w:ind w:left="2553" w:right="1737"/>
      </w:pPr>
      <w:r>
        <w:t>①一般应在厂房内进行，以保持器身清洁。如在室外进行时， 应选择无</w:t>
      </w:r>
      <w:r>
        <w:rPr>
          <w:spacing w:val="-15"/>
          <w:w w:val="100"/>
        </w:rPr>
        <w:t>尘土飞扬晴天进行，空气相对湿度</w:t>
      </w:r>
      <w:r>
        <w:rPr>
          <w:rFonts w:ascii="Symbol" w:eastAsia="Symbol" w:hAnsi="Symbol"/>
          <w:spacing w:val="-5"/>
          <w:w w:val="100"/>
        </w:rPr>
        <w:sym w:font="Symbol" w:char="F0A3"/>
      </w:r>
      <w:r>
        <w:rPr>
          <w:w w:val="100"/>
        </w:rPr>
        <w:t>65</w:t>
      </w:r>
      <w:r>
        <w:rPr>
          <w:spacing w:val="-1"/>
          <w:w w:val="100"/>
        </w:rPr>
        <w:t>%为</w:t>
      </w:r>
      <w:r>
        <w:rPr>
          <w:spacing w:val="-106"/>
        </w:rPr>
        <w:t xml:space="preserve"> </w:t>
      </w:r>
      <w:r>
        <w:rPr>
          <w:w w:val="100"/>
        </w:rPr>
        <w:t>16</w:t>
      </w:r>
      <w:r>
        <w:rPr>
          <w:spacing w:val="-2"/>
          <w:w w:val="100"/>
        </w:rPr>
        <w:t>h</w:t>
      </w:r>
      <w:r>
        <w:rPr>
          <w:spacing w:val="-27"/>
          <w:w w:val="100"/>
        </w:rPr>
        <w:t>，空气相对湿度</w:t>
      </w:r>
      <w:r>
        <w:rPr>
          <w:rFonts w:ascii="Symbol" w:eastAsia="Symbol" w:hAnsi="Symbol"/>
          <w:spacing w:val="-5"/>
          <w:w w:val="100"/>
        </w:rPr>
        <w:sym w:font="Symbol" w:char="F0A3"/>
      </w:r>
      <w:r>
        <w:rPr>
          <w:w w:val="100"/>
        </w:rPr>
        <w:t>75</w:t>
      </w:r>
      <w:r>
        <w:rPr>
          <w:spacing w:val="-1"/>
          <w:w w:val="100"/>
        </w:rPr>
        <w:t>%为</w:t>
      </w:r>
      <w:r>
        <w:rPr>
          <w:spacing w:val="-106"/>
        </w:rPr>
        <w:t xml:space="preserve"> </w:t>
      </w:r>
      <w:r>
        <w:rPr>
          <w:w w:val="100"/>
        </w:rPr>
        <w:t>12h</w:t>
      </w:r>
      <w:r>
        <w:rPr>
          <w:spacing w:val="-8"/>
          <w:w w:val="100"/>
        </w:rPr>
        <w:t>,。</w:t>
      </w:r>
      <w:r>
        <w:t>对于全真空油箱大型变压器为了给器身进行详细检查和安装好每个零件 提供宽松时间，可采取下列措施，器身在大气中暴露时间可不手上述规定限制。</w:t>
      </w:r>
    </w:p>
    <w:p>
      <w:pPr>
        <w:pStyle w:val="BodyText"/>
        <w:spacing w:before="2"/>
        <w:ind w:left="3391"/>
      </w:pPr>
      <w:r>
        <w:t>A 把内检和安装工作安排在天气晴朗白天，到傍晚及早收工；</w:t>
      </w:r>
    </w:p>
    <w:p>
      <w:pPr>
        <w:pStyle w:val="BodyText"/>
        <w:spacing w:before="301" w:line="374" w:lineRule="auto"/>
        <w:ind w:left="2553" w:right="1946" w:firstLine="838"/>
      </w:pPr>
      <w:r>
        <w:t>B</w:t>
      </w:r>
      <w:r>
        <w:rPr>
          <w:spacing w:val="-17"/>
        </w:rPr>
        <w:t xml:space="preserve"> 收工前。将所有安装孔密封；</w:t>
      </w:r>
      <w:r>
        <w:rPr>
          <w:spacing w:val="-38"/>
        </w:rPr>
        <w:t>C</w:t>
      </w:r>
      <w:r>
        <w:rPr>
          <w:spacing w:val="-20"/>
        </w:rPr>
        <w:t xml:space="preserve"> 利用夜间抽空真空度 </w:t>
      </w:r>
      <w:r>
        <w:rPr>
          <w:spacing w:val="-9"/>
        </w:rPr>
        <w:t>133.3Pa</w:t>
      </w:r>
      <w:r>
        <w:rPr>
          <w:spacing w:val="-8"/>
        </w:rPr>
        <w:t>，真空</w:t>
      </w:r>
      <w:r>
        <w:t>泵连续开动时间不少于器身暴露空气时间；</w:t>
      </w:r>
    </w:p>
    <w:p>
      <w:pPr>
        <w:pStyle w:val="BodyText"/>
        <w:spacing w:before="2" w:line="374" w:lineRule="auto"/>
        <w:ind w:left="2553" w:right="1730" w:firstLine="838"/>
      </w:pPr>
      <w:r>
        <w:t>C</w:t>
      </w:r>
      <w:r>
        <w:rPr>
          <w:spacing w:val="-26"/>
        </w:rPr>
        <w:t xml:space="preserve"> 隔日</w:t>
      </w:r>
      <w:r>
        <w:t xml:space="preserve">（如遇雨天，可在动态保持真空条件下隔几天）继续安装时， </w:t>
      </w:r>
      <w:r>
        <w:rPr>
          <w:spacing w:val="-7"/>
        </w:rPr>
        <w:t>需用干燥空气或高纯氮来破真空。充油运输变压器器身暴露空气时间从放</w:t>
      </w:r>
      <w:r>
        <w:rPr>
          <w:spacing w:val="-14"/>
        </w:rPr>
        <w:t>油时起至开始抽真空或注油时为止。充氮运输变压器在吊罩检查前应先进</w:t>
      </w:r>
      <w:r>
        <w:rPr>
          <w:spacing w:val="-22"/>
        </w:rPr>
        <w:t xml:space="preserve">行注油破氮，排氮方式有 </w:t>
      </w:r>
      <w:r>
        <w:t>4</w:t>
      </w:r>
      <w:r>
        <w:rPr>
          <w:spacing w:val="-11"/>
        </w:rPr>
        <w:t xml:space="preserve"> 种：即真空注油排氮、真空注干燥空气排氮、</w:t>
      </w:r>
      <w:r>
        <w:rPr>
          <w:spacing w:val="-21"/>
        </w:rPr>
        <w:t>注油排氮、大气自动排氮。其中采用真空排氮用真空泵抽空达到≤</w:t>
      </w:r>
      <w:r>
        <w:rPr>
          <w:spacing w:val="-4"/>
        </w:rPr>
        <w:t xml:space="preserve">133.3Pa, </w:t>
      </w:r>
      <w:r>
        <w:rPr>
          <w:spacing w:val="-14"/>
        </w:rPr>
        <w:t xml:space="preserve">并不停泵保持 </w:t>
      </w:r>
      <w:r>
        <w:t>4</w:t>
      </w:r>
      <w:r>
        <w:rPr>
          <w:spacing w:val="-23"/>
        </w:rPr>
        <w:t xml:space="preserve"> 小时。从下部注入合格油，浸没器身后，充干燥氮气排油， </w:t>
      </w:r>
      <w:r>
        <w:t>可减轻器身绝缘受潮，吊罩检查适用此法。真空注干燥空气排氮方法，抽</w:t>
      </w:r>
      <w:r>
        <w:rPr>
          <w:spacing w:val="-1"/>
        </w:rPr>
        <w:t>空与真空注油排氮相同，而不条是用露点≤</w:t>
      </w:r>
      <w:r>
        <w:rPr>
          <w:spacing w:val="-17"/>
        </w:rPr>
        <w:t>20</w:t>
      </w:r>
      <w:r>
        <w:rPr>
          <w:spacing w:val="-4"/>
        </w:rPr>
        <w:t>℃干燥空气代替合格油，可节省排油时间，最适合内检。注油排氮，即从油箱下部注入合格油，迫使</w:t>
      </w:r>
      <w:r>
        <w:rPr>
          <w:spacing w:val="-7"/>
        </w:rPr>
        <w:t xml:space="preserve">氮气从油箱顶布放气口排出，油注到铁心铁轭上面，注油后静止 </w:t>
      </w:r>
      <w:r>
        <w:t>24</w:t>
      </w:r>
      <w:r>
        <w:rPr>
          <w:spacing w:val="-12"/>
        </w:rPr>
        <w:t xml:space="preserve"> 小时或更长时间，以便绝缘深处渗透，而氮气游离浮出油面，然后再用干燥氮气排油，这种排氮方式与真空注油排氮区别是注油前不抽空，适用于暂时不具备抽空条件，而有较长静放时间场合使用。大气自动排氮，当需要进</w:t>
      </w:r>
      <w:r>
        <w:rPr>
          <w:spacing w:val="-8"/>
        </w:rPr>
        <w:t>入人孔内检时，需打开油箱下部</w:t>
      </w:r>
      <w:r>
        <w:t>2</w:t>
      </w:r>
      <w:r>
        <w:rPr>
          <w:spacing w:val="-11"/>
        </w:rPr>
        <w:t xml:space="preserve"> 个人孔，在上部打开两头套管升高座法</w:t>
      </w:r>
      <w:r>
        <w:rPr>
          <w:spacing w:val="-7"/>
        </w:rPr>
        <w:t xml:space="preserve">兰盖板，以便对流，对流时间不少于 </w:t>
      </w:r>
      <w:r>
        <w:t>1h，进入时宜测量含氧量是否达到</w:t>
      </w:r>
    </w:p>
    <w:p>
      <w:pPr>
        <w:spacing w:after="0" w:line="374" w:lineRule="auto"/>
        <w:sectPr>
          <w:pgSz w:w="17860" w:h="25260"/>
          <w:pgMar w:top="2240" w:right="0" w:bottom="280" w:left="0" w:header="708" w:footer="708"/>
          <w:pgNumType w:start="24"/>
          <w:cols w:space="708"/>
        </w:sectPr>
      </w:pPr>
    </w:p>
    <w:p>
      <w:pPr>
        <w:pStyle w:val="BodyText"/>
        <w:spacing w:before="17" w:line="374" w:lineRule="auto"/>
        <w:ind w:left="2553" w:right="1864"/>
      </w:pPr>
      <w:r>
        <w:t>18%，这种方法只适用于电压等级≤220kV 或空气相对湿度≤30%条件下进行内检变压器）</w:t>
      </w:r>
    </w:p>
    <w:p>
      <w:pPr>
        <w:pStyle w:val="BodyText"/>
        <w:spacing w:line="376" w:lineRule="auto"/>
        <w:ind w:left="2553" w:right="1827"/>
      </w:pPr>
      <w:r>
        <w:rPr>
          <w:spacing w:val="-1"/>
        </w:rPr>
        <w:t>②将本体油抽至清洁油容器，拆除钟罩或大盖。上节油箱起吊时，钢丝绳</w:t>
      </w:r>
      <w:r>
        <w:rPr>
          <w:spacing w:val="-18"/>
        </w:rPr>
        <w:t xml:space="preserve">夹角不大于 </w:t>
      </w:r>
      <w:r>
        <w:t>60 （可加挂链条葫芦进行调节</w:t>
      </w:r>
      <w:r>
        <w:rPr>
          <w:spacing w:val="-228"/>
        </w:rPr>
        <w:t>）</w:t>
      </w:r>
      <w:r>
        <w:t>。</w:t>
      </w:r>
    </w:p>
    <w:p>
      <w:pPr>
        <w:pStyle w:val="BodyText"/>
        <w:spacing w:line="374" w:lineRule="auto"/>
        <w:ind w:left="2553" w:right="1854"/>
      </w:pPr>
      <w:r>
        <w:t xml:space="preserve">③拆除顶部定位装置，并妥善保管以备回装，同时观察定位装置有否异 </w:t>
      </w:r>
      <w:r>
        <w:rPr>
          <w:spacing w:val="-151"/>
        </w:rPr>
        <w:t>常，。</w:t>
      </w:r>
      <w:r>
        <w:t>（</w:t>
      </w:r>
      <w:r>
        <w:rPr>
          <w:spacing w:val="-1"/>
        </w:rPr>
        <w:t>注意顶部定位装置，在起罩前必须拆除或松动紧固装置，否则会损</w:t>
      </w:r>
      <w:r>
        <w:t>坏定位装置）</w:t>
      </w:r>
    </w:p>
    <w:p>
      <w:pPr>
        <w:pStyle w:val="BodyText"/>
        <w:spacing w:line="374" w:lineRule="auto"/>
        <w:ind w:left="2553" w:right="1827"/>
        <w:jc w:val="both"/>
      </w:pPr>
      <w:r>
        <w:rPr>
          <w:spacing w:val="-1"/>
        </w:rPr>
        <w:t>④拆除有载调压开关控制箱与开关连接轴，根据开关型号、制造厂说明书技术要求，拆除有关另部件，将开关与钟罩或大盖脱开。对无载调压开关</w:t>
      </w:r>
      <w:r>
        <w:t>应做好标记，拆除操动杆用干净塑料布包扎好（</w:t>
      </w:r>
      <w:r>
        <w:rPr>
          <w:spacing w:val="-2"/>
        </w:rPr>
        <w:t>对于大修变压器，应注意</w:t>
      </w:r>
      <w:r>
        <w:t>检查无载开关操动杆金属拨叉是否有放电痕迹</w:t>
      </w:r>
      <w:r>
        <w:rPr>
          <w:spacing w:val="-236"/>
        </w:rPr>
        <w:t>）</w:t>
      </w:r>
      <w:r>
        <w:t>。</w:t>
      </w:r>
    </w:p>
    <w:p>
      <w:pPr>
        <w:pStyle w:val="BodyText"/>
        <w:spacing w:line="374" w:lineRule="auto"/>
        <w:ind w:left="2553" w:right="1827"/>
        <w:jc w:val="both"/>
      </w:pPr>
      <w:r>
        <w:t>⑤起吊前，应再次全面检查确认器身与钟罩或大盖无任何有关联引线和金属连接部分。应保持油箱上、下箱沿平行分离，并在油箱四周系好绳索， 专人指挥，防止箱壁与器身有碰撞或卡住等不正常现象。</w:t>
      </w:r>
    </w:p>
    <w:p>
      <w:pPr>
        <w:pStyle w:val="BodyText"/>
        <w:spacing w:line="376" w:lineRule="auto"/>
        <w:ind w:left="2553" w:right="1827"/>
      </w:pPr>
      <w:r>
        <w:t>⑥器身检查分线圈、磁路、引线、开关、紧固部分、油路、油箱、电试验等。</w:t>
      </w:r>
    </w:p>
    <w:p>
      <w:pPr>
        <w:pStyle w:val="BodyText"/>
        <w:spacing w:line="374" w:lineRule="auto"/>
        <w:ind w:left="2553" w:right="1737" w:firstLine="838"/>
        <w:jc w:val="both"/>
      </w:pPr>
      <w:r>
        <w:rPr>
          <w:w w:val="100"/>
        </w:rPr>
        <w:t>A</w:t>
      </w:r>
      <w:r>
        <w:rPr>
          <w:spacing w:val="-108"/>
        </w:rPr>
        <w:t xml:space="preserve"> </w:t>
      </w:r>
      <w:r>
        <w:rPr>
          <w:w w:val="100"/>
        </w:rPr>
        <w:t>线圈检查：相间隔板和围屏（有条件解开一相</w:t>
      </w:r>
      <w:r>
        <w:rPr>
          <w:spacing w:val="-333"/>
          <w:w w:val="100"/>
        </w:rPr>
        <w:t>）</w:t>
      </w:r>
      <w:r>
        <w:rPr>
          <w:w w:val="100"/>
        </w:rPr>
        <w:t>，是否破损、</w:t>
      </w:r>
      <w:r>
        <w:rPr>
          <w:spacing w:val="-99"/>
        </w:rPr>
        <w:t xml:space="preserve"> </w:t>
      </w:r>
      <w:r>
        <w:rPr>
          <w:spacing w:val="-6"/>
          <w:w w:val="100"/>
        </w:rPr>
        <w:t>变色、</w:t>
      </w:r>
      <w:r>
        <w:rPr>
          <w:spacing w:val="-2"/>
        </w:rPr>
        <w:t>变形、放电痕迹、如发现异常，其它两相围屏应进行检查 。</w:t>
      </w:r>
    </w:p>
    <w:p>
      <w:pPr>
        <w:pStyle w:val="BodyText"/>
        <w:spacing w:line="374" w:lineRule="auto"/>
        <w:ind w:left="2553" w:right="1827" w:firstLine="838"/>
        <w:jc w:val="both"/>
      </w:pPr>
      <w:r>
        <w:t>B 线圈表面是否清洁、匝间绝缘有否破损、各部分垫块有无位移和松动情况，撑条是否移位，油道是否堵塞，线圈表面有否破损裸露，否则应进行包扎处理。</w:t>
      </w:r>
    </w:p>
    <w:p>
      <w:pPr>
        <w:pStyle w:val="BodyText"/>
        <w:spacing w:line="374" w:lineRule="auto"/>
        <w:ind w:left="2553" w:right="1827" w:firstLine="838"/>
        <w:jc w:val="both"/>
      </w:pPr>
      <w:r>
        <w:t>C 磁路检查：铁心外表是否平整，有否片间短路和变色、放电烧伤痕迹，上下铁轭是否有杂物、锈蚀，上下夹件紧固，无孔结构铁心拉板和钢带。⑦⑧⑨⑩</w:t>
      </w:r>
    </w:p>
    <w:p>
      <w:pPr>
        <w:spacing w:after="0" w:line="374" w:lineRule="auto"/>
        <w:jc w:val="both"/>
        <w:sectPr>
          <w:pgSz w:w="17860" w:h="25260"/>
          <w:pgMar w:top="2240" w:right="0" w:bottom="280" w:left="0" w:header="708" w:footer="708"/>
          <w:pgNumType w:start="25"/>
          <w:cols w:space="708"/>
        </w:sectPr>
      </w:pPr>
    </w:p>
    <w:p>
      <w:pPr>
        <w:pStyle w:val="BodyText"/>
        <w:spacing w:before="17" w:line="374" w:lineRule="auto"/>
        <w:ind w:left="2553" w:right="1732" w:firstLine="838"/>
      </w:pPr>
      <w:r>
        <w:t>D</w:t>
      </w:r>
      <w:r>
        <w:rPr>
          <w:spacing w:val="-25"/>
        </w:rPr>
        <w:t xml:space="preserve"> 引线检查：引线及引线锥绝缘包扎有无变形、破损， 引线有否断股、</w:t>
      </w:r>
      <w:r>
        <w:t>引线有否过热，导电头罗纹处是否存有烧毛现象。</w:t>
      </w:r>
    </w:p>
    <w:p>
      <w:pPr>
        <w:pStyle w:val="BodyText"/>
        <w:spacing w:line="374" w:lineRule="auto"/>
        <w:ind w:left="2553" w:right="1755" w:firstLine="838"/>
      </w:pPr>
      <w:r>
        <w:t>a</w:t>
      </w:r>
      <w:r>
        <w:rPr>
          <w:spacing w:val="-12"/>
        </w:rPr>
        <w:t xml:space="preserve"> 检查线圈至分接开关引线，其长度、绝缘厚度、焊接是否 、牢固， </w:t>
      </w:r>
      <w:r>
        <w:rPr>
          <w:spacing w:val="-7"/>
        </w:rPr>
        <w:t>引线对各部位绝缘距离、固定位置是否符合要求。</w:t>
      </w:r>
      <w:r>
        <w:t>（若遇有锡焊应更改为磷铜焊）变压器反措要求，曾经发生过引线与导电头焊接处脱焊情况。</w:t>
      </w:r>
    </w:p>
    <w:p>
      <w:pPr>
        <w:pStyle w:val="BodyText"/>
        <w:spacing w:before="1"/>
        <w:ind w:left="3391"/>
      </w:pPr>
      <w:r>
        <w:t>b 引线绝缘支架有否松动和损坏、位移，引线有否窜动。</w:t>
      </w:r>
    </w:p>
    <w:p>
      <w:pPr>
        <w:pStyle w:val="BodyText"/>
        <w:spacing w:before="305" w:line="374" w:lineRule="auto"/>
        <w:ind w:left="2553" w:right="1749" w:firstLine="838"/>
        <w:jc w:val="both"/>
      </w:pPr>
      <w:r>
        <w:t>E</w:t>
      </w:r>
      <w:r>
        <w:rPr>
          <w:spacing w:val="-10"/>
        </w:rPr>
        <w:t xml:space="preserve"> 开关检查：无励磁开关静、动触头接触（0</w:t>
      </w:r>
      <w:r>
        <w:t>、02mm）</w:t>
      </w:r>
      <w:r>
        <w:rPr>
          <w:spacing w:val="-3"/>
        </w:rPr>
        <w:t xml:space="preserve">塞尺不能通过， </w:t>
      </w:r>
      <w:r>
        <w:t>不能有明显烧伤痕迹，弹簧压力符合要求，绝缘筒内无杂物，转动灵活， 接线正确，内外位置一致。</w:t>
      </w:r>
    </w:p>
    <w:p>
      <w:pPr>
        <w:pStyle w:val="BodyText"/>
        <w:spacing w:before="1" w:line="374" w:lineRule="auto"/>
        <w:ind w:left="2553" w:right="1742" w:firstLine="838"/>
      </w:pPr>
      <w:r>
        <w:t>a</w:t>
      </w:r>
      <w:r>
        <w:rPr>
          <w:spacing w:val="-19"/>
        </w:rPr>
        <w:t xml:space="preserve"> 有载调压开关机械无卡死现象，引线至开关接触紧密，匝间、相间、</w:t>
      </w:r>
      <w:r>
        <w:rPr>
          <w:spacing w:val="-1"/>
        </w:rPr>
        <w:t>对地距离符合要求.对组合式开关，应检查切换开关油室密封是否良好， 是否清洁。所有紧固件是否松动、储能机构主弹簧、复位弹簧、爪卡是否变形或断裂，主通断触头是否良好，各编织线有否损坏，过渡电阻是否断裂、短接，并测量其阻值，摇测单、双数间绝缘和接触电阻。</w:t>
      </w:r>
    </w:p>
    <w:p>
      <w:pPr>
        <w:pStyle w:val="BodyText"/>
        <w:spacing w:before="181" w:line="374" w:lineRule="auto"/>
        <w:ind w:left="2553" w:right="1945" w:firstLine="838"/>
        <w:jc w:val="both"/>
      </w:pPr>
      <w:r>
        <w:t>b</w:t>
      </w:r>
      <w:r>
        <w:rPr>
          <w:spacing w:val="-16"/>
        </w:rPr>
        <w:t xml:space="preserve"> 检查选择开关：选择开关静动触头接触紧密，用 </w:t>
      </w:r>
      <w:r>
        <w:t>0、02mm</w:t>
      </w:r>
      <w:r>
        <w:rPr>
          <w:spacing w:val="-21"/>
        </w:rPr>
        <w:t xml:space="preserve"> 塞尺应不</w:t>
      </w:r>
      <w:r>
        <w:rPr>
          <w:spacing w:val="-27"/>
        </w:rPr>
        <w:t xml:space="preserve">能通过，接触面不小于 </w:t>
      </w:r>
      <w:r>
        <w:t>1/3</w:t>
      </w:r>
      <w:r>
        <w:rPr>
          <w:spacing w:val="-1"/>
        </w:rPr>
        <w:t>，主轴无变形，静触头与分接引线接触紧密良</w:t>
      </w:r>
      <w:r>
        <w:t>好，相间、匝间绝缘距离符合要求。</w:t>
      </w:r>
    </w:p>
    <w:p>
      <w:pPr>
        <w:pStyle w:val="BodyText"/>
        <w:spacing w:before="182" w:line="376" w:lineRule="auto"/>
        <w:ind w:left="2553" w:right="1946" w:firstLine="838"/>
        <w:jc w:val="both"/>
      </w:pPr>
      <w:r>
        <w:t>c</w:t>
      </w:r>
      <w:r>
        <w:rPr>
          <w:spacing w:val="-7"/>
        </w:rPr>
        <w:t xml:space="preserve"> 检查有载开关动作顺序应符合制造厂技术要求，有条件应做切换波</w:t>
      </w:r>
      <w:r>
        <w:t>形试验和动作顺序试验，分别与制造厂原始报告对比无明显差别。</w:t>
      </w:r>
    </w:p>
    <w:p>
      <w:pPr>
        <w:pStyle w:val="BodyText"/>
        <w:spacing w:before="172" w:line="374" w:lineRule="auto"/>
        <w:ind w:left="2553" w:right="1863" w:firstLine="838"/>
      </w:pPr>
      <w:r>
        <w:t>d 检查绝缘筒密封情况（一般在放油前检查，可利用本题油位与开关筒油位差检验筒体各密封处是否存在渗漏现象）</w:t>
      </w:r>
    </w:p>
    <w:p>
      <w:pPr>
        <w:pStyle w:val="BodyText"/>
        <w:spacing w:before="182" w:line="374" w:lineRule="auto"/>
        <w:ind w:left="2553" w:right="1827" w:firstLine="838"/>
        <w:jc w:val="both"/>
      </w:pPr>
      <w:r>
        <w:t>F</w:t>
      </w:r>
      <w:r>
        <w:rPr>
          <w:spacing w:val="-11"/>
        </w:rPr>
        <w:t xml:space="preserve"> 紧固部分检查：总要求金属部分紧密无松动现象，有防止松动措施</w:t>
      </w:r>
      <w:r>
        <w:rPr>
          <w:spacing w:val="-12"/>
        </w:rPr>
        <w:t>检查是否良好，对绝缘非金属材料锣丝紧固时不能用力过猛。对线圈轴向</w:t>
      </w:r>
      <w:r>
        <w:t>压紧应面对面均匀压紧，保持三相压紧程度基本一致。</w:t>
      </w:r>
    </w:p>
    <w:p>
      <w:pPr>
        <w:spacing w:after="0" w:line="374" w:lineRule="auto"/>
        <w:jc w:val="both"/>
        <w:sectPr>
          <w:pgSz w:w="17860" w:h="25260"/>
          <w:pgMar w:top="2240" w:right="0" w:bottom="280" w:left="0" w:header="708" w:footer="708"/>
          <w:pgNumType w:start="26"/>
          <w:cols w:space="708"/>
        </w:sectPr>
      </w:pPr>
    </w:p>
    <w:p>
      <w:pPr>
        <w:pStyle w:val="BodyText"/>
        <w:spacing w:before="17" w:line="374" w:lineRule="auto"/>
        <w:ind w:left="2553" w:right="1863" w:firstLine="838"/>
      </w:pPr>
      <w:r>
        <w:t>G 油路检查：导向循环变压器应检查油箱壁油导向隔、导向管密封情况，防止冷却油旁路，影响变压器冷却效果。</w:t>
      </w:r>
    </w:p>
    <w:p>
      <w:pPr>
        <w:pStyle w:val="BodyText"/>
        <w:spacing w:line="376" w:lineRule="auto"/>
        <w:ind w:left="2553" w:right="1726" w:firstLine="838"/>
      </w:pPr>
      <w:r>
        <w:t>H</w:t>
      </w:r>
      <w:r>
        <w:rPr>
          <w:spacing w:val="-11"/>
        </w:rPr>
        <w:t xml:space="preserve"> 油箱检查：所有冷却器阀门关闭状态是否灵活、密封是否良好，指</w:t>
      </w:r>
      <w:r>
        <w:rPr>
          <w:spacing w:val="-22"/>
        </w:rPr>
        <w:t>示是否正确。检查磁电屏蔽装置有否放电痕迹，油箱清扫和焊接砂眼处理。</w:t>
      </w:r>
    </w:p>
    <w:p>
      <w:pPr>
        <w:pStyle w:val="BodyText"/>
        <w:spacing w:line="530" w:lineRule="exact"/>
        <w:ind w:left="3391"/>
      </w:pPr>
      <w:r>
        <w:t>I 器身检查中电气试验：</w:t>
      </w:r>
    </w:p>
    <w:p>
      <w:pPr>
        <w:pStyle w:val="BodyText"/>
        <w:spacing w:before="5"/>
        <w:rPr>
          <w:sz w:val="37"/>
        </w:rPr>
      </w:pPr>
    </w:p>
    <w:p>
      <w:pPr>
        <w:pStyle w:val="BodyText"/>
        <w:spacing w:before="1" w:line="456" w:lineRule="auto"/>
        <w:ind w:left="3391" w:right="3625"/>
      </w:pPr>
      <w:r>
        <w:t>a</w:t>
      </w:r>
      <w:r>
        <w:rPr>
          <w:spacing w:val="-11"/>
        </w:rPr>
        <w:t xml:space="preserve"> 铁心与上下夹件、方铁、压板、底脚板间绝缘电阻测量： </w:t>
      </w:r>
      <w:r>
        <w:t>b</w:t>
      </w:r>
      <w:r>
        <w:rPr>
          <w:spacing w:val="-11"/>
        </w:rPr>
        <w:t xml:space="preserve"> 线圈绝缘电阻测量，吸收比测量;</w:t>
      </w:r>
    </w:p>
    <w:p>
      <w:pPr>
        <w:pStyle w:val="BodyText"/>
        <w:spacing w:line="535" w:lineRule="exact"/>
        <w:ind w:left="3391"/>
      </w:pPr>
      <w:r>
        <w:t>c 直流电阻测量：</w:t>
      </w:r>
    </w:p>
    <w:p>
      <w:pPr>
        <w:pStyle w:val="BodyText"/>
        <w:spacing w:before="6"/>
        <w:rPr>
          <w:sz w:val="37"/>
        </w:rPr>
      </w:pPr>
    </w:p>
    <w:p>
      <w:pPr>
        <w:pStyle w:val="BodyText"/>
        <w:ind w:left="3391"/>
      </w:pPr>
      <w:r>
        <w:t>d 变比测量：</w:t>
      </w:r>
    </w:p>
    <w:p>
      <w:pPr>
        <w:pStyle w:val="Heading4"/>
        <w:spacing w:before="304"/>
      </w:pPr>
      <w:r>
        <w:t>⑷吊回钟罩或大盖：</w:t>
      </w:r>
    </w:p>
    <w:p>
      <w:pPr>
        <w:pStyle w:val="BodyText"/>
        <w:spacing w:before="301" w:line="374" w:lineRule="auto"/>
        <w:ind w:left="2553" w:right="1827"/>
      </w:pPr>
      <w:r>
        <w:rPr>
          <w:spacing w:val="-1"/>
        </w:rPr>
        <w:t>①器身检查完毕后，由工作负责人统一检查确认无遗留物件，上述检查部位均正常，并保持器身清洁，由起重负责人指挥吊回钟罩或大盖，四周栓</w:t>
      </w:r>
      <w:r>
        <w:t>好黄绳，始终保持平稳状态缓慢回装，同时拉出有关引线（</w:t>
      </w:r>
      <w:r>
        <w:rPr>
          <w:spacing w:val="-4"/>
        </w:rPr>
        <w:t>铁心、夹件、</w:t>
      </w:r>
      <w:r>
        <w:rPr>
          <w:w w:val="100"/>
        </w:rPr>
        <w:t>中性点套管</w:t>
      </w:r>
      <w:r>
        <w:rPr>
          <w:spacing w:val="-217"/>
          <w:w w:val="100"/>
        </w:rPr>
        <w:t>）</w:t>
      </w:r>
      <w:r>
        <w:rPr>
          <w:w w:val="100"/>
        </w:rPr>
        <w:t>，若为有载开关应注意绝缘桶与箱壳距离，均匀紧固箱沿锣</w:t>
      </w:r>
      <w:r>
        <w:t>丝。</w:t>
      </w:r>
    </w:p>
    <w:p>
      <w:pPr>
        <w:pStyle w:val="BodyText"/>
        <w:spacing w:before="5"/>
        <w:ind w:left="2553"/>
      </w:pPr>
      <w:r>
        <w:rPr>
          <w:w w:val="100"/>
        </w:rPr>
        <w:t>②安装</w:t>
      </w:r>
      <w:r>
        <w:rPr>
          <w:spacing w:val="-106"/>
        </w:rPr>
        <w:t xml:space="preserve"> </w:t>
      </w:r>
      <w:r>
        <w:rPr>
          <w:w w:val="100"/>
        </w:rPr>
        <w:t>110KV</w:t>
      </w:r>
      <w:r>
        <w:rPr>
          <w:spacing w:val="-111"/>
        </w:rPr>
        <w:t xml:space="preserve"> </w:t>
      </w:r>
      <w:r>
        <w:rPr>
          <w:w w:val="100"/>
        </w:rPr>
        <w:t>套管</w:t>
      </w:r>
      <w:r>
        <w:rPr>
          <w:spacing w:val="-105"/>
        </w:rPr>
        <w:t xml:space="preserve"> </w:t>
      </w:r>
      <w:r>
        <w:rPr>
          <w:w w:val="100"/>
        </w:rPr>
        <w:t>C</w:t>
      </w:r>
      <w:r>
        <w:rPr>
          <w:spacing w:val="-4"/>
          <w:w w:val="100"/>
        </w:rPr>
        <w:t>T</w:t>
      </w:r>
      <w:r>
        <w:rPr>
          <w:spacing w:val="-22"/>
          <w:w w:val="100"/>
        </w:rPr>
        <w:t>，注意发兰斜面上密封圈正确放置，防止密封圈走位。</w:t>
      </w:r>
    </w:p>
    <w:p>
      <w:pPr>
        <w:pStyle w:val="BodyText"/>
        <w:spacing w:before="300" w:line="374" w:lineRule="auto"/>
        <w:ind w:left="2553" w:right="1859"/>
      </w:pPr>
      <w:r>
        <w:rPr>
          <w:w w:val="100"/>
        </w:rPr>
        <w:t>③安装</w:t>
      </w:r>
      <w:r>
        <w:rPr>
          <w:spacing w:val="-106"/>
        </w:rPr>
        <w:t xml:space="preserve"> </w:t>
      </w:r>
      <w:r>
        <w:rPr>
          <w:w w:val="100"/>
        </w:rPr>
        <w:t>110KV</w:t>
      </w:r>
      <w:r>
        <w:rPr>
          <w:spacing w:val="-111"/>
        </w:rPr>
        <w:t xml:space="preserve"> </w:t>
      </w:r>
      <w:r>
        <w:rPr>
          <w:w w:val="100"/>
        </w:rPr>
        <w:t>套管（打开人孔盖板</w:t>
      </w:r>
      <w:r>
        <w:rPr>
          <w:spacing w:val="-221"/>
          <w:w w:val="100"/>
        </w:rPr>
        <w:t>）</w:t>
      </w:r>
      <w:r>
        <w:rPr>
          <w:w w:val="100"/>
        </w:rPr>
        <w:t>，注意捆绑好角度，慢慢吊入</w:t>
      </w:r>
      <w:r>
        <w:rPr>
          <w:spacing w:val="-117"/>
        </w:rPr>
        <w:t xml:space="preserve"> </w:t>
      </w:r>
      <w:r>
        <w:rPr>
          <w:w w:val="100"/>
        </w:rPr>
        <w:t>CT</w:t>
      </w:r>
      <w:r>
        <w:rPr>
          <w:spacing w:val="-110"/>
        </w:rPr>
        <w:t xml:space="preserve"> </w:t>
      </w:r>
      <w:r>
        <w:rPr>
          <w:spacing w:val="-8"/>
          <w:w w:val="100"/>
        </w:rPr>
        <w:t>内，</w:t>
      </w:r>
      <w:r>
        <w:t>并由专人观察并使引线锥进入套管均压球。</w:t>
      </w:r>
    </w:p>
    <w:p>
      <w:pPr>
        <w:pStyle w:val="BodyText"/>
        <w:spacing w:before="3" w:line="374" w:lineRule="auto"/>
        <w:ind w:left="2553" w:right="1827"/>
      </w:pPr>
      <w:r>
        <w:t>④有载开关控制机构与开关连接，应按照制造厂技术要求，做好联校结试验。</w:t>
      </w:r>
    </w:p>
    <w:p>
      <w:pPr>
        <w:pStyle w:val="BodyText"/>
        <w:spacing w:line="374" w:lineRule="auto"/>
        <w:ind w:left="2553" w:right="1690"/>
      </w:pPr>
      <w:r>
        <w:rPr>
          <w:w w:val="100"/>
        </w:rPr>
        <w:t>⑤本体抽真空（真空度应根据制造厂说明书技术要求</w:t>
      </w:r>
      <w:r>
        <w:rPr>
          <w:spacing w:val="-286"/>
          <w:w w:val="100"/>
        </w:rPr>
        <w:t>）</w:t>
      </w:r>
      <w:r>
        <w:rPr>
          <w:spacing w:val="-2"/>
          <w:w w:val="100"/>
        </w:rPr>
        <w:t>，分别确定真空度，</w:t>
      </w:r>
      <w:r>
        <w:rPr>
          <w:spacing w:val="-4"/>
        </w:rPr>
        <w:t xml:space="preserve">一般抽真空时间等于 </w:t>
      </w:r>
      <w:r>
        <w:t>1/3</w:t>
      </w:r>
      <w:r>
        <w:rPr>
          <w:rFonts w:ascii="Symbol" w:eastAsia="Symbol" w:hAnsi="Symbol"/>
        </w:rPr>
        <w:sym w:font="Symbol" w:char="F07E"/>
      </w:r>
      <w:r>
        <w:t>1/2</w:t>
      </w:r>
      <w:r>
        <w:rPr>
          <w:spacing w:val="-5"/>
        </w:rPr>
        <w:t xml:space="preserve"> 暴露空气时间，注油温度宜略高于器身温度</w:t>
      </w:r>
      <w:r>
        <w:rPr>
          <w:spacing w:val="6"/>
        </w:rPr>
        <w:t>。注油速度以</w:t>
      </w:r>
      <w:r>
        <w:t>3</w:t>
      </w:r>
      <w:r>
        <w:rPr>
          <w:rFonts w:ascii="Symbol" w:eastAsia="Symbol" w:hAnsi="Symbol"/>
        </w:rPr>
        <w:sym w:font="Symbol" w:char="F07E"/>
      </w:r>
      <w:r>
        <w:t>5t/h</w:t>
      </w:r>
      <w:r>
        <w:rPr>
          <w:spacing w:val="-6"/>
        </w:rPr>
        <w:t xml:space="preserve"> 注入变压器，距离箱顶</w:t>
      </w:r>
      <w:r>
        <w:t>200mm</w:t>
      </w:r>
      <w:r>
        <w:rPr>
          <w:spacing w:val="-89"/>
        </w:rPr>
        <w:t xml:space="preserve"> 停止。</w:t>
      </w:r>
      <w:r>
        <w:t>（抽真空时应将有载调压开关与本体连通</w:t>
      </w:r>
      <w:r>
        <w:rPr>
          <w:spacing w:val="-225"/>
        </w:rPr>
        <w:t>）</w:t>
      </w:r>
      <w:r>
        <w:t>。</w:t>
      </w:r>
    </w:p>
    <w:p>
      <w:pPr>
        <w:spacing w:after="0" w:line="374" w:lineRule="auto"/>
        <w:sectPr>
          <w:pgSz w:w="17860" w:h="25260"/>
          <w:pgMar w:top="2240" w:right="0" w:bottom="280" w:left="0" w:header="708" w:footer="708"/>
          <w:pgNumType w:start="27"/>
          <w:cols w:space="708"/>
        </w:sectPr>
      </w:pPr>
    </w:p>
    <w:p>
      <w:pPr>
        <w:pStyle w:val="BodyText"/>
        <w:spacing w:before="17"/>
        <w:ind w:left="2553"/>
      </w:pPr>
      <w:r>
        <w:t>⑥安装集器管，注意按照制造厂编号。</w:t>
      </w:r>
    </w:p>
    <w:p>
      <w:pPr>
        <w:pStyle w:val="BodyText"/>
        <w:spacing w:before="301" w:line="374" w:lineRule="auto"/>
        <w:ind w:left="2553" w:right="1898"/>
      </w:pPr>
      <w:r>
        <w:rPr>
          <w:w w:val="100"/>
        </w:rPr>
        <w:t>⑦安装</w:t>
      </w:r>
      <w:r>
        <w:rPr>
          <w:spacing w:val="-106"/>
        </w:rPr>
        <w:t xml:space="preserve"> </w:t>
      </w:r>
      <w:r>
        <w:rPr>
          <w:w w:val="100"/>
        </w:rPr>
        <w:t>110KV</w:t>
      </w:r>
      <w:r>
        <w:rPr>
          <w:spacing w:val="-111"/>
        </w:rPr>
        <w:t xml:space="preserve"> </w:t>
      </w:r>
      <w:r>
        <w:rPr>
          <w:w w:val="100"/>
        </w:rPr>
        <w:t>套管（</w:t>
      </w:r>
      <w:r>
        <w:rPr>
          <w:spacing w:val="5"/>
          <w:w w:val="100"/>
        </w:rPr>
        <w:t>可以在地面将套管与</w:t>
      </w:r>
      <w:r>
        <w:rPr>
          <w:w w:val="100"/>
        </w:rPr>
        <w:t>CT</w:t>
      </w:r>
      <w:r>
        <w:rPr>
          <w:spacing w:val="-109"/>
        </w:rPr>
        <w:t xml:space="preserve"> </w:t>
      </w:r>
      <w:r>
        <w:rPr>
          <w:w w:val="100"/>
        </w:rPr>
        <w:t>组合在一起</w:t>
      </w:r>
      <w:r>
        <w:rPr>
          <w:spacing w:val="-213"/>
          <w:w w:val="100"/>
        </w:rPr>
        <w:t>）</w:t>
      </w:r>
      <w:r>
        <w:rPr>
          <w:spacing w:val="-3"/>
          <w:w w:val="100"/>
        </w:rPr>
        <w:t>，然后整体吊入</w:t>
      </w:r>
      <w:r>
        <w:rPr>
          <w:w w:val="100"/>
        </w:rPr>
        <w:t>器身（打开手孔</w:t>
      </w:r>
      <w:r>
        <w:rPr>
          <w:spacing w:val="-217"/>
          <w:w w:val="100"/>
        </w:rPr>
        <w:t>）</w:t>
      </w:r>
      <w:r>
        <w:rPr>
          <w:w w:val="100"/>
        </w:rPr>
        <w:t>，专人观察引线锥进入套管均压球。</w:t>
      </w:r>
    </w:p>
    <w:p>
      <w:pPr>
        <w:pStyle w:val="BodyText"/>
        <w:spacing w:before="2"/>
        <w:ind w:left="3183"/>
      </w:pPr>
      <w:r>
        <w:t>A 穿缆式电容型套管及引线安装</w:t>
      </w:r>
    </w:p>
    <w:p>
      <w:pPr>
        <w:pStyle w:val="BodyText"/>
        <w:spacing w:before="7"/>
        <w:rPr>
          <w:sz w:val="37"/>
        </w:rPr>
      </w:pPr>
    </w:p>
    <w:p>
      <w:pPr>
        <w:pStyle w:val="BodyText"/>
        <w:spacing w:line="374" w:lineRule="auto"/>
        <w:ind w:left="2553" w:right="1827" w:firstLine="838"/>
        <w:jc w:val="both"/>
      </w:pPr>
      <w:r>
        <w:t>a</w:t>
      </w:r>
      <w:r>
        <w:rPr>
          <w:spacing w:val="-11"/>
        </w:rPr>
        <w:t xml:space="preserve"> 用布或棉纱檫去瓷套及中间法兰筒表面尘土和油污</w:t>
      </w:r>
      <w:r>
        <w:t>（下瓷套切忌用棉纱檫，防止纤维带入器身。卸下均压球、均压环</w:t>
      </w:r>
      <w:r>
        <w:rPr>
          <w:spacing w:val="-240"/>
        </w:rPr>
        <w:t>、</w:t>
      </w:r>
      <w:r>
        <w:t>（除雷诺尔等不能拆卸外）</w:t>
      </w:r>
      <w:r>
        <w:rPr>
          <w:spacing w:val="-3"/>
        </w:rPr>
        <w:t>导电头及“</w:t>
      </w:r>
      <w:r>
        <w:rPr>
          <w:spacing w:val="-12"/>
        </w:rPr>
        <w:t>O</w:t>
      </w:r>
      <w:r>
        <w:rPr>
          <w:spacing w:val="-5"/>
        </w:rPr>
        <w:t>”型密封垫圈等零部件，檫净后包好，对“</w:t>
      </w:r>
      <w:r>
        <w:rPr>
          <w:spacing w:val="-24"/>
        </w:rPr>
        <w:t>O</w:t>
      </w:r>
      <w:r>
        <w:rPr>
          <w:spacing w:val="-6"/>
        </w:rPr>
        <w:t>”型圈应</w:t>
      </w:r>
      <w:r>
        <w:rPr>
          <w:spacing w:val="-15"/>
        </w:rPr>
        <w:t>仔细检查，发现损伤、扭曲、开裂、变形、与密封槽不匹配必须更换</w:t>
      </w:r>
      <w:r>
        <w:rPr>
          <w:spacing w:val="-376"/>
        </w:rPr>
        <w:t>。</w:t>
      </w:r>
      <w:r>
        <w:t>（套</w:t>
      </w:r>
      <w:r>
        <w:rPr>
          <w:spacing w:val="-1"/>
        </w:rPr>
        <w:t>管直立树在露天，雨水会进入均压球，不进行清洗检查，球内积水倾倒在绕组上，引起绕组烧损。下瓷套碰裂，引起缓慢渗油，直至套管油为与储油柜油位相同，瓷套上部严重缺油，会发生放电击穿，造成套管爆炸，可</w:t>
      </w:r>
      <w:r>
        <w:t>能损坏相邻两相，造成三相出口短路。</w:t>
      </w:r>
    </w:p>
    <w:p>
      <w:pPr>
        <w:pStyle w:val="BodyText"/>
        <w:spacing w:before="6" w:line="374" w:lineRule="auto"/>
        <w:ind w:left="2553" w:right="1827" w:firstLine="838"/>
        <w:jc w:val="both"/>
      </w:pPr>
      <w:r>
        <w:t>b</w:t>
      </w:r>
      <w:r>
        <w:rPr>
          <w:spacing w:val="-11"/>
        </w:rPr>
        <w:t xml:space="preserve"> 用铅丝牵引白布球辅以丙酮类来回清洗，直到白布球不见赃污；同</w:t>
      </w:r>
      <w:r>
        <w:rPr>
          <w:spacing w:val="-12"/>
        </w:rPr>
        <w:t>时检查铜管内壁引线进入下口是否存有锋利快口，如有，应用锉刀处理。</w:t>
      </w:r>
      <w:r>
        <w:rPr>
          <w:spacing w:val="-1"/>
        </w:rPr>
        <w:t>均压球未拧紧，成为悬浮导体，局放试验局放量超标，若在运行中会产生</w:t>
      </w:r>
      <w:r>
        <w:t>乙炔不断增加。</w:t>
      </w:r>
    </w:p>
    <w:p>
      <w:pPr>
        <w:pStyle w:val="BodyText"/>
        <w:spacing w:before="2" w:line="374" w:lineRule="auto"/>
        <w:ind w:left="2553" w:right="1827" w:firstLine="838"/>
        <w:jc w:val="both"/>
      </w:pPr>
      <w:r>
        <w:t>c 仔细检查瓷套（特别要注意两端和粘合面）有无裂纹、密封是否完好。发现有渗油现象，一定要查明原因，进行处理，现场无法处理，则应更换套管。</w:t>
      </w:r>
    </w:p>
    <w:p>
      <w:pPr>
        <w:pStyle w:val="BodyText"/>
        <w:spacing w:before="2" w:line="374" w:lineRule="auto"/>
        <w:ind w:left="2553" w:right="1785" w:firstLine="838"/>
      </w:pPr>
      <w:r>
        <w:t>d</w:t>
      </w:r>
      <w:r>
        <w:rPr>
          <w:spacing w:val="-25"/>
        </w:rPr>
        <w:t xml:space="preserve"> 升高座安装前，应做 </w:t>
      </w:r>
      <w:r>
        <w:t>CT</w:t>
      </w:r>
      <w:r>
        <w:rPr>
          <w:spacing w:val="-20"/>
        </w:rPr>
        <w:t xml:space="preserve"> 验收试验</w:t>
      </w:r>
      <w:r>
        <w:t>（</w:t>
      </w:r>
      <w:r>
        <w:rPr>
          <w:spacing w:val="-2"/>
        </w:rPr>
        <w:t>变比、绝缘、伏安特性和密封试</w:t>
      </w:r>
      <w:r>
        <w:rPr>
          <w:w w:val="100"/>
        </w:rPr>
        <w:t>验</w:t>
      </w:r>
      <w:r>
        <w:rPr>
          <w:spacing w:val="-209"/>
          <w:w w:val="100"/>
        </w:rPr>
        <w:t>）</w:t>
      </w:r>
      <w:r>
        <w:rPr>
          <w:spacing w:val="-2"/>
          <w:w w:val="100"/>
        </w:rPr>
        <w:t>，重点检查是否进水，垫块是否松动、</w:t>
      </w:r>
      <w:r>
        <w:rPr>
          <w:w w:val="100"/>
        </w:rPr>
        <w:t>CT</w:t>
      </w:r>
      <w:r>
        <w:rPr>
          <w:spacing w:val="-110"/>
        </w:rPr>
        <w:t xml:space="preserve"> </w:t>
      </w:r>
      <w:r>
        <w:rPr>
          <w:w w:val="100"/>
        </w:rPr>
        <w:t>二次多股引出线是否断股，</w:t>
      </w:r>
      <w:r>
        <w:t>焊接或压接是否可靠（</w:t>
      </w:r>
      <w:r>
        <w:rPr>
          <w:spacing w:val="7"/>
        </w:rPr>
        <w:t>引线脱落引起</w:t>
      </w:r>
      <w:r>
        <w:t>CT</w:t>
      </w:r>
      <w:r>
        <w:rPr>
          <w:spacing w:val="-12"/>
        </w:rPr>
        <w:t xml:space="preserve"> 二次开路或接地短路</w:t>
      </w:r>
      <w:r>
        <w:rPr>
          <w:spacing w:val="-220"/>
        </w:rPr>
        <w:t>）</w:t>
      </w:r>
      <w:r>
        <w:t>。浇注式二次端子板检查是否有开裂痕迹密封结构、紧固不均匀、浇注板材等</w:t>
      </w:r>
    </w:p>
    <w:p>
      <w:pPr>
        <w:pStyle w:val="BodyText"/>
        <w:spacing w:before="1"/>
        <w:ind w:left="3391"/>
      </w:pPr>
      <w:r>
        <w:t>e 按照制造厂标记安装，放气塞位置应在最高处。</w:t>
      </w:r>
    </w:p>
    <w:p>
      <w:pPr>
        <w:spacing w:after="0"/>
        <w:sectPr>
          <w:pgSz w:w="17860" w:h="25260"/>
          <w:pgMar w:top="2240" w:right="0" w:bottom="280" w:left="0" w:header="708" w:footer="708"/>
          <w:pgNumType w:start="28"/>
          <w:cols w:space="708"/>
        </w:sectPr>
      </w:pPr>
    </w:p>
    <w:p>
      <w:pPr>
        <w:pStyle w:val="BodyText"/>
        <w:spacing w:before="17" w:line="374" w:lineRule="auto"/>
        <w:ind w:left="2553" w:right="1827" w:firstLine="838"/>
        <w:jc w:val="both"/>
      </w:pPr>
      <w:r>
        <w:t>f 进入铜管内引线不应有导线外露现象，白纱带破损，应用干燥纱带1/2 交错包扎，进入铜管处引线应尽量居中。引线与铜管相碰，形成键链引线漏磁通短路环，流过很大环流，造成引线烧伤，并使油中总烃增高。引线锥是否进入均压球。否则局部放电会超标。</w:t>
      </w:r>
    </w:p>
    <w:p>
      <w:pPr>
        <w:pStyle w:val="BodyText"/>
        <w:spacing w:before="1" w:line="374" w:lineRule="auto"/>
        <w:ind w:left="2553" w:right="1827" w:firstLine="838"/>
        <w:jc w:val="both"/>
      </w:pPr>
      <w:r>
        <w:t>g</w:t>
      </w:r>
      <w:r>
        <w:rPr>
          <w:spacing w:val="-11"/>
        </w:rPr>
        <w:t xml:space="preserve"> 定位螺母台面必须朝上，否则会造成导电头</w:t>
      </w:r>
      <w:r>
        <w:t>（俗称将军帽）与引线</w:t>
      </w:r>
      <w:r>
        <w:rPr>
          <w:w w:val="100"/>
        </w:rPr>
        <w:t>接触不可靠（无法用专用扳手背紧</w:t>
      </w:r>
      <w:r>
        <w:rPr>
          <w:spacing w:val="-228"/>
          <w:w w:val="100"/>
        </w:rPr>
        <w:t>）</w:t>
      </w:r>
      <w:r>
        <w:rPr>
          <w:w w:val="100"/>
        </w:rPr>
        <w:t>，运行后随着负荷电流增长，会在引</w:t>
      </w:r>
      <w:r>
        <w:rPr>
          <w:spacing w:val="-1"/>
        </w:rPr>
        <w:t>线螺纹处接触电阻增大，慢慢发展成螺纹连接处烧毛发黑，久而久之接触电阻越来越大，发热引起密封破坏，造成套管头部进水或本体油从头部溢</w:t>
      </w:r>
      <w:r>
        <w:rPr>
          <w:spacing w:val="-105"/>
        </w:rPr>
        <w:t>出。</w:t>
      </w:r>
      <w:r>
        <w:t>（沿引线漏至线端，引起绕组烧毁）</w:t>
      </w:r>
    </w:p>
    <w:p>
      <w:pPr>
        <w:pStyle w:val="BodyText"/>
        <w:spacing w:before="5"/>
        <w:ind w:left="3391"/>
      </w:pPr>
      <w:r>
        <w:t>B 导杆式套管及引线安装要点</w:t>
      </w:r>
    </w:p>
    <w:p>
      <w:pPr>
        <w:pStyle w:val="BodyText"/>
        <w:spacing w:before="6"/>
        <w:rPr>
          <w:sz w:val="37"/>
        </w:rPr>
      </w:pPr>
    </w:p>
    <w:p>
      <w:pPr>
        <w:pStyle w:val="BodyText"/>
        <w:spacing w:line="374" w:lineRule="auto"/>
        <w:ind w:left="2553" w:right="1863" w:firstLine="838"/>
      </w:pPr>
      <w:r>
        <w:t>a 一般导杆式套管用于大电流，所以必须确保接触可靠。连接后应测量接触电阻，以免注油后，整体接触电阻不合格。</w:t>
      </w:r>
    </w:p>
    <w:p>
      <w:pPr>
        <w:pStyle w:val="BodyText"/>
        <w:spacing w:before="183" w:line="374" w:lineRule="auto"/>
        <w:ind w:left="2553" w:right="1937" w:firstLine="838"/>
      </w:pPr>
      <w:r>
        <w:t>b</w:t>
      </w:r>
      <w:r>
        <w:rPr>
          <w:spacing w:val="-10"/>
        </w:rPr>
        <w:t xml:space="preserve"> 做好防止工具、螺丝、螺母、垫片滑入油箱措施</w:t>
      </w:r>
      <w:r>
        <w:t>（</w:t>
      </w:r>
      <w:r>
        <w:rPr>
          <w:spacing w:val="-3"/>
        </w:rPr>
        <w:t>可用干净塑料布</w:t>
      </w:r>
      <w:r>
        <w:rPr>
          <w:w w:val="100"/>
        </w:rPr>
        <w:t>开口套入引线</w:t>
      </w:r>
      <w:r>
        <w:rPr>
          <w:spacing w:val="-217"/>
          <w:w w:val="100"/>
        </w:rPr>
        <w:t>）</w:t>
      </w:r>
      <w:r>
        <w:rPr>
          <w:w w:val="100"/>
        </w:rPr>
        <w:t>，清点好工具、紧固螺栓，用纱带系住死扳手）</w:t>
      </w:r>
    </w:p>
    <w:p>
      <w:pPr>
        <w:pStyle w:val="BodyText"/>
        <w:spacing w:before="179" w:line="376" w:lineRule="auto"/>
        <w:ind w:left="2553" w:right="1863" w:firstLine="838"/>
      </w:pPr>
      <w:r>
        <w:t>c 对于软铜片引线，连接后要检查相间、对地和股间绝缘距离，使之符合标准规定。对于片间要有可见稳定油间隙。</w:t>
      </w:r>
    </w:p>
    <w:p>
      <w:pPr>
        <w:pStyle w:val="BodyText"/>
        <w:spacing w:before="171" w:line="374" w:lineRule="auto"/>
        <w:ind w:left="2553" w:right="1827"/>
      </w:pPr>
      <w:r>
        <w:t>⑧安装冷却器，先对上法兰，后对下法兰，均匀紧固锣栓，注意密封圈放置正确和发蓝面清洁，在支架或拉杆未收紧时，严禁松脱起吊钢丝绳。</w:t>
      </w:r>
    </w:p>
    <w:p>
      <w:pPr>
        <w:pStyle w:val="BodyText"/>
        <w:spacing w:before="4"/>
        <w:ind w:left="2553"/>
      </w:pPr>
      <w:r>
        <w:t>⑨安装冷却油泵，注意进出口法兰密封圈正确放置，均匀紧固锣栓。</w:t>
      </w:r>
    </w:p>
    <w:p>
      <w:pPr>
        <w:pStyle w:val="BodyText"/>
        <w:spacing w:before="300"/>
        <w:ind w:left="2553"/>
      </w:pPr>
      <w:r>
        <w:t>⑩安装油流继电器。</w:t>
      </w:r>
    </w:p>
    <w:p>
      <w:pPr>
        <w:pStyle w:val="BodyText"/>
        <w:rPr>
          <w:sz w:val="20"/>
        </w:rPr>
      </w:pPr>
    </w:p>
    <w:p>
      <w:pPr>
        <w:pStyle w:val="BodyText"/>
        <w:spacing w:before="3"/>
        <w:rPr>
          <w:sz w:val="14"/>
        </w:rPr>
      </w:pPr>
    </w:p>
    <w:p>
      <w:pPr>
        <w:pStyle w:val="BodyText"/>
        <w:spacing w:before="42"/>
        <w:ind w:left="2553"/>
      </w:pPr>
      <w:r>
        <w:rPr>
          <w:rFonts w:ascii="黑体" w:eastAsia="黑体" w:hAnsi="黑体" w:hint="eastAsia"/>
          <w:spacing w:val="-353"/>
          <w:w w:val="100"/>
        </w:rPr>
        <w:t>○</w:t>
      </w:r>
      <w:r>
        <w:rPr>
          <w:rFonts w:ascii="黑体" w:eastAsia="黑体" w:hAnsi="黑体" w:hint="eastAsia"/>
          <w:w w:val="101"/>
          <w:position w:val="-6"/>
          <w:sz w:val="28"/>
        </w:rPr>
        <w:t>11</w:t>
      </w:r>
      <w:r>
        <w:rPr>
          <w:rFonts w:ascii="黑体" w:eastAsia="黑体" w:hAnsi="黑体" w:hint="eastAsia"/>
          <w:spacing w:val="-72"/>
          <w:position w:val="-6"/>
          <w:sz w:val="28"/>
        </w:rPr>
        <w:t xml:space="preserve"> </w:t>
      </w:r>
      <w:r>
        <w:rPr>
          <w:w w:val="100"/>
        </w:rPr>
        <w:t>安装压力释放阀，注意安装角度，便于试验、接线和喷油方向。</w:t>
      </w:r>
    </w:p>
    <w:p>
      <w:pPr>
        <w:pStyle w:val="BodyText"/>
        <w:rPr>
          <w:sz w:val="20"/>
        </w:rPr>
      </w:pPr>
    </w:p>
    <w:p>
      <w:pPr>
        <w:pStyle w:val="BodyText"/>
        <w:spacing w:before="198" w:line="360" w:lineRule="auto"/>
        <w:ind w:left="2553" w:right="1827"/>
      </w:pPr>
      <w:r>
        <w:rPr>
          <w:rFonts w:ascii="黑体" w:eastAsia="黑体" w:hAnsi="黑体" w:hint="eastAsia"/>
          <w:spacing w:val="-353"/>
          <w:w w:val="100"/>
        </w:rPr>
        <w:t>○</w:t>
      </w:r>
      <w:r>
        <w:rPr>
          <w:rFonts w:ascii="黑体" w:eastAsia="黑体" w:hAnsi="黑体" w:hint="eastAsia"/>
          <w:w w:val="101"/>
          <w:position w:val="-6"/>
          <w:sz w:val="28"/>
        </w:rPr>
        <w:t>12</w:t>
      </w:r>
      <w:r>
        <w:rPr>
          <w:rFonts w:ascii="黑体" w:eastAsia="黑体" w:hAnsi="黑体" w:hint="eastAsia"/>
          <w:spacing w:val="-72"/>
          <w:position w:val="-6"/>
          <w:sz w:val="28"/>
        </w:rPr>
        <w:t xml:space="preserve"> </w:t>
      </w:r>
      <w:r>
        <w:rPr>
          <w:w w:val="100"/>
        </w:rPr>
        <w:t>安装油枕与瓦斯继电器，注意不要把油枕支架锣栓拧死，待瓦斯</w:t>
      </w:r>
      <w:r>
        <w:t xml:space="preserve"> </w:t>
      </w:r>
      <w:r>
        <w:rPr>
          <w:w w:val="100"/>
        </w:rPr>
        <w:t>继电</w:t>
      </w:r>
      <w:r>
        <w:rPr>
          <w:spacing w:val="-1"/>
        </w:rPr>
        <w:t>器连接完再紧固油枕支架锣栓。安装油枕呼吸管及吸湿器，安装进出油管</w:t>
      </w:r>
    </w:p>
    <w:p>
      <w:pPr>
        <w:spacing w:after="0" w:line="360" w:lineRule="auto"/>
        <w:sectPr>
          <w:pgSz w:w="17860" w:h="25260"/>
          <w:pgMar w:top="2240" w:right="0" w:bottom="280" w:left="0" w:header="708" w:footer="708"/>
          <w:pgNumType w:start="29"/>
          <w:cols w:space="708"/>
        </w:sectPr>
      </w:pPr>
    </w:p>
    <w:p>
      <w:pPr>
        <w:pStyle w:val="BodyText"/>
        <w:spacing w:before="17"/>
        <w:ind w:left="2553"/>
      </w:pPr>
      <w:r>
        <w:t>和阀门。</w:t>
      </w:r>
    </w:p>
    <w:p>
      <w:pPr>
        <w:pStyle w:val="BodyText"/>
        <w:rPr>
          <w:sz w:val="20"/>
        </w:rPr>
      </w:pPr>
    </w:p>
    <w:p>
      <w:pPr>
        <w:pStyle w:val="BodyText"/>
        <w:spacing w:before="3"/>
        <w:rPr>
          <w:sz w:val="14"/>
        </w:rPr>
      </w:pPr>
    </w:p>
    <w:p>
      <w:pPr>
        <w:pStyle w:val="BodyText"/>
        <w:spacing w:before="42" w:line="360" w:lineRule="auto"/>
        <w:ind w:left="2553" w:right="1951"/>
      </w:pPr>
      <w:r>
        <w:rPr>
          <w:rFonts w:ascii="黑体" w:eastAsia="黑体" w:hAnsi="黑体" w:hint="eastAsia"/>
          <w:spacing w:val="-353"/>
          <w:w w:val="100"/>
        </w:rPr>
        <w:t>○</w:t>
      </w:r>
      <w:r>
        <w:rPr>
          <w:rFonts w:ascii="黑体" w:eastAsia="黑体" w:hAnsi="黑体" w:hint="eastAsia"/>
          <w:w w:val="101"/>
          <w:position w:val="-6"/>
          <w:sz w:val="28"/>
        </w:rPr>
        <w:t>13</w:t>
      </w:r>
      <w:r>
        <w:rPr>
          <w:rFonts w:ascii="黑体" w:eastAsia="黑体" w:hAnsi="黑体" w:hint="eastAsia"/>
          <w:spacing w:val="-72"/>
          <w:position w:val="-6"/>
          <w:sz w:val="28"/>
        </w:rPr>
        <w:t xml:space="preserve"> </w:t>
      </w:r>
      <w:r>
        <w:rPr>
          <w:spacing w:val="-25"/>
          <w:w w:val="100"/>
        </w:rPr>
        <w:t>安装温度计，注意温度计毛细管走向、固定，多余护套毛细管应盘为</w:t>
      </w:r>
      <w:r>
        <w:rPr>
          <w:spacing w:val="-25"/>
        </w:rPr>
        <w:t xml:space="preserve"> </w:t>
      </w:r>
      <w:r>
        <w:rPr>
          <w:spacing w:val="-5"/>
          <w:w w:val="100"/>
        </w:rPr>
        <w:t>150</w:t>
      </w:r>
      <w:r>
        <w:rPr>
          <w:spacing w:val="-10"/>
        </w:rPr>
        <w:t xml:space="preserve">毫米以上环圆状，并每隔 </w:t>
      </w:r>
      <w:r>
        <w:t>300</w:t>
      </w:r>
      <w:r>
        <w:rPr>
          <w:spacing w:val="-16"/>
        </w:rPr>
        <w:t xml:space="preserve"> 毫米做好固定。</w:t>
      </w:r>
    </w:p>
    <w:p>
      <w:pPr>
        <w:pStyle w:val="BodyText"/>
        <w:spacing w:before="8"/>
        <w:rPr>
          <w:sz w:val="13"/>
        </w:rPr>
      </w:pPr>
    </w:p>
    <w:p>
      <w:pPr>
        <w:spacing w:before="42"/>
        <w:ind w:left="2553" w:right="0" w:firstLine="0"/>
        <w:jc w:val="left"/>
        <w:rPr>
          <w:sz w:val="42"/>
        </w:rPr>
      </w:pPr>
      <w:r>
        <w:rPr>
          <w:rFonts w:ascii="黑体" w:eastAsia="黑体" w:hAnsi="黑体" w:hint="eastAsia"/>
          <w:spacing w:val="-353"/>
          <w:w w:val="100"/>
          <w:sz w:val="42"/>
        </w:rPr>
        <w:t>○</w:t>
      </w:r>
      <w:r>
        <w:rPr>
          <w:rFonts w:ascii="黑体" w:eastAsia="黑体" w:hAnsi="黑体" w:hint="eastAsia"/>
          <w:w w:val="101"/>
          <w:position w:val="-6"/>
          <w:sz w:val="28"/>
        </w:rPr>
        <w:t>14</w:t>
      </w:r>
      <w:r>
        <w:rPr>
          <w:rFonts w:ascii="黑体" w:eastAsia="黑体" w:hAnsi="黑体" w:hint="eastAsia"/>
          <w:spacing w:val="-72"/>
          <w:position w:val="-6"/>
          <w:sz w:val="28"/>
        </w:rPr>
        <w:t xml:space="preserve"> </w:t>
      </w:r>
      <w:r>
        <w:rPr>
          <w:w w:val="100"/>
          <w:sz w:val="42"/>
        </w:rPr>
        <w:t>变压器整体补油：</w:t>
      </w:r>
    </w:p>
    <w:p>
      <w:pPr>
        <w:pStyle w:val="BodyText"/>
        <w:spacing w:before="11"/>
        <w:rPr>
          <w:sz w:val="29"/>
        </w:rPr>
      </w:pPr>
    </w:p>
    <w:p>
      <w:pPr>
        <w:pStyle w:val="BodyText"/>
        <w:spacing w:before="42" w:line="362" w:lineRule="auto"/>
        <w:ind w:left="2553" w:right="1863" w:firstLine="838"/>
      </w:pPr>
      <w:r>
        <w:t>A 逐组打开冷却器下阀门和冷却器或连管上放气塞，油泵放气塞，使油溢出，再打开上部阀门。</w:t>
      </w:r>
    </w:p>
    <w:p>
      <w:pPr>
        <w:pStyle w:val="BodyText"/>
        <w:spacing w:before="176" w:line="362" w:lineRule="auto"/>
        <w:ind w:left="2553" w:right="1742" w:firstLine="838"/>
      </w:pPr>
      <w:r>
        <w:t>B</w:t>
      </w:r>
      <w:r>
        <w:rPr>
          <w:spacing w:val="-18"/>
        </w:rPr>
        <w:t xml:space="preserve"> 打开油枕顶部放气塞、隔膜油枕打开油枕顶盖和隔膜塞子、呼吸器、</w:t>
      </w:r>
      <w:r>
        <w:t>油枕出油管阀门。</w:t>
      </w:r>
    </w:p>
    <w:p>
      <w:pPr>
        <w:pStyle w:val="BodyText"/>
        <w:spacing w:before="175" w:line="362" w:lineRule="auto"/>
        <w:ind w:left="2553" w:right="1827" w:firstLine="838"/>
      </w:pPr>
      <w:r>
        <w:t>C 从底部或油枕进油管进油，若为胶囊油枕应全部注满油，再放油至相对应温度油位指示。若为隔膜油枕注油至相对应、温度油位指示即可。</w:t>
      </w:r>
    </w:p>
    <w:p>
      <w:pPr>
        <w:pStyle w:val="BodyText"/>
        <w:spacing w:before="175" w:line="362" w:lineRule="auto"/>
        <w:ind w:left="2553" w:right="1863" w:firstLine="838"/>
      </w:pPr>
      <w:r>
        <w:t>D 变压器各放气塞逐一排气，注意不要一下把全部放气塞打开，防止因呼吸量不够，造成假油位。</w:t>
      </w:r>
    </w:p>
    <w:p>
      <w:pPr>
        <w:pStyle w:val="BodyText"/>
        <w:spacing w:before="175" w:line="362" w:lineRule="auto"/>
        <w:ind w:left="2553" w:right="1952" w:firstLine="838"/>
      </w:pPr>
      <w:r>
        <w:rPr>
          <w:w w:val="100"/>
        </w:rPr>
        <w:t>E</w:t>
      </w:r>
      <w:r>
        <w:rPr>
          <w:spacing w:val="-108"/>
        </w:rPr>
        <w:t xml:space="preserve"> </w:t>
      </w:r>
      <w:r>
        <w:rPr>
          <w:w w:val="100"/>
        </w:rPr>
        <w:t>变压器静放</w:t>
      </w:r>
      <w:r>
        <w:rPr>
          <w:spacing w:val="-105"/>
        </w:rPr>
        <w:t xml:space="preserve"> </w:t>
      </w:r>
      <w:r>
        <w:rPr>
          <w:w w:val="100"/>
        </w:rPr>
        <w:t>24h</w:t>
      </w:r>
      <w:r>
        <w:rPr>
          <w:spacing w:val="-111"/>
        </w:rPr>
        <w:t xml:space="preserve"> </w:t>
      </w:r>
      <w:r>
        <w:rPr>
          <w:spacing w:val="-9"/>
          <w:w w:val="100"/>
        </w:rPr>
        <w:t>后，再进行一次放气</w:t>
      </w:r>
      <w:r>
        <w:rPr>
          <w:spacing w:val="-285"/>
          <w:w w:val="100"/>
        </w:rPr>
        <w:t>，</w:t>
      </w:r>
      <w:r>
        <w:rPr>
          <w:w w:val="100"/>
        </w:rPr>
        <w:t>（</w:t>
      </w:r>
      <w:r>
        <w:rPr>
          <w:spacing w:val="-9"/>
          <w:w w:val="100"/>
        </w:rPr>
        <w:t>若遇有热虹吸安装完毕，第</w:t>
      </w:r>
      <w:r>
        <w:t>一次放气后，应关闭上下蝶阀，等多次放气后，再打开上下蝶阀</w:t>
      </w:r>
      <w:r>
        <w:rPr>
          <w:spacing w:val="-247"/>
        </w:rPr>
        <w:t>）</w:t>
      </w:r>
      <w:r>
        <w:t>。</w:t>
      </w:r>
    </w:p>
    <w:p>
      <w:pPr>
        <w:pStyle w:val="BodyText"/>
        <w:spacing w:before="5"/>
        <w:rPr>
          <w:sz w:val="10"/>
        </w:rPr>
      </w:pPr>
    </w:p>
    <w:p>
      <w:pPr>
        <w:pStyle w:val="BodyText"/>
        <w:tabs>
          <w:tab w:val="left" w:pos="3182"/>
        </w:tabs>
        <w:spacing w:before="42" w:line="348" w:lineRule="auto"/>
        <w:ind w:left="2553" w:right="1737"/>
      </w:pPr>
      <w:r>
        <w:rPr>
          <w:rFonts w:ascii="黑体" w:eastAsia="黑体" w:hAnsi="黑体" w:hint="eastAsia"/>
          <w:spacing w:val="-353"/>
          <w:w w:val="100"/>
        </w:rPr>
        <w:t>○</w:t>
      </w:r>
      <w:r>
        <w:rPr>
          <w:rFonts w:ascii="黑体" w:eastAsia="黑体" w:hAnsi="黑体" w:hint="eastAsia"/>
          <w:w w:val="101"/>
          <w:position w:val="-6"/>
          <w:sz w:val="28"/>
        </w:rPr>
        <w:t>15</w:t>
      </w:r>
      <w:r>
        <w:rPr>
          <w:rFonts w:ascii="黑体" w:eastAsia="黑体" w:hAnsi="黑体" w:hint="eastAsia"/>
          <w:position w:val="-6"/>
          <w:sz w:val="28"/>
        </w:rPr>
        <w:tab/>
      </w:r>
      <w:r>
        <w:rPr>
          <w:spacing w:val="-11"/>
          <w:w w:val="100"/>
        </w:rPr>
        <w:t>冷却风控、强油风控回路控制电缆接线及调试</w:t>
      </w:r>
      <w:r>
        <w:rPr>
          <w:spacing w:val="-333"/>
          <w:w w:val="100"/>
        </w:rPr>
        <w:t>。</w:t>
      </w:r>
      <w:r>
        <w:rPr>
          <w:w w:val="100"/>
        </w:rPr>
        <w:t>（</w:t>
      </w:r>
      <w:r>
        <w:rPr>
          <w:spacing w:val="-15"/>
          <w:w w:val="100"/>
        </w:rPr>
        <w:t>工作状态、备用状态、</w:t>
      </w:r>
      <w:r>
        <w:t>辅助状态、Ⅰ、Ⅱ段电源互切</w:t>
      </w:r>
      <w:r>
        <w:rPr>
          <w:spacing w:val="-228"/>
        </w:rPr>
        <w:t>、</w:t>
      </w:r>
      <w:r>
        <w:t>（查阅强油循环调试要求）</w:t>
      </w:r>
    </w:p>
    <w:p>
      <w:pPr>
        <w:pStyle w:val="BodyText"/>
        <w:spacing w:before="209"/>
        <w:ind w:left="2553"/>
      </w:pPr>
      <w:r>
        <w:t>⑸试验：</w:t>
      </w:r>
    </w:p>
    <w:p>
      <w:pPr>
        <w:pStyle w:val="BodyText"/>
        <w:spacing w:before="272"/>
        <w:ind w:left="3183"/>
      </w:pPr>
      <w:r>
        <w:t>①直流电阻测试；</w:t>
      </w:r>
    </w:p>
    <w:p>
      <w:pPr>
        <w:pStyle w:val="BodyText"/>
        <w:spacing w:before="4"/>
        <w:rPr>
          <w:sz w:val="35"/>
        </w:rPr>
      </w:pPr>
    </w:p>
    <w:p>
      <w:pPr>
        <w:pStyle w:val="BodyText"/>
        <w:ind w:left="3183"/>
      </w:pPr>
      <w:r>
        <w:t>②变比测量；</w:t>
      </w:r>
    </w:p>
    <w:p>
      <w:pPr>
        <w:pStyle w:val="BodyText"/>
        <w:spacing w:before="3"/>
        <w:rPr>
          <w:sz w:val="35"/>
        </w:rPr>
      </w:pPr>
    </w:p>
    <w:p>
      <w:pPr>
        <w:pStyle w:val="BodyText"/>
        <w:ind w:left="3183"/>
      </w:pPr>
      <w:r>
        <w:t>③铁心绝缘电阻测试；</w:t>
      </w:r>
    </w:p>
    <w:p>
      <w:pPr>
        <w:pStyle w:val="BodyText"/>
        <w:spacing w:before="4"/>
        <w:rPr>
          <w:sz w:val="35"/>
        </w:rPr>
      </w:pPr>
    </w:p>
    <w:p>
      <w:pPr>
        <w:pStyle w:val="BodyText"/>
        <w:ind w:left="3183"/>
      </w:pPr>
      <w:r>
        <w:t>④夹件绝缘电阻测试；</w:t>
      </w:r>
    </w:p>
    <w:p>
      <w:pPr>
        <w:pStyle w:val="BodyText"/>
        <w:spacing w:before="3"/>
        <w:rPr>
          <w:sz w:val="35"/>
        </w:rPr>
      </w:pPr>
    </w:p>
    <w:p>
      <w:pPr>
        <w:pStyle w:val="BodyText"/>
        <w:ind w:left="3183"/>
      </w:pPr>
      <w:r>
        <w:t>⑤绝缘电阻吸收比、极化指数测量；</w:t>
      </w:r>
    </w:p>
    <w:p>
      <w:pPr>
        <w:spacing w:after="0"/>
        <w:sectPr>
          <w:pgSz w:w="17860" w:h="25260"/>
          <w:pgMar w:top="2240" w:right="0" w:bottom="280" w:left="0" w:header="708" w:footer="708"/>
          <w:pgNumType w:start="30"/>
          <w:cols w:space="708"/>
        </w:sectPr>
      </w:pPr>
    </w:p>
    <w:p>
      <w:pPr>
        <w:pStyle w:val="BodyText"/>
        <w:spacing w:before="12"/>
        <w:ind w:left="3183"/>
        <w:rPr>
          <w:rFonts w:ascii="幼圆" w:eastAsia="幼圆" w:hAnsi="幼圆" w:hint="eastAsia"/>
        </w:rPr>
      </w:pPr>
      <w:r>
        <w:rPr>
          <w:rFonts w:ascii="幼圆" w:eastAsia="幼圆" w:hAnsi="幼圆" w:hint="eastAsia"/>
        </w:rPr>
        <w:t>⑥解质损耗tg %测量；</w:t>
      </w:r>
    </w:p>
    <w:p>
      <w:pPr>
        <w:pStyle w:val="BodyText"/>
        <w:spacing w:before="3"/>
        <w:rPr>
          <w:rFonts w:ascii="幼圆"/>
          <w:sz w:val="35"/>
        </w:rPr>
      </w:pPr>
    </w:p>
    <w:p>
      <w:pPr>
        <w:pStyle w:val="BodyText"/>
        <w:spacing w:before="1"/>
        <w:ind w:left="3183"/>
        <w:rPr>
          <w:rFonts w:ascii="幼圆" w:eastAsia="幼圆" w:hAnsi="幼圆" w:hint="eastAsia"/>
        </w:rPr>
      </w:pPr>
      <w:r>
        <w:rPr>
          <w:rFonts w:ascii="幼圆" w:eastAsia="幼圆" w:hAnsi="幼圆" w:hint="eastAsia"/>
        </w:rPr>
        <w:t>⑦泄漏电流测试；</w:t>
      </w:r>
    </w:p>
    <w:p>
      <w:pPr>
        <w:pStyle w:val="BodyText"/>
        <w:spacing w:before="3"/>
        <w:rPr>
          <w:rFonts w:ascii="幼圆"/>
          <w:sz w:val="35"/>
        </w:rPr>
      </w:pPr>
    </w:p>
    <w:p>
      <w:pPr>
        <w:pStyle w:val="BodyText"/>
        <w:ind w:left="3183"/>
        <w:rPr>
          <w:rFonts w:ascii="幼圆" w:eastAsia="幼圆" w:hAnsi="幼圆" w:hint="eastAsia"/>
        </w:rPr>
      </w:pPr>
      <w:r>
        <w:rPr>
          <w:rFonts w:ascii="幼圆" w:eastAsia="幼圆" w:hAnsi="幼圆" w:hint="eastAsia"/>
        </w:rPr>
        <w:t>⑧有载开关顺序和波形测试；</w:t>
      </w:r>
    </w:p>
    <w:p>
      <w:pPr>
        <w:pStyle w:val="BodyText"/>
        <w:spacing w:before="3"/>
        <w:rPr>
          <w:rFonts w:ascii="幼圆"/>
          <w:sz w:val="35"/>
        </w:rPr>
      </w:pPr>
    </w:p>
    <w:p>
      <w:pPr>
        <w:pStyle w:val="BodyText"/>
        <w:ind w:left="3183"/>
        <w:rPr>
          <w:rFonts w:ascii="幼圆" w:eastAsia="幼圆" w:hAnsi="幼圆" w:hint="eastAsia"/>
        </w:rPr>
      </w:pPr>
      <w:r>
        <w:rPr>
          <w:rFonts w:ascii="幼圆" w:eastAsia="幼圆" w:hAnsi="幼圆" w:hint="eastAsia"/>
        </w:rPr>
        <w:t>⑨耐压试验；</w:t>
      </w:r>
    </w:p>
    <w:p>
      <w:pPr>
        <w:pStyle w:val="BodyText"/>
        <w:spacing w:before="4"/>
        <w:rPr>
          <w:rFonts w:ascii="幼圆"/>
          <w:sz w:val="35"/>
        </w:rPr>
      </w:pPr>
    </w:p>
    <w:p>
      <w:pPr>
        <w:pStyle w:val="BodyText"/>
        <w:ind w:left="3183"/>
        <w:rPr>
          <w:rFonts w:ascii="幼圆" w:eastAsia="幼圆" w:hAnsi="幼圆" w:hint="eastAsia"/>
        </w:rPr>
      </w:pPr>
      <w:r>
        <w:rPr>
          <w:rFonts w:ascii="幼圆" w:eastAsia="幼圆" w:hAnsi="幼圆" w:hint="eastAsia"/>
        </w:rPr>
        <w:t>⑩局部放电测量；</w:t>
      </w:r>
    </w:p>
    <w:p>
      <w:pPr>
        <w:pStyle w:val="BodyText"/>
        <w:rPr>
          <w:rFonts w:ascii="幼圆"/>
          <w:sz w:val="20"/>
        </w:rPr>
      </w:pPr>
    </w:p>
    <w:p>
      <w:pPr>
        <w:spacing w:before="195"/>
        <w:ind w:left="3183" w:right="0" w:firstLine="0"/>
        <w:jc w:val="left"/>
        <w:rPr>
          <w:rFonts w:ascii="幼圆" w:eastAsia="幼圆" w:hAnsi="幼圆" w:hint="eastAsia"/>
          <w:sz w:val="42"/>
        </w:rPr>
      </w:pPr>
      <w:r>
        <w:rPr>
          <w:rFonts w:ascii="幼圆" w:eastAsia="幼圆" w:hAnsi="幼圆" w:hint="eastAsia"/>
          <w:spacing w:val="-353"/>
          <w:w w:val="100"/>
          <w:sz w:val="42"/>
        </w:rPr>
        <w:t>○</w:t>
      </w:r>
      <w:r>
        <w:rPr>
          <w:rFonts w:ascii="幼圆" w:eastAsia="幼圆" w:hAnsi="幼圆" w:hint="eastAsia"/>
          <w:w w:val="101"/>
          <w:position w:val="-6"/>
          <w:sz w:val="28"/>
        </w:rPr>
        <w:t>11</w:t>
      </w:r>
      <w:r>
        <w:rPr>
          <w:rFonts w:ascii="幼圆" w:eastAsia="幼圆" w:hAnsi="幼圆" w:hint="eastAsia"/>
          <w:spacing w:val="-72"/>
          <w:position w:val="-6"/>
          <w:sz w:val="28"/>
        </w:rPr>
        <w:t xml:space="preserve"> </w:t>
      </w:r>
      <w:r>
        <w:rPr>
          <w:rFonts w:ascii="幼圆" w:eastAsia="幼圆" w:hAnsi="幼圆" w:hint="eastAsia"/>
          <w:w w:val="100"/>
          <w:sz w:val="42"/>
        </w:rPr>
        <w:t>油化学、色谱试验；</w:t>
      </w:r>
    </w:p>
    <w:p>
      <w:pPr>
        <w:pStyle w:val="BodyText"/>
        <w:rPr>
          <w:rFonts w:ascii="幼圆"/>
          <w:sz w:val="20"/>
        </w:rPr>
      </w:pPr>
    </w:p>
    <w:p>
      <w:pPr>
        <w:spacing w:before="166"/>
        <w:ind w:left="3183" w:right="0" w:firstLine="0"/>
        <w:jc w:val="left"/>
        <w:rPr>
          <w:rFonts w:ascii="幼圆" w:eastAsia="幼圆" w:hAnsi="幼圆" w:hint="eastAsia"/>
          <w:sz w:val="42"/>
        </w:rPr>
      </w:pPr>
      <w:r>
        <w:rPr>
          <w:rFonts w:ascii="幼圆" w:eastAsia="幼圆" w:hAnsi="幼圆" w:hint="eastAsia"/>
          <w:spacing w:val="-353"/>
          <w:w w:val="100"/>
          <w:sz w:val="42"/>
        </w:rPr>
        <w:t>○</w:t>
      </w:r>
      <w:r>
        <w:rPr>
          <w:rFonts w:ascii="幼圆" w:eastAsia="幼圆" w:hAnsi="幼圆" w:hint="eastAsia"/>
          <w:w w:val="101"/>
          <w:position w:val="-6"/>
          <w:sz w:val="28"/>
        </w:rPr>
        <w:t>12</w:t>
      </w:r>
      <w:r>
        <w:rPr>
          <w:rFonts w:ascii="幼圆" w:eastAsia="幼圆" w:hAnsi="幼圆" w:hint="eastAsia"/>
          <w:spacing w:val="-72"/>
          <w:position w:val="-6"/>
          <w:sz w:val="28"/>
        </w:rPr>
        <w:t xml:space="preserve"> </w:t>
      </w:r>
      <w:r>
        <w:rPr>
          <w:rFonts w:ascii="幼圆" w:eastAsia="幼圆" w:hAnsi="幼圆" w:hint="eastAsia"/>
          <w:w w:val="100"/>
          <w:sz w:val="42"/>
        </w:rPr>
        <w:t>密封试验；</w:t>
      </w:r>
    </w:p>
    <w:p>
      <w:pPr>
        <w:pStyle w:val="BodyText"/>
        <w:rPr>
          <w:rFonts w:ascii="幼圆"/>
          <w:sz w:val="20"/>
        </w:rPr>
      </w:pPr>
    </w:p>
    <w:p>
      <w:pPr>
        <w:pStyle w:val="BodyText"/>
        <w:spacing w:before="165"/>
        <w:ind w:left="3183"/>
        <w:rPr>
          <w:rFonts w:ascii="幼圆" w:eastAsia="幼圆" w:hAnsi="幼圆" w:hint="eastAsia"/>
        </w:rPr>
      </w:pPr>
      <w:r>
        <w:rPr>
          <w:rFonts w:ascii="幼圆" w:eastAsia="幼圆" w:hAnsi="幼圆" w:hint="eastAsia"/>
          <w:spacing w:val="-353"/>
          <w:w w:val="100"/>
        </w:rPr>
        <w:t>○</w:t>
      </w:r>
      <w:r>
        <w:rPr>
          <w:rFonts w:ascii="幼圆" w:eastAsia="幼圆" w:hAnsi="幼圆" w:hint="eastAsia"/>
          <w:w w:val="101"/>
          <w:position w:val="-6"/>
          <w:sz w:val="28"/>
        </w:rPr>
        <w:t>13</w:t>
      </w:r>
      <w:r>
        <w:rPr>
          <w:rFonts w:ascii="幼圆" w:eastAsia="幼圆" w:hAnsi="幼圆" w:hint="eastAsia"/>
          <w:spacing w:val="-72"/>
          <w:position w:val="-6"/>
          <w:sz w:val="28"/>
        </w:rPr>
        <w:t xml:space="preserve"> </w:t>
      </w:r>
      <w:r>
        <w:rPr>
          <w:rFonts w:ascii="幼圆" w:eastAsia="幼圆" w:hAnsi="幼圆" w:hint="eastAsia"/>
          <w:w w:val="100"/>
        </w:rPr>
        <w:t>额定电压下冲击合闸试验；</w:t>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6"/>
        <w:rPr>
          <w:rFonts w:ascii="幼圆"/>
          <w:sz w:val="25"/>
        </w:rPr>
      </w:pPr>
    </w:p>
    <w:p>
      <w:pPr>
        <w:pStyle w:val="Heading4"/>
        <w:spacing w:before="25"/>
        <w:jc w:val="both"/>
        <w:rPr>
          <w:rFonts w:ascii="幼圆" w:eastAsia="幼圆" w:hAnsi="幼圆" w:hint="eastAsia"/>
        </w:rPr>
      </w:pPr>
      <w:r>
        <w:rPr>
          <w:rFonts w:ascii="幼圆" w:eastAsia="幼圆" w:hAnsi="幼圆" w:hint="eastAsia"/>
        </w:rPr>
        <w:t>Ⅱ、110kV GIS 组合电器安装、调试技术措施</w:t>
      </w:r>
    </w:p>
    <w:p>
      <w:pPr>
        <w:pStyle w:val="BodyText"/>
        <w:spacing w:before="273" w:line="362" w:lineRule="auto"/>
        <w:ind w:left="2553" w:right="1919"/>
        <w:jc w:val="both"/>
        <w:rPr>
          <w:rFonts w:ascii="幼圆" w:eastAsia="幼圆" w:hAnsi="幼圆" w:hint="eastAsia"/>
        </w:rPr>
      </w:pPr>
      <w:r>
        <w:rPr>
          <w:rFonts w:ascii="幼圆" w:eastAsia="幼圆" w:hAnsi="幼圆" w:hint="eastAsia"/>
        </w:rPr>
        <w:t>⑴GIS</w:t>
      </w:r>
      <w:r>
        <w:rPr>
          <w:rFonts w:ascii="幼圆" w:eastAsia="幼圆" w:hAnsi="幼圆" w:hint="eastAsia"/>
          <w:spacing w:val="-9"/>
        </w:rPr>
        <w:t xml:space="preserve"> 组合电器安装、调整应严格按施工规范和制造商有关技术文件要求</w:t>
      </w:r>
      <w:r>
        <w:rPr>
          <w:rFonts w:ascii="幼圆" w:eastAsia="幼圆" w:hAnsi="幼圆" w:hint="eastAsia"/>
        </w:rPr>
        <w:t>进行，其施工中应注意如下事项：</w:t>
      </w:r>
    </w:p>
    <w:p>
      <w:pPr>
        <w:pStyle w:val="BodyText"/>
        <w:spacing w:line="362" w:lineRule="auto"/>
        <w:ind w:left="2553" w:right="1829" w:firstLine="838"/>
        <w:jc w:val="both"/>
        <w:rPr>
          <w:rFonts w:ascii="幼圆" w:eastAsia="幼圆" w:hAnsi="幼圆" w:hint="eastAsia"/>
        </w:rPr>
      </w:pPr>
      <w:r>
        <w:rPr>
          <w:rFonts w:ascii="幼圆" w:eastAsia="幼圆" w:hAnsi="幼圆" w:hint="eastAsia"/>
        </w:rPr>
        <w:t>①在安装基础上划线应从中间一个间隔开始，然后向两端排开，对于户内GIS 还应注意必须使每个间隔出线筒中心与穿墙套管或电缆预留孔相对应，如有问题应及早提出；开箱检查。</w:t>
      </w:r>
    </w:p>
    <w:p>
      <w:pPr>
        <w:pStyle w:val="BodyText"/>
        <w:spacing w:line="362" w:lineRule="auto"/>
        <w:ind w:left="2553" w:right="1829" w:firstLine="838"/>
        <w:rPr>
          <w:rFonts w:ascii="幼圆" w:eastAsia="幼圆" w:hAnsi="幼圆" w:hint="eastAsia"/>
        </w:rPr>
      </w:pPr>
      <w:r>
        <w:rPr>
          <w:rFonts w:ascii="幼圆" w:eastAsia="幼圆" w:hAnsi="幼圆" w:hint="eastAsia"/>
        </w:rPr>
        <w:t>②检查包装箱内设备及零部件齐全、完好，安装专用工具、技术资料齐全。</w:t>
      </w:r>
    </w:p>
    <w:p>
      <w:pPr>
        <w:pStyle w:val="BodyText"/>
        <w:spacing w:line="362" w:lineRule="auto"/>
        <w:ind w:left="2553" w:right="1868" w:firstLine="838"/>
        <w:rPr>
          <w:rFonts w:ascii="幼圆" w:eastAsia="幼圆" w:hAnsi="幼圆" w:hint="eastAsia"/>
        </w:rPr>
      </w:pPr>
      <w:r>
        <w:rPr>
          <w:rFonts w:ascii="幼圆" w:eastAsia="幼圆" w:hAnsi="幼圆" w:hint="eastAsia"/>
        </w:rPr>
        <w:t>③模块拼装应按照制造厂部件编号和规定进行，要求厂方来人现场进行调试。</w:t>
      </w:r>
    </w:p>
    <w:p>
      <w:pPr>
        <w:pStyle w:val="BodyText"/>
        <w:spacing w:line="362" w:lineRule="auto"/>
        <w:ind w:left="2553" w:right="1827" w:firstLine="838"/>
        <w:jc w:val="both"/>
        <w:rPr>
          <w:rFonts w:ascii="幼圆" w:eastAsia="幼圆" w:hAnsi="幼圆" w:hint="eastAsia"/>
        </w:rPr>
      </w:pPr>
      <w:r>
        <w:rPr>
          <w:rFonts w:ascii="幼圆" w:eastAsia="幼圆" w:hAnsi="幼圆" w:hint="eastAsia"/>
        </w:rPr>
        <w:t>④安装时注意现场环境，空气湿度不大于 80%，户外安装须选择晴好天气，风速小于3 级，必要时在安装现场局部用塑料布临时围成工作小空间，以避免灰尘等异物进入气室。户内安装工作可考虑关闭门窗，且在设</w:t>
      </w:r>
    </w:p>
    <w:p>
      <w:pPr>
        <w:spacing w:after="0" w:line="362" w:lineRule="auto"/>
        <w:jc w:val="both"/>
        <w:rPr>
          <w:rFonts w:ascii="幼圆" w:eastAsia="幼圆" w:hAnsi="幼圆" w:hint="eastAsia"/>
        </w:rPr>
        <w:sectPr>
          <w:pgSz w:w="17860" w:h="25260"/>
          <w:pgMar w:top="2220" w:right="0" w:bottom="280" w:left="0" w:header="708" w:footer="708"/>
          <w:pgNumType w:start="31"/>
          <w:cols w:space="708"/>
        </w:sectPr>
      </w:pPr>
    </w:p>
    <w:p>
      <w:pPr>
        <w:pStyle w:val="BodyText"/>
        <w:spacing w:before="12"/>
        <w:ind w:left="2553"/>
      </w:pPr>
      <w:r>
        <w:t>备运进室内前清理干净，每天工作前应清理现场，以保持室内清洁</w:t>
      </w:r>
      <w:r>
        <w:rPr>
          <w:spacing w:val="-126"/>
        </w:rPr>
        <w:t>。；</w:t>
      </w:r>
    </w:p>
    <w:p>
      <w:pPr>
        <w:pStyle w:val="BodyText"/>
        <w:spacing w:before="272" w:line="362" w:lineRule="auto"/>
        <w:ind w:left="2553" w:right="1943" w:firstLine="838"/>
        <w:jc w:val="both"/>
      </w:pPr>
      <w:r>
        <w:rPr>
          <w:spacing w:val="-7"/>
        </w:rPr>
        <w:t>⑤气隔拼装过程中尽可能缩短暴露在空气中时间，另一方面在气隔并</w:t>
      </w:r>
      <w:r>
        <w:rPr>
          <w:spacing w:val="-3"/>
        </w:rPr>
        <w:t xml:space="preserve">装结束后应立即抽真空处理，真空度要达到 </w:t>
      </w:r>
      <w:r>
        <w:t>67Pa</w:t>
      </w:r>
      <w:r>
        <w:rPr>
          <w:spacing w:val="-7"/>
        </w:rPr>
        <w:t xml:space="preserve"> 以下。但应避免长时间</w:t>
      </w:r>
      <w:r>
        <w:rPr>
          <w:spacing w:val="-9"/>
        </w:rPr>
        <w:t xml:space="preserve">一侧为额定压力，另一侧为 </w:t>
      </w:r>
      <w:r>
        <w:t>67Pa</w:t>
      </w:r>
      <w:r>
        <w:rPr>
          <w:spacing w:val="-12"/>
        </w:rPr>
        <w:t xml:space="preserve"> 以下真空这种极端情况。</w:t>
      </w:r>
    </w:p>
    <w:p>
      <w:pPr>
        <w:pStyle w:val="BodyText"/>
        <w:spacing w:line="362" w:lineRule="auto"/>
        <w:ind w:left="2553" w:right="1923" w:firstLine="838"/>
        <w:jc w:val="both"/>
      </w:pPr>
      <w:r>
        <w:t>⑥GIS</w:t>
      </w:r>
      <w:r>
        <w:rPr>
          <w:spacing w:val="-10"/>
        </w:rPr>
        <w:t xml:space="preserve"> 为密集型布置结构方式，对其接地要求很高，各气室筒体外壳</w:t>
      </w:r>
      <w:r>
        <w:t>之间均需另设跨接铜排，且其截面需按主接地网截面考虑；</w:t>
      </w:r>
    </w:p>
    <w:p>
      <w:pPr>
        <w:pStyle w:val="BodyText"/>
        <w:spacing w:line="533" w:lineRule="exact"/>
        <w:ind w:left="3391"/>
      </w:pPr>
      <w:r>
        <w:t>⑦GIS 底座与基础预埋铁之间焊接应在耐压试验通过后进行；</w:t>
      </w:r>
    </w:p>
    <w:p>
      <w:pPr>
        <w:pStyle w:val="BodyText"/>
        <w:spacing w:before="265" w:line="362" w:lineRule="auto"/>
        <w:ind w:left="2553" w:right="1829" w:firstLine="838"/>
      </w:pPr>
      <w:r>
        <w:t>⑧现场试验，进行电气交接试验项目，试验前应编制合理试验方案， 试验数据均应合格。</w:t>
      </w:r>
    </w:p>
    <w:p>
      <w:pPr>
        <w:pStyle w:val="BodyText"/>
        <w:spacing w:line="533" w:lineRule="exact"/>
        <w:ind w:left="2553"/>
      </w:pPr>
      <w:r>
        <w:t>⑵GIS 组合电器安装基本流程</w:t>
      </w:r>
    </w:p>
    <w:p>
      <w:pPr>
        <w:pStyle w:val="BodyText"/>
        <w:spacing w:before="272" w:line="362" w:lineRule="auto"/>
        <w:ind w:left="2553" w:right="1827" w:firstLine="806"/>
        <w:jc w:val="both"/>
      </w:pPr>
      <w:r>
        <w:t>GIS 设备安装工作流程必须认真考虑，以免返工浪费。不同型号 GIS 设备结构、主接线及现场布置排列形式不同，安装流程也不相同，制定安装流程时须参考制造厂安装使用技术条件，基本安装流程如下：</w:t>
      </w:r>
    </w:p>
    <w:p>
      <w:pPr>
        <w:spacing w:after="0" w:line="362" w:lineRule="auto"/>
        <w:jc w:val="both"/>
        <w:sectPr>
          <w:pgSz w:w="17860" w:h="25260"/>
          <w:pgMar w:top="2220" w:right="0" w:bottom="280" w:left="0" w:header="708" w:footer="708"/>
          <w:pgNumType w:start="32"/>
          <w:cols w:space="708"/>
        </w:sectPr>
      </w:pPr>
    </w:p>
    <w:p>
      <w:pPr>
        <w:pStyle w:val="BodyText"/>
        <w:ind w:left="3680"/>
        <w:rPr>
          <w:sz w:val="20"/>
        </w:rPr>
      </w:pPr>
      <w:r>
        <w:rPr>
          <w:sz w:val="20"/>
        </w:rPr>
        <w:pict>
          <v:group id="_x0000_i1031" style="width:380pt;height:223pt;mso-position-horizontal-relative:char;mso-position-vertical-relative:line" coordorigin="0,0" coordsize="7600,4460">
            <v:shape id="_x0000_s1032" type="#_x0000_t75" style="width:7600;height:4460;position:absolute" stroked="f">
              <v:imagedata r:id="rId6" o:title=""/>
            </v:shape>
            <v:shape id="_x0000_s1033" type="#_x0000_t202" style="width:1288;height:317;left:4025;position:absolute;top:23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安装开始</w:t>
                    </w:r>
                  </w:p>
                </w:txbxContent>
              </v:textbox>
            </v:shape>
            <v:shape id="_x0000_s1034" type="#_x0000_t202" style="width:3505;height:317;left:3755;position:absolute;top:140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安装现场标出设备中心线</w:t>
                    </w:r>
                  </w:p>
                </w:txbxContent>
              </v:textbox>
            </v:shape>
            <v:shape id="_x0000_s1035" type="#_x0000_t202" style="width:2872;height:317;left:244;position:absolute;top:257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设备运至现场、开箱</w:t>
                    </w:r>
                  </w:p>
                </w:txbxContent>
              </v:textbox>
            </v:shape>
            <v:shape id="_x0000_s1036" type="#_x0000_t202" style="width:2872;height:317;left:4025;position:absolute;top:257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检查基础，测量标高</w:t>
                    </w:r>
                  </w:p>
                </w:txbxContent>
              </v:textbox>
            </v:shape>
            <v:shape id="_x0000_s1037" type="#_x0000_t202" style="width:1921;height:317;left:4025;position:absolute;top:397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设备临时就位</w:t>
                    </w:r>
                  </w:p>
                </w:txbxContent>
              </v:textbox>
            </v:shape>
            <w10:wrap type="none"/>
          </v:group>
        </w:pict>
      </w:r>
    </w:p>
    <w:p>
      <w:pPr>
        <w:pStyle w:val="BodyText"/>
        <w:spacing w:before="6"/>
        <w:rPr>
          <w:sz w:val="13"/>
        </w:rPr>
      </w:pPr>
      <w:r>
        <w:pict>
          <v:group id="_x0000_s1038" style="width:380pt;height:469pt;margin-top:10.62pt;margin-left:373pt;mso-position-horizontal-relative:page;mso-wrap-distance-left:0;mso-wrap-distance-right:0;position:absolute;z-index:-251656192" coordorigin="7460,212" coordsize="7600,9380">
            <v:shape id="_x0000_s1039" type="#_x0000_t75" style="width:7600;height:9380;left:7460;position:absolute;top:212" stroked="f">
              <v:imagedata r:id="rId7" o:title=""/>
            </v:shape>
            <v:shape id="_x0000_s1040" type="#_x0000_t202" style="width:1604;height:317;left:7705;position:absolute;top:917"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主母线连接</w:t>
                    </w:r>
                  </w:p>
                </w:txbxContent>
              </v:textbox>
            </v:shape>
            <v:shape id="_x0000_s1041" type="#_x0000_t202" style="width:2872;height:317;left:7705;position:absolute;top:208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变压器间隔母线连接</w:t>
                    </w:r>
                  </w:p>
                </w:txbxContent>
              </v:textbox>
            </v:shape>
            <v:shape id="_x0000_s1042" type="#_x0000_t202" style="width:1104;height:357;left:7705;position:absolute;top:3214" filled="f" stroked="f">
              <v:textbox inset="0,0,0,0">
                <w:txbxContent>
                  <w:p>
                    <w:pPr>
                      <w:spacing w:before="2" w:line="355" w:lineRule="exact"/>
                      <w:ind w:left="0" w:right="0" w:firstLine="0"/>
                      <w:jc w:val="left"/>
                      <w:rPr>
                        <w:rFonts w:ascii="宋体" w:eastAsia="宋体" w:hint="eastAsia"/>
                        <w:sz w:val="31"/>
                      </w:rPr>
                    </w:pPr>
                    <w:r>
                      <w:rPr>
                        <w:rFonts w:ascii="Arial" w:eastAsia="Arial"/>
                        <w:sz w:val="31"/>
                      </w:rPr>
                      <w:t xml:space="preserve">PT </w:t>
                    </w:r>
                    <w:r>
                      <w:rPr>
                        <w:rFonts w:ascii="宋体" w:eastAsia="宋体" w:hint="eastAsia"/>
                        <w:sz w:val="31"/>
                      </w:rPr>
                      <w:t>安装</w:t>
                    </w:r>
                  </w:p>
                </w:txbxContent>
              </v:textbox>
            </v:shape>
            <v:shape id="_x0000_s1043" type="#_x0000_t202" style="width:2555;height:317;left:7705;position:absolute;top:442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进线间隔设备安装</w:t>
                    </w:r>
                  </w:p>
                </w:txbxContent>
              </v:textbox>
            </v:shape>
            <v:shape id="_x0000_s1044" type="#_x0000_t202" style="width:3188;height:317;left:11486;position:absolute;top:442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压缩机等聚能机构安装</w:t>
                    </w:r>
                  </w:p>
                </w:txbxContent>
              </v:textbox>
            </v:shape>
            <v:shape id="_x0000_s1045" type="#_x0000_t202" style="width:1604;height:317;left:7705;position:absolute;top:559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吸附剂更换</w:t>
                    </w:r>
                  </w:p>
                </w:txbxContent>
              </v:textbox>
            </v:shape>
            <v:shape id="_x0000_s1046" type="#_x0000_t202" style="width:1288;height:317;left:11486;position:absolute;top:559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管路安装</w:t>
                    </w:r>
                  </w:p>
                </w:txbxContent>
              </v:textbox>
            </v:shape>
            <v:shape id="_x0000_s1047" type="#_x0000_t202" style="width:2894;height:357;left:7705;position:absolute;top:6725" filled="f" stroked="f">
              <v:textbox inset="0,0,0,0">
                <w:txbxContent>
                  <w:p>
                    <w:pPr>
                      <w:spacing w:before="2" w:line="355" w:lineRule="exact"/>
                      <w:ind w:left="0" w:right="0" w:firstLine="0"/>
                      <w:jc w:val="left"/>
                      <w:rPr>
                        <w:rFonts w:ascii="宋体" w:eastAsia="宋体" w:hint="eastAsia"/>
                        <w:sz w:val="31"/>
                      </w:rPr>
                    </w:pPr>
                    <w:r>
                      <w:rPr>
                        <w:rFonts w:ascii="宋体" w:eastAsia="宋体" w:hint="eastAsia"/>
                        <w:sz w:val="31"/>
                      </w:rPr>
                      <w:t>抽真空与充</w:t>
                    </w:r>
                    <w:r>
                      <w:rPr>
                        <w:rFonts w:ascii="Arial" w:eastAsia="Arial"/>
                        <w:sz w:val="31"/>
                      </w:rPr>
                      <w:t xml:space="preserve">SF6 </w:t>
                    </w:r>
                    <w:r>
                      <w:rPr>
                        <w:rFonts w:ascii="宋体" w:eastAsia="宋体" w:hint="eastAsia"/>
                        <w:sz w:val="31"/>
                      </w:rPr>
                      <w:t>气体</w:t>
                    </w:r>
                  </w:p>
                </w:txbxContent>
              </v:textbox>
            </v:shape>
            <v:shape id="_x0000_s1048" type="#_x0000_t202" style="width:1288;height:317;left:7705;position:absolute;top:793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现场试验</w:t>
                    </w:r>
                  </w:p>
                </w:txbxContent>
              </v:textbox>
            </v:shape>
            <v:shape id="_x0000_s1049" type="#_x0000_t202" style="width:1874;height:357;left:7705;position:absolute;top:9068" filled="f" stroked="f">
              <v:textbox inset="0,0,0,0">
                <w:txbxContent>
                  <w:p>
                    <w:pPr>
                      <w:spacing w:before="2" w:line="355" w:lineRule="exact"/>
                      <w:ind w:left="0" w:right="0" w:firstLine="0"/>
                      <w:jc w:val="left"/>
                      <w:rPr>
                        <w:rFonts w:ascii="宋体" w:eastAsia="宋体" w:hint="eastAsia"/>
                        <w:sz w:val="31"/>
                      </w:rPr>
                    </w:pPr>
                    <w:r>
                      <w:rPr>
                        <w:rFonts w:ascii="Arial" w:eastAsia="Arial"/>
                        <w:sz w:val="31"/>
                      </w:rPr>
                      <w:t xml:space="preserve">GIS </w:t>
                    </w:r>
                    <w:r>
                      <w:rPr>
                        <w:rFonts w:ascii="宋体" w:eastAsia="宋体" w:hint="eastAsia"/>
                        <w:sz w:val="31"/>
                      </w:rPr>
                      <w:t>耐压试验</w:t>
                    </w:r>
                  </w:p>
                </w:txbxContent>
              </v:textbox>
            </v:shape>
            <w10:wrap type="topAndBottom"/>
          </v:group>
        </w:pict>
      </w:r>
    </w:p>
    <w:p>
      <w:pPr>
        <w:pStyle w:val="BodyText"/>
        <w:spacing w:before="6"/>
        <w:rPr>
          <w:sz w:val="5"/>
        </w:rPr>
      </w:pPr>
    </w:p>
    <w:p>
      <w:pPr>
        <w:pStyle w:val="BodyText"/>
        <w:ind w:left="9000"/>
        <w:rPr>
          <w:sz w:val="20"/>
        </w:rPr>
      </w:pPr>
      <w:r>
        <w:rPr>
          <w:sz w:val="20"/>
        </w:rPr>
        <w:drawing>
          <wp:inline distT="0" distB="0" distL="0" distR="0">
            <wp:extent cx="139350" cy="304038"/>
            <wp:effectExtent l="0" t="0" r="0" b="0"/>
            <wp:docPr id="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5.png"/>
                    <pic:cNvPicPr/>
                  </pic:nvPicPr>
                  <pic:blipFill>
                    <a:blip xmlns:r="http://schemas.openxmlformats.org/officeDocument/2006/relationships" r:embed="rId8" cstate="print"/>
                    <a:stretch>
                      <a:fillRect/>
                    </a:stretch>
                  </pic:blipFill>
                  <pic:spPr>
                    <a:xfrm>
                      <a:off x="0" y="0"/>
                      <a:ext cx="139350" cy="304038"/>
                    </a:xfrm>
                    <a:prstGeom prst="rect">
                      <a:avLst/>
                    </a:prstGeom>
                  </pic:spPr>
                </pic:pic>
              </a:graphicData>
            </a:graphic>
          </wp:inline>
        </w:drawing>
      </w:r>
    </w:p>
    <w:p>
      <w:pPr>
        <w:pStyle w:val="BodyText"/>
        <w:spacing w:before="11"/>
        <w:rPr>
          <w:sz w:val="4"/>
        </w:rPr>
      </w:pPr>
      <w:r>
        <w:pict>
          <v:group id="_x0000_s1050" style="width:178pt;height:36pt;margin-top:5.1pt;margin-left:373pt;mso-position-horizontal-relative:page;mso-wrap-distance-left:0;mso-wrap-distance-right:0;position:absolute;z-index:-251655168" coordorigin="7460,102" coordsize="3560,720">
            <v:shape id="_x0000_s1051" type="#_x0000_t75" style="width:3560;height:720;left:7460;position:absolute;top:101" stroked="f">
              <v:imagedata r:id="rId9" o:title=""/>
            </v:shape>
            <v:shape id="_x0000_s1052" type="#_x0000_t202" style="width:3560;height:720;left:7460;position:absolute;top:101" filled="f" stroked="f">
              <v:textbox inset="0,0,0,0">
                <w:txbxContent>
                  <w:p>
                    <w:pPr>
                      <w:spacing w:before="198"/>
                      <w:ind w:left="245" w:right="0" w:firstLine="0"/>
                      <w:jc w:val="left"/>
                      <w:rPr>
                        <w:rFonts w:ascii="宋体" w:eastAsia="宋体" w:hint="eastAsia"/>
                        <w:sz w:val="31"/>
                      </w:rPr>
                    </w:pPr>
                    <w:r>
                      <w:rPr>
                        <w:rFonts w:ascii="宋体" w:eastAsia="宋体" w:hint="eastAsia"/>
                        <w:sz w:val="31"/>
                      </w:rPr>
                      <w:t>检查验收</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3"/>
        </w:rPr>
      </w:pPr>
    </w:p>
    <w:p>
      <w:pPr>
        <w:pStyle w:val="Heading4"/>
        <w:spacing w:before="42"/>
      </w:pPr>
      <w:r>
        <w:t>Ⅲ、 构支架安装施工方案</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0" w:history="1">
        <w:r>
          <w:rPr>
            <w:rFonts w:ascii="SimSun" w:eastAsia="SimSun" w:hAnsi="SimSun" w:cs="SimSun"/>
            <w:b/>
            <w:bCs/>
            <w:color w:val="0000EE"/>
            <w:sz w:val="30"/>
            <w:szCs w:val="30"/>
            <w:u w:val="single" w:color="0000EE"/>
          </w:rPr>
          <w:t>https://d.book118.com/045334222302011033</w:t>
        </w:r>
      </w:hyperlink>
    </w:p>
    <w:p>
      <w:pPr>
        <w:spacing w:after="0"/>
      </w:pPr>
    </w:p>
    <w:sectPr>
      <w:pgSz w:w="17860" w:h="25260"/>
      <w:pgMar w:top="2400" w:right="0" w:bottom="280" w:left="0" w:header="708" w:footer="708"/>
      <w:pgNumType w:start="3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黑体">
    <w:altName w:val="黑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EB1CB2"/>
    <w:multiLevelType w:val="hybridMultilevel"/>
    <w:tmpl w:val="00000000"/>
    <w:lvl w:ilvl="0">
      <w:start w:val="2"/>
      <w:numFmt w:val="decimal"/>
      <w:lvlText w:val="%1"/>
      <w:lvlJc w:val="left"/>
      <w:pPr>
        <w:ind w:left="2553" w:hanging="760"/>
        <w:jc w:val="left"/>
      </w:pPr>
      <w:rPr>
        <w:rFonts w:hint="default"/>
      </w:rPr>
    </w:lvl>
    <w:lvl w:ilvl="1">
      <w:start w:val="1"/>
      <w:numFmt w:val="decimal"/>
      <w:lvlText w:val="%1.%2"/>
      <w:lvlJc w:val="left"/>
      <w:pPr>
        <w:ind w:left="2553" w:hanging="760"/>
        <w:jc w:val="left"/>
      </w:pPr>
      <w:rPr>
        <w:rFonts w:ascii="仿宋" w:eastAsia="仿宋" w:hAnsi="仿宋" w:cs="仿宋" w:hint="default"/>
        <w:w w:val="100"/>
        <w:sz w:val="42"/>
        <w:szCs w:val="42"/>
      </w:rPr>
    </w:lvl>
    <w:lvl w:ilvl="2">
      <w:start w:val="1"/>
      <w:numFmt w:val="decimal"/>
      <w:lvlText w:val="%1.%2.%3"/>
      <w:lvlJc w:val="left"/>
      <w:pPr>
        <w:ind w:left="4540" w:hanging="1156"/>
        <w:jc w:val="left"/>
      </w:pPr>
      <w:rPr>
        <w:rFonts w:ascii="仿宋" w:eastAsia="仿宋" w:hAnsi="仿宋" w:cs="仿宋" w:hint="default"/>
        <w:w w:val="100"/>
        <w:sz w:val="42"/>
        <w:szCs w:val="42"/>
      </w:rPr>
    </w:lvl>
    <w:lvl w:ilvl="3">
      <w:start w:val="0"/>
      <w:numFmt w:val="bullet"/>
      <w:lvlText w:val="•"/>
      <w:lvlJc w:val="left"/>
      <w:pPr>
        <w:ind w:left="7499" w:hanging="1156"/>
      </w:pPr>
      <w:rPr>
        <w:rFonts w:hint="default"/>
      </w:rPr>
    </w:lvl>
    <w:lvl w:ilvl="4">
      <w:start w:val="0"/>
      <w:numFmt w:val="bullet"/>
      <w:lvlText w:val="•"/>
      <w:lvlJc w:val="left"/>
      <w:pPr>
        <w:ind w:left="8979" w:hanging="1156"/>
      </w:pPr>
      <w:rPr>
        <w:rFonts w:hint="default"/>
      </w:rPr>
    </w:lvl>
    <w:lvl w:ilvl="5">
      <w:start w:val="0"/>
      <w:numFmt w:val="bullet"/>
      <w:lvlText w:val="•"/>
      <w:lvlJc w:val="left"/>
      <w:pPr>
        <w:ind w:left="10459" w:hanging="1156"/>
      </w:pPr>
      <w:rPr>
        <w:rFonts w:hint="default"/>
      </w:rPr>
    </w:lvl>
    <w:lvl w:ilvl="6">
      <w:start w:val="0"/>
      <w:numFmt w:val="bullet"/>
      <w:lvlText w:val="•"/>
      <w:lvlJc w:val="left"/>
      <w:pPr>
        <w:ind w:left="11939" w:hanging="1156"/>
      </w:pPr>
      <w:rPr>
        <w:rFonts w:hint="default"/>
      </w:rPr>
    </w:lvl>
    <w:lvl w:ilvl="7">
      <w:start w:val="0"/>
      <w:numFmt w:val="bullet"/>
      <w:lvlText w:val="•"/>
      <w:lvlJc w:val="left"/>
      <w:pPr>
        <w:ind w:left="13419" w:hanging="1156"/>
      </w:pPr>
      <w:rPr>
        <w:rFonts w:hint="default"/>
      </w:rPr>
    </w:lvl>
    <w:lvl w:ilvl="8">
      <w:start w:val="0"/>
      <w:numFmt w:val="bullet"/>
      <w:lvlText w:val="•"/>
      <w:lvlJc w:val="left"/>
      <w:pPr>
        <w:ind w:left="14899" w:hanging="1156"/>
      </w:pPr>
      <w:rPr>
        <w:rFonts w:hint="default"/>
      </w:rPr>
    </w:lvl>
  </w:abstractNum>
  <w:abstractNum w:abstractNumId="1">
    <w:nsid w:val="070B7254"/>
    <w:multiLevelType w:val="hybridMultilevel"/>
    <w:tmpl w:val="00000000"/>
    <w:lvl w:ilvl="0">
      <w:start w:val="1"/>
      <w:numFmt w:val="decimal"/>
      <w:lvlText w:val="%1."/>
      <w:lvlJc w:val="left"/>
      <w:pPr>
        <w:ind w:left="3229" w:hanging="677"/>
        <w:jc w:val="left"/>
      </w:pPr>
      <w:rPr>
        <w:rFonts w:ascii="仿宋" w:eastAsia="仿宋" w:hAnsi="仿宋" w:cs="仿宋" w:hint="default"/>
        <w:w w:val="100"/>
        <w:sz w:val="45"/>
        <w:szCs w:val="45"/>
      </w:rPr>
    </w:lvl>
    <w:lvl w:ilvl="1">
      <w:start w:val="0"/>
      <w:numFmt w:val="bullet"/>
      <w:lvlText w:val="•"/>
      <w:lvlJc w:val="left"/>
      <w:pPr>
        <w:ind w:left="4683" w:hanging="677"/>
      </w:pPr>
      <w:rPr>
        <w:rFonts w:hint="default"/>
      </w:rPr>
    </w:lvl>
    <w:lvl w:ilvl="2">
      <w:start w:val="0"/>
      <w:numFmt w:val="bullet"/>
      <w:lvlText w:val="•"/>
      <w:lvlJc w:val="left"/>
      <w:pPr>
        <w:ind w:left="6147" w:hanging="677"/>
      </w:pPr>
      <w:rPr>
        <w:rFonts w:hint="default"/>
      </w:rPr>
    </w:lvl>
    <w:lvl w:ilvl="3">
      <w:start w:val="0"/>
      <w:numFmt w:val="bullet"/>
      <w:lvlText w:val="•"/>
      <w:lvlJc w:val="left"/>
      <w:pPr>
        <w:ind w:left="7611" w:hanging="677"/>
      </w:pPr>
      <w:rPr>
        <w:rFonts w:hint="default"/>
      </w:rPr>
    </w:lvl>
    <w:lvl w:ilvl="4">
      <w:start w:val="0"/>
      <w:numFmt w:val="bullet"/>
      <w:lvlText w:val="•"/>
      <w:lvlJc w:val="left"/>
      <w:pPr>
        <w:ind w:left="9075" w:hanging="677"/>
      </w:pPr>
      <w:rPr>
        <w:rFonts w:hint="default"/>
      </w:rPr>
    </w:lvl>
    <w:lvl w:ilvl="5">
      <w:start w:val="0"/>
      <w:numFmt w:val="bullet"/>
      <w:lvlText w:val="•"/>
      <w:lvlJc w:val="left"/>
      <w:pPr>
        <w:ind w:left="10539" w:hanging="677"/>
      </w:pPr>
      <w:rPr>
        <w:rFonts w:hint="default"/>
      </w:rPr>
    </w:lvl>
    <w:lvl w:ilvl="6">
      <w:start w:val="0"/>
      <w:numFmt w:val="bullet"/>
      <w:lvlText w:val="•"/>
      <w:lvlJc w:val="left"/>
      <w:pPr>
        <w:ind w:left="12003" w:hanging="677"/>
      </w:pPr>
      <w:rPr>
        <w:rFonts w:hint="default"/>
      </w:rPr>
    </w:lvl>
    <w:lvl w:ilvl="7">
      <w:start w:val="0"/>
      <w:numFmt w:val="bullet"/>
      <w:lvlText w:val="•"/>
      <w:lvlJc w:val="left"/>
      <w:pPr>
        <w:ind w:left="13467" w:hanging="677"/>
      </w:pPr>
      <w:rPr>
        <w:rFonts w:hint="default"/>
      </w:rPr>
    </w:lvl>
    <w:lvl w:ilvl="8">
      <w:start w:val="0"/>
      <w:numFmt w:val="bullet"/>
      <w:lvlText w:val="•"/>
      <w:lvlJc w:val="left"/>
      <w:pPr>
        <w:ind w:left="14931" w:hanging="677"/>
      </w:pPr>
      <w:rPr>
        <w:rFonts w:hint="default"/>
      </w:rPr>
    </w:lvl>
  </w:abstractNum>
  <w:abstractNum w:abstractNumId="2">
    <w:nsid w:val="14101AB0"/>
    <w:multiLevelType w:val="hybridMultilevel"/>
    <w:tmpl w:val="00000000"/>
    <w:lvl w:ilvl="0">
      <w:start w:val="4"/>
      <w:numFmt w:val="decimal"/>
      <w:lvlText w:val="%1"/>
      <w:lvlJc w:val="left"/>
      <w:pPr>
        <w:ind w:left="3287" w:hanging="735"/>
        <w:jc w:val="left"/>
      </w:pPr>
      <w:rPr>
        <w:rFonts w:hint="default"/>
      </w:rPr>
    </w:lvl>
    <w:lvl w:ilvl="1">
      <w:start w:val="1"/>
      <w:numFmt w:val="decimal"/>
      <w:lvlText w:val="%1.%2"/>
      <w:lvlJc w:val="left"/>
      <w:pPr>
        <w:ind w:left="3287" w:hanging="735"/>
        <w:jc w:val="left"/>
      </w:pPr>
      <w:rPr>
        <w:rFonts w:ascii="仿宋" w:eastAsia="仿宋" w:hAnsi="仿宋" w:cs="仿宋" w:hint="default"/>
        <w:w w:val="100"/>
        <w:sz w:val="42"/>
        <w:szCs w:val="42"/>
      </w:rPr>
    </w:lvl>
    <w:lvl w:ilvl="2">
      <w:start w:val="1"/>
      <w:numFmt w:val="decimal"/>
      <w:lvlText w:val="%1.%2.%3"/>
      <w:lvlJc w:val="left"/>
      <w:pPr>
        <w:ind w:left="3813" w:hanging="1260"/>
        <w:jc w:val="left"/>
      </w:pPr>
      <w:rPr>
        <w:rFonts w:ascii="仿宋" w:eastAsia="仿宋" w:hAnsi="仿宋" w:cs="仿宋" w:hint="default"/>
        <w:w w:val="100"/>
        <w:sz w:val="42"/>
        <w:szCs w:val="42"/>
      </w:rPr>
    </w:lvl>
    <w:lvl w:ilvl="3">
      <w:start w:val="0"/>
      <w:numFmt w:val="bullet"/>
      <w:lvlText w:val="•"/>
      <w:lvlJc w:val="left"/>
      <w:pPr>
        <w:ind w:left="5574" w:hanging="1260"/>
      </w:pPr>
      <w:rPr>
        <w:rFonts w:hint="default"/>
      </w:rPr>
    </w:lvl>
    <w:lvl w:ilvl="4">
      <w:start w:val="0"/>
      <w:numFmt w:val="bullet"/>
      <w:lvlText w:val="•"/>
      <w:lvlJc w:val="left"/>
      <w:pPr>
        <w:ind w:left="7329" w:hanging="1260"/>
      </w:pPr>
      <w:rPr>
        <w:rFonts w:hint="default"/>
      </w:rPr>
    </w:lvl>
    <w:lvl w:ilvl="5">
      <w:start w:val="0"/>
      <w:numFmt w:val="bullet"/>
      <w:lvlText w:val="•"/>
      <w:lvlJc w:val="left"/>
      <w:pPr>
        <w:ind w:left="9084" w:hanging="1260"/>
      </w:pPr>
      <w:rPr>
        <w:rFonts w:hint="default"/>
      </w:rPr>
    </w:lvl>
    <w:lvl w:ilvl="6">
      <w:start w:val="0"/>
      <w:numFmt w:val="bullet"/>
      <w:lvlText w:val="•"/>
      <w:lvlJc w:val="left"/>
      <w:pPr>
        <w:ind w:left="10839" w:hanging="1260"/>
      </w:pPr>
      <w:rPr>
        <w:rFonts w:hint="default"/>
      </w:rPr>
    </w:lvl>
    <w:lvl w:ilvl="7">
      <w:start w:val="0"/>
      <w:numFmt w:val="bullet"/>
      <w:lvlText w:val="•"/>
      <w:lvlJc w:val="left"/>
      <w:pPr>
        <w:ind w:left="12594" w:hanging="1260"/>
      </w:pPr>
      <w:rPr>
        <w:rFonts w:hint="default"/>
      </w:rPr>
    </w:lvl>
    <w:lvl w:ilvl="8">
      <w:start w:val="0"/>
      <w:numFmt w:val="bullet"/>
      <w:lvlText w:val="•"/>
      <w:lvlJc w:val="left"/>
      <w:pPr>
        <w:ind w:left="14349" w:hanging="1260"/>
      </w:pPr>
      <w:rPr>
        <w:rFonts w:hint="default"/>
      </w:rPr>
    </w:lvl>
  </w:abstractNum>
  <w:abstractNum w:abstractNumId="3">
    <w:nsid w:val="15A4F75B"/>
    <w:multiLevelType w:val="hybridMultilevel"/>
    <w:tmpl w:val="00000000"/>
    <w:lvl w:ilvl="0">
      <w:start w:val="2"/>
      <w:numFmt w:val="decimal"/>
      <w:lvlText w:val="%1"/>
      <w:lvlJc w:val="left"/>
      <w:pPr>
        <w:ind w:left="3287" w:hanging="735"/>
        <w:jc w:val="left"/>
      </w:pPr>
      <w:rPr>
        <w:rFonts w:hint="default"/>
      </w:rPr>
    </w:lvl>
    <w:lvl w:ilvl="1">
      <w:start w:val="1"/>
      <w:numFmt w:val="decimal"/>
      <w:lvlText w:val="%1.%2"/>
      <w:lvlJc w:val="left"/>
      <w:pPr>
        <w:ind w:left="3287" w:hanging="735"/>
        <w:jc w:val="left"/>
      </w:pPr>
      <w:rPr>
        <w:rFonts w:ascii="仿宋" w:eastAsia="仿宋" w:hAnsi="仿宋" w:cs="仿宋" w:hint="default"/>
        <w:w w:val="100"/>
        <w:sz w:val="42"/>
        <w:szCs w:val="42"/>
      </w:rPr>
    </w:lvl>
    <w:lvl w:ilvl="2">
      <w:start w:val="0"/>
      <w:numFmt w:val="bullet"/>
      <w:lvlText w:val="•"/>
      <w:lvlJc w:val="left"/>
      <w:pPr>
        <w:ind w:left="6195" w:hanging="735"/>
      </w:pPr>
      <w:rPr>
        <w:rFonts w:hint="default"/>
      </w:rPr>
    </w:lvl>
    <w:lvl w:ilvl="3">
      <w:start w:val="0"/>
      <w:numFmt w:val="bullet"/>
      <w:lvlText w:val="•"/>
      <w:lvlJc w:val="left"/>
      <w:pPr>
        <w:ind w:left="7653" w:hanging="735"/>
      </w:pPr>
      <w:rPr>
        <w:rFonts w:hint="default"/>
      </w:rPr>
    </w:lvl>
    <w:lvl w:ilvl="4">
      <w:start w:val="0"/>
      <w:numFmt w:val="bullet"/>
      <w:lvlText w:val="•"/>
      <w:lvlJc w:val="left"/>
      <w:pPr>
        <w:ind w:left="9111" w:hanging="735"/>
      </w:pPr>
      <w:rPr>
        <w:rFonts w:hint="default"/>
      </w:rPr>
    </w:lvl>
    <w:lvl w:ilvl="5">
      <w:start w:val="0"/>
      <w:numFmt w:val="bullet"/>
      <w:lvlText w:val="•"/>
      <w:lvlJc w:val="left"/>
      <w:pPr>
        <w:ind w:left="10569" w:hanging="735"/>
      </w:pPr>
      <w:rPr>
        <w:rFonts w:hint="default"/>
      </w:rPr>
    </w:lvl>
    <w:lvl w:ilvl="6">
      <w:start w:val="0"/>
      <w:numFmt w:val="bullet"/>
      <w:lvlText w:val="•"/>
      <w:lvlJc w:val="left"/>
      <w:pPr>
        <w:ind w:left="12027" w:hanging="735"/>
      </w:pPr>
      <w:rPr>
        <w:rFonts w:hint="default"/>
      </w:rPr>
    </w:lvl>
    <w:lvl w:ilvl="7">
      <w:start w:val="0"/>
      <w:numFmt w:val="bullet"/>
      <w:lvlText w:val="•"/>
      <w:lvlJc w:val="left"/>
      <w:pPr>
        <w:ind w:left="13485" w:hanging="735"/>
      </w:pPr>
      <w:rPr>
        <w:rFonts w:hint="default"/>
      </w:rPr>
    </w:lvl>
    <w:lvl w:ilvl="8">
      <w:start w:val="0"/>
      <w:numFmt w:val="bullet"/>
      <w:lvlText w:val="•"/>
      <w:lvlJc w:val="left"/>
      <w:pPr>
        <w:ind w:left="14943" w:hanging="735"/>
      </w:pPr>
      <w:rPr>
        <w:rFonts w:hint="default"/>
      </w:rPr>
    </w:lvl>
  </w:abstractNum>
  <w:abstractNum w:abstractNumId="4">
    <w:nsid w:val="18CD9C87"/>
    <w:multiLevelType w:val="hybridMultilevel"/>
    <w:tmpl w:val="00000000"/>
    <w:lvl w:ilvl="0">
      <w:start w:val="1"/>
      <w:numFmt w:val="decimal"/>
      <w:lvlText w:val="%1"/>
      <w:lvlJc w:val="left"/>
      <w:pPr>
        <w:ind w:left="3287" w:hanging="735"/>
        <w:jc w:val="left"/>
      </w:pPr>
      <w:rPr>
        <w:rFonts w:hint="default"/>
      </w:rPr>
    </w:lvl>
    <w:lvl w:ilvl="1">
      <w:start w:val="1"/>
      <w:numFmt w:val="decimal"/>
      <w:lvlText w:val="%1.%2"/>
      <w:lvlJc w:val="left"/>
      <w:pPr>
        <w:ind w:left="3287" w:hanging="735"/>
        <w:jc w:val="left"/>
      </w:pPr>
      <w:rPr>
        <w:rFonts w:ascii="仿宋" w:eastAsia="仿宋" w:hAnsi="仿宋" w:cs="仿宋" w:hint="default"/>
        <w:w w:val="100"/>
        <w:sz w:val="42"/>
        <w:szCs w:val="42"/>
      </w:rPr>
    </w:lvl>
    <w:lvl w:ilvl="2">
      <w:start w:val="1"/>
      <w:numFmt w:val="decimal"/>
      <w:lvlText w:val="%1.%2.%3"/>
      <w:lvlJc w:val="left"/>
      <w:pPr>
        <w:ind w:left="2553" w:hanging="1156"/>
        <w:jc w:val="left"/>
      </w:pPr>
      <w:rPr>
        <w:rFonts w:ascii="仿宋" w:eastAsia="仿宋" w:hAnsi="仿宋" w:cs="仿宋" w:hint="default"/>
        <w:w w:val="100"/>
        <w:sz w:val="42"/>
        <w:szCs w:val="42"/>
      </w:rPr>
    </w:lvl>
    <w:lvl w:ilvl="3">
      <w:start w:val="0"/>
      <w:numFmt w:val="bullet"/>
      <w:lvlText w:val="•"/>
      <w:lvlJc w:val="left"/>
      <w:pPr>
        <w:ind w:left="6519" w:hanging="1156"/>
      </w:pPr>
      <w:rPr>
        <w:rFonts w:hint="default"/>
      </w:rPr>
    </w:lvl>
    <w:lvl w:ilvl="4">
      <w:start w:val="0"/>
      <w:numFmt w:val="bullet"/>
      <w:lvlText w:val="•"/>
      <w:lvlJc w:val="left"/>
      <w:pPr>
        <w:ind w:left="8139" w:hanging="1156"/>
      </w:pPr>
      <w:rPr>
        <w:rFonts w:hint="default"/>
      </w:rPr>
    </w:lvl>
    <w:lvl w:ilvl="5">
      <w:start w:val="0"/>
      <w:numFmt w:val="bullet"/>
      <w:lvlText w:val="•"/>
      <w:lvlJc w:val="left"/>
      <w:pPr>
        <w:ind w:left="9759" w:hanging="1156"/>
      </w:pPr>
      <w:rPr>
        <w:rFonts w:hint="default"/>
      </w:rPr>
    </w:lvl>
    <w:lvl w:ilvl="6">
      <w:start w:val="0"/>
      <w:numFmt w:val="bullet"/>
      <w:lvlText w:val="•"/>
      <w:lvlJc w:val="left"/>
      <w:pPr>
        <w:ind w:left="11379" w:hanging="1156"/>
      </w:pPr>
      <w:rPr>
        <w:rFonts w:hint="default"/>
      </w:rPr>
    </w:lvl>
    <w:lvl w:ilvl="7">
      <w:start w:val="0"/>
      <w:numFmt w:val="bullet"/>
      <w:lvlText w:val="•"/>
      <w:lvlJc w:val="left"/>
      <w:pPr>
        <w:ind w:left="12999" w:hanging="1156"/>
      </w:pPr>
      <w:rPr>
        <w:rFonts w:hint="default"/>
      </w:rPr>
    </w:lvl>
    <w:lvl w:ilvl="8">
      <w:start w:val="0"/>
      <w:numFmt w:val="bullet"/>
      <w:lvlText w:val="•"/>
      <w:lvlJc w:val="left"/>
      <w:pPr>
        <w:ind w:left="14619" w:hanging="1156"/>
      </w:pPr>
      <w:rPr>
        <w:rFonts w:hint="default"/>
      </w:rPr>
    </w:lvl>
  </w:abstractNum>
  <w:abstractNum w:abstractNumId="5">
    <w:nsid w:val="1C3562FB"/>
    <w:multiLevelType w:val="hybridMultilevel"/>
    <w:tmpl w:val="00000000"/>
    <w:lvl w:ilvl="0">
      <w:start w:val="7"/>
      <w:numFmt w:val="decimal"/>
      <w:lvlText w:val="%1）"/>
      <w:lvlJc w:val="left"/>
      <w:pPr>
        <w:ind w:left="4015" w:hanging="631"/>
        <w:jc w:val="left"/>
      </w:pPr>
      <w:rPr>
        <w:rFonts w:ascii="仿宋" w:eastAsia="仿宋" w:hAnsi="仿宋" w:cs="仿宋" w:hint="default"/>
        <w:spacing w:val="-209"/>
        <w:w w:val="100"/>
        <w:sz w:val="40"/>
        <w:szCs w:val="40"/>
      </w:rPr>
    </w:lvl>
    <w:lvl w:ilvl="1">
      <w:start w:val="0"/>
      <w:numFmt w:val="bullet"/>
      <w:lvlText w:val="•"/>
      <w:lvlJc w:val="left"/>
      <w:pPr>
        <w:ind w:left="5403" w:hanging="631"/>
      </w:pPr>
      <w:rPr>
        <w:rFonts w:hint="default"/>
      </w:rPr>
    </w:lvl>
    <w:lvl w:ilvl="2">
      <w:start w:val="0"/>
      <w:numFmt w:val="bullet"/>
      <w:lvlText w:val="•"/>
      <w:lvlJc w:val="left"/>
      <w:pPr>
        <w:ind w:left="6787" w:hanging="631"/>
      </w:pPr>
      <w:rPr>
        <w:rFonts w:hint="default"/>
      </w:rPr>
    </w:lvl>
    <w:lvl w:ilvl="3">
      <w:start w:val="0"/>
      <w:numFmt w:val="bullet"/>
      <w:lvlText w:val="•"/>
      <w:lvlJc w:val="left"/>
      <w:pPr>
        <w:ind w:left="8171" w:hanging="631"/>
      </w:pPr>
      <w:rPr>
        <w:rFonts w:hint="default"/>
      </w:rPr>
    </w:lvl>
    <w:lvl w:ilvl="4">
      <w:start w:val="0"/>
      <w:numFmt w:val="bullet"/>
      <w:lvlText w:val="•"/>
      <w:lvlJc w:val="left"/>
      <w:pPr>
        <w:ind w:left="9555" w:hanging="631"/>
      </w:pPr>
      <w:rPr>
        <w:rFonts w:hint="default"/>
      </w:rPr>
    </w:lvl>
    <w:lvl w:ilvl="5">
      <w:start w:val="0"/>
      <w:numFmt w:val="bullet"/>
      <w:lvlText w:val="•"/>
      <w:lvlJc w:val="left"/>
      <w:pPr>
        <w:ind w:left="10939" w:hanging="631"/>
      </w:pPr>
      <w:rPr>
        <w:rFonts w:hint="default"/>
      </w:rPr>
    </w:lvl>
    <w:lvl w:ilvl="6">
      <w:start w:val="0"/>
      <w:numFmt w:val="bullet"/>
      <w:lvlText w:val="•"/>
      <w:lvlJc w:val="left"/>
      <w:pPr>
        <w:ind w:left="12323" w:hanging="631"/>
      </w:pPr>
      <w:rPr>
        <w:rFonts w:hint="default"/>
      </w:rPr>
    </w:lvl>
    <w:lvl w:ilvl="7">
      <w:start w:val="0"/>
      <w:numFmt w:val="bullet"/>
      <w:lvlText w:val="•"/>
      <w:lvlJc w:val="left"/>
      <w:pPr>
        <w:ind w:left="13707" w:hanging="631"/>
      </w:pPr>
      <w:rPr>
        <w:rFonts w:hint="default"/>
      </w:rPr>
    </w:lvl>
    <w:lvl w:ilvl="8">
      <w:start w:val="0"/>
      <w:numFmt w:val="bullet"/>
      <w:lvlText w:val="•"/>
      <w:lvlJc w:val="left"/>
      <w:pPr>
        <w:ind w:left="15091" w:hanging="631"/>
      </w:pPr>
      <w:rPr>
        <w:rFonts w:hint="default"/>
      </w:rPr>
    </w:lvl>
  </w:abstractNum>
  <w:abstractNum w:abstractNumId="6">
    <w:nsid w:val="1D8E8D5E"/>
    <w:multiLevelType w:val="hybridMultilevel"/>
    <w:tmpl w:val="00000000"/>
    <w:lvl w:ilvl="0">
      <w:start w:val="3"/>
      <w:numFmt w:val="decimal"/>
      <w:lvlText w:val="%1"/>
      <w:lvlJc w:val="left"/>
      <w:pPr>
        <w:ind w:left="4126" w:hanging="735"/>
        <w:jc w:val="left"/>
      </w:pPr>
      <w:rPr>
        <w:rFonts w:hint="default"/>
      </w:rPr>
    </w:lvl>
    <w:lvl w:ilvl="1">
      <w:start w:val="1"/>
      <w:numFmt w:val="decimal"/>
      <w:lvlText w:val="%1.%2"/>
      <w:lvlJc w:val="left"/>
      <w:pPr>
        <w:ind w:left="4126" w:hanging="735"/>
        <w:jc w:val="left"/>
      </w:pPr>
      <w:rPr>
        <w:rFonts w:ascii="仿宋" w:eastAsia="仿宋" w:hAnsi="仿宋" w:cs="仿宋" w:hint="default"/>
        <w:w w:val="100"/>
        <w:sz w:val="42"/>
        <w:szCs w:val="42"/>
      </w:rPr>
    </w:lvl>
    <w:lvl w:ilvl="2">
      <w:start w:val="0"/>
      <w:numFmt w:val="bullet"/>
      <w:lvlText w:val="•"/>
      <w:lvlJc w:val="left"/>
      <w:pPr>
        <w:ind w:left="6867" w:hanging="735"/>
      </w:pPr>
      <w:rPr>
        <w:rFonts w:hint="default"/>
      </w:rPr>
    </w:lvl>
    <w:lvl w:ilvl="3">
      <w:start w:val="0"/>
      <w:numFmt w:val="bullet"/>
      <w:lvlText w:val="•"/>
      <w:lvlJc w:val="left"/>
      <w:pPr>
        <w:ind w:left="8241" w:hanging="735"/>
      </w:pPr>
      <w:rPr>
        <w:rFonts w:hint="default"/>
      </w:rPr>
    </w:lvl>
    <w:lvl w:ilvl="4">
      <w:start w:val="0"/>
      <w:numFmt w:val="bullet"/>
      <w:lvlText w:val="•"/>
      <w:lvlJc w:val="left"/>
      <w:pPr>
        <w:ind w:left="9615" w:hanging="735"/>
      </w:pPr>
      <w:rPr>
        <w:rFonts w:hint="default"/>
      </w:rPr>
    </w:lvl>
    <w:lvl w:ilvl="5">
      <w:start w:val="0"/>
      <w:numFmt w:val="bullet"/>
      <w:lvlText w:val="•"/>
      <w:lvlJc w:val="left"/>
      <w:pPr>
        <w:ind w:left="10989" w:hanging="735"/>
      </w:pPr>
      <w:rPr>
        <w:rFonts w:hint="default"/>
      </w:rPr>
    </w:lvl>
    <w:lvl w:ilvl="6">
      <w:start w:val="0"/>
      <w:numFmt w:val="bullet"/>
      <w:lvlText w:val="•"/>
      <w:lvlJc w:val="left"/>
      <w:pPr>
        <w:ind w:left="12363" w:hanging="735"/>
      </w:pPr>
      <w:rPr>
        <w:rFonts w:hint="default"/>
      </w:rPr>
    </w:lvl>
    <w:lvl w:ilvl="7">
      <w:start w:val="0"/>
      <w:numFmt w:val="bullet"/>
      <w:lvlText w:val="•"/>
      <w:lvlJc w:val="left"/>
      <w:pPr>
        <w:ind w:left="13737" w:hanging="735"/>
      </w:pPr>
      <w:rPr>
        <w:rFonts w:hint="default"/>
      </w:rPr>
    </w:lvl>
    <w:lvl w:ilvl="8">
      <w:start w:val="0"/>
      <w:numFmt w:val="bullet"/>
      <w:lvlText w:val="•"/>
      <w:lvlJc w:val="left"/>
      <w:pPr>
        <w:ind w:left="15111" w:hanging="735"/>
      </w:pPr>
      <w:rPr>
        <w:rFonts w:hint="default"/>
      </w:rPr>
    </w:lvl>
  </w:abstractNum>
  <w:abstractNum w:abstractNumId="7">
    <w:nsid w:val="1E4BDFA3"/>
    <w:multiLevelType w:val="hybridMultilevel"/>
    <w:tmpl w:val="00000000"/>
    <w:lvl w:ilvl="0">
      <w:start w:val="1"/>
      <w:numFmt w:val="decimal"/>
      <w:lvlText w:val="%1."/>
      <w:lvlJc w:val="left"/>
      <w:pPr>
        <w:ind w:left="3229" w:hanging="677"/>
        <w:jc w:val="left"/>
      </w:pPr>
      <w:rPr>
        <w:rFonts w:ascii="仿宋" w:eastAsia="仿宋" w:hAnsi="仿宋" w:cs="仿宋" w:hint="default"/>
        <w:w w:val="100"/>
        <w:sz w:val="45"/>
        <w:szCs w:val="45"/>
      </w:rPr>
    </w:lvl>
    <w:lvl w:ilvl="1">
      <w:start w:val="0"/>
      <w:numFmt w:val="bullet"/>
      <w:lvlText w:val="•"/>
      <w:lvlJc w:val="left"/>
      <w:pPr>
        <w:ind w:left="4683" w:hanging="677"/>
      </w:pPr>
      <w:rPr>
        <w:rFonts w:hint="default"/>
      </w:rPr>
    </w:lvl>
    <w:lvl w:ilvl="2">
      <w:start w:val="0"/>
      <w:numFmt w:val="bullet"/>
      <w:lvlText w:val="•"/>
      <w:lvlJc w:val="left"/>
      <w:pPr>
        <w:ind w:left="6147" w:hanging="677"/>
      </w:pPr>
      <w:rPr>
        <w:rFonts w:hint="default"/>
      </w:rPr>
    </w:lvl>
    <w:lvl w:ilvl="3">
      <w:start w:val="0"/>
      <w:numFmt w:val="bullet"/>
      <w:lvlText w:val="•"/>
      <w:lvlJc w:val="left"/>
      <w:pPr>
        <w:ind w:left="7611" w:hanging="677"/>
      </w:pPr>
      <w:rPr>
        <w:rFonts w:hint="default"/>
      </w:rPr>
    </w:lvl>
    <w:lvl w:ilvl="4">
      <w:start w:val="0"/>
      <w:numFmt w:val="bullet"/>
      <w:lvlText w:val="•"/>
      <w:lvlJc w:val="left"/>
      <w:pPr>
        <w:ind w:left="9075" w:hanging="677"/>
      </w:pPr>
      <w:rPr>
        <w:rFonts w:hint="default"/>
      </w:rPr>
    </w:lvl>
    <w:lvl w:ilvl="5">
      <w:start w:val="0"/>
      <w:numFmt w:val="bullet"/>
      <w:lvlText w:val="•"/>
      <w:lvlJc w:val="left"/>
      <w:pPr>
        <w:ind w:left="10539" w:hanging="677"/>
      </w:pPr>
      <w:rPr>
        <w:rFonts w:hint="default"/>
      </w:rPr>
    </w:lvl>
    <w:lvl w:ilvl="6">
      <w:start w:val="0"/>
      <w:numFmt w:val="bullet"/>
      <w:lvlText w:val="•"/>
      <w:lvlJc w:val="left"/>
      <w:pPr>
        <w:ind w:left="12003" w:hanging="677"/>
      </w:pPr>
      <w:rPr>
        <w:rFonts w:hint="default"/>
      </w:rPr>
    </w:lvl>
    <w:lvl w:ilvl="7">
      <w:start w:val="0"/>
      <w:numFmt w:val="bullet"/>
      <w:lvlText w:val="•"/>
      <w:lvlJc w:val="left"/>
      <w:pPr>
        <w:ind w:left="13467" w:hanging="677"/>
      </w:pPr>
      <w:rPr>
        <w:rFonts w:hint="default"/>
      </w:rPr>
    </w:lvl>
    <w:lvl w:ilvl="8">
      <w:start w:val="0"/>
      <w:numFmt w:val="bullet"/>
      <w:lvlText w:val="•"/>
      <w:lvlJc w:val="left"/>
      <w:pPr>
        <w:ind w:left="14931" w:hanging="677"/>
      </w:pPr>
      <w:rPr>
        <w:rFonts w:hint="default"/>
      </w:rPr>
    </w:lvl>
  </w:abstractNum>
  <w:abstractNum w:abstractNumId="8">
    <w:nsid w:val="1E5E7E35"/>
    <w:multiLevelType w:val="hybridMultilevel"/>
    <w:tmpl w:val="00000000"/>
    <w:lvl w:ilvl="0">
      <w:start w:val="3"/>
      <w:numFmt w:val="decimal"/>
      <w:lvlText w:val="%1"/>
      <w:lvlJc w:val="left"/>
      <w:pPr>
        <w:ind w:left="3287" w:hanging="735"/>
        <w:jc w:val="left"/>
      </w:pPr>
      <w:rPr>
        <w:rFonts w:hint="default"/>
      </w:rPr>
    </w:lvl>
    <w:lvl w:ilvl="1">
      <w:start w:val="1"/>
      <w:numFmt w:val="decimal"/>
      <w:lvlText w:val="%1.%2"/>
      <w:lvlJc w:val="left"/>
      <w:pPr>
        <w:ind w:left="3287" w:hanging="735"/>
        <w:jc w:val="left"/>
      </w:pPr>
      <w:rPr>
        <w:rFonts w:ascii="仿宋" w:eastAsia="仿宋" w:hAnsi="仿宋" w:cs="仿宋" w:hint="default"/>
        <w:w w:val="100"/>
        <w:sz w:val="42"/>
        <w:szCs w:val="42"/>
      </w:rPr>
    </w:lvl>
    <w:lvl w:ilvl="2">
      <w:start w:val="1"/>
      <w:numFmt w:val="decimal"/>
      <w:lvlText w:val="%1.%2.%3"/>
      <w:lvlJc w:val="left"/>
      <w:pPr>
        <w:ind w:left="3708" w:hanging="1156"/>
        <w:jc w:val="left"/>
      </w:pPr>
      <w:rPr>
        <w:rFonts w:ascii="仿宋" w:eastAsia="仿宋" w:hAnsi="仿宋" w:cs="仿宋" w:hint="default"/>
        <w:w w:val="100"/>
        <w:sz w:val="42"/>
        <w:szCs w:val="42"/>
      </w:rPr>
    </w:lvl>
    <w:lvl w:ilvl="3">
      <w:start w:val="0"/>
      <w:numFmt w:val="bullet"/>
      <w:lvlText w:val="•"/>
      <w:lvlJc w:val="left"/>
      <w:pPr>
        <w:ind w:left="6846" w:hanging="1156"/>
      </w:pPr>
      <w:rPr>
        <w:rFonts w:hint="default"/>
      </w:rPr>
    </w:lvl>
    <w:lvl w:ilvl="4">
      <w:start w:val="0"/>
      <w:numFmt w:val="bullet"/>
      <w:lvlText w:val="•"/>
      <w:lvlJc w:val="left"/>
      <w:pPr>
        <w:ind w:left="8419" w:hanging="1156"/>
      </w:pPr>
      <w:rPr>
        <w:rFonts w:hint="default"/>
      </w:rPr>
    </w:lvl>
    <w:lvl w:ilvl="5">
      <w:start w:val="0"/>
      <w:numFmt w:val="bullet"/>
      <w:lvlText w:val="•"/>
      <w:lvlJc w:val="left"/>
      <w:pPr>
        <w:ind w:left="9993" w:hanging="1156"/>
      </w:pPr>
      <w:rPr>
        <w:rFonts w:hint="default"/>
      </w:rPr>
    </w:lvl>
    <w:lvl w:ilvl="6">
      <w:start w:val="0"/>
      <w:numFmt w:val="bullet"/>
      <w:lvlText w:val="•"/>
      <w:lvlJc w:val="left"/>
      <w:pPr>
        <w:ind w:left="11566" w:hanging="1156"/>
      </w:pPr>
      <w:rPr>
        <w:rFonts w:hint="default"/>
      </w:rPr>
    </w:lvl>
    <w:lvl w:ilvl="7">
      <w:start w:val="0"/>
      <w:numFmt w:val="bullet"/>
      <w:lvlText w:val="•"/>
      <w:lvlJc w:val="left"/>
      <w:pPr>
        <w:ind w:left="13139" w:hanging="1156"/>
      </w:pPr>
      <w:rPr>
        <w:rFonts w:hint="default"/>
      </w:rPr>
    </w:lvl>
    <w:lvl w:ilvl="8">
      <w:start w:val="0"/>
      <w:numFmt w:val="bullet"/>
      <w:lvlText w:val="•"/>
      <w:lvlJc w:val="left"/>
      <w:pPr>
        <w:ind w:left="14713" w:hanging="1156"/>
      </w:pPr>
      <w:rPr>
        <w:rFonts w:hint="default"/>
      </w:rPr>
    </w:lvl>
  </w:abstractNum>
  <w:abstractNum w:abstractNumId="9">
    <w:nsid w:val="201BF868"/>
    <w:multiLevelType w:val="hybridMultilevel"/>
    <w:tmpl w:val="00000000"/>
    <w:lvl w:ilvl="0">
      <w:start w:val="1"/>
      <w:numFmt w:val="decimal"/>
      <w:lvlText w:val="%1"/>
      <w:lvlJc w:val="left"/>
      <w:pPr>
        <w:ind w:left="4126" w:hanging="735"/>
        <w:jc w:val="left"/>
      </w:pPr>
      <w:rPr>
        <w:rFonts w:hint="default"/>
      </w:rPr>
    </w:lvl>
    <w:lvl w:ilvl="1">
      <w:start w:val="1"/>
      <w:numFmt w:val="decimal"/>
      <w:lvlText w:val="%1.%2"/>
      <w:lvlJc w:val="left"/>
      <w:pPr>
        <w:ind w:left="4126" w:hanging="735"/>
        <w:jc w:val="left"/>
      </w:pPr>
      <w:rPr>
        <w:rFonts w:ascii="仿宋" w:eastAsia="仿宋" w:hAnsi="仿宋" w:cs="仿宋" w:hint="default"/>
        <w:w w:val="100"/>
        <w:sz w:val="42"/>
        <w:szCs w:val="42"/>
      </w:rPr>
    </w:lvl>
    <w:lvl w:ilvl="2">
      <w:start w:val="1"/>
      <w:numFmt w:val="decimal"/>
      <w:lvlText w:val="%1.%2.%3"/>
      <w:lvlJc w:val="left"/>
      <w:pPr>
        <w:ind w:left="2553" w:hanging="1156"/>
        <w:jc w:val="left"/>
      </w:pPr>
      <w:rPr>
        <w:rFonts w:ascii="仿宋" w:eastAsia="仿宋" w:hAnsi="仿宋" w:cs="仿宋" w:hint="default"/>
        <w:w w:val="100"/>
        <w:sz w:val="42"/>
        <w:szCs w:val="42"/>
      </w:rPr>
    </w:lvl>
    <w:lvl w:ilvl="3">
      <w:start w:val="0"/>
      <w:numFmt w:val="bullet"/>
      <w:lvlText w:val="•"/>
      <w:lvlJc w:val="left"/>
      <w:pPr>
        <w:ind w:left="7173" w:hanging="1156"/>
      </w:pPr>
      <w:rPr>
        <w:rFonts w:hint="default"/>
      </w:rPr>
    </w:lvl>
    <w:lvl w:ilvl="4">
      <w:start w:val="0"/>
      <w:numFmt w:val="bullet"/>
      <w:lvlText w:val="•"/>
      <w:lvlJc w:val="left"/>
      <w:pPr>
        <w:ind w:left="8699" w:hanging="1156"/>
      </w:pPr>
      <w:rPr>
        <w:rFonts w:hint="default"/>
      </w:rPr>
    </w:lvl>
    <w:lvl w:ilvl="5">
      <w:start w:val="0"/>
      <w:numFmt w:val="bullet"/>
      <w:lvlText w:val="•"/>
      <w:lvlJc w:val="left"/>
      <w:pPr>
        <w:ind w:left="10226" w:hanging="1156"/>
      </w:pPr>
      <w:rPr>
        <w:rFonts w:hint="default"/>
      </w:rPr>
    </w:lvl>
    <w:lvl w:ilvl="6">
      <w:start w:val="0"/>
      <w:numFmt w:val="bullet"/>
      <w:lvlText w:val="•"/>
      <w:lvlJc w:val="left"/>
      <w:pPr>
        <w:ind w:left="11753" w:hanging="1156"/>
      </w:pPr>
      <w:rPr>
        <w:rFonts w:hint="default"/>
      </w:rPr>
    </w:lvl>
    <w:lvl w:ilvl="7">
      <w:start w:val="0"/>
      <w:numFmt w:val="bullet"/>
      <w:lvlText w:val="•"/>
      <w:lvlJc w:val="left"/>
      <w:pPr>
        <w:ind w:left="13279" w:hanging="1156"/>
      </w:pPr>
      <w:rPr>
        <w:rFonts w:hint="default"/>
      </w:rPr>
    </w:lvl>
    <w:lvl w:ilvl="8">
      <w:start w:val="0"/>
      <w:numFmt w:val="bullet"/>
      <w:lvlText w:val="•"/>
      <w:lvlJc w:val="left"/>
      <w:pPr>
        <w:ind w:left="14806" w:hanging="1156"/>
      </w:pPr>
      <w:rPr>
        <w:rFonts w:hint="default"/>
      </w:rPr>
    </w:lvl>
  </w:abstractNum>
  <w:abstractNum w:abstractNumId="10">
    <w:nsid w:val="25FCCF42"/>
    <w:multiLevelType w:val="hybridMultilevel"/>
    <w:tmpl w:val="00000000"/>
    <w:lvl w:ilvl="0">
      <w:start w:val="1"/>
      <w:numFmt w:val="decimal"/>
      <w:lvlText w:val="%1."/>
      <w:lvlJc w:val="left"/>
      <w:pPr>
        <w:ind w:left="3229" w:hanging="677"/>
        <w:jc w:val="left"/>
      </w:pPr>
      <w:rPr>
        <w:rFonts w:ascii="仿宋" w:eastAsia="仿宋" w:hAnsi="仿宋" w:cs="仿宋" w:hint="default"/>
        <w:w w:val="100"/>
        <w:sz w:val="45"/>
        <w:szCs w:val="45"/>
      </w:rPr>
    </w:lvl>
    <w:lvl w:ilvl="1">
      <w:start w:val="0"/>
      <w:numFmt w:val="bullet"/>
      <w:lvlText w:val="•"/>
      <w:lvlJc w:val="left"/>
      <w:pPr>
        <w:ind w:left="4683" w:hanging="677"/>
      </w:pPr>
      <w:rPr>
        <w:rFonts w:hint="default"/>
      </w:rPr>
    </w:lvl>
    <w:lvl w:ilvl="2">
      <w:start w:val="0"/>
      <w:numFmt w:val="bullet"/>
      <w:lvlText w:val="•"/>
      <w:lvlJc w:val="left"/>
      <w:pPr>
        <w:ind w:left="6147" w:hanging="677"/>
      </w:pPr>
      <w:rPr>
        <w:rFonts w:hint="default"/>
      </w:rPr>
    </w:lvl>
    <w:lvl w:ilvl="3">
      <w:start w:val="0"/>
      <w:numFmt w:val="bullet"/>
      <w:lvlText w:val="•"/>
      <w:lvlJc w:val="left"/>
      <w:pPr>
        <w:ind w:left="7611" w:hanging="677"/>
      </w:pPr>
      <w:rPr>
        <w:rFonts w:hint="default"/>
      </w:rPr>
    </w:lvl>
    <w:lvl w:ilvl="4">
      <w:start w:val="0"/>
      <w:numFmt w:val="bullet"/>
      <w:lvlText w:val="•"/>
      <w:lvlJc w:val="left"/>
      <w:pPr>
        <w:ind w:left="9075" w:hanging="677"/>
      </w:pPr>
      <w:rPr>
        <w:rFonts w:hint="default"/>
      </w:rPr>
    </w:lvl>
    <w:lvl w:ilvl="5">
      <w:start w:val="0"/>
      <w:numFmt w:val="bullet"/>
      <w:lvlText w:val="•"/>
      <w:lvlJc w:val="left"/>
      <w:pPr>
        <w:ind w:left="10539" w:hanging="677"/>
      </w:pPr>
      <w:rPr>
        <w:rFonts w:hint="default"/>
      </w:rPr>
    </w:lvl>
    <w:lvl w:ilvl="6">
      <w:start w:val="0"/>
      <w:numFmt w:val="bullet"/>
      <w:lvlText w:val="•"/>
      <w:lvlJc w:val="left"/>
      <w:pPr>
        <w:ind w:left="12003" w:hanging="677"/>
      </w:pPr>
      <w:rPr>
        <w:rFonts w:hint="default"/>
      </w:rPr>
    </w:lvl>
    <w:lvl w:ilvl="7">
      <w:start w:val="0"/>
      <w:numFmt w:val="bullet"/>
      <w:lvlText w:val="•"/>
      <w:lvlJc w:val="left"/>
      <w:pPr>
        <w:ind w:left="13467" w:hanging="677"/>
      </w:pPr>
      <w:rPr>
        <w:rFonts w:hint="default"/>
      </w:rPr>
    </w:lvl>
    <w:lvl w:ilvl="8">
      <w:start w:val="0"/>
      <w:numFmt w:val="bullet"/>
      <w:lvlText w:val="•"/>
      <w:lvlJc w:val="left"/>
      <w:pPr>
        <w:ind w:left="14931" w:hanging="677"/>
      </w:pPr>
      <w:rPr>
        <w:rFonts w:hint="default"/>
      </w:rPr>
    </w:lvl>
  </w:abstractNum>
  <w:abstractNum w:abstractNumId="11">
    <w:nsid w:val="2B202306"/>
    <w:multiLevelType w:val="hybridMultilevel"/>
    <w:tmpl w:val="00000000"/>
    <w:lvl w:ilvl="0">
      <w:start w:val="2"/>
      <w:numFmt w:val="decimal"/>
      <w:lvlText w:val="%1"/>
      <w:lvlJc w:val="left"/>
      <w:pPr>
        <w:ind w:left="3287" w:hanging="735"/>
        <w:jc w:val="left"/>
      </w:pPr>
      <w:rPr>
        <w:rFonts w:hint="default"/>
      </w:rPr>
    </w:lvl>
    <w:lvl w:ilvl="1">
      <w:start w:val="1"/>
      <w:numFmt w:val="decimal"/>
      <w:lvlText w:val="%1.%2"/>
      <w:lvlJc w:val="left"/>
      <w:pPr>
        <w:ind w:left="3287" w:hanging="735"/>
        <w:jc w:val="right"/>
      </w:pPr>
      <w:rPr>
        <w:rFonts w:ascii="仿宋" w:eastAsia="仿宋" w:hAnsi="仿宋" w:cs="仿宋" w:hint="default"/>
        <w:w w:val="100"/>
        <w:sz w:val="42"/>
        <w:szCs w:val="42"/>
      </w:rPr>
    </w:lvl>
    <w:lvl w:ilvl="2">
      <w:start w:val="1"/>
      <w:numFmt w:val="decimal"/>
      <w:lvlText w:val="%1.%2.%3"/>
      <w:lvlJc w:val="left"/>
      <w:pPr>
        <w:ind w:left="2553" w:hanging="1181"/>
        <w:jc w:val="left"/>
      </w:pPr>
      <w:rPr>
        <w:rFonts w:ascii="仿宋" w:eastAsia="仿宋" w:hAnsi="仿宋" w:cs="仿宋" w:hint="default"/>
        <w:w w:val="100"/>
        <w:sz w:val="42"/>
        <w:szCs w:val="42"/>
      </w:rPr>
    </w:lvl>
    <w:lvl w:ilvl="3">
      <w:start w:val="1"/>
      <w:numFmt w:val="decimal"/>
      <w:lvlText w:val="%1.%2.%3.%4"/>
      <w:lvlJc w:val="left"/>
      <w:pPr>
        <w:ind w:left="4961" w:hanging="1577"/>
        <w:jc w:val="left"/>
      </w:pPr>
      <w:rPr>
        <w:rFonts w:ascii="仿宋" w:eastAsia="仿宋" w:hAnsi="仿宋" w:cs="仿宋" w:hint="default"/>
        <w:w w:val="100"/>
        <w:sz w:val="42"/>
        <w:szCs w:val="42"/>
      </w:rPr>
    </w:lvl>
    <w:lvl w:ilvl="4">
      <w:start w:val="0"/>
      <w:numFmt w:val="bullet"/>
      <w:lvlText w:val="•"/>
      <w:lvlJc w:val="left"/>
      <w:pPr>
        <w:ind w:left="8184" w:hanging="1577"/>
      </w:pPr>
      <w:rPr>
        <w:rFonts w:hint="default"/>
      </w:rPr>
    </w:lvl>
    <w:lvl w:ilvl="5">
      <w:start w:val="0"/>
      <w:numFmt w:val="bullet"/>
      <w:lvlText w:val="•"/>
      <w:lvlJc w:val="left"/>
      <w:pPr>
        <w:ind w:left="9797" w:hanging="1577"/>
      </w:pPr>
      <w:rPr>
        <w:rFonts w:hint="default"/>
      </w:rPr>
    </w:lvl>
    <w:lvl w:ilvl="6">
      <w:start w:val="0"/>
      <w:numFmt w:val="bullet"/>
      <w:lvlText w:val="•"/>
      <w:lvlJc w:val="left"/>
      <w:pPr>
        <w:ind w:left="11409" w:hanging="1577"/>
      </w:pPr>
      <w:rPr>
        <w:rFonts w:hint="default"/>
      </w:rPr>
    </w:lvl>
    <w:lvl w:ilvl="7">
      <w:start w:val="0"/>
      <w:numFmt w:val="bullet"/>
      <w:lvlText w:val="•"/>
      <w:lvlJc w:val="left"/>
      <w:pPr>
        <w:ind w:left="13022" w:hanging="1577"/>
      </w:pPr>
      <w:rPr>
        <w:rFonts w:hint="default"/>
      </w:rPr>
    </w:lvl>
    <w:lvl w:ilvl="8">
      <w:start w:val="0"/>
      <w:numFmt w:val="bullet"/>
      <w:lvlText w:val="•"/>
      <w:lvlJc w:val="left"/>
      <w:pPr>
        <w:ind w:left="14634" w:hanging="1577"/>
      </w:pPr>
      <w:rPr>
        <w:rFonts w:hint="default"/>
      </w:rPr>
    </w:lvl>
  </w:abstractNum>
  <w:abstractNum w:abstractNumId="12">
    <w:nsid w:val="31CEDC0C"/>
    <w:multiLevelType w:val="hybridMultilevel"/>
    <w:tmpl w:val="00000000"/>
    <w:lvl w:ilvl="0">
      <w:start w:val="3"/>
      <w:numFmt w:val="decimal"/>
      <w:lvlText w:val="%1"/>
      <w:lvlJc w:val="left"/>
      <w:pPr>
        <w:ind w:left="4126" w:hanging="735"/>
        <w:jc w:val="left"/>
      </w:pPr>
      <w:rPr>
        <w:rFonts w:hint="default"/>
      </w:rPr>
    </w:lvl>
    <w:lvl w:ilvl="1">
      <w:start w:val="1"/>
      <w:numFmt w:val="decimal"/>
      <w:lvlText w:val="%1.%2"/>
      <w:lvlJc w:val="left"/>
      <w:pPr>
        <w:ind w:left="4126" w:hanging="735"/>
        <w:jc w:val="left"/>
      </w:pPr>
      <w:rPr>
        <w:rFonts w:ascii="仿宋" w:eastAsia="仿宋" w:hAnsi="仿宋" w:cs="仿宋" w:hint="default"/>
        <w:w w:val="100"/>
        <w:sz w:val="42"/>
        <w:szCs w:val="42"/>
      </w:rPr>
    </w:lvl>
    <w:lvl w:ilvl="2">
      <w:start w:val="0"/>
      <w:numFmt w:val="bullet"/>
      <w:lvlText w:val="•"/>
      <w:lvlJc w:val="left"/>
      <w:pPr>
        <w:ind w:left="6867" w:hanging="735"/>
      </w:pPr>
      <w:rPr>
        <w:rFonts w:hint="default"/>
      </w:rPr>
    </w:lvl>
    <w:lvl w:ilvl="3">
      <w:start w:val="0"/>
      <w:numFmt w:val="bullet"/>
      <w:lvlText w:val="•"/>
      <w:lvlJc w:val="left"/>
      <w:pPr>
        <w:ind w:left="8241" w:hanging="735"/>
      </w:pPr>
      <w:rPr>
        <w:rFonts w:hint="default"/>
      </w:rPr>
    </w:lvl>
    <w:lvl w:ilvl="4">
      <w:start w:val="0"/>
      <w:numFmt w:val="bullet"/>
      <w:lvlText w:val="•"/>
      <w:lvlJc w:val="left"/>
      <w:pPr>
        <w:ind w:left="9615" w:hanging="735"/>
      </w:pPr>
      <w:rPr>
        <w:rFonts w:hint="default"/>
      </w:rPr>
    </w:lvl>
    <w:lvl w:ilvl="5">
      <w:start w:val="0"/>
      <w:numFmt w:val="bullet"/>
      <w:lvlText w:val="•"/>
      <w:lvlJc w:val="left"/>
      <w:pPr>
        <w:ind w:left="10989" w:hanging="735"/>
      </w:pPr>
      <w:rPr>
        <w:rFonts w:hint="default"/>
      </w:rPr>
    </w:lvl>
    <w:lvl w:ilvl="6">
      <w:start w:val="0"/>
      <w:numFmt w:val="bullet"/>
      <w:lvlText w:val="•"/>
      <w:lvlJc w:val="left"/>
      <w:pPr>
        <w:ind w:left="12363" w:hanging="735"/>
      </w:pPr>
      <w:rPr>
        <w:rFonts w:hint="default"/>
      </w:rPr>
    </w:lvl>
    <w:lvl w:ilvl="7">
      <w:start w:val="0"/>
      <w:numFmt w:val="bullet"/>
      <w:lvlText w:val="•"/>
      <w:lvlJc w:val="left"/>
      <w:pPr>
        <w:ind w:left="13737" w:hanging="735"/>
      </w:pPr>
      <w:rPr>
        <w:rFonts w:hint="default"/>
      </w:rPr>
    </w:lvl>
    <w:lvl w:ilvl="8">
      <w:start w:val="0"/>
      <w:numFmt w:val="bullet"/>
      <w:lvlText w:val="•"/>
      <w:lvlJc w:val="left"/>
      <w:pPr>
        <w:ind w:left="15111" w:hanging="735"/>
      </w:pPr>
      <w:rPr>
        <w:rFonts w:hint="default"/>
      </w:rPr>
    </w:lvl>
  </w:abstractNum>
  <w:abstractNum w:abstractNumId="13">
    <w:nsid w:val="3699F2CB"/>
    <w:multiLevelType w:val="hybridMultilevel"/>
    <w:tmpl w:val="00000000"/>
    <w:lvl w:ilvl="0">
      <w:start w:val="1"/>
      <w:numFmt w:val="decimal"/>
      <w:lvlText w:val="%1."/>
      <w:lvlJc w:val="left"/>
      <w:pPr>
        <w:ind w:left="3229" w:hanging="677"/>
        <w:jc w:val="left"/>
      </w:pPr>
      <w:rPr>
        <w:rFonts w:ascii="仿宋" w:eastAsia="仿宋" w:hAnsi="仿宋" w:cs="仿宋" w:hint="default"/>
        <w:w w:val="100"/>
        <w:sz w:val="45"/>
        <w:szCs w:val="45"/>
      </w:rPr>
    </w:lvl>
    <w:lvl w:ilvl="1">
      <w:start w:val="0"/>
      <w:numFmt w:val="bullet"/>
      <w:lvlText w:val="•"/>
      <w:lvlJc w:val="left"/>
      <w:pPr>
        <w:ind w:left="3220" w:hanging="677"/>
      </w:pPr>
      <w:rPr>
        <w:rFonts w:hint="default"/>
      </w:rPr>
    </w:lvl>
    <w:lvl w:ilvl="2">
      <w:start w:val="0"/>
      <w:numFmt w:val="bullet"/>
      <w:lvlText w:val="•"/>
      <w:lvlJc w:val="left"/>
      <w:pPr>
        <w:ind w:left="4846" w:hanging="677"/>
      </w:pPr>
      <w:rPr>
        <w:rFonts w:hint="default"/>
      </w:rPr>
    </w:lvl>
    <w:lvl w:ilvl="3">
      <w:start w:val="0"/>
      <w:numFmt w:val="bullet"/>
      <w:lvlText w:val="•"/>
      <w:lvlJc w:val="left"/>
      <w:pPr>
        <w:ind w:left="6473" w:hanging="677"/>
      </w:pPr>
      <w:rPr>
        <w:rFonts w:hint="default"/>
      </w:rPr>
    </w:lvl>
    <w:lvl w:ilvl="4">
      <w:start w:val="0"/>
      <w:numFmt w:val="bullet"/>
      <w:lvlText w:val="•"/>
      <w:lvlJc w:val="left"/>
      <w:pPr>
        <w:ind w:left="8099" w:hanging="677"/>
      </w:pPr>
      <w:rPr>
        <w:rFonts w:hint="default"/>
      </w:rPr>
    </w:lvl>
    <w:lvl w:ilvl="5">
      <w:start w:val="0"/>
      <w:numFmt w:val="bullet"/>
      <w:lvlText w:val="•"/>
      <w:lvlJc w:val="left"/>
      <w:pPr>
        <w:ind w:left="9726" w:hanging="677"/>
      </w:pPr>
      <w:rPr>
        <w:rFonts w:hint="default"/>
      </w:rPr>
    </w:lvl>
    <w:lvl w:ilvl="6">
      <w:start w:val="0"/>
      <w:numFmt w:val="bullet"/>
      <w:lvlText w:val="•"/>
      <w:lvlJc w:val="left"/>
      <w:pPr>
        <w:ind w:left="11353" w:hanging="677"/>
      </w:pPr>
      <w:rPr>
        <w:rFonts w:hint="default"/>
      </w:rPr>
    </w:lvl>
    <w:lvl w:ilvl="7">
      <w:start w:val="0"/>
      <w:numFmt w:val="bullet"/>
      <w:lvlText w:val="•"/>
      <w:lvlJc w:val="left"/>
      <w:pPr>
        <w:ind w:left="12979" w:hanging="677"/>
      </w:pPr>
      <w:rPr>
        <w:rFonts w:hint="default"/>
      </w:rPr>
    </w:lvl>
    <w:lvl w:ilvl="8">
      <w:start w:val="0"/>
      <w:numFmt w:val="bullet"/>
      <w:lvlText w:val="•"/>
      <w:lvlJc w:val="left"/>
      <w:pPr>
        <w:ind w:left="14606" w:hanging="677"/>
      </w:pPr>
      <w:rPr>
        <w:rFonts w:hint="default"/>
      </w:rPr>
    </w:lvl>
  </w:abstractNum>
  <w:abstractNum w:abstractNumId="14">
    <w:nsid w:val="449DC6FE"/>
    <w:multiLevelType w:val="hybridMultilevel"/>
    <w:tmpl w:val="00000000"/>
    <w:lvl w:ilvl="0">
      <w:start w:val="2"/>
      <w:numFmt w:val="decimal"/>
      <w:lvlText w:val="%1"/>
      <w:lvlJc w:val="left"/>
      <w:pPr>
        <w:ind w:left="2553" w:hanging="735"/>
        <w:jc w:val="left"/>
      </w:pPr>
      <w:rPr>
        <w:rFonts w:hint="default"/>
      </w:rPr>
    </w:lvl>
    <w:lvl w:ilvl="1">
      <w:start w:val="1"/>
      <w:numFmt w:val="decimal"/>
      <w:lvlText w:val="%1.%2"/>
      <w:lvlJc w:val="left"/>
      <w:pPr>
        <w:ind w:left="2553" w:hanging="735"/>
        <w:jc w:val="left"/>
      </w:pPr>
      <w:rPr>
        <w:rFonts w:ascii="仿宋" w:eastAsia="仿宋" w:hAnsi="仿宋" w:cs="仿宋" w:hint="default"/>
        <w:w w:val="100"/>
        <w:sz w:val="42"/>
        <w:szCs w:val="42"/>
      </w:rPr>
    </w:lvl>
    <w:lvl w:ilvl="2">
      <w:start w:val="1"/>
      <w:numFmt w:val="decimal"/>
      <w:lvlText w:val="%1.%2.%3"/>
      <w:lvlJc w:val="left"/>
      <w:pPr>
        <w:ind w:left="4540" w:hanging="1156"/>
        <w:jc w:val="left"/>
      </w:pPr>
      <w:rPr>
        <w:rFonts w:ascii="仿宋" w:eastAsia="仿宋" w:hAnsi="仿宋" w:cs="仿宋" w:hint="default"/>
        <w:w w:val="100"/>
        <w:sz w:val="42"/>
        <w:szCs w:val="42"/>
      </w:rPr>
    </w:lvl>
    <w:lvl w:ilvl="3">
      <w:start w:val="0"/>
      <w:numFmt w:val="bullet"/>
      <w:lvlText w:val="•"/>
      <w:lvlJc w:val="left"/>
      <w:pPr>
        <w:ind w:left="7499" w:hanging="1156"/>
      </w:pPr>
      <w:rPr>
        <w:rFonts w:hint="default"/>
      </w:rPr>
    </w:lvl>
    <w:lvl w:ilvl="4">
      <w:start w:val="0"/>
      <w:numFmt w:val="bullet"/>
      <w:lvlText w:val="•"/>
      <w:lvlJc w:val="left"/>
      <w:pPr>
        <w:ind w:left="8979" w:hanging="1156"/>
      </w:pPr>
      <w:rPr>
        <w:rFonts w:hint="default"/>
      </w:rPr>
    </w:lvl>
    <w:lvl w:ilvl="5">
      <w:start w:val="0"/>
      <w:numFmt w:val="bullet"/>
      <w:lvlText w:val="•"/>
      <w:lvlJc w:val="left"/>
      <w:pPr>
        <w:ind w:left="10459" w:hanging="1156"/>
      </w:pPr>
      <w:rPr>
        <w:rFonts w:hint="default"/>
      </w:rPr>
    </w:lvl>
    <w:lvl w:ilvl="6">
      <w:start w:val="0"/>
      <w:numFmt w:val="bullet"/>
      <w:lvlText w:val="•"/>
      <w:lvlJc w:val="left"/>
      <w:pPr>
        <w:ind w:left="11939" w:hanging="1156"/>
      </w:pPr>
      <w:rPr>
        <w:rFonts w:hint="default"/>
      </w:rPr>
    </w:lvl>
    <w:lvl w:ilvl="7">
      <w:start w:val="0"/>
      <w:numFmt w:val="bullet"/>
      <w:lvlText w:val="•"/>
      <w:lvlJc w:val="left"/>
      <w:pPr>
        <w:ind w:left="13419" w:hanging="1156"/>
      </w:pPr>
      <w:rPr>
        <w:rFonts w:hint="default"/>
      </w:rPr>
    </w:lvl>
    <w:lvl w:ilvl="8">
      <w:start w:val="0"/>
      <w:numFmt w:val="bullet"/>
      <w:lvlText w:val="•"/>
      <w:lvlJc w:val="left"/>
      <w:pPr>
        <w:ind w:left="14899" w:hanging="1156"/>
      </w:pPr>
      <w:rPr>
        <w:rFonts w:hint="default"/>
      </w:rPr>
    </w:lvl>
  </w:abstractNum>
  <w:abstractNum w:abstractNumId="15">
    <w:nsid w:val="4630FB3A"/>
    <w:multiLevelType w:val="hybridMultilevel"/>
    <w:tmpl w:val="00000000"/>
    <w:lvl w:ilvl="0">
      <w:start w:val="1"/>
      <w:numFmt w:val="decimal"/>
      <w:lvlText w:val="%1"/>
      <w:lvlJc w:val="left"/>
      <w:pPr>
        <w:ind w:left="4126" w:hanging="735"/>
        <w:jc w:val="left"/>
      </w:pPr>
      <w:rPr>
        <w:rFonts w:hint="default"/>
      </w:rPr>
    </w:lvl>
    <w:lvl w:ilvl="1">
      <w:start w:val="1"/>
      <w:numFmt w:val="decimal"/>
      <w:lvlText w:val="%1.%2"/>
      <w:lvlJc w:val="left"/>
      <w:pPr>
        <w:ind w:left="4126" w:hanging="735"/>
        <w:jc w:val="left"/>
      </w:pPr>
      <w:rPr>
        <w:rFonts w:ascii="仿宋" w:eastAsia="仿宋" w:hAnsi="仿宋" w:cs="仿宋" w:hint="default"/>
        <w:w w:val="100"/>
        <w:sz w:val="42"/>
        <w:szCs w:val="42"/>
      </w:rPr>
    </w:lvl>
    <w:lvl w:ilvl="2">
      <w:start w:val="1"/>
      <w:numFmt w:val="decimal"/>
      <w:lvlText w:val="%1.%2.%3"/>
      <w:lvlJc w:val="left"/>
      <w:pPr>
        <w:ind w:left="2553" w:hanging="1156"/>
        <w:jc w:val="left"/>
      </w:pPr>
      <w:rPr>
        <w:rFonts w:ascii="仿宋" w:eastAsia="仿宋" w:hAnsi="仿宋" w:cs="仿宋" w:hint="default"/>
        <w:w w:val="100"/>
        <w:sz w:val="42"/>
        <w:szCs w:val="42"/>
      </w:rPr>
    </w:lvl>
    <w:lvl w:ilvl="3">
      <w:start w:val="0"/>
      <w:numFmt w:val="bullet"/>
      <w:lvlText w:val="•"/>
      <w:lvlJc w:val="left"/>
      <w:pPr>
        <w:ind w:left="7173" w:hanging="1156"/>
      </w:pPr>
      <w:rPr>
        <w:rFonts w:hint="default"/>
      </w:rPr>
    </w:lvl>
    <w:lvl w:ilvl="4">
      <w:start w:val="0"/>
      <w:numFmt w:val="bullet"/>
      <w:lvlText w:val="•"/>
      <w:lvlJc w:val="left"/>
      <w:pPr>
        <w:ind w:left="8699" w:hanging="1156"/>
      </w:pPr>
      <w:rPr>
        <w:rFonts w:hint="default"/>
      </w:rPr>
    </w:lvl>
    <w:lvl w:ilvl="5">
      <w:start w:val="0"/>
      <w:numFmt w:val="bullet"/>
      <w:lvlText w:val="•"/>
      <w:lvlJc w:val="left"/>
      <w:pPr>
        <w:ind w:left="10226" w:hanging="1156"/>
      </w:pPr>
      <w:rPr>
        <w:rFonts w:hint="default"/>
      </w:rPr>
    </w:lvl>
    <w:lvl w:ilvl="6">
      <w:start w:val="0"/>
      <w:numFmt w:val="bullet"/>
      <w:lvlText w:val="•"/>
      <w:lvlJc w:val="left"/>
      <w:pPr>
        <w:ind w:left="11753" w:hanging="1156"/>
      </w:pPr>
      <w:rPr>
        <w:rFonts w:hint="default"/>
      </w:rPr>
    </w:lvl>
    <w:lvl w:ilvl="7">
      <w:start w:val="0"/>
      <w:numFmt w:val="bullet"/>
      <w:lvlText w:val="•"/>
      <w:lvlJc w:val="left"/>
      <w:pPr>
        <w:ind w:left="13279" w:hanging="1156"/>
      </w:pPr>
      <w:rPr>
        <w:rFonts w:hint="default"/>
      </w:rPr>
    </w:lvl>
    <w:lvl w:ilvl="8">
      <w:start w:val="0"/>
      <w:numFmt w:val="bullet"/>
      <w:lvlText w:val="•"/>
      <w:lvlJc w:val="left"/>
      <w:pPr>
        <w:ind w:left="14806" w:hanging="1156"/>
      </w:pPr>
      <w:rPr>
        <w:rFonts w:hint="default"/>
      </w:rPr>
    </w:lvl>
  </w:abstractNum>
  <w:abstractNum w:abstractNumId="16">
    <w:nsid w:val="47C87A87"/>
    <w:multiLevelType w:val="hybridMultilevel"/>
    <w:tmpl w:val="00000000"/>
    <w:lvl w:ilvl="0">
      <w:start w:val="4"/>
      <w:numFmt w:val="decimal"/>
      <w:lvlText w:val="%1"/>
      <w:lvlJc w:val="left"/>
      <w:pPr>
        <w:ind w:left="2553" w:hanging="735"/>
        <w:jc w:val="left"/>
      </w:pPr>
      <w:rPr>
        <w:rFonts w:hint="default"/>
      </w:rPr>
    </w:lvl>
    <w:lvl w:ilvl="1">
      <w:start w:val="1"/>
      <w:numFmt w:val="decimal"/>
      <w:lvlText w:val="%1.%2"/>
      <w:lvlJc w:val="left"/>
      <w:pPr>
        <w:ind w:left="2553" w:hanging="735"/>
        <w:jc w:val="left"/>
      </w:pPr>
      <w:rPr>
        <w:rFonts w:ascii="幼圆" w:eastAsia="幼圆" w:hAnsi="幼圆" w:cs="幼圆" w:hint="default"/>
        <w:w w:val="100"/>
        <w:sz w:val="42"/>
        <w:szCs w:val="42"/>
      </w:rPr>
    </w:lvl>
    <w:lvl w:ilvl="2">
      <w:start w:val="0"/>
      <w:numFmt w:val="bullet"/>
      <w:lvlText w:val="•"/>
      <w:lvlJc w:val="left"/>
      <w:pPr>
        <w:ind w:left="5619" w:hanging="735"/>
      </w:pPr>
      <w:rPr>
        <w:rFonts w:hint="default"/>
      </w:rPr>
    </w:lvl>
    <w:lvl w:ilvl="3">
      <w:start w:val="0"/>
      <w:numFmt w:val="bullet"/>
      <w:lvlText w:val="•"/>
      <w:lvlJc w:val="left"/>
      <w:pPr>
        <w:ind w:left="7149" w:hanging="735"/>
      </w:pPr>
      <w:rPr>
        <w:rFonts w:hint="default"/>
      </w:rPr>
    </w:lvl>
    <w:lvl w:ilvl="4">
      <w:start w:val="0"/>
      <w:numFmt w:val="bullet"/>
      <w:lvlText w:val="•"/>
      <w:lvlJc w:val="left"/>
      <w:pPr>
        <w:ind w:left="8679" w:hanging="735"/>
      </w:pPr>
      <w:rPr>
        <w:rFonts w:hint="default"/>
      </w:rPr>
    </w:lvl>
    <w:lvl w:ilvl="5">
      <w:start w:val="0"/>
      <w:numFmt w:val="bullet"/>
      <w:lvlText w:val="•"/>
      <w:lvlJc w:val="left"/>
      <w:pPr>
        <w:ind w:left="10209" w:hanging="735"/>
      </w:pPr>
      <w:rPr>
        <w:rFonts w:hint="default"/>
      </w:rPr>
    </w:lvl>
    <w:lvl w:ilvl="6">
      <w:start w:val="0"/>
      <w:numFmt w:val="bullet"/>
      <w:lvlText w:val="•"/>
      <w:lvlJc w:val="left"/>
      <w:pPr>
        <w:ind w:left="11739" w:hanging="735"/>
      </w:pPr>
      <w:rPr>
        <w:rFonts w:hint="default"/>
      </w:rPr>
    </w:lvl>
    <w:lvl w:ilvl="7">
      <w:start w:val="0"/>
      <w:numFmt w:val="bullet"/>
      <w:lvlText w:val="•"/>
      <w:lvlJc w:val="left"/>
      <w:pPr>
        <w:ind w:left="13269" w:hanging="735"/>
      </w:pPr>
      <w:rPr>
        <w:rFonts w:hint="default"/>
      </w:rPr>
    </w:lvl>
    <w:lvl w:ilvl="8">
      <w:start w:val="0"/>
      <w:numFmt w:val="bullet"/>
      <w:lvlText w:val="•"/>
      <w:lvlJc w:val="left"/>
      <w:pPr>
        <w:ind w:left="14799" w:hanging="735"/>
      </w:pPr>
      <w:rPr>
        <w:rFonts w:hint="default"/>
      </w:rPr>
    </w:lvl>
  </w:abstractNum>
  <w:abstractNum w:abstractNumId="17">
    <w:nsid w:val="49A244B4"/>
    <w:multiLevelType w:val="hybridMultilevel"/>
    <w:tmpl w:val="00000000"/>
    <w:lvl w:ilvl="0">
      <w:start w:val="1"/>
      <w:numFmt w:val="decimal"/>
      <w:lvlText w:val="%1."/>
      <w:lvlJc w:val="left"/>
      <w:pPr>
        <w:ind w:left="3229" w:hanging="677"/>
        <w:jc w:val="left"/>
      </w:pPr>
      <w:rPr>
        <w:rFonts w:ascii="仿宋" w:eastAsia="仿宋" w:hAnsi="仿宋" w:cs="仿宋" w:hint="default"/>
        <w:w w:val="100"/>
        <w:sz w:val="45"/>
        <w:szCs w:val="45"/>
      </w:rPr>
    </w:lvl>
    <w:lvl w:ilvl="1">
      <w:start w:val="0"/>
      <w:numFmt w:val="bullet"/>
      <w:lvlText w:val="•"/>
      <w:lvlJc w:val="left"/>
      <w:pPr>
        <w:ind w:left="4683" w:hanging="677"/>
      </w:pPr>
      <w:rPr>
        <w:rFonts w:hint="default"/>
      </w:rPr>
    </w:lvl>
    <w:lvl w:ilvl="2">
      <w:start w:val="0"/>
      <w:numFmt w:val="bullet"/>
      <w:lvlText w:val="•"/>
      <w:lvlJc w:val="left"/>
      <w:pPr>
        <w:ind w:left="6147" w:hanging="677"/>
      </w:pPr>
      <w:rPr>
        <w:rFonts w:hint="default"/>
      </w:rPr>
    </w:lvl>
    <w:lvl w:ilvl="3">
      <w:start w:val="0"/>
      <w:numFmt w:val="bullet"/>
      <w:lvlText w:val="•"/>
      <w:lvlJc w:val="left"/>
      <w:pPr>
        <w:ind w:left="7611" w:hanging="677"/>
      </w:pPr>
      <w:rPr>
        <w:rFonts w:hint="default"/>
      </w:rPr>
    </w:lvl>
    <w:lvl w:ilvl="4">
      <w:start w:val="0"/>
      <w:numFmt w:val="bullet"/>
      <w:lvlText w:val="•"/>
      <w:lvlJc w:val="left"/>
      <w:pPr>
        <w:ind w:left="9075" w:hanging="677"/>
      </w:pPr>
      <w:rPr>
        <w:rFonts w:hint="default"/>
      </w:rPr>
    </w:lvl>
    <w:lvl w:ilvl="5">
      <w:start w:val="0"/>
      <w:numFmt w:val="bullet"/>
      <w:lvlText w:val="•"/>
      <w:lvlJc w:val="left"/>
      <w:pPr>
        <w:ind w:left="10539" w:hanging="677"/>
      </w:pPr>
      <w:rPr>
        <w:rFonts w:hint="default"/>
      </w:rPr>
    </w:lvl>
    <w:lvl w:ilvl="6">
      <w:start w:val="0"/>
      <w:numFmt w:val="bullet"/>
      <w:lvlText w:val="•"/>
      <w:lvlJc w:val="left"/>
      <w:pPr>
        <w:ind w:left="12003" w:hanging="677"/>
      </w:pPr>
      <w:rPr>
        <w:rFonts w:hint="default"/>
      </w:rPr>
    </w:lvl>
    <w:lvl w:ilvl="7">
      <w:start w:val="0"/>
      <w:numFmt w:val="bullet"/>
      <w:lvlText w:val="•"/>
      <w:lvlJc w:val="left"/>
      <w:pPr>
        <w:ind w:left="13467" w:hanging="677"/>
      </w:pPr>
      <w:rPr>
        <w:rFonts w:hint="default"/>
      </w:rPr>
    </w:lvl>
    <w:lvl w:ilvl="8">
      <w:start w:val="0"/>
      <w:numFmt w:val="bullet"/>
      <w:lvlText w:val="•"/>
      <w:lvlJc w:val="left"/>
      <w:pPr>
        <w:ind w:left="14931" w:hanging="677"/>
      </w:pPr>
      <w:rPr>
        <w:rFonts w:hint="default"/>
      </w:rPr>
    </w:lvl>
  </w:abstractNum>
  <w:abstractNum w:abstractNumId="18">
    <w:nsid w:val="49B90F5C"/>
    <w:multiLevelType w:val="hybridMultilevel"/>
    <w:tmpl w:val="00000000"/>
    <w:lvl w:ilvl="0">
      <w:start w:val="3"/>
      <w:numFmt w:val="decimal"/>
      <w:lvlText w:val="%1."/>
      <w:lvlJc w:val="left"/>
      <w:pPr>
        <w:ind w:left="3806" w:hanging="423"/>
        <w:jc w:val="left"/>
      </w:pPr>
      <w:rPr>
        <w:rFonts w:ascii="仿宋" w:eastAsia="仿宋" w:hAnsi="仿宋" w:cs="仿宋" w:hint="default"/>
        <w:w w:val="100"/>
        <w:sz w:val="40"/>
        <w:szCs w:val="40"/>
      </w:rPr>
    </w:lvl>
    <w:lvl w:ilvl="1">
      <w:start w:val="1"/>
      <w:numFmt w:val="decimal"/>
      <w:lvlText w:val="%1.%2"/>
      <w:lvlJc w:val="left"/>
      <w:pPr>
        <w:ind w:left="2553" w:hanging="843"/>
        <w:jc w:val="left"/>
      </w:pPr>
      <w:rPr>
        <w:rFonts w:ascii="仿宋" w:eastAsia="仿宋" w:hAnsi="仿宋" w:cs="仿宋" w:hint="default"/>
        <w:w w:val="100"/>
        <w:sz w:val="42"/>
        <w:szCs w:val="42"/>
      </w:rPr>
    </w:lvl>
    <w:lvl w:ilvl="2">
      <w:start w:val="1"/>
      <w:numFmt w:val="decimal"/>
      <w:lvlText w:val="%1.%2.%3"/>
      <w:lvlJc w:val="left"/>
      <w:pPr>
        <w:ind w:left="4540" w:hanging="1156"/>
        <w:jc w:val="left"/>
      </w:pPr>
      <w:rPr>
        <w:rFonts w:ascii="仿宋" w:eastAsia="仿宋" w:hAnsi="仿宋" w:cs="仿宋" w:hint="default"/>
        <w:w w:val="100"/>
        <w:sz w:val="42"/>
        <w:szCs w:val="42"/>
      </w:rPr>
    </w:lvl>
    <w:lvl w:ilvl="3">
      <w:start w:val="0"/>
      <w:numFmt w:val="bullet"/>
      <w:lvlText w:val="•"/>
      <w:lvlJc w:val="left"/>
      <w:pPr>
        <w:ind w:left="6204" w:hanging="1156"/>
      </w:pPr>
      <w:rPr>
        <w:rFonts w:hint="default"/>
      </w:rPr>
    </w:lvl>
    <w:lvl w:ilvl="4">
      <w:start w:val="0"/>
      <w:numFmt w:val="bullet"/>
      <w:lvlText w:val="•"/>
      <w:lvlJc w:val="left"/>
      <w:pPr>
        <w:ind w:left="7869" w:hanging="1156"/>
      </w:pPr>
      <w:rPr>
        <w:rFonts w:hint="default"/>
      </w:rPr>
    </w:lvl>
    <w:lvl w:ilvl="5">
      <w:start w:val="0"/>
      <w:numFmt w:val="bullet"/>
      <w:lvlText w:val="•"/>
      <w:lvlJc w:val="left"/>
      <w:pPr>
        <w:ind w:left="9534" w:hanging="1156"/>
      </w:pPr>
      <w:rPr>
        <w:rFonts w:hint="default"/>
      </w:rPr>
    </w:lvl>
    <w:lvl w:ilvl="6">
      <w:start w:val="0"/>
      <w:numFmt w:val="bullet"/>
      <w:lvlText w:val="•"/>
      <w:lvlJc w:val="left"/>
      <w:pPr>
        <w:ind w:left="11199" w:hanging="1156"/>
      </w:pPr>
      <w:rPr>
        <w:rFonts w:hint="default"/>
      </w:rPr>
    </w:lvl>
    <w:lvl w:ilvl="7">
      <w:start w:val="0"/>
      <w:numFmt w:val="bullet"/>
      <w:lvlText w:val="•"/>
      <w:lvlJc w:val="left"/>
      <w:pPr>
        <w:ind w:left="12864" w:hanging="1156"/>
      </w:pPr>
      <w:rPr>
        <w:rFonts w:hint="default"/>
      </w:rPr>
    </w:lvl>
    <w:lvl w:ilvl="8">
      <w:start w:val="0"/>
      <w:numFmt w:val="bullet"/>
      <w:lvlText w:val="•"/>
      <w:lvlJc w:val="left"/>
      <w:pPr>
        <w:ind w:left="14529" w:hanging="1156"/>
      </w:pPr>
      <w:rPr>
        <w:rFonts w:hint="default"/>
      </w:rPr>
    </w:lvl>
  </w:abstractNum>
  <w:abstractNum w:abstractNumId="19">
    <w:nsid w:val="4F080BD7"/>
    <w:multiLevelType w:val="hybridMultilevel"/>
    <w:tmpl w:val="00000000"/>
    <w:lvl w:ilvl="0">
      <w:start w:val="1"/>
      <w:numFmt w:val="decimal"/>
      <w:lvlText w:val="%1."/>
      <w:lvlJc w:val="left"/>
      <w:pPr>
        <w:ind w:left="3229" w:hanging="677"/>
        <w:jc w:val="left"/>
      </w:pPr>
      <w:rPr>
        <w:rFonts w:ascii="仿宋" w:eastAsia="仿宋" w:hAnsi="仿宋" w:cs="仿宋" w:hint="default"/>
        <w:w w:val="100"/>
        <w:sz w:val="45"/>
        <w:szCs w:val="45"/>
      </w:rPr>
    </w:lvl>
    <w:lvl w:ilvl="1">
      <w:start w:val="0"/>
      <w:numFmt w:val="bullet"/>
      <w:lvlText w:val="•"/>
      <w:lvlJc w:val="left"/>
      <w:pPr>
        <w:ind w:left="4683" w:hanging="677"/>
      </w:pPr>
      <w:rPr>
        <w:rFonts w:hint="default"/>
      </w:rPr>
    </w:lvl>
    <w:lvl w:ilvl="2">
      <w:start w:val="0"/>
      <w:numFmt w:val="bullet"/>
      <w:lvlText w:val="•"/>
      <w:lvlJc w:val="left"/>
      <w:pPr>
        <w:ind w:left="6147" w:hanging="677"/>
      </w:pPr>
      <w:rPr>
        <w:rFonts w:hint="default"/>
      </w:rPr>
    </w:lvl>
    <w:lvl w:ilvl="3">
      <w:start w:val="0"/>
      <w:numFmt w:val="bullet"/>
      <w:lvlText w:val="•"/>
      <w:lvlJc w:val="left"/>
      <w:pPr>
        <w:ind w:left="7611" w:hanging="677"/>
      </w:pPr>
      <w:rPr>
        <w:rFonts w:hint="default"/>
      </w:rPr>
    </w:lvl>
    <w:lvl w:ilvl="4">
      <w:start w:val="0"/>
      <w:numFmt w:val="bullet"/>
      <w:lvlText w:val="•"/>
      <w:lvlJc w:val="left"/>
      <w:pPr>
        <w:ind w:left="9075" w:hanging="677"/>
      </w:pPr>
      <w:rPr>
        <w:rFonts w:hint="default"/>
      </w:rPr>
    </w:lvl>
    <w:lvl w:ilvl="5">
      <w:start w:val="0"/>
      <w:numFmt w:val="bullet"/>
      <w:lvlText w:val="•"/>
      <w:lvlJc w:val="left"/>
      <w:pPr>
        <w:ind w:left="10539" w:hanging="677"/>
      </w:pPr>
      <w:rPr>
        <w:rFonts w:hint="default"/>
      </w:rPr>
    </w:lvl>
    <w:lvl w:ilvl="6">
      <w:start w:val="0"/>
      <w:numFmt w:val="bullet"/>
      <w:lvlText w:val="•"/>
      <w:lvlJc w:val="left"/>
      <w:pPr>
        <w:ind w:left="12003" w:hanging="677"/>
      </w:pPr>
      <w:rPr>
        <w:rFonts w:hint="default"/>
      </w:rPr>
    </w:lvl>
    <w:lvl w:ilvl="7">
      <w:start w:val="0"/>
      <w:numFmt w:val="bullet"/>
      <w:lvlText w:val="•"/>
      <w:lvlJc w:val="left"/>
      <w:pPr>
        <w:ind w:left="13467" w:hanging="677"/>
      </w:pPr>
      <w:rPr>
        <w:rFonts w:hint="default"/>
      </w:rPr>
    </w:lvl>
    <w:lvl w:ilvl="8">
      <w:start w:val="0"/>
      <w:numFmt w:val="bullet"/>
      <w:lvlText w:val="•"/>
      <w:lvlJc w:val="left"/>
      <w:pPr>
        <w:ind w:left="14931" w:hanging="677"/>
      </w:pPr>
      <w:rPr>
        <w:rFonts w:hint="default"/>
      </w:rPr>
    </w:lvl>
  </w:abstractNum>
  <w:abstractNum w:abstractNumId="20">
    <w:nsid w:val="539887F1"/>
    <w:multiLevelType w:val="hybridMultilevel"/>
    <w:tmpl w:val="00000000"/>
    <w:lvl w:ilvl="0">
      <w:start w:val="3"/>
      <w:numFmt w:val="decimal"/>
      <w:lvlText w:val="%1"/>
      <w:lvlJc w:val="left"/>
      <w:pPr>
        <w:ind w:left="3287" w:hanging="735"/>
        <w:jc w:val="left"/>
      </w:pPr>
      <w:rPr>
        <w:rFonts w:hint="default"/>
      </w:rPr>
    </w:lvl>
    <w:lvl w:ilvl="1">
      <w:start w:val="1"/>
      <w:numFmt w:val="decimal"/>
      <w:lvlText w:val="%1.%2"/>
      <w:lvlJc w:val="left"/>
      <w:pPr>
        <w:ind w:left="3287" w:hanging="735"/>
        <w:jc w:val="left"/>
      </w:pPr>
      <w:rPr>
        <w:rFonts w:ascii="仿宋" w:eastAsia="仿宋" w:hAnsi="仿宋" w:cs="仿宋" w:hint="default"/>
        <w:w w:val="100"/>
        <w:sz w:val="42"/>
        <w:szCs w:val="42"/>
      </w:rPr>
    </w:lvl>
    <w:lvl w:ilvl="2">
      <w:start w:val="1"/>
      <w:numFmt w:val="decimal"/>
      <w:lvlText w:val="%1.%2.%3"/>
      <w:lvlJc w:val="left"/>
      <w:pPr>
        <w:ind w:left="3708" w:hanging="1156"/>
        <w:jc w:val="left"/>
      </w:pPr>
      <w:rPr>
        <w:rFonts w:ascii="仿宋" w:eastAsia="仿宋" w:hAnsi="仿宋" w:cs="仿宋" w:hint="default"/>
        <w:w w:val="100"/>
        <w:sz w:val="42"/>
        <w:szCs w:val="42"/>
      </w:rPr>
    </w:lvl>
    <w:lvl w:ilvl="3">
      <w:start w:val="0"/>
      <w:numFmt w:val="bullet"/>
      <w:lvlText w:val="•"/>
      <w:lvlJc w:val="left"/>
      <w:pPr>
        <w:ind w:left="6846" w:hanging="1156"/>
      </w:pPr>
      <w:rPr>
        <w:rFonts w:hint="default"/>
      </w:rPr>
    </w:lvl>
    <w:lvl w:ilvl="4">
      <w:start w:val="0"/>
      <w:numFmt w:val="bullet"/>
      <w:lvlText w:val="•"/>
      <w:lvlJc w:val="left"/>
      <w:pPr>
        <w:ind w:left="8419" w:hanging="1156"/>
      </w:pPr>
      <w:rPr>
        <w:rFonts w:hint="default"/>
      </w:rPr>
    </w:lvl>
    <w:lvl w:ilvl="5">
      <w:start w:val="0"/>
      <w:numFmt w:val="bullet"/>
      <w:lvlText w:val="•"/>
      <w:lvlJc w:val="left"/>
      <w:pPr>
        <w:ind w:left="9993" w:hanging="1156"/>
      </w:pPr>
      <w:rPr>
        <w:rFonts w:hint="default"/>
      </w:rPr>
    </w:lvl>
    <w:lvl w:ilvl="6">
      <w:start w:val="0"/>
      <w:numFmt w:val="bullet"/>
      <w:lvlText w:val="•"/>
      <w:lvlJc w:val="left"/>
      <w:pPr>
        <w:ind w:left="11566" w:hanging="1156"/>
      </w:pPr>
      <w:rPr>
        <w:rFonts w:hint="default"/>
      </w:rPr>
    </w:lvl>
    <w:lvl w:ilvl="7">
      <w:start w:val="0"/>
      <w:numFmt w:val="bullet"/>
      <w:lvlText w:val="•"/>
      <w:lvlJc w:val="left"/>
      <w:pPr>
        <w:ind w:left="13139" w:hanging="1156"/>
      </w:pPr>
      <w:rPr>
        <w:rFonts w:hint="default"/>
      </w:rPr>
    </w:lvl>
    <w:lvl w:ilvl="8">
      <w:start w:val="0"/>
      <w:numFmt w:val="bullet"/>
      <w:lvlText w:val="•"/>
      <w:lvlJc w:val="left"/>
      <w:pPr>
        <w:ind w:left="14713" w:hanging="1156"/>
      </w:pPr>
      <w:rPr>
        <w:rFonts w:hint="default"/>
      </w:rPr>
    </w:lvl>
  </w:abstractNum>
  <w:abstractNum w:abstractNumId="21">
    <w:nsid w:val="53CFDC58"/>
    <w:multiLevelType w:val="hybridMultilevel"/>
    <w:tmpl w:val="00000000"/>
    <w:lvl w:ilvl="0">
      <w:start w:val="2"/>
      <w:numFmt w:val="decimal"/>
      <w:lvlText w:val="%1"/>
      <w:lvlJc w:val="left"/>
      <w:pPr>
        <w:ind w:left="4119" w:hanging="735"/>
        <w:jc w:val="left"/>
      </w:pPr>
      <w:rPr>
        <w:rFonts w:hint="default"/>
      </w:rPr>
    </w:lvl>
    <w:lvl w:ilvl="1">
      <w:start w:val="1"/>
      <w:numFmt w:val="decimal"/>
      <w:lvlText w:val="%1.%2"/>
      <w:lvlJc w:val="left"/>
      <w:pPr>
        <w:ind w:left="4119" w:hanging="735"/>
        <w:jc w:val="left"/>
      </w:pPr>
      <w:rPr>
        <w:rFonts w:ascii="仿宋" w:eastAsia="仿宋" w:hAnsi="仿宋" w:cs="仿宋" w:hint="default"/>
        <w:w w:val="100"/>
        <w:sz w:val="42"/>
        <w:szCs w:val="42"/>
      </w:rPr>
    </w:lvl>
    <w:lvl w:ilvl="2">
      <w:start w:val="1"/>
      <w:numFmt w:val="decimal"/>
      <w:lvlText w:val="%1.%2.%3"/>
      <w:lvlJc w:val="left"/>
      <w:pPr>
        <w:ind w:left="4565" w:hanging="1181"/>
        <w:jc w:val="left"/>
      </w:pPr>
      <w:rPr>
        <w:rFonts w:ascii="仿宋" w:eastAsia="仿宋" w:hAnsi="仿宋" w:cs="仿宋" w:hint="default"/>
        <w:w w:val="100"/>
        <w:sz w:val="42"/>
        <w:szCs w:val="42"/>
      </w:rPr>
    </w:lvl>
    <w:lvl w:ilvl="3">
      <w:start w:val="0"/>
      <w:numFmt w:val="bullet"/>
      <w:lvlText w:val="•"/>
      <w:lvlJc w:val="left"/>
      <w:pPr>
        <w:ind w:left="6222" w:hanging="1181"/>
      </w:pPr>
      <w:rPr>
        <w:rFonts w:hint="default"/>
      </w:rPr>
    </w:lvl>
    <w:lvl w:ilvl="4">
      <w:start w:val="0"/>
      <w:numFmt w:val="bullet"/>
      <w:lvlText w:val="•"/>
      <w:lvlJc w:val="left"/>
      <w:pPr>
        <w:ind w:left="7884" w:hanging="1181"/>
      </w:pPr>
      <w:rPr>
        <w:rFonts w:hint="default"/>
      </w:rPr>
    </w:lvl>
    <w:lvl w:ilvl="5">
      <w:start w:val="0"/>
      <w:numFmt w:val="bullet"/>
      <w:lvlText w:val="•"/>
      <w:lvlJc w:val="left"/>
      <w:pPr>
        <w:ind w:left="9547" w:hanging="1181"/>
      </w:pPr>
      <w:rPr>
        <w:rFonts w:hint="default"/>
      </w:rPr>
    </w:lvl>
    <w:lvl w:ilvl="6">
      <w:start w:val="0"/>
      <w:numFmt w:val="bullet"/>
      <w:lvlText w:val="•"/>
      <w:lvlJc w:val="left"/>
      <w:pPr>
        <w:ind w:left="11209" w:hanging="1181"/>
      </w:pPr>
      <w:rPr>
        <w:rFonts w:hint="default"/>
      </w:rPr>
    </w:lvl>
    <w:lvl w:ilvl="7">
      <w:start w:val="0"/>
      <w:numFmt w:val="bullet"/>
      <w:lvlText w:val="•"/>
      <w:lvlJc w:val="left"/>
      <w:pPr>
        <w:ind w:left="12872" w:hanging="1181"/>
      </w:pPr>
      <w:rPr>
        <w:rFonts w:hint="default"/>
      </w:rPr>
    </w:lvl>
    <w:lvl w:ilvl="8">
      <w:start w:val="0"/>
      <w:numFmt w:val="bullet"/>
      <w:lvlText w:val="•"/>
      <w:lvlJc w:val="left"/>
      <w:pPr>
        <w:ind w:left="14534" w:hanging="1181"/>
      </w:pPr>
      <w:rPr>
        <w:rFonts w:hint="default"/>
      </w:rPr>
    </w:lvl>
  </w:abstractNum>
  <w:abstractNum w:abstractNumId="22">
    <w:nsid w:val="540D8DD8"/>
    <w:multiLevelType w:val="hybridMultilevel"/>
    <w:tmpl w:val="00000000"/>
    <w:lvl w:ilvl="0">
      <w:start w:val="1"/>
      <w:numFmt w:val="decimal"/>
      <w:lvlText w:val="%1）"/>
      <w:lvlJc w:val="left"/>
      <w:pPr>
        <w:ind w:left="4015" w:hanging="631"/>
        <w:jc w:val="left"/>
      </w:pPr>
      <w:rPr>
        <w:rFonts w:ascii="仿宋" w:eastAsia="仿宋" w:hAnsi="仿宋" w:cs="仿宋" w:hint="default"/>
        <w:spacing w:val="-209"/>
        <w:w w:val="100"/>
        <w:sz w:val="40"/>
        <w:szCs w:val="40"/>
      </w:rPr>
    </w:lvl>
    <w:lvl w:ilvl="1">
      <w:start w:val="0"/>
      <w:numFmt w:val="bullet"/>
      <w:lvlText w:val="•"/>
      <w:lvlJc w:val="left"/>
      <w:pPr>
        <w:ind w:left="5403" w:hanging="631"/>
      </w:pPr>
      <w:rPr>
        <w:rFonts w:hint="default"/>
      </w:rPr>
    </w:lvl>
    <w:lvl w:ilvl="2">
      <w:start w:val="0"/>
      <w:numFmt w:val="bullet"/>
      <w:lvlText w:val="•"/>
      <w:lvlJc w:val="left"/>
      <w:pPr>
        <w:ind w:left="6787" w:hanging="631"/>
      </w:pPr>
      <w:rPr>
        <w:rFonts w:hint="default"/>
      </w:rPr>
    </w:lvl>
    <w:lvl w:ilvl="3">
      <w:start w:val="0"/>
      <w:numFmt w:val="bullet"/>
      <w:lvlText w:val="•"/>
      <w:lvlJc w:val="left"/>
      <w:pPr>
        <w:ind w:left="8171" w:hanging="631"/>
      </w:pPr>
      <w:rPr>
        <w:rFonts w:hint="default"/>
      </w:rPr>
    </w:lvl>
    <w:lvl w:ilvl="4">
      <w:start w:val="0"/>
      <w:numFmt w:val="bullet"/>
      <w:lvlText w:val="•"/>
      <w:lvlJc w:val="left"/>
      <w:pPr>
        <w:ind w:left="9555" w:hanging="631"/>
      </w:pPr>
      <w:rPr>
        <w:rFonts w:hint="default"/>
      </w:rPr>
    </w:lvl>
    <w:lvl w:ilvl="5">
      <w:start w:val="0"/>
      <w:numFmt w:val="bullet"/>
      <w:lvlText w:val="•"/>
      <w:lvlJc w:val="left"/>
      <w:pPr>
        <w:ind w:left="10939" w:hanging="631"/>
      </w:pPr>
      <w:rPr>
        <w:rFonts w:hint="default"/>
      </w:rPr>
    </w:lvl>
    <w:lvl w:ilvl="6">
      <w:start w:val="0"/>
      <w:numFmt w:val="bullet"/>
      <w:lvlText w:val="•"/>
      <w:lvlJc w:val="left"/>
      <w:pPr>
        <w:ind w:left="12323" w:hanging="631"/>
      </w:pPr>
      <w:rPr>
        <w:rFonts w:hint="default"/>
      </w:rPr>
    </w:lvl>
    <w:lvl w:ilvl="7">
      <w:start w:val="0"/>
      <w:numFmt w:val="bullet"/>
      <w:lvlText w:val="•"/>
      <w:lvlJc w:val="left"/>
      <w:pPr>
        <w:ind w:left="13707" w:hanging="631"/>
      </w:pPr>
      <w:rPr>
        <w:rFonts w:hint="default"/>
      </w:rPr>
    </w:lvl>
    <w:lvl w:ilvl="8">
      <w:start w:val="0"/>
      <w:numFmt w:val="bullet"/>
      <w:lvlText w:val="•"/>
      <w:lvlJc w:val="left"/>
      <w:pPr>
        <w:ind w:left="15091" w:hanging="631"/>
      </w:pPr>
      <w:rPr>
        <w:rFonts w:hint="default"/>
      </w:rPr>
    </w:lvl>
  </w:abstractNum>
  <w:abstractNum w:abstractNumId="23">
    <w:nsid w:val="5FEDFDD1"/>
    <w:multiLevelType w:val="hybridMultilevel"/>
    <w:tmpl w:val="00000000"/>
    <w:lvl w:ilvl="0">
      <w:start w:val="1"/>
      <w:numFmt w:val="decimal"/>
      <w:lvlText w:val="%1."/>
      <w:lvlJc w:val="left"/>
      <w:pPr>
        <w:ind w:left="3229" w:hanging="677"/>
        <w:jc w:val="left"/>
      </w:pPr>
      <w:rPr>
        <w:rFonts w:ascii="仿宋" w:eastAsia="仿宋" w:hAnsi="仿宋" w:cs="仿宋" w:hint="default"/>
        <w:w w:val="100"/>
        <w:sz w:val="45"/>
        <w:szCs w:val="45"/>
      </w:rPr>
    </w:lvl>
    <w:lvl w:ilvl="1">
      <w:start w:val="0"/>
      <w:numFmt w:val="bullet"/>
      <w:lvlText w:val="•"/>
      <w:lvlJc w:val="left"/>
      <w:pPr>
        <w:ind w:left="4683" w:hanging="677"/>
      </w:pPr>
      <w:rPr>
        <w:rFonts w:hint="default"/>
      </w:rPr>
    </w:lvl>
    <w:lvl w:ilvl="2">
      <w:start w:val="0"/>
      <w:numFmt w:val="bullet"/>
      <w:lvlText w:val="•"/>
      <w:lvlJc w:val="left"/>
      <w:pPr>
        <w:ind w:left="6147" w:hanging="677"/>
      </w:pPr>
      <w:rPr>
        <w:rFonts w:hint="default"/>
      </w:rPr>
    </w:lvl>
    <w:lvl w:ilvl="3">
      <w:start w:val="0"/>
      <w:numFmt w:val="bullet"/>
      <w:lvlText w:val="•"/>
      <w:lvlJc w:val="left"/>
      <w:pPr>
        <w:ind w:left="7611" w:hanging="677"/>
      </w:pPr>
      <w:rPr>
        <w:rFonts w:hint="default"/>
      </w:rPr>
    </w:lvl>
    <w:lvl w:ilvl="4">
      <w:start w:val="0"/>
      <w:numFmt w:val="bullet"/>
      <w:lvlText w:val="•"/>
      <w:lvlJc w:val="left"/>
      <w:pPr>
        <w:ind w:left="9075" w:hanging="677"/>
      </w:pPr>
      <w:rPr>
        <w:rFonts w:hint="default"/>
      </w:rPr>
    </w:lvl>
    <w:lvl w:ilvl="5">
      <w:start w:val="0"/>
      <w:numFmt w:val="bullet"/>
      <w:lvlText w:val="•"/>
      <w:lvlJc w:val="left"/>
      <w:pPr>
        <w:ind w:left="10539" w:hanging="677"/>
      </w:pPr>
      <w:rPr>
        <w:rFonts w:hint="default"/>
      </w:rPr>
    </w:lvl>
    <w:lvl w:ilvl="6">
      <w:start w:val="0"/>
      <w:numFmt w:val="bullet"/>
      <w:lvlText w:val="•"/>
      <w:lvlJc w:val="left"/>
      <w:pPr>
        <w:ind w:left="12003" w:hanging="677"/>
      </w:pPr>
      <w:rPr>
        <w:rFonts w:hint="default"/>
      </w:rPr>
    </w:lvl>
    <w:lvl w:ilvl="7">
      <w:start w:val="0"/>
      <w:numFmt w:val="bullet"/>
      <w:lvlText w:val="•"/>
      <w:lvlJc w:val="left"/>
      <w:pPr>
        <w:ind w:left="13467" w:hanging="677"/>
      </w:pPr>
      <w:rPr>
        <w:rFonts w:hint="default"/>
      </w:rPr>
    </w:lvl>
    <w:lvl w:ilvl="8">
      <w:start w:val="0"/>
      <w:numFmt w:val="bullet"/>
      <w:lvlText w:val="•"/>
      <w:lvlJc w:val="left"/>
      <w:pPr>
        <w:ind w:left="14931" w:hanging="677"/>
      </w:pPr>
      <w:rPr>
        <w:rFonts w:hint="default"/>
      </w:rPr>
    </w:lvl>
  </w:abstractNum>
  <w:abstractNum w:abstractNumId="24">
    <w:nsid w:val="638C0C59"/>
    <w:multiLevelType w:val="hybridMultilevel"/>
    <w:tmpl w:val="00000000"/>
    <w:lvl w:ilvl="0">
      <w:start w:val="1"/>
      <w:numFmt w:val="decimal"/>
      <w:lvlText w:val="%1"/>
      <w:lvlJc w:val="left"/>
      <w:pPr>
        <w:ind w:left="4144" w:hanging="760"/>
        <w:jc w:val="left"/>
      </w:pPr>
      <w:rPr>
        <w:rFonts w:hint="default"/>
      </w:rPr>
    </w:lvl>
    <w:lvl w:ilvl="1">
      <w:start w:val="1"/>
      <w:numFmt w:val="decimal"/>
      <w:lvlText w:val="%1.%2"/>
      <w:lvlJc w:val="left"/>
      <w:pPr>
        <w:ind w:left="4144" w:hanging="760"/>
        <w:jc w:val="left"/>
      </w:pPr>
      <w:rPr>
        <w:rFonts w:ascii="仿宋" w:eastAsia="仿宋" w:hAnsi="仿宋" w:cs="仿宋" w:hint="default"/>
        <w:w w:val="100"/>
        <w:sz w:val="42"/>
        <w:szCs w:val="42"/>
      </w:rPr>
    </w:lvl>
    <w:lvl w:ilvl="2">
      <w:start w:val="0"/>
      <w:numFmt w:val="bullet"/>
      <w:lvlText w:val="•"/>
      <w:lvlJc w:val="left"/>
      <w:pPr>
        <w:ind w:left="6883" w:hanging="760"/>
      </w:pPr>
      <w:rPr>
        <w:rFonts w:hint="default"/>
      </w:rPr>
    </w:lvl>
    <w:lvl w:ilvl="3">
      <w:start w:val="0"/>
      <w:numFmt w:val="bullet"/>
      <w:lvlText w:val="•"/>
      <w:lvlJc w:val="left"/>
      <w:pPr>
        <w:ind w:left="8255" w:hanging="760"/>
      </w:pPr>
      <w:rPr>
        <w:rFonts w:hint="default"/>
      </w:rPr>
    </w:lvl>
    <w:lvl w:ilvl="4">
      <w:start w:val="0"/>
      <w:numFmt w:val="bullet"/>
      <w:lvlText w:val="•"/>
      <w:lvlJc w:val="left"/>
      <w:pPr>
        <w:ind w:left="9627" w:hanging="760"/>
      </w:pPr>
      <w:rPr>
        <w:rFonts w:hint="default"/>
      </w:rPr>
    </w:lvl>
    <w:lvl w:ilvl="5">
      <w:start w:val="0"/>
      <w:numFmt w:val="bullet"/>
      <w:lvlText w:val="•"/>
      <w:lvlJc w:val="left"/>
      <w:pPr>
        <w:ind w:left="10999" w:hanging="760"/>
      </w:pPr>
      <w:rPr>
        <w:rFonts w:hint="default"/>
      </w:rPr>
    </w:lvl>
    <w:lvl w:ilvl="6">
      <w:start w:val="0"/>
      <w:numFmt w:val="bullet"/>
      <w:lvlText w:val="•"/>
      <w:lvlJc w:val="left"/>
      <w:pPr>
        <w:ind w:left="12371" w:hanging="760"/>
      </w:pPr>
      <w:rPr>
        <w:rFonts w:hint="default"/>
      </w:rPr>
    </w:lvl>
    <w:lvl w:ilvl="7">
      <w:start w:val="0"/>
      <w:numFmt w:val="bullet"/>
      <w:lvlText w:val="•"/>
      <w:lvlJc w:val="left"/>
      <w:pPr>
        <w:ind w:left="13743" w:hanging="760"/>
      </w:pPr>
      <w:rPr>
        <w:rFonts w:hint="default"/>
      </w:rPr>
    </w:lvl>
    <w:lvl w:ilvl="8">
      <w:start w:val="0"/>
      <w:numFmt w:val="bullet"/>
      <w:lvlText w:val="•"/>
      <w:lvlJc w:val="left"/>
      <w:pPr>
        <w:ind w:left="15115" w:hanging="760"/>
      </w:pPr>
      <w:rPr>
        <w:rFonts w:hint="default"/>
      </w:rPr>
    </w:lvl>
  </w:abstractNum>
  <w:abstractNum w:abstractNumId="25">
    <w:nsid w:val="6F0E3801"/>
    <w:multiLevelType w:val="hybridMultilevel"/>
    <w:tmpl w:val="00000000"/>
    <w:lvl w:ilvl="0">
      <w:start w:val="1"/>
      <w:numFmt w:val="decimal"/>
      <w:lvlText w:val="%1."/>
      <w:lvlJc w:val="left"/>
      <w:pPr>
        <w:ind w:left="3229" w:hanging="677"/>
        <w:jc w:val="left"/>
      </w:pPr>
      <w:rPr>
        <w:rFonts w:ascii="仿宋" w:eastAsia="仿宋" w:hAnsi="仿宋" w:cs="仿宋" w:hint="default"/>
        <w:w w:val="100"/>
        <w:sz w:val="45"/>
        <w:szCs w:val="45"/>
      </w:rPr>
    </w:lvl>
    <w:lvl w:ilvl="1">
      <w:start w:val="0"/>
      <w:numFmt w:val="bullet"/>
      <w:lvlText w:val="•"/>
      <w:lvlJc w:val="left"/>
      <w:pPr>
        <w:ind w:left="4683" w:hanging="677"/>
      </w:pPr>
      <w:rPr>
        <w:rFonts w:hint="default"/>
      </w:rPr>
    </w:lvl>
    <w:lvl w:ilvl="2">
      <w:start w:val="0"/>
      <w:numFmt w:val="bullet"/>
      <w:lvlText w:val="•"/>
      <w:lvlJc w:val="left"/>
      <w:pPr>
        <w:ind w:left="6147" w:hanging="677"/>
      </w:pPr>
      <w:rPr>
        <w:rFonts w:hint="default"/>
      </w:rPr>
    </w:lvl>
    <w:lvl w:ilvl="3">
      <w:start w:val="0"/>
      <w:numFmt w:val="bullet"/>
      <w:lvlText w:val="•"/>
      <w:lvlJc w:val="left"/>
      <w:pPr>
        <w:ind w:left="7611" w:hanging="677"/>
      </w:pPr>
      <w:rPr>
        <w:rFonts w:hint="default"/>
      </w:rPr>
    </w:lvl>
    <w:lvl w:ilvl="4">
      <w:start w:val="0"/>
      <w:numFmt w:val="bullet"/>
      <w:lvlText w:val="•"/>
      <w:lvlJc w:val="left"/>
      <w:pPr>
        <w:ind w:left="9075" w:hanging="677"/>
      </w:pPr>
      <w:rPr>
        <w:rFonts w:hint="default"/>
      </w:rPr>
    </w:lvl>
    <w:lvl w:ilvl="5">
      <w:start w:val="0"/>
      <w:numFmt w:val="bullet"/>
      <w:lvlText w:val="•"/>
      <w:lvlJc w:val="left"/>
      <w:pPr>
        <w:ind w:left="10539" w:hanging="677"/>
      </w:pPr>
      <w:rPr>
        <w:rFonts w:hint="default"/>
      </w:rPr>
    </w:lvl>
    <w:lvl w:ilvl="6">
      <w:start w:val="0"/>
      <w:numFmt w:val="bullet"/>
      <w:lvlText w:val="•"/>
      <w:lvlJc w:val="left"/>
      <w:pPr>
        <w:ind w:left="12003" w:hanging="677"/>
      </w:pPr>
      <w:rPr>
        <w:rFonts w:hint="default"/>
      </w:rPr>
    </w:lvl>
    <w:lvl w:ilvl="7">
      <w:start w:val="0"/>
      <w:numFmt w:val="bullet"/>
      <w:lvlText w:val="•"/>
      <w:lvlJc w:val="left"/>
      <w:pPr>
        <w:ind w:left="13467" w:hanging="677"/>
      </w:pPr>
      <w:rPr>
        <w:rFonts w:hint="default"/>
      </w:rPr>
    </w:lvl>
    <w:lvl w:ilvl="8">
      <w:start w:val="0"/>
      <w:numFmt w:val="bullet"/>
      <w:lvlText w:val="•"/>
      <w:lvlJc w:val="left"/>
      <w:pPr>
        <w:ind w:left="14931" w:hanging="677"/>
      </w:pPr>
      <w:rPr>
        <w:rFonts w:hint="default"/>
      </w:rPr>
    </w:lvl>
  </w:abstractNum>
  <w:abstractNum w:abstractNumId="26">
    <w:nsid w:val="6FB4541D"/>
    <w:multiLevelType w:val="hybridMultilevel"/>
    <w:tmpl w:val="00000000"/>
    <w:lvl w:ilvl="0">
      <w:start w:val="1"/>
      <w:numFmt w:val="decimal"/>
      <w:lvlText w:val="%1）"/>
      <w:lvlJc w:val="left"/>
      <w:pPr>
        <w:ind w:left="3184" w:hanging="631"/>
        <w:jc w:val="left"/>
      </w:pPr>
      <w:rPr>
        <w:rFonts w:ascii="仿宋" w:eastAsia="仿宋" w:hAnsi="仿宋" w:cs="仿宋" w:hint="default"/>
        <w:spacing w:val="-2"/>
        <w:w w:val="100"/>
        <w:sz w:val="40"/>
        <w:szCs w:val="40"/>
      </w:rPr>
    </w:lvl>
    <w:lvl w:ilvl="1">
      <w:start w:val="0"/>
      <w:numFmt w:val="bullet"/>
      <w:lvlText w:val="•"/>
      <w:lvlJc w:val="left"/>
      <w:pPr>
        <w:ind w:left="4647" w:hanging="631"/>
      </w:pPr>
      <w:rPr>
        <w:rFonts w:hint="default"/>
      </w:rPr>
    </w:lvl>
    <w:lvl w:ilvl="2">
      <w:start w:val="0"/>
      <w:numFmt w:val="bullet"/>
      <w:lvlText w:val="•"/>
      <w:lvlJc w:val="left"/>
      <w:pPr>
        <w:ind w:left="6115" w:hanging="631"/>
      </w:pPr>
      <w:rPr>
        <w:rFonts w:hint="default"/>
      </w:rPr>
    </w:lvl>
    <w:lvl w:ilvl="3">
      <w:start w:val="0"/>
      <w:numFmt w:val="bullet"/>
      <w:lvlText w:val="•"/>
      <w:lvlJc w:val="left"/>
      <w:pPr>
        <w:ind w:left="7583" w:hanging="631"/>
      </w:pPr>
      <w:rPr>
        <w:rFonts w:hint="default"/>
      </w:rPr>
    </w:lvl>
    <w:lvl w:ilvl="4">
      <w:start w:val="0"/>
      <w:numFmt w:val="bullet"/>
      <w:lvlText w:val="•"/>
      <w:lvlJc w:val="left"/>
      <w:pPr>
        <w:ind w:left="9051" w:hanging="631"/>
      </w:pPr>
      <w:rPr>
        <w:rFonts w:hint="default"/>
      </w:rPr>
    </w:lvl>
    <w:lvl w:ilvl="5">
      <w:start w:val="0"/>
      <w:numFmt w:val="bullet"/>
      <w:lvlText w:val="•"/>
      <w:lvlJc w:val="left"/>
      <w:pPr>
        <w:ind w:left="10519" w:hanging="631"/>
      </w:pPr>
      <w:rPr>
        <w:rFonts w:hint="default"/>
      </w:rPr>
    </w:lvl>
    <w:lvl w:ilvl="6">
      <w:start w:val="0"/>
      <w:numFmt w:val="bullet"/>
      <w:lvlText w:val="•"/>
      <w:lvlJc w:val="left"/>
      <w:pPr>
        <w:ind w:left="11987" w:hanging="631"/>
      </w:pPr>
      <w:rPr>
        <w:rFonts w:hint="default"/>
      </w:rPr>
    </w:lvl>
    <w:lvl w:ilvl="7">
      <w:start w:val="0"/>
      <w:numFmt w:val="bullet"/>
      <w:lvlText w:val="•"/>
      <w:lvlJc w:val="left"/>
      <w:pPr>
        <w:ind w:left="13455" w:hanging="631"/>
      </w:pPr>
      <w:rPr>
        <w:rFonts w:hint="default"/>
      </w:rPr>
    </w:lvl>
    <w:lvl w:ilvl="8">
      <w:start w:val="0"/>
      <w:numFmt w:val="bullet"/>
      <w:lvlText w:val="•"/>
      <w:lvlJc w:val="left"/>
      <w:pPr>
        <w:ind w:left="14923" w:hanging="631"/>
      </w:pPr>
      <w:rPr>
        <w:rFonts w:hint="default"/>
      </w:rPr>
    </w:lvl>
  </w:abstractNum>
  <w:abstractNum w:abstractNumId="27">
    <w:nsid w:val="701095B9"/>
    <w:multiLevelType w:val="hybridMultilevel"/>
    <w:tmpl w:val="00000000"/>
    <w:lvl w:ilvl="0">
      <w:start w:val="1"/>
      <w:numFmt w:val="decimal"/>
      <w:lvlText w:val="%1."/>
      <w:lvlJc w:val="left"/>
      <w:pPr>
        <w:ind w:left="4015" w:hanging="631"/>
        <w:jc w:val="left"/>
      </w:pPr>
      <w:rPr>
        <w:rFonts w:ascii="仿宋" w:eastAsia="仿宋" w:hAnsi="仿宋" w:cs="仿宋" w:hint="default"/>
        <w:spacing w:val="-2"/>
        <w:w w:val="100"/>
        <w:sz w:val="40"/>
        <w:szCs w:val="40"/>
      </w:rPr>
    </w:lvl>
    <w:lvl w:ilvl="1">
      <w:start w:val="1"/>
      <w:numFmt w:val="decimal"/>
      <w:lvlText w:val="%1.%2"/>
      <w:lvlJc w:val="left"/>
      <w:pPr>
        <w:ind w:left="4119" w:hanging="735"/>
        <w:jc w:val="left"/>
      </w:pPr>
      <w:rPr>
        <w:rFonts w:ascii="仿宋" w:eastAsia="仿宋" w:hAnsi="仿宋" w:cs="仿宋" w:hint="default"/>
        <w:w w:val="100"/>
        <w:sz w:val="42"/>
        <w:szCs w:val="42"/>
      </w:rPr>
    </w:lvl>
    <w:lvl w:ilvl="2">
      <w:start w:val="0"/>
      <w:numFmt w:val="bullet"/>
      <w:lvlText w:val="•"/>
      <w:lvlJc w:val="left"/>
      <w:pPr>
        <w:ind w:left="5646" w:hanging="735"/>
      </w:pPr>
      <w:rPr>
        <w:rFonts w:hint="default"/>
      </w:rPr>
    </w:lvl>
    <w:lvl w:ilvl="3">
      <w:start w:val="0"/>
      <w:numFmt w:val="bullet"/>
      <w:lvlText w:val="•"/>
      <w:lvlJc w:val="left"/>
      <w:pPr>
        <w:ind w:left="7173" w:hanging="735"/>
      </w:pPr>
      <w:rPr>
        <w:rFonts w:hint="default"/>
      </w:rPr>
    </w:lvl>
    <w:lvl w:ilvl="4">
      <w:start w:val="0"/>
      <w:numFmt w:val="bullet"/>
      <w:lvlText w:val="•"/>
      <w:lvlJc w:val="left"/>
      <w:pPr>
        <w:ind w:left="8699" w:hanging="735"/>
      </w:pPr>
      <w:rPr>
        <w:rFonts w:hint="default"/>
      </w:rPr>
    </w:lvl>
    <w:lvl w:ilvl="5">
      <w:start w:val="0"/>
      <w:numFmt w:val="bullet"/>
      <w:lvlText w:val="•"/>
      <w:lvlJc w:val="left"/>
      <w:pPr>
        <w:ind w:left="10226" w:hanging="735"/>
      </w:pPr>
      <w:rPr>
        <w:rFonts w:hint="default"/>
      </w:rPr>
    </w:lvl>
    <w:lvl w:ilvl="6">
      <w:start w:val="0"/>
      <w:numFmt w:val="bullet"/>
      <w:lvlText w:val="•"/>
      <w:lvlJc w:val="left"/>
      <w:pPr>
        <w:ind w:left="11753" w:hanging="735"/>
      </w:pPr>
      <w:rPr>
        <w:rFonts w:hint="default"/>
      </w:rPr>
    </w:lvl>
    <w:lvl w:ilvl="7">
      <w:start w:val="0"/>
      <w:numFmt w:val="bullet"/>
      <w:lvlText w:val="•"/>
      <w:lvlJc w:val="left"/>
      <w:pPr>
        <w:ind w:left="13279" w:hanging="735"/>
      </w:pPr>
      <w:rPr>
        <w:rFonts w:hint="default"/>
      </w:rPr>
    </w:lvl>
    <w:lvl w:ilvl="8">
      <w:start w:val="0"/>
      <w:numFmt w:val="bullet"/>
      <w:lvlText w:val="•"/>
      <w:lvlJc w:val="left"/>
      <w:pPr>
        <w:ind w:left="14806" w:hanging="735"/>
      </w:pPr>
      <w:rPr>
        <w:rFonts w:hint="default"/>
      </w:rPr>
    </w:lvl>
  </w:abstractNum>
  <w:abstractNum w:abstractNumId="28">
    <w:nsid w:val="715518E2"/>
    <w:multiLevelType w:val="hybridMultilevel"/>
    <w:tmpl w:val="00000000"/>
    <w:lvl w:ilvl="0">
      <w:start w:val="1"/>
      <w:numFmt w:val="decimal"/>
      <w:lvlText w:val="%1."/>
      <w:lvlJc w:val="left"/>
      <w:pPr>
        <w:ind w:left="3229" w:hanging="677"/>
        <w:jc w:val="left"/>
      </w:pPr>
      <w:rPr>
        <w:rFonts w:ascii="仿宋" w:eastAsia="仿宋" w:hAnsi="仿宋" w:cs="仿宋" w:hint="default"/>
        <w:w w:val="100"/>
        <w:sz w:val="45"/>
        <w:szCs w:val="45"/>
      </w:rPr>
    </w:lvl>
    <w:lvl w:ilvl="1">
      <w:start w:val="0"/>
      <w:numFmt w:val="bullet"/>
      <w:lvlText w:val="•"/>
      <w:lvlJc w:val="left"/>
      <w:pPr>
        <w:ind w:left="4683" w:hanging="677"/>
      </w:pPr>
      <w:rPr>
        <w:rFonts w:hint="default"/>
      </w:rPr>
    </w:lvl>
    <w:lvl w:ilvl="2">
      <w:start w:val="0"/>
      <w:numFmt w:val="bullet"/>
      <w:lvlText w:val="•"/>
      <w:lvlJc w:val="left"/>
      <w:pPr>
        <w:ind w:left="6147" w:hanging="677"/>
      </w:pPr>
      <w:rPr>
        <w:rFonts w:hint="default"/>
      </w:rPr>
    </w:lvl>
    <w:lvl w:ilvl="3">
      <w:start w:val="0"/>
      <w:numFmt w:val="bullet"/>
      <w:lvlText w:val="•"/>
      <w:lvlJc w:val="left"/>
      <w:pPr>
        <w:ind w:left="7611" w:hanging="677"/>
      </w:pPr>
      <w:rPr>
        <w:rFonts w:hint="default"/>
      </w:rPr>
    </w:lvl>
    <w:lvl w:ilvl="4">
      <w:start w:val="0"/>
      <w:numFmt w:val="bullet"/>
      <w:lvlText w:val="•"/>
      <w:lvlJc w:val="left"/>
      <w:pPr>
        <w:ind w:left="9075" w:hanging="677"/>
      </w:pPr>
      <w:rPr>
        <w:rFonts w:hint="default"/>
      </w:rPr>
    </w:lvl>
    <w:lvl w:ilvl="5">
      <w:start w:val="0"/>
      <w:numFmt w:val="bullet"/>
      <w:lvlText w:val="•"/>
      <w:lvlJc w:val="left"/>
      <w:pPr>
        <w:ind w:left="10539" w:hanging="677"/>
      </w:pPr>
      <w:rPr>
        <w:rFonts w:hint="default"/>
      </w:rPr>
    </w:lvl>
    <w:lvl w:ilvl="6">
      <w:start w:val="0"/>
      <w:numFmt w:val="bullet"/>
      <w:lvlText w:val="•"/>
      <w:lvlJc w:val="left"/>
      <w:pPr>
        <w:ind w:left="12003" w:hanging="677"/>
      </w:pPr>
      <w:rPr>
        <w:rFonts w:hint="default"/>
      </w:rPr>
    </w:lvl>
    <w:lvl w:ilvl="7">
      <w:start w:val="0"/>
      <w:numFmt w:val="bullet"/>
      <w:lvlText w:val="•"/>
      <w:lvlJc w:val="left"/>
      <w:pPr>
        <w:ind w:left="13467" w:hanging="677"/>
      </w:pPr>
      <w:rPr>
        <w:rFonts w:hint="default"/>
      </w:rPr>
    </w:lvl>
    <w:lvl w:ilvl="8">
      <w:start w:val="0"/>
      <w:numFmt w:val="bullet"/>
      <w:lvlText w:val="•"/>
      <w:lvlJc w:val="left"/>
      <w:pPr>
        <w:ind w:left="14931" w:hanging="677"/>
      </w:pPr>
      <w:rPr>
        <w:rFonts w:hint="default"/>
      </w:rPr>
    </w:lvl>
  </w:abstractNum>
  <w:abstractNum w:abstractNumId="29">
    <w:nsid w:val="74882658"/>
    <w:multiLevelType w:val="hybridMultilevel"/>
    <w:tmpl w:val="00000000"/>
    <w:lvl w:ilvl="0">
      <w:start w:val="3"/>
      <w:numFmt w:val="decimal"/>
      <w:lvlText w:val="%1"/>
      <w:lvlJc w:val="left"/>
      <w:pPr>
        <w:ind w:left="2553" w:hanging="760"/>
        <w:jc w:val="left"/>
      </w:pPr>
      <w:rPr>
        <w:rFonts w:hint="default"/>
      </w:rPr>
    </w:lvl>
    <w:lvl w:ilvl="1">
      <w:start w:val="1"/>
      <w:numFmt w:val="decimal"/>
      <w:lvlText w:val="%1.%2"/>
      <w:lvlJc w:val="left"/>
      <w:pPr>
        <w:ind w:left="2553" w:hanging="760"/>
        <w:jc w:val="left"/>
      </w:pPr>
      <w:rPr>
        <w:rFonts w:ascii="仿宋" w:eastAsia="仿宋" w:hAnsi="仿宋" w:cs="仿宋" w:hint="default"/>
        <w:w w:val="100"/>
        <w:sz w:val="42"/>
        <w:szCs w:val="42"/>
      </w:rPr>
    </w:lvl>
    <w:lvl w:ilvl="2">
      <w:start w:val="1"/>
      <w:numFmt w:val="decimal"/>
      <w:lvlText w:val="%1.%2.%3"/>
      <w:lvlJc w:val="left"/>
      <w:pPr>
        <w:ind w:left="2553" w:hanging="1260"/>
        <w:jc w:val="left"/>
      </w:pPr>
      <w:rPr>
        <w:rFonts w:ascii="仿宋" w:eastAsia="仿宋" w:hAnsi="仿宋" w:cs="仿宋" w:hint="default"/>
        <w:w w:val="100"/>
        <w:sz w:val="42"/>
        <w:szCs w:val="42"/>
      </w:rPr>
    </w:lvl>
    <w:lvl w:ilvl="3">
      <w:start w:val="0"/>
      <w:numFmt w:val="bullet"/>
      <w:lvlText w:val="•"/>
      <w:lvlJc w:val="left"/>
      <w:pPr>
        <w:ind w:left="7149" w:hanging="1260"/>
      </w:pPr>
      <w:rPr>
        <w:rFonts w:hint="default"/>
      </w:rPr>
    </w:lvl>
    <w:lvl w:ilvl="4">
      <w:start w:val="0"/>
      <w:numFmt w:val="bullet"/>
      <w:lvlText w:val="•"/>
      <w:lvlJc w:val="left"/>
      <w:pPr>
        <w:ind w:left="8679" w:hanging="1260"/>
      </w:pPr>
      <w:rPr>
        <w:rFonts w:hint="default"/>
      </w:rPr>
    </w:lvl>
    <w:lvl w:ilvl="5">
      <w:start w:val="0"/>
      <w:numFmt w:val="bullet"/>
      <w:lvlText w:val="•"/>
      <w:lvlJc w:val="left"/>
      <w:pPr>
        <w:ind w:left="10209" w:hanging="1260"/>
      </w:pPr>
      <w:rPr>
        <w:rFonts w:hint="default"/>
      </w:rPr>
    </w:lvl>
    <w:lvl w:ilvl="6">
      <w:start w:val="0"/>
      <w:numFmt w:val="bullet"/>
      <w:lvlText w:val="•"/>
      <w:lvlJc w:val="left"/>
      <w:pPr>
        <w:ind w:left="11739" w:hanging="1260"/>
      </w:pPr>
      <w:rPr>
        <w:rFonts w:hint="default"/>
      </w:rPr>
    </w:lvl>
    <w:lvl w:ilvl="7">
      <w:start w:val="0"/>
      <w:numFmt w:val="bullet"/>
      <w:lvlText w:val="•"/>
      <w:lvlJc w:val="left"/>
      <w:pPr>
        <w:ind w:left="13269" w:hanging="1260"/>
      </w:pPr>
      <w:rPr>
        <w:rFonts w:hint="default"/>
      </w:rPr>
    </w:lvl>
    <w:lvl w:ilvl="8">
      <w:start w:val="0"/>
      <w:numFmt w:val="bullet"/>
      <w:lvlText w:val="•"/>
      <w:lvlJc w:val="left"/>
      <w:pPr>
        <w:ind w:left="14799" w:hanging="1260"/>
      </w:pPr>
      <w:rPr>
        <w:rFonts w:hint="default"/>
      </w:rPr>
    </w:lvl>
  </w:abstractNum>
  <w:abstractNum w:abstractNumId="30">
    <w:nsid w:val="79E98B75"/>
    <w:multiLevelType w:val="hybridMultilevel"/>
    <w:tmpl w:val="00000000"/>
    <w:lvl w:ilvl="0">
      <w:start w:val="1"/>
      <w:numFmt w:val="decimal"/>
      <w:lvlText w:val="%1"/>
      <w:lvlJc w:val="left"/>
      <w:pPr>
        <w:ind w:left="2553" w:hanging="760"/>
        <w:jc w:val="left"/>
      </w:pPr>
      <w:rPr>
        <w:rFonts w:hint="default"/>
      </w:rPr>
    </w:lvl>
    <w:lvl w:ilvl="1">
      <w:start w:val="1"/>
      <w:numFmt w:val="decimal"/>
      <w:lvlText w:val="%1.%2"/>
      <w:lvlJc w:val="left"/>
      <w:pPr>
        <w:ind w:left="2553" w:hanging="760"/>
        <w:jc w:val="left"/>
      </w:pPr>
      <w:rPr>
        <w:rFonts w:ascii="仿宋" w:eastAsia="仿宋" w:hAnsi="仿宋" w:cs="仿宋" w:hint="default"/>
        <w:w w:val="100"/>
        <w:sz w:val="42"/>
        <w:szCs w:val="42"/>
      </w:rPr>
    </w:lvl>
    <w:lvl w:ilvl="2">
      <w:start w:val="0"/>
      <w:numFmt w:val="bullet"/>
      <w:lvlText w:val="•"/>
      <w:lvlJc w:val="left"/>
      <w:pPr>
        <w:ind w:left="5619" w:hanging="760"/>
      </w:pPr>
      <w:rPr>
        <w:rFonts w:hint="default"/>
      </w:rPr>
    </w:lvl>
    <w:lvl w:ilvl="3">
      <w:start w:val="0"/>
      <w:numFmt w:val="bullet"/>
      <w:lvlText w:val="•"/>
      <w:lvlJc w:val="left"/>
      <w:pPr>
        <w:ind w:left="7149" w:hanging="760"/>
      </w:pPr>
      <w:rPr>
        <w:rFonts w:hint="default"/>
      </w:rPr>
    </w:lvl>
    <w:lvl w:ilvl="4">
      <w:start w:val="0"/>
      <w:numFmt w:val="bullet"/>
      <w:lvlText w:val="•"/>
      <w:lvlJc w:val="left"/>
      <w:pPr>
        <w:ind w:left="8679" w:hanging="760"/>
      </w:pPr>
      <w:rPr>
        <w:rFonts w:hint="default"/>
      </w:rPr>
    </w:lvl>
    <w:lvl w:ilvl="5">
      <w:start w:val="0"/>
      <w:numFmt w:val="bullet"/>
      <w:lvlText w:val="•"/>
      <w:lvlJc w:val="left"/>
      <w:pPr>
        <w:ind w:left="10209" w:hanging="760"/>
      </w:pPr>
      <w:rPr>
        <w:rFonts w:hint="default"/>
      </w:rPr>
    </w:lvl>
    <w:lvl w:ilvl="6">
      <w:start w:val="0"/>
      <w:numFmt w:val="bullet"/>
      <w:lvlText w:val="•"/>
      <w:lvlJc w:val="left"/>
      <w:pPr>
        <w:ind w:left="11739" w:hanging="760"/>
      </w:pPr>
      <w:rPr>
        <w:rFonts w:hint="default"/>
      </w:rPr>
    </w:lvl>
    <w:lvl w:ilvl="7">
      <w:start w:val="0"/>
      <w:numFmt w:val="bullet"/>
      <w:lvlText w:val="•"/>
      <w:lvlJc w:val="left"/>
      <w:pPr>
        <w:ind w:left="13269" w:hanging="760"/>
      </w:pPr>
      <w:rPr>
        <w:rFonts w:hint="default"/>
      </w:rPr>
    </w:lvl>
    <w:lvl w:ilvl="8">
      <w:start w:val="0"/>
      <w:numFmt w:val="bullet"/>
      <w:lvlText w:val="•"/>
      <w:lvlJc w:val="left"/>
      <w:pPr>
        <w:ind w:left="14799" w:hanging="760"/>
      </w:pPr>
      <w:rPr>
        <w:rFonts w:hint="default"/>
      </w:rPr>
    </w:lvl>
  </w:abstractNum>
  <w:abstractNum w:abstractNumId="31">
    <w:nsid w:val="7A3F611E"/>
    <w:multiLevelType w:val="hybridMultilevel"/>
    <w:tmpl w:val="00000000"/>
    <w:lvl w:ilvl="0">
      <w:start w:val="1"/>
      <w:numFmt w:val="decimal"/>
      <w:lvlText w:val="%1."/>
      <w:lvlJc w:val="left"/>
      <w:pPr>
        <w:ind w:left="3229" w:hanging="677"/>
        <w:jc w:val="left"/>
      </w:pPr>
      <w:rPr>
        <w:rFonts w:ascii="仿宋" w:eastAsia="仿宋" w:hAnsi="仿宋" w:cs="仿宋" w:hint="default"/>
        <w:w w:val="100"/>
        <w:sz w:val="45"/>
        <w:szCs w:val="45"/>
      </w:rPr>
    </w:lvl>
    <w:lvl w:ilvl="1">
      <w:start w:val="0"/>
      <w:numFmt w:val="bullet"/>
      <w:lvlText w:val="•"/>
      <w:lvlJc w:val="left"/>
      <w:pPr>
        <w:ind w:left="4683" w:hanging="677"/>
      </w:pPr>
      <w:rPr>
        <w:rFonts w:hint="default"/>
      </w:rPr>
    </w:lvl>
    <w:lvl w:ilvl="2">
      <w:start w:val="0"/>
      <w:numFmt w:val="bullet"/>
      <w:lvlText w:val="•"/>
      <w:lvlJc w:val="left"/>
      <w:pPr>
        <w:ind w:left="6147" w:hanging="677"/>
      </w:pPr>
      <w:rPr>
        <w:rFonts w:hint="default"/>
      </w:rPr>
    </w:lvl>
    <w:lvl w:ilvl="3">
      <w:start w:val="0"/>
      <w:numFmt w:val="bullet"/>
      <w:lvlText w:val="•"/>
      <w:lvlJc w:val="left"/>
      <w:pPr>
        <w:ind w:left="7611" w:hanging="677"/>
      </w:pPr>
      <w:rPr>
        <w:rFonts w:hint="default"/>
      </w:rPr>
    </w:lvl>
    <w:lvl w:ilvl="4">
      <w:start w:val="0"/>
      <w:numFmt w:val="bullet"/>
      <w:lvlText w:val="•"/>
      <w:lvlJc w:val="left"/>
      <w:pPr>
        <w:ind w:left="9075" w:hanging="677"/>
      </w:pPr>
      <w:rPr>
        <w:rFonts w:hint="default"/>
      </w:rPr>
    </w:lvl>
    <w:lvl w:ilvl="5">
      <w:start w:val="0"/>
      <w:numFmt w:val="bullet"/>
      <w:lvlText w:val="•"/>
      <w:lvlJc w:val="left"/>
      <w:pPr>
        <w:ind w:left="10539" w:hanging="677"/>
      </w:pPr>
      <w:rPr>
        <w:rFonts w:hint="default"/>
      </w:rPr>
    </w:lvl>
    <w:lvl w:ilvl="6">
      <w:start w:val="0"/>
      <w:numFmt w:val="bullet"/>
      <w:lvlText w:val="•"/>
      <w:lvlJc w:val="left"/>
      <w:pPr>
        <w:ind w:left="12003" w:hanging="677"/>
      </w:pPr>
      <w:rPr>
        <w:rFonts w:hint="default"/>
      </w:rPr>
    </w:lvl>
    <w:lvl w:ilvl="7">
      <w:start w:val="0"/>
      <w:numFmt w:val="bullet"/>
      <w:lvlText w:val="•"/>
      <w:lvlJc w:val="left"/>
      <w:pPr>
        <w:ind w:left="13467" w:hanging="677"/>
      </w:pPr>
      <w:rPr>
        <w:rFonts w:hint="default"/>
      </w:rPr>
    </w:lvl>
    <w:lvl w:ilvl="8">
      <w:start w:val="0"/>
      <w:numFmt w:val="bullet"/>
      <w:lvlText w:val="•"/>
      <w:lvlJc w:val="left"/>
      <w:pPr>
        <w:ind w:left="14931" w:hanging="677"/>
      </w:pPr>
      <w:rPr>
        <w:rFonts w:hint="default"/>
      </w:rPr>
    </w:lvl>
  </w:abstractNum>
  <w:num w:numId="1">
    <w:abstractNumId w:val="27"/>
  </w:num>
  <w:num w:numId="2">
    <w:abstractNumId w:val="18"/>
  </w:num>
  <w:num w:numId="3">
    <w:abstractNumId w:val="14"/>
  </w:num>
  <w:num w:numId="4">
    <w:abstractNumId w:val="0"/>
  </w:num>
  <w:num w:numId="5">
    <w:abstractNumId w:val="30"/>
  </w:num>
  <w:num w:numId="6">
    <w:abstractNumId w:val="21"/>
  </w:num>
  <w:num w:numId="7">
    <w:abstractNumId w:val="24"/>
  </w:num>
  <w:num w:numId="8">
    <w:abstractNumId w:val="2"/>
  </w:num>
  <w:num w:numId="9">
    <w:abstractNumId w:val="20"/>
  </w:num>
  <w:num w:numId="10">
    <w:abstractNumId w:val="3"/>
  </w:num>
  <w:num w:numId="11">
    <w:abstractNumId w:val="5"/>
  </w:num>
  <w:num w:numId="12">
    <w:abstractNumId w:val="22"/>
  </w:num>
  <w:num w:numId="13">
    <w:abstractNumId w:val="29"/>
  </w:num>
  <w:num w:numId="14">
    <w:abstractNumId w:val="11"/>
  </w:num>
  <w:num w:numId="15">
    <w:abstractNumId w:val="8"/>
  </w:num>
  <w:num w:numId="16">
    <w:abstractNumId w:val="26"/>
  </w:num>
  <w:num w:numId="17">
    <w:abstractNumId w:val="4"/>
  </w:num>
  <w:num w:numId="18">
    <w:abstractNumId w:val="16"/>
  </w:num>
  <w:num w:numId="19">
    <w:abstractNumId w:val="6"/>
  </w:num>
  <w:num w:numId="20">
    <w:abstractNumId w:val="9"/>
  </w:num>
  <w:num w:numId="21">
    <w:abstractNumId w:val="7"/>
  </w:num>
  <w:num w:numId="22">
    <w:abstractNumId w:val="19"/>
  </w:num>
  <w:num w:numId="23">
    <w:abstractNumId w:val="25"/>
  </w:num>
  <w:num w:numId="24">
    <w:abstractNumId w:val="17"/>
  </w:num>
  <w:num w:numId="25">
    <w:abstractNumId w:val="1"/>
  </w:num>
  <w:num w:numId="26">
    <w:abstractNumId w:val="13"/>
  </w:num>
  <w:num w:numId="27">
    <w:abstractNumId w:val="23"/>
  </w:num>
  <w:num w:numId="28">
    <w:abstractNumId w:val="31"/>
  </w:num>
  <w:num w:numId="29">
    <w:abstractNumId w:val="10"/>
  </w:num>
  <w:num w:numId="30">
    <w:abstractNumId w:val="28"/>
  </w:num>
  <w:num w:numId="31">
    <w:abstractNumId w:val="15"/>
  </w:num>
  <w:num w:numId="32">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rPr>
  </w:style>
  <w:style w:type="paragraph" w:styleId="Heading1">
    <w:name w:val="heading 1"/>
    <w:basedOn w:val="Normal"/>
    <w:uiPriority w:val="1"/>
    <w:qFormat/>
    <w:pPr>
      <w:spacing w:before="1"/>
      <w:ind w:left="2382" w:right="1819"/>
      <w:jc w:val="center"/>
      <w:outlineLvl w:val="0"/>
    </w:pPr>
    <w:rPr>
      <w:rFonts w:ascii="仿宋" w:eastAsia="仿宋" w:hAnsi="仿宋" w:cs="仿宋"/>
      <w:b/>
      <w:bCs/>
      <w:sz w:val="54"/>
      <w:szCs w:val="54"/>
    </w:rPr>
  </w:style>
  <w:style w:type="paragraph" w:styleId="Heading2">
    <w:name w:val="heading 2"/>
    <w:basedOn w:val="Normal"/>
    <w:uiPriority w:val="1"/>
    <w:qFormat/>
    <w:pPr>
      <w:ind w:left="3517"/>
      <w:outlineLvl w:val="1"/>
    </w:pPr>
    <w:rPr>
      <w:rFonts w:ascii="仿宋" w:eastAsia="仿宋" w:hAnsi="仿宋" w:cs="仿宋"/>
      <w:b/>
      <w:bCs/>
      <w:sz w:val="48"/>
      <w:szCs w:val="48"/>
    </w:rPr>
  </w:style>
  <w:style w:type="paragraph" w:styleId="Heading3">
    <w:name w:val="heading 3"/>
    <w:basedOn w:val="Normal"/>
    <w:uiPriority w:val="1"/>
    <w:qFormat/>
    <w:pPr>
      <w:ind w:left="2160"/>
      <w:outlineLvl w:val="2"/>
    </w:pPr>
    <w:rPr>
      <w:rFonts w:ascii="仿宋" w:eastAsia="仿宋" w:hAnsi="仿宋" w:cs="仿宋"/>
      <w:b/>
      <w:bCs/>
      <w:sz w:val="45"/>
      <w:szCs w:val="45"/>
    </w:rPr>
  </w:style>
  <w:style w:type="paragraph" w:styleId="Heading4">
    <w:name w:val="heading 4"/>
    <w:basedOn w:val="Normal"/>
    <w:uiPriority w:val="1"/>
    <w:qFormat/>
    <w:pPr>
      <w:ind w:left="2553"/>
      <w:outlineLvl w:val="3"/>
    </w:pPr>
    <w:rPr>
      <w:rFonts w:ascii="仿宋" w:eastAsia="仿宋" w:hAnsi="仿宋" w:cs="仿宋"/>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295"/>
      <w:ind w:left="2553"/>
    </w:pPr>
    <w:rPr>
      <w:rFonts w:ascii="仿宋" w:eastAsia="仿宋" w:hAnsi="仿宋" w:cs="仿宋"/>
      <w:b/>
      <w:bCs/>
      <w:sz w:val="45"/>
      <w:szCs w:val="45"/>
    </w:rPr>
  </w:style>
  <w:style w:type="paragraph" w:styleId="TOC2">
    <w:name w:val="toc 2"/>
    <w:basedOn w:val="Normal"/>
    <w:uiPriority w:val="1"/>
    <w:qFormat/>
    <w:pPr>
      <w:spacing w:before="291"/>
      <w:ind w:left="3229" w:hanging="677"/>
    </w:pPr>
    <w:rPr>
      <w:rFonts w:ascii="仿宋" w:eastAsia="仿宋" w:hAnsi="仿宋" w:cs="仿宋"/>
      <w:sz w:val="45"/>
      <w:szCs w:val="45"/>
    </w:rPr>
  </w:style>
  <w:style w:type="paragraph" w:styleId="TOC3">
    <w:name w:val="toc 3"/>
    <w:basedOn w:val="Normal"/>
    <w:uiPriority w:val="1"/>
    <w:qFormat/>
    <w:pPr>
      <w:spacing w:line="488" w:lineRule="exact"/>
      <w:ind w:left="2553"/>
    </w:pPr>
    <w:rPr>
      <w:rFonts w:ascii="仿宋" w:eastAsia="仿宋" w:hAnsi="仿宋" w:cs="仿宋"/>
      <w:b/>
      <w:bCs/>
      <w:i/>
    </w:rPr>
  </w:style>
  <w:style w:type="paragraph" w:styleId="BodyText">
    <w:name w:val="Body Text"/>
    <w:basedOn w:val="Normal"/>
    <w:uiPriority w:val="1"/>
    <w:qFormat/>
    <w:rPr>
      <w:rFonts w:ascii="仿宋" w:eastAsia="仿宋" w:hAnsi="仿宋" w:cs="仿宋"/>
      <w:sz w:val="42"/>
      <w:szCs w:val="42"/>
    </w:rPr>
  </w:style>
  <w:style w:type="paragraph" w:styleId="ListParagraph">
    <w:name w:val="List Paragraph"/>
    <w:basedOn w:val="Normal"/>
    <w:uiPriority w:val="1"/>
    <w:qFormat/>
    <w:pPr>
      <w:ind w:left="2553" w:firstLine="831"/>
    </w:pPr>
    <w:rPr>
      <w:rFonts w:ascii="仿宋" w:eastAsia="仿宋" w:hAnsi="仿宋" w:cs="仿宋"/>
    </w:rPr>
  </w:style>
  <w:style w:type="paragraph" w:customStyle="1" w:styleId="TableParagraph">
    <w:name w:val="Table Paragraph"/>
    <w:basedOn w:val="Normal"/>
    <w:uiPriority w:val="1"/>
    <w:qFormat/>
    <w:rPr>
      <w:rFonts w:ascii="仿宋" w:eastAsia="仿宋" w:hAnsi="仿宋" w:cs="仿宋"/>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045334222302011033" TargetMode="Externa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2023-12-08T01:03:22Z</dcterms:created>
  <dcterms:modified xsi:type="dcterms:W3CDTF">2023-12-08T01:03:22Z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2022-10-20T00:00:00Z</vt:filetime>
  </property>
  <property fmtid="{D5CDD505-2E9C-101B-9397-08002B2CF9AE}" pid="3" name="LastSaved">
    <vt:filetime>2023-12-08T00:00:00Z</vt:filetime>
  </property>
</Properties>
</file>