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9791F" w:rsidP="0009791F" w14:paraId="73FAF0BD" w14:textId="77777777">
      <w:pPr>
        <w:spacing w:before="48" w:beforeLines="20" w:after="360" w:afterLines="150" w:line="360" w:lineRule="auto"/>
        <w:jc w:val="center"/>
        <w:rPr>
          <w:rFonts w:ascii="华文中宋" w:eastAsia="华文中宋" w:hAnsi="华文中宋"/>
          <w:b/>
          <w:sz w:val="30"/>
        </w:rPr>
      </w:pPr>
      <w:r w:rsidRPr="0009791F">
        <w:rPr>
          <w:rFonts w:ascii="华文中宋" w:eastAsia="华文中宋" w:hAnsi="华文中宋"/>
          <w:b/>
          <w:sz w:val="30"/>
        </w:rPr>
        <w:t>2023</w:t>
      </w:r>
      <w:r w:rsidRPr="0009791F">
        <w:rPr>
          <w:rFonts w:ascii="华文中宋" w:eastAsia="华文中宋" w:hAnsi="华文中宋"/>
          <w:b/>
          <w:sz w:val="30"/>
        </w:rPr>
        <w:t>浙江杭州西湖街道社区卫生服务中心公开招聘编外聘用人员</w:t>
      </w:r>
      <w:r w:rsidRPr="0009791F">
        <w:rPr>
          <w:rFonts w:ascii="华文中宋" w:eastAsia="华文中宋" w:hAnsi="华文中宋"/>
          <w:b/>
          <w:sz w:val="30"/>
        </w:rPr>
        <w:t>4</w:t>
      </w:r>
      <w:r w:rsidRPr="0009791F">
        <w:rPr>
          <w:rFonts w:ascii="华文中宋" w:eastAsia="华文中宋" w:hAnsi="华文中宋"/>
          <w:b/>
          <w:sz w:val="30"/>
        </w:rPr>
        <w:t>人笔试备考题库及答案解析</w:t>
      </w:r>
    </w:p>
    <w:p w:rsidR="00A77B3E" w14:paraId="7CF272A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C2645F7" w14:textId="77777777">
      <w:pPr>
        <w:spacing w:after="260" w:line="360" w:lineRule="auto"/>
      </w:pPr>
      <w:r>
        <w:rPr>
          <w:rFonts w:ascii="微软雅黑" w:eastAsia="微软雅黑" w:cs="微软雅黑"/>
        </w:rPr>
        <w:t>一、选择题</w:t>
      </w:r>
    </w:p>
    <w:p w:rsidR="006D34C4" w14:paraId="6356FCF4"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1B330FF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10F7F26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131A854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7B77A8F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38990F9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2F7552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458A1EA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5EC66E3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7D80133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356F1FB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03219D5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3B9E840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B3BBD7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DE03C32"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2E722C5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6D1B1DA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444E788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11727E2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705D7C7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D7D088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50BDAD90"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17B84AD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141B4E8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769F7A2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、函</w:t>
      </w:r>
    </w:p>
    <w:p w:rsidR="006D34C4" w14:paraId="5F1D714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07904FB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64E266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p>
    <w:p w:rsidR="006D34C4" w14:paraId="3F23DC83"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5DCF760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7AF03F6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6DBDA0E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1ED3484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2A890E8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6FF547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https://d.book118.com/046013003232010042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paraId="3AA91E9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9791F" w14:paraId="29B650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paraId="05074221" w14:textId="422AB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9791F" w14:paraId="3C19A1B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paraId="7EAB8E2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9791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textId="422AB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9791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9791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rsidP="00B77510" w14:textId="422AB6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9791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paraId="4B116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paraId="71CE4B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paraId="2009348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79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791F"/>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CBE5B03"/>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09791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9791F"/>
    <w:rPr>
      <w:sz w:val="18"/>
      <w:szCs w:val="18"/>
    </w:rPr>
  </w:style>
  <w:style w:type="paragraph" w:styleId="Footer">
    <w:name w:val="footer"/>
    <w:basedOn w:val="Normal"/>
    <w:link w:val="a0"/>
    <w:rsid w:val="0009791F"/>
    <w:pPr>
      <w:tabs>
        <w:tab w:val="center" w:pos="4153"/>
        <w:tab w:val="right" w:pos="8306"/>
      </w:tabs>
      <w:snapToGrid w:val="0"/>
    </w:pPr>
    <w:rPr>
      <w:sz w:val="18"/>
      <w:szCs w:val="18"/>
    </w:rPr>
  </w:style>
  <w:style w:type="character" w:customStyle="1" w:styleId="a0">
    <w:name w:val="页脚 字符"/>
    <w:basedOn w:val="DefaultParagraphFont"/>
    <w:link w:val="Footer"/>
    <w:rsid w:val="0009791F"/>
    <w:rPr>
      <w:sz w:val="18"/>
      <w:szCs w:val="18"/>
    </w:rPr>
  </w:style>
  <w:style w:type="character" w:styleId="PageNumber">
    <w:name w:val="page number"/>
    <w:basedOn w:val="DefaultParagraphFont"/>
    <w:rsid w:val="0009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46013003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2024-01-30T12:57:00Z</dcterms:created>
  <dcterms:modified xsi:type="dcterms:W3CDTF">2024-01-30T12:57:00Z</dcterms:modified>
</cp:coreProperties>
</file>