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5" w:lineRule="auto"/>
        <w:rPr>
          <w:rFonts w:ascii="Arial"/>
          <w:sz w:val="21"/>
        </w:rPr>
      </w:pPr>
    </w:p>
    <w:p>
      <w:pPr>
        <w:pStyle w:val="BodyText"/>
        <w:spacing w:before="78" w:line="220" w:lineRule="auto"/>
        <w:ind w:left="30"/>
        <w:outlineLvl w:val="0"/>
      </w:pPr>
      <w:r>
        <w:rPr>
          <w:rFonts w:ascii="Times New Roman" w:eastAsia="Times New Roman" w:hAnsi="Times New Roman" w:cs="Times New Roman"/>
          <w:b/>
          <w:bCs/>
          <w:spacing w:val="-4"/>
        </w:rPr>
        <w:t xml:space="preserve">1  </w:t>
      </w:r>
      <w:r>
        <w:rPr>
          <w:b/>
          <w:bCs/>
          <w:spacing w:val="-4"/>
        </w:rPr>
        <w:t>任务来源</w:t>
      </w:r>
    </w:p>
    <w:p>
      <w:pPr>
        <w:spacing w:line="255" w:lineRule="auto"/>
        <w:rPr>
          <w:rFonts w:ascii="Arial"/>
          <w:sz w:val="21"/>
        </w:rPr>
      </w:pPr>
    </w:p>
    <w:p>
      <w:pPr>
        <w:spacing w:line="255" w:lineRule="auto"/>
        <w:rPr>
          <w:rFonts w:ascii="Arial"/>
          <w:sz w:val="21"/>
        </w:rPr>
      </w:pPr>
    </w:p>
    <w:p>
      <w:pPr>
        <w:pStyle w:val="BodyText"/>
        <w:spacing w:before="78" w:line="360" w:lineRule="auto"/>
        <w:ind w:left="24" w:right="77" w:firstLine="474"/>
        <w:jc w:val="both"/>
      </w:pPr>
      <w:r>
        <w:rPr>
          <w:rFonts w:ascii="Times New Roman" w:eastAsia="Times New Roman" w:hAnsi="Times New Roman" w:cs="Times New Roman"/>
          <w:spacing w:val="-1"/>
        </w:rPr>
        <w:t>2023</w:t>
      </w:r>
      <w:r>
        <w:rPr>
          <w:rFonts w:ascii="Times New Roman" w:eastAsia="Times New Roman" w:hAnsi="Times New Roman" w:cs="Times New Roman"/>
          <w:spacing w:val="39"/>
          <w:w w:val="101"/>
        </w:rPr>
        <w:t xml:space="preserve"> </w:t>
      </w:r>
      <w:r>
        <w:rPr>
          <w:spacing w:val="-1"/>
        </w:rPr>
        <w:t>年</w:t>
      </w:r>
      <w:r>
        <w:rPr>
          <w:spacing w:val="-28"/>
        </w:rPr>
        <w:t xml:space="preserve"> </w:t>
      </w:r>
      <w:r>
        <w:rPr>
          <w:rFonts w:ascii="Times New Roman" w:eastAsia="Times New Roman" w:hAnsi="Times New Roman" w:cs="Times New Roman"/>
          <w:spacing w:val="-1"/>
        </w:rPr>
        <w:t>4</w:t>
      </w:r>
      <w:r>
        <w:rPr>
          <w:rFonts w:ascii="Times New Roman" w:eastAsia="Times New Roman" w:hAnsi="Times New Roman" w:cs="Times New Roman"/>
          <w:spacing w:val="44"/>
          <w:w w:val="101"/>
        </w:rPr>
        <w:t xml:space="preserve"> </w:t>
      </w:r>
      <w:r>
        <w:rPr>
          <w:spacing w:val="-1"/>
        </w:rPr>
        <w:t>月，中华环保联合会发布团队标准指南，中科院南京土壤研</w:t>
      </w:r>
      <w:r>
        <w:rPr>
          <w:spacing w:val="-2"/>
        </w:rPr>
        <w:t>究所</w:t>
      </w:r>
      <w:r>
        <w:t xml:space="preserve"> </w:t>
      </w:r>
      <w:r>
        <w:rPr>
          <w:spacing w:val="-5"/>
        </w:rPr>
        <w:t>主持申报土壤重金属便携式</w:t>
      </w:r>
      <w:r>
        <w:rPr>
          <w:spacing w:val="-38"/>
        </w:rPr>
        <w:t xml:space="preserve"> </w:t>
      </w:r>
      <w:r>
        <w:rPr>
          <w:rFonts w:ascii="Times New Roman" w:eastAsia="Times New Roman" w:hAnsi="Times New Roman" w:cs="Times New Roman"/>
          <w:spacing w:val="-5"/>
        </w:rPr>
        <w:t>XRF</w:t>
      </w:r>
      <w:r>
        <w:rPr>
          <w:rFonts w:ascii="Times New Roman" w:eastAsia="Times New Roman" w:hAnsi="Times New Roman" w:cs="Times New Roman"/>
          <w:spacing w:val="27"/>
        </w:rPr>
        <w:t xml:space="preserve"> </w:t>
      </w:r>
      <w:r>
        <w:rPr>
          <w:spacing w:val="-5"/>
        </w:rPr>
        <w:t>检测仪技术要求和方</w:t>
      </w:r>
      <w:r>
        <w:rPr>
          <w:spacing w:val="-6"/>
        </w:rPr>
        <w:t>法。</w:t>
      </w:r>
      <w:r>
        <w:rPr>
          <w:spacing w:val="46"/>
        </w:rPr>
        <w:t xml:space="preserve"> </w:t>
      </w:r>
      <w:r>
        <w:rPr>
          <w:spacing w:val="-6"/>
        </w:rPr>
        <w:t>本标准为十三五科技</w:t>
      </w:r>
      <w:r>
        <w:t xml:space="preserve"> </w:t>
      </w:r>
      <w:r>
        <w:rPr>
          <w:spacing w:val="-3"/>
        </w:rPr>
        <w:t>部重点研发项目《场地污染物现场快速筛查和检测技术与</w:t>
      </w:r>
      <w:r>
        <w:rPr>
          <w:spacing w:val="-4"/>
        </w:rPr>
        <w:t>设备》中课题三《场地</w:t>
      </w:r>
      <w:r>
        <w:t xml:space="preserve"> </w:t>
      </w:r>
      <w:r>
        <w:rPr>
          <w:spacing w:val="-2"/>
        </w:rPr>
        <w:t>土壤重金属快速检测技术与设备研发》（</w:t>
      </w:r>
      <w:r>
        <w:rPr>
          <w:rFonts w:ascii="Times New Roman" w:eastAsia="Times New Roman" w:hAnsi="Times New Roman" w:cs="Times New Roman"/>
          <w:spacing w:val="-2"/>
        </w:rPr>
        <w:t>2019YFC1804703</w:t>
      </w:r>
      <w:r>
        <w:rPr>
          <w:spacing w:val="-2"/>
        </w:rPr>
        <w:t>）提供</w:t>
      </w:r>
      <w:r>
        <w:rPr>
          <w:spacing w:val="-3"/>
        </w:rPr>
        <w:t>技术支撑， 主</w:t>
      </w:r>
      <w:r>
        <w:t xml:space="preserve"> </w:t>
      </w:r>
      <w:r>
        <w:rPr>
          <w:spacing w:val="-1"/>
        </w:rPr>
        <w:t>要对便携式</w:t>
      </w:r>
      <w:r>
        <w:rPr>
          <w:spacing w:val="-26"/>
        </w:rPr>
        <w:t xml:space="preserve"> </w:t>
      </w:r>
      <w:r>
        <w:rPr>
          <w:rFonts w:ascii="Times New Roman" w:eastAsia="Times New Roman" w:hAnsi="Times New Roman" w:cs="Times New Roman"/>
          <w:spacing w:val="-1"/>
        </w:rPr>
        <w:t>XRF</w:t>
      </w:r>
      <w:r>
        <w:rPr>
          <w:rFonts w:ascii="Times New Roman" w:eastAsia="Times New Roman" w:hAnsi="Times New Roman" w:cs="Times New Roman"/>
          <w:spacing w:val="28"/>
          <w:w w:val="101"/>
        </w:rPr>
        <w:t xml:space="preserve"> </w:t>
      </w:r>
      <w:r>
        <w:rPr>
          <w:spacing w:val="-1"/>
        </w:rPr>
        <w:t>土壤检测设备技术要求和性能参数进行规范和明确，同时对该</w:t>
      </w:r>
    </w:p>
    <w:p>
      <w:pPr>
        <w:pStyle w:val="BodyText"/>
        <w:spacing w:before="1" w:line="218" w:lineRule="auto"/>
        <w:ind w:left="27"/>
      </w:pPr>
      <w:r>
        <w:rPr>
          <w:spacing w:val="-4"/>
        </w:rPr>
        <w:t>设备技术在现场应用提供指导。</w:t>
      </w:r>
    </w:p>
    <w:p>
      <w:pPr>
        <w:spacing w:line="337" w:lineRule="auto"/>
        <w:rPr>
          <w:rFonts w:ascii="Arial"/>
          <w:sz w:val="21"/>
        </w:rPr>
      </w:pPr>
    </w:p>
    <w:p>
      <w:pPr>
        <w:spacing w:line="338" w:lineRule="auto"/>
        <w:rPr>
          <w:rFonts w:ascii="Arial"/>
          <w:sz w:val="21"/>
        </w:rPr>
      </w:pPr>
    </w:p>
    <w:p>
      <w:pPr>
        <w:pStyle w:val="BodyText"/>
        <w:spacing w:before="78" w:line="220" w:lineRule="auto"/>
        <w:ind w:left="20"/>
      </w:pPr>
      <w:r>
        <w:rPr>
          <w:rFonts w:ascii="Times New Roman" w:eastAsia="Times New Roman" w:hAnsi="Times New Roman" w:cs="Times New Roman"/>
          <w:b/>
          <w:bCs/>
          <w:spacing w:val="-2"/>
        </w:rPr>
        <w:t xml:space="preserve">2  </w:t>
      </w:r>
      <w:r>
        <w:rPr>
          <w:b/>
          <w:bCs/>
          <w:spacing w:val="-2"/>
        </w:rPr>
        <w:t>标准制定必要性</w:t>
      </w:r>
    </w:p>
    <w:p>
      <w:pPr>
        <w:spacing w:line="253" w:lineRule="auto"/>
        <w:rPr>
          <w:rFonts w:ascii="Arial"/>
          <w:sz w:val="21"/>
        </w:rPr>
      </w:pPr>
    </w:p>
    <w:p>
      <w:pPr>
        <w:spacing w:line="253" w:lineRule="auto"/>
        <w:rPr>
          <w:rFonts w:ascii="Arial"/>
          <w:sz w:val="21"/>
        </w:rPr>
      </w:pPr>
    </w:p>
    <w:p>
      <w:pPr>
        <w:pStyle w:val="BodyText"/>
        <w:spacing w:before="78" w:line="360" w:lineRule="auto"/>
        <w:ind w:left="22" w:firstLine="481"/>
        <w:jc w:val="both"/>
      </w:pPr>
      <w:r>
        <w:rPr>
          <w:spacing w:val="-6"/>
        </w:rPr>
        <w:t>《国家环境保护标准</w:t>
      </w:r>
      <w:r>
        <w:rPr>
          <w:rFonts w:ascii="Times New Roman" w:eastAsia="Times New Roman" w:hAnsi="Times New Roman" w:cs="Times New Roman"/>
          <w:spacing w:val="-6"/>
        </w:rPr>
        <w:t>“</w:t>
      </w:r>
      <w:r>
        <w:rPr>
          <w:spacing w:val="-6"/>
        </w:rPr>
        <w:t>十三五</w:t>
      </w:r>
      <w:r>
        <w:rPr>
          <w:rFonts w:ascii="Times New Roman" w:eastAsia="Times New Roman" w:hAnsi="Times New Roman" w:cs="Times New Roman"/>
          <w:spacing w:val="-6"/>
        </w:rPr>
        <w:t>”</w:t>
      </w:r>
      <w:r>
        <w:rPr>
          <w:spacing w:val="-6"/>
        </w:rPr>
        <w:t>发展规划》中在</w:t>
      </w:r>
      <w:r>
        <w:rPr>
          <w:rFonts w:ascii="Times New Roman" w:eastAsia="Times New Roman" w:hAnsi="Times New Roman" w:cs="Times New Roman"/>
          <w:spacing w:val="-6"/>
        </w:rPr>
        <w:t>“</w:t>
      </w:r>
      <w:r>
        <w:rPr>
          <w:spacing w:val="-6"/>
        </w:rPr>
        <w:t>总体目标</w:t>
      </w:r>
      <w:r>
        <w:rPr>
          <w:rFonts w:ascii="Times New Roman" w:eastAsia="Times New Roman" w:hAnsi="Times New Roman" w:cs="Times New Roman"/>
          <w:spacing w:val="-6"/>
        </w:rPr>
        <w:t>”</w:t>
      </w:r>
      <w:r>
        <w:rPr>
          <w:spacing w:val="-6"/>
        </w:rPr>
        <w:t>部分明确提出：</w:t>
      </w:r>
      <w:r>
        <w:rPr>
          <w:rFonts w:ascii="Times New Roman" w:eastAsia="Times New Roman" w:hAnsi="Times New Roman" w:cs="Times New Roman"/>
          <w:spacing w:val="-6"/>
        </w:rPr>
        <w:t>“</w:t>
      </w:r>
      <w:r>
        <w:rPr>
          <w:rFonts w:ascii="Times New Roman" w:eastAsia="Times New Roman" w:hAnsi="Times New Roman" w:cs="Times New Roman"/>
          <w:spacing w:val="-18"/>
        </w:rPr>
        <w:t xml:space="preserve"> </w:t>
      </w:r>
      <w:r>
        <w:rPr>
          <w:spacing w:val="-6"/>
        </w:rPr>
        <w:t xml:space="preserve">围 </w:t>
      </w:r>
      <w:r>
        <w:rPr>
          <w:spacing w:val="-12"/>
        </w:rPr>
        <w:t>绕排污许可及水、大气、土壤等环境管理中心工作，</w:t>
      </w:r>
      <w:r>
        <w:rPr>
          <w:spacing w:val="39"/>
        </w:rPr>
        <w:t xml:space="preserve"> </w:t>
      </w:r>
      <w:r>
        <w:rPr>
          <w:spacing w:val="-12"/>
        </w:rPr>
        <w:t>加</w:t>
      </w:r>
      <w:r>
        <w:rPr>
          <w:spacing w:val="-13"/>
        </w:rPr>
        <w:t>大在研项目推进力度，</w:t>
      </w:r>
      <w:r>
        <w:rPr>
          <w:spacing w:val="40"/>
        </w:rPr>
        <w:t xml:space="preserve"> </w:t>
      </w:r>
      <w:r>
        <w:rPr>
          <w:spacing w:val="-13"/>
        </w:rPr>
        <w:t xml:space="preserve">制 </w:t>
      </w:r>
      <w:r>
        <w:rPr>
          <w:spacing w:val="-7"/>
        </w:rPr>
        <w:t>修订一批关键标准</w:t>
      </w:r>
      <w:r>
        <w:rPr>
          <w:rFonts w:ascii="Times New Roman" w:eastAsia="Times New Roman" w:hAnsi="Times New Roman" w:cs="Times New Roman"/>
          <w:spacing w:val="-7"/>
        </w:rPr>
        <w:t>”</w:t>
      </w:r>
      <w:r>
        <w:rPr>
          <w:spacing w:val="-7"/>
        </w:rPr>
        <w:t>，针对环境监测类标准，</w:t>
      </w:r>
      <w:r>
        <w:rPr>
          <w:spacing w:val="41"/>
        </w:rPr>
        <w:t xml:space="preserve"> </w:t>
      </w:r>
      <w:r>
        <w:rPr>
          <w:spacing w:val="-7"/>
        </w:rPr>
        <w:t>要求</w:t>
      </w:r>
      <w:r>
        <w:rPr>
          <w:rFonts w:ascii="Times New Roman" w:eastAsia="Times New Roman" w:hAnsi="Times New Roman" w:cs="Times New Roman"/>
          <w:spacing w:val="-7"/>
        </w:rPr>
        <w:t>“</w:t>
      </w:r>
      <w:r>
        <w:rPr>
          <w:spacing w:val="-7"/>
        </w:rPr>
        <w:t xml:space="preserve">土壤及固体废物环境监测分析 </w:t>
      </w:r>
      <w:r>
        <w:rPr>
          <w:spacing w:val="-10"/>
        </w:rPr>
        <w:t xml:space="preserve">方法标准方面， 配套土壤环境质量标准的修订， 土壤环境调查工作以及典型污染 </w:t>
      </w:r>
      <w:r>
        <w:rPr>
          <w:spacing w:val="-6"/>
        </w:rPr>
        <w:t>场地环境风险评估工作的需求，</w:t>
      </w:r>
      <w:r>
        <w:rPr>
          <w:spacing w:val="-25"/>
        </w:rPr>
        <w:t xml:space="preserve"> </w:t>
      </w:r>
      <w:r>
        <w:rPr>
          <w:spacing w:val="-6"/>
        </w:rPr>
        <w:t>结合先进大型分析仪器和快速分析方法的</w:t>
      </w:r>
      <w:r>
        <w:rPr>
          <w:spacing w:val="-7"/>
        </w:rPr>
        <w:t xml:space="preserve">推广和 </w:t>
      </w:r>
      <w:r>
        <w:rPr>
          <w:spacing w:val="-1"/>
        </w:rPr>
        <w:t>普及使用，制修订一批涉及土壤基本理化指标以及重金属、多环芳烃、石油烃、</w:t>
      </w:r>
    </w:p>
    <w:p>
      <w:pPr>
        <w:pStyle w:val="BodyText"/>
        <w:spacing w:line="219" w:lineRule="auto"/>
        <w:ind w:left="23"/>
      </w:pPr>
      <w:r>
        <w:rPr>
          <w:spacing w:val="-1"/>
        </w:rPr>
        <w:t>农药等有毒有害污染物的监测分析方法标准</w:t>
      </w:r>
      <w:r>
        <w:rPr>
          <w:rFonts w:ascii="Times New Roman" w:eastAsia="Times New Roman" w:hAnsi="Times New Roman" w:cs="Times New Roman"/>
          <w:spacing w:val="-1"/>
        </w:rPr>
        <w:t>”</w:t>
      </w:r>
      <w:r>
        <w:rPr>
          <w:spacing w:val="-1"/>
        </w:rPr>
        <w:t>。</w:t>
      </w:r>
    </w:p>
    <w:p>
      <w:pPr>
        <w:pStyle w:val="BodyText"/>
        <w:spacing w:before="103" w:line="468" w:lineRule="exact"/>
        <w:ind w:left="506"/>
      </w:pPr>
      <w:r>
        <w:rPr>
          <w:spacing w:val="-6"/>
          <w:position w:val="17"/>
        </w:rPr>
        <w:t>为更好的监测土壤及沉积物中的重金属污染物，</w:t>
      </w:r>
      <w:r>
        <w:rPr>
          <w:spacing w:val="-29"/>
          <w:position w:val="17"/>
        </w:rPr>
        <w:t xml:space="preserve"> </w:t>
      </w:r>
      <w:r>
        <w:rPr>
          <w:spacing w:val="-6"/>
          <w:position w:val="17"/>
        </w:rPr>
        <w:t>环保部颁布了一系列监测标</w:t>
      </w:r>
    </w:p>
    <w:p>
      <w:pPr>
        <w:pStyle w:val="BodyText"/>
        <w:spacing w:before="1" w:line="220" w:lineRule="auto"/>
        <w:ind w:left="25"/>
      </w:pPr>
      <w:r>
        <w:rPr>
          <w:spacing w:val="-4"/>
        </w:rPr>
        <w:t>准，用于指导日常监测工作。</w:t>
      </w:r>
    </w:p>
    <w:p>
      <w:pPr>
        <w:pStyle w:val="BodyText"/>
        <w:spacing w:before="183" w:line="359" w:lineRule="auto"/>
        <w:ind w:left="22" w:right="77" w:firstLine="479"/>
        <w:sectPr>
          <w:footerReference w:type="default" r:id="rId4"/>
          <w:pgSz w:w="11907" w:h="16839"/>
          <w:pgMar w:top="1431" w:right="1721" w:bottom="1357" w:left="1785" w:header="0" w:footer="1197" w:gutter="0"/>
          <w:cols w:space="708"/>
        </w:sectPr>
      </w:pPr>
      <w:r>
        <w:rPr>
          <w:spacing w:val="-3"/>
        </w:rPr>
        <w:t>在现场原位测定土壤重金属方面，传统的实验室检测方法需要使用到</w:t>
      </w:r>
      <w:r>
        <w:rPr>
          <w:spacing w:val="-4"/>
        </w:rPr>
        <w:t>大型仪</w:t>
      </w:r>
      <w:r>
        <w:t xml:space="preserve"> </w:t>
      </w:r>
      <w:r>
        <w:rPr>
          <w:spacing w:val="-12"/>
        </w:rPr>
        <w:t>器，且样品在现场采集后，</w:t>
      </w:r>
      <w:r>
        <w:rPr>
          <w:spacing w:val="43"/>
        </w:rPr>
        <w:t xml:space="preserve"> </w:t>
      </w:r>
      <w:r>
        <w:rPr>
          <w:spacing w:val="-12"/>
        </w:rPr>
        <w:t>必须通过样品保存、</w:t>
      </w:r>
      <w:r>
        <w:rPr>
          <w:spacing w:val="-13"/>
        </w:rPr>
        <w:t>运输的环节，</w:t>
      </w:r>
      <w:r>
        <w:rPr>
          <w:spacing w:val="45"/>
        </w:rPr>
        <w:t xml:space="preserve"> </w:t>
      </w:r>
      <w:r>
        <w:rPr>
          <w:spacing w:val="-13"/>
        </w:rPr>
        <w:t>带到实验室进行分</w:t>
      </w:r>
      <w:r>
        <w:t xml:space="preserve"> </w:t>
      </w:r>
      <w:r>
        <w:rPr>
          <w:spacing w:val="-12"/>
        </w:rPr>
        <w:t>析。在此过程中，</w:t>
      </w:r>
      <w:r>
        <w:rPr>
          <w:spacing w:val="44"/>
        </w:rPr>
        <w:t xml:space="preserve"> </w:t>
      </w:r>
      <w:r>
        <w:rPr>
          <w:spacing w:val="-12"/>
        </w:rPr>
        <w:t>样品不可避免需要通过介质或者容器进行保存，</w:t>
      </w:r>
      <w:r>
        <w:rPr>
          <w:spacing w:val="33"/>
        </w:rPr>
        <w:t xml:space="preserve"> </w:t>
      </w:r>
      <w:r>
        <w:rPr>
          <w:spacing w:val="-12"/>
        </w:rPr>
        <w:t>这些容器和采</w:t>
      </w:r>
      <w:r>
        <w:t xml:space="preserve"> </w:t>
      </w:r>
      <w:r>
        <w:rPr>
          <w:spacing w:val="-12"/>
        </w:rPr>
        <w:t>样介质都会对样品造成损失。除此之外，</w:t>
      </w:r>
      <w:r>
        <w:rPr>
          <w:spacing w:val="43"/>
        </w:rPr>
        <w:t xml:space="preserve"> </w:t>
      </w:r>
      <w:r>
        <w:rPr>
          <w:spacing w:val="-12"/>
        </w:rPr>
        <w:t>部分样品由于活性较强，</w:t>
      </w:r>
      <w:r>
        <w:rPr>
          <w:spacing w:val="33"/>
        </w:rPr>
        <w:t xml:space="preserve"> </w:t>
      </w:r>
      <w:r>
        <w:rPr>
          <w:spacing w:val="-12"/>
        </w:rPr>
        <w:t>可能会在运输</w:t>
      </w:r>
      <w:r>
        <w:t xml:space="preserve"> </w:t>
      </w:r>
      <w:r>
        <w:rPr>
          <w:spacing w:val="-6"/>
        </w:rPr>
        <w:t>过程中发生降解或者浓度变化， 以至于无法通过实验室分析得到</w:t>
      </w:r>
      <w:r>
        <w:rPr>
          <w:spacing w:val="-7"/>
        </w:rPr>
        <w:t>现场样品浓度和</w:t>
      </w:r>
      <w:r>
        <w:t xml:space="preserve"> </w:t>
      </w:r>
    </w:p>
    <w:p>
      <w:pPr>
        <w:pStyle w:val="BodyText"/>
        <w:spacing w:before="183" w:line="359" w:lineRule="auto"/>
        <w:ind w:left="22" w:right="77" w:firstLine="479"/>
      </w:pPr>
      <w:r>
        <w:rPr>
          <w:spacing w:val="-8"/>
        </w:rPr>
        <w:t>结果。相较之下， 便携式</w:t>
      </w:r>
      <w:r>
        <w:rPr>
          <w:spacing w:val="-58"/>
        </w:rPr>
        <w:t xml:space="preserve"> </w:t>
      </w:r>
      <w:r>
        <w:rPr>
          <w:rFonts w:ascii="Times New Roman" w:eastAsia="Times New Roman" w:hAnsi="Times New Roman" w:cs="Times New Roman"/>
          <w:spacing w:val="-8"/>
        </w:rPr>
        <w:t xml:space="preserve">X </w:t>
      </w:r>
      <w:r>
        <w:rPr>
          <w:spacing w:val="-8"/>
        </w:rPr>
        <w:t>射线荧光光谱</w:t>
      </w:r>
      <w:r>
        <w:rPr>
          <w:spacing w:val="-9"/>
        </w:rPr>
        <w:t>技术操作方便简单、不需要化学试剂、</w:t>
      </w:r>
      <w:r>
        <w:t xml:space="preserve"> </w:t>
      </w:r>
      <w:r>
        <w:rPr>
          <w:spacing w:val="-7"/>
        </w:rPr>
        <w:t>可原位处理，</w:t>
      </w:r>
      <w:r>
        <w:rPr>
          <w:spacing w:val="36"/>
        </w:rPr>
        <w:t xml:space="preserve"> </w:t>
      </w:r>
      <w:r>
        <w:rPr>
          <w:spacing w:val="-7"/>
        </w:rPr>
        <w:t>具有安全、非破坏性和经济性等优</w:t>
      </w:r>
      <w:r>
        <w:rPr>
          <w:spacing w:val="-8"/>
        </w:rPr>
        <w:t>点，可在现场实现土壤重金属的</w:t>
      </w:r>
      <w:r>
        <w:t xml:space="preserve"> </w:t>
      </w:r>
      <w:r>
        <w:rPr>
          <w:spacing w:val="-15"/>
        </w:rPr>
        <w:t>筛选和定量分析，</w:t>
      </w:r>
      <w:r>
        <w:rPr>
          <w:spacing w:val="49"/>
        </w:rPr>
        <w:t xml:space="preserve"> </w:t>
      </w:r>
      <w:r>
        <w:rPr>
          <w:spacing w:val="-15"/>
        </w:rPr>
        <w:t>一般筛选测试仅需</w:t>
      </w:r>
      <w:r>
        <w:rPr>
          <w:spacing w:val="-32"/>
        </w:rPr>
        <w:t xml:space="preserve"> </w:t>
      </w:r>
      <w:r>
        <w:rPr>
          <w:rFonts w:ascii="Times New Roman" w:eastAsia="Times New Roman" w:hAnsi="Times New Roman" w:cs="Times New Roman"/>
          <w:spacing w:val="-15"/>
        </w:rPr>
        <w:t>1</w:t>
      </w:r>
      <w:r>
        <w:rPr>
          <w:rFonts w:ascii="Times New Roman" w:eastAsia="Times New Roman" w:hAnsi="Times New Roman" w:cs="Times New Roman"/>
          <w:spacing w:val="13"/>
        </w:rPr>
        <w:t xml:space="preserve"> </w:t>
      </w:r>
      <w:r>
        <w:rPr>
          <w:spacing w:val="-15"/>
        </w:rPr>
        <w:t>分钟， 定量分析（需简单样品处理） 时间</w:t>
      </w:r>
    </w:p>
    <w:p>
      <w:pPr>
        <w:pStyle w:val="BodyText"/>
        <w:spacing w:before="1" w:line="219" w:lineRule="auto"/>
        <w:ind w:left="22"/>
      </w:pPr>
      <w:r>
        <w:rPr>
          <w:spacing w:val="-11"/>
        </w:rPr>
        <w:t>在半小时以内，</w:t>
      </w:r>
      <w:r>
        <w:rPr>
          <w:spacing w:val="79"/>
        </w:rPr>
        <w:t xml:space="preserve"> </w:t>
      </w:r>
      <w:r>
        <w:rPr>
          <w:spacing w:val="-11"/>
        </w:rPr>
        <w:t>是一种环境友好优势技术。</w:t>
      </w:r>
    </w:p>
    <w:p>
      <w:pPr>
        <w:spacing w:line="219" w:lineRule="auto"/>
        <w:sectPr>
          <w:footerReference w:type="default" r:id="rId5"/>
          <w:type w:val="nextPage"/>
          <w:pgSz w:w="11907" w:h="16839"/>
          <w:pgMar w:top="1431" w:right="1721" w:bottom="1357" w:left="1785" w:header="0" w:footer="1197" w:gutter="0"/>
          <w:pgNumType w:start="2"/>
          <w:cols w:space="708"/>
          <w:titlePg w:val="0"/>
        </w:sectPr>
      </w:pPr>
    </w:p>
    <w:p>
      <w:pPr>
        <w:pStyle w:val="BodyText"/>
        <w:spacing w:before="48" w:line="359" w:lineRule="auto"/>
        <w:ind w:left="23" w:right="61" w:firstLine="480"/>
        <w:jc w:val="both"/>
      </w:pPr>
      <w:r>
        <w:rPr>
          <w:spacing w:val="-1"/>
        </w:rPr>
        <w:t>便携式</w:t>
      </w:r>
      <w:r>
        <w:rPr>
          <w:spacing w:val="-51"/>
        </w:rPr>
        <w:t xml:space="preserve"> </w:t>
      </w:r>
      <w:r>
        <w:rPr>
          <w:rFonts w:ascii="Times New Roman" w:eastAsia="Times New Roman" w:hAnsi="Times New Roman" w:cs="Times New Roman"/>
          <w:spacing w:val="-1"/>
        </w:rPr>
        <w:t xml:space="preserve">X </w:t>
      </w:r>
      <w:r>
        <w:rPr>
          <w:spacing w:val="-1"/>
        </w:rPr>
        <w:t>射线荧光光谱技术的原理是利用</w:t>
      </w:r>
      <w:r>
        <w:rPr>
          <w:spacing w:val="-60"/>
        </w:rPr>
        <w:t xml:space="preserve"> </w:t>
      </w:r>
      <w:r>
        <w:rPr>
          <w:rFonts w:ascii="Times New Roman" w:eastAsia="Times New Roman" w:hAnsi="Times New Roman" w:cs="Times New Roman"/>
          <w:spacing w:val="-1"/>
        </w:rPr>
        <w:t xml:space="preserve">X </w:t>
      </w:r>
      <w:r>
        <w:rPr>
          <w:spacing w:val="-1"/>
        </w:rPr>
        <w:t>射线管产生的初级</w:t>
      </w:r>
      <w:r>
        <w:rPr>
          <w:spacing w:val="-60"/>
        </w:rPr>
        <w:t xml:space="preserve"> </w:t>
      </w:r>
      <w:r>
        <w:rPr>
          <w:rFonts w:ascii="Times New Roman" w:eastAsia="Times New Roman" w:hAnsi="Times New Roman" w:cs="Times New Roman"/>
          <w:spacing w:val="-1"/>
        </w:rPr>
        <w:t xml:space="preserve">X </w:t>
      </w:r>
      <w:r>
        <w:rPr>
          <w:spacing w:val="-1"/>
        </w:rPr>
        <w:t>射线照射</w:t>
      </w:r>
      <w:r>
        <w:t xml:space="preserve"> </w:t>
      </w:r>
      <w:r>
        <w:rPr>
          <w:spacing w:val="-1"/>
        </w:rPr>
        <w:t xml:space="preserve">到样品表面，样品中元素被激发产生特征 </w:t>
      </w:r>
      <w:r>
        <w:rPr>
          <w:rFonts w:ascii="Times New Roman" w:eastAsia="Times New Roman" w:hAnsi="Times New Roman" w:cs="Times New Roman"/>
          <w:spacing w:val="-1"/>
        </w:rPr>
        <w:t>X</w:t>
      </w:r>
      <w:r>
        <w:rPr>
          <w:rFonts w:ascii="Times New Roman" w:eastAsia="Times New Roman" w:hAnsi="Times New Roman" w:cs="Times New Roman"/>
          <w:spacing w:val="58"/>
          <w:w w:val="101"/>
        </w:rPr>
        <w:t xml:space="preserve"> </w:t>
      </w:r>
      <w:r>
        <w:rPr>
          <w:spacing w:val="-1"/>
        </w:rPr>
        <w:t>射线荧光，直接进入检测器，检测</w:t>
      </w:r>
      <w:r>
        <w:t xml:space="preserve"> </w:t>
      </w:r>
      <w:r>
        <w:rPr>
          <w:spacing w:val="-1"/>
        </w:rPr>
        <w:t>器将未色散的</w:t>
      </w:r>
      <w:r>
        <w:rPr>
          <w:spacing w:val="-48"/>
        </w:rPr>
        <w:t xml:space="preserve"> </w:t>
      </w:r>
      <w:r>
        <w:rPr>
          <w:rFonts w:ascii="Times New Roman" w:eastAsia="Times New Roman" w:hAnsi="Times New Roman" w:cs="Times New Roman"/>
          <w:spacing w:val="-1"/>
        </w:rPr>
        <w:t>X</w:t>
      </w:r>
      <w:r>
        <w:rPr>
          <w:rFonts w:ascii="Times New Roman" w:eastAsia="Times New Roman" w:hAnsi="Times New Roman" w:cs="Times New Roman"/>
          <w:spacing w:val="19"/>
        </w:rPr>
        <w:t xml:space="preserve"> </w:t>
      </w:r>
      <w:r>
        <w:rPr>
          <w:spacing w:val="-1"/>
        </w:rPr>
        <w:t>射线荧光按光子能量分离</w:t>
      </w:r>
      <w:r>
        <w:rPr>
          <w:spacing w:val="-48"/>
        </w:rPr>
        <w:t xml:space="preserve"> </w:t>
      </w:r>
      <w:r>
        <w:rPr>
          <w:rFonts w:ascii="Times New Roman" w:eastAsia="Times New Roman" w:hAnsi="Times New Roman" w:cs="Times New Roman"/>
          <w:spacing w:val="-1"/>
        </w:rPr>
        <w:t>X</w:t>
      </w:r>
      <w:r>
        <w:rPr>
          <w:rFonts w:ascii="Times New Roman" w:eastAsia="Times New Roman" w:hAnsi="Times New Roman" w:cs="Times New Roman"/>
          <w:spacing w:val="18"/>
          <w:w w:val="101"/>
        </w:rPr>
        <w:t xml:space="preserve"> </w:t>
      </w:r>
      <w:r>
        <w:rPr>
          <w:spacing w:val="-1"/>
        </w:rPr>
        <w:t>射线光谱线，不同元素具有若干特</w:t>
      </w:r>
      <w:r>
        <w:t xml:space="preserve"> </w:t>
      </w:r>
      <w:r>
        <w:rPr>
          <w:spacing w:val="-1"/>
        </w:rPr>
        <w:t>征</w:t>
      </w:r>
      <w:r>
        <w:rPr>
          <w:spacing w:val="-48"/>
        </w:rPr>
        <w:t xml:space="preserve"> </w:t>
      </w:r>
      <w:r>
        <w:rPr>
          <w:rFonts w:ascii="Times New Roman" w:eastAsia="Times New Roman" w:hAnsi="Times New Roman" w:cs="Times New Roman"/>
          <w:spacing w:val="-1"/>
        </w:rPr>
        <w:t>X</w:t>
      </w:r>
      <w:r>
        <w:rPr>
          <w:rFonts w:ascii="Times New Roman" w:eastAsia="Times New Roman" w:hAnsi="Times New Roman" w:cs="Times New Roman"/>
          <w:spacing w:val="18"/>
          <w:w w:val="101"/>
        </w:rPr>
        <w:t xml:space="preserve"> </w:t>
      </w:r>
      <w:r>
        <w:rPr>
          <w:spacing w:val="-1"/>
        </w:rPr>
        <w:t>射线，通过检测器分析接收到的</w:t>
      </w:r>
      <w:r>
        <w:rPr>
          <w:spacing w:val="-49"/>
        </w:rPr>
        <w:t xml:space="preserve"> </w:t>
      </w:r>
      <w:r>
        <w:rPr>
          <w:rFonts w:ascii="Times New Roman" w:eastAsia="Times New Roman" w:hAnsi="Times New Roman" w:cs="Times New Roman"/>
          <w:spacing w:val="-1"/>
        </w:rPr>
        <w:t>X</w:t>
      </w:r>
      <w:r>
        <w:rPr>
          <w:rFonts w:ascii="Times New Roman" w:eastAsia="Times New Roman" w:hAnsi="Times New Roman" w:cs="Times New Roman"/>
          <w:spacing w:val="25"/>
          <w:w w:val="101"/>
        </w:rPr>
        <w:t xml:space="preserve"> </w:t>
      </w:r>
      <w:r>
        <w:rPr>
          <w:spacing w:val="-1"/>
        </w:rPr>
        <w:t>荧光射线强度分析样品中不</w:t>
      </w:r>
      <w:r>
        <w:rPr>
          <w:spacing w:val="-2"/>
        </w:rPr>
        <w:t>同元素的含</w:t>
      </w:r>
    </w:p>
    <w:p>
      <w:pPr>
        <w:pStyle w:val="BodyText"/>
        <w:spacing w:line="225" w:lineRule="auto"/>
        <w:ind w:left="23"/>
      </w:pPr>
      <w:r>
        <w:rPr>
          <w:spacing w:val="-12"/>
        </w:rPr>
        <w:t>量。</w:t>
      </w:r>
    </w:p>
    <w:p>
      <w:pPr>
        <w:pStyle w:val="BodyText"/>
        <w:spacing w:before="175" w:line="359" w:lineRule="auto"/>
        <w:ind w:left="24" w:firstLine="479"/>
        <w:jc w:val="both"/>
      </w:pPr>
      <w:r>
        <w:rPr>
          <w:spacing w:val="-1"/>
        </w:rPr>
        <w:t xml:space="preserve">利用便携式 </w:t>
      </w:r>
      <w:r>
        <w:rPr>
          <w:rFonts w:ascii="Times New Roman" w:eastAsia="Times New Roman" w:hAnsi="Times New Roman" w:cs="Times New Roman"/>
          <w:spacing w:val="-1"/>
        </w:rPr>
        <w:t>X</w:t>
      </w:r>
      <w:r>
        <w:rPr>
          <w:rFonts w:ascii="Times New Roman" w:eastAsia="Times New Roman" w:hAnsi="Times New Roman" w:cs="Times New Roman"/>
          <w:spacing w:val="55"/>
          <w:w w:val="101"/>
        </w:rPr>
        <w:t xml:space="preserve"> </w:t>
      </w:r>
      <w:r>
        <w:rPr>
          <w:spacing w:val="-1"/>
        </w:rPr>
        <w:t>射线荧光光谱进行土壤重金属快速检测技术优势突出，但是</w:t>
      </w:r>
      <w:r>
        <w:t xml:space="preserve"> </w:t>
      </w:r>
      <w:r>
        <w:rPr>
          <w:spacing w:val="-9"/>
        </w:rPr>
        <w:t>也存在一定的技术瓶颈， 如受样品异质性和基体效</w:t>
      </w:r>
      <w:r>
        <w:rPr>
          <w:spacing w:val="-10"/>
        </w:rPr>
        <w:t>应干扰严重， 仪器检测线高低</w:t>
      </w:r>
      <w:r>
        <w:t xml:space="preserve"> </w:t>
      </w:r>
      <w:r>
        <w:rPr>
          <w:spacing w:val="-7"/>
        </w:rPr>
        <w:t>不一，只能用于定性或半定量方法等。因此，</w:t>
      </w:r>
      <w:r>
        <w:rPr>
          <w:spacing w:val="82"/>
        </w:rPr>
        <w:t xml:space="preserve"> </w:t>
      </w:r>
      <w:r>
        <w:rPr>
          <w:spacing w:val="-7"/>
        </w:rPr>
        <w:t>通过采用规范的样品前处理手段，</w:t>
      </w:r>
      <w:r>
        <w:t xml:space="preserve"> </w:t>
      </w:r>
      <w:r>
        <w:rPr>
          <w:spacing w:val="-1"/>
        </w:rPr>
        <w:t xml:space="preserve">尽可能减少基体效应对仪器检测的干扰，能增强便携式 </w:t>
      </w:r>
      <w:r>
        <w:rPr>
          <w:rFonts w:ascii="Times New Roman" w:eastAsia="Times New Roman" w:hAnsi="Times New Roman" w:cs="Times New Roman"/>
          <w:spacing w:val="-1"/>
        </w:rPr>
        <w:t>X</w:t>
      </w:r>
      <w:r>
        <w:rPr>
          <w:rFonts w:ascii="Times New Roman" w:eastAsia="Times New Roman" w:hAnsi="Times New Roman" w:cs="Times New Roman"/>
          <w:spacing w:val="57"/>
        </w:rPr>
        <w:t xml:space="preserve"> </w:t>
      </w:r>
      <w:r>
        <w:rPr>
          <w:spacing w:val="-1"/>
        </w:rPr>
        <w:t>射线荧光光谱技术测</w:t>
      </w:r>
      <w:r>
        <w:t xml:space="preserve"> </w:t>
      </w:r>
      <w:r>
        <w:rPr>
          <w:spacing w:val="-5"/>
        </w:rPr>
        <w:t>定的精准性和可靠性。该技术的推广将推动我国土壤重金属场地监测的进步，</w:t>
      </w:r>
      <w:r>
        <w:rPr>
          <w:spacing w:val="-35"/>
        </w:rPr>
        <w:t xml:space="preserve"> </w:t>
      </w:r>
      <w:r>
        <w:rPr>
          <w:spacing w:val="-5"/>
        </w:rPr>
        <w:t>带</w:t>
      </w:r>
    </w:p>
    <w:p>
      <w:pPr>
        <w:pStyle w:val="BodyText"/>
        <w:spacing w:line="218" w:lineRule="auto"/>
        <w:ind w:left="24"/>
      </w:pPr>
      <w:r>
        <w:rPr>
          <w:spacing w:val="-4"/>
        </w:rPr>
        <w:t>来巨大的社会经济环境价值。</w:t>
      </w:r>
    </w:p>
    <w:p>
      <w:pPr>
        <w:pStyle w:val="BodyText"/>
        <w:spacing w:before="186" w:line="359" w:lineRule="auto"/>
        <w:ind w:left="22" w:right="58" w:firstLine="526"/>
        <w:jc w:val="both"/>
      </w:pPr>
      <w:r>
        <w:rPr>
          <w:spacing w:val="-4"/>
        </w:rPr>
        <w:t>目前市场上</w:t>
      </w:r>
      <w:r>
        <w:rPr>
          <w:spacing w:val="-51"/>
        </w:rPr>
        <w:t xml:space="preserve"> </w:t>
      </w:r>
      <w:r>
        <w:rPr>
          <w:rFonts w:ascii="Times New Roman" w:eastAsia="Times New Roman" w:hAnsi="Times New Roman" w:cs="Times New Roman"/>
          <w:spacing w:val="-4"/>
        </w:rPr>
        <w:t>XRF</w:t>
      </w:r>
      <w:r>
        <w:rPr>
          <w:rFonts w:ascii="Times New Roman" w:eastAsia="Times New Roman" w:hAnsi="Times New Roman" w:cs="Times New Roman"/>
          <w:spacing w:val="35"/>
          <w:w w:val="101"/>
        </w:rPr>
        <w:t xml:space="preserve"> </w:t>
      </w:r>
      <w:r>
        <w:rPr>
          <w:spacing w:val="-4"/>
        </w:rPr>
        <w:t>的国外生产厂家近</w:t>
      </w:r>
      <w:r>
        <w:rPr>
          <w:spacing w:val="-48"/>
        </w:rPr>
        <w:t xml:space="preserve"> </w:t>
      </w:r>
      <w:r>
        <w:rPr>
          <w:rFonts w:ascii="Times New Roman" w:eastAsia="Times New Roman" w:hAnsi="Times New Roman" w:cs="Times New Roman"/>
          <w:spacing w:val="-4"/>
        </w:rPr>
        <w:t>20</w:t>
      </w:r>
      <w:r>
        <w:rPr>
          <w:rFonts w:ascii="Times New Roman" w:eastAsia="Times New Roman" w:hAnsi="Times New Roman" w:cs="Times New Roman"/>
          <w:spacing w:val="19"/>
        </w:rPr>
        <w:t xml:space="preserve"> </w:t>
      </w:r>
      <w:r>
        <w:rPr>
          <w:spacing w:val="-4"/>
        </w:rPr>
        <w:t>家，国内生产厂家有</w:t>
      </w:r>
      <w:r>
        <w:rPr>
          <w:spacing w:val="-5"/>
        </w:rPr>
        <w:t>近</w:t>
      </w:r>
      <w:r>
        <w:rPr>
          <w:spacing w:val="-24"/>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18"/>
          <w:w w:val="101"/>
        </w:rPr>
        <w:t xml:space="preserve"> </w:t>
      </w:r>
      <w:r>
        <w:rPr>
          <w:spacing w:val="-5"/>
        </w:rPr>
        <w:t>家，但是</w:t>
      </w:r>
      <w:r>
        <w:t xml:space="preserve"> </w:t>
      </w:r>
      <w:r>
        <w:rPr>
          <w:spacing w:val="-1"/>
        </w:rPr>
        <w:t>关于便携式</w:t>
      </w:r>
      <w:r>
        <w:rPr>
          <w:spacing w:val="-26"/>
        </w:rPr>
        <w:t xml:space="preserve"> </w:t>
      </w:r>
      <w:r>
        <w:rPr>
          <w:rFonts w:ascii="Times New Roman" w:eastAsia="Times New Roman" w:hAnsi="Times New Roman" w:cs="Times New Roman"/>
          <w:spacing w:val="-1"/>
        </w:rPr>
        <w:t>XRF</w:t>
      </w:r>
      <w:r>
        <w:rPr>
          <w:rFonts w:ascii="Times New Roman" w:eastAsia="Times New Roman" w:hAnsi="Times New Roman" w:cs="Times New Roman"/>
          <w:spacing w:val="32"/>
        </w:rPr>
        <w:t xml:space="preserve"> </w:t>
      </w:r>
      <w:r>
        <w:rPr>
          <w:spacing w:val="-1"/>
        </w:rPr>
        <w:t>设备的技术要求及应用的相关标准仍然缺失，因此本标准的提</w:t>
      </w:r>
      <w:r>
        <w:t xml:space="preserve"> </w:t>
      </w:r>
      <w:r>
        <w:rPr>
          <w:spacing w:val="-1"/>
        </w:rPr>
        <w:t>出对当前</w:t>
      </w:r>
      <w:r>
        <w:rPr>
          <w:spacing w:val="-39"/>
        </w:rPr>
        <w:t xml:space="preserve"> </w:t>
      </w:r>
      <w:r>
        <w:rPr>
          <w:rFonts w:ascii="Times New Roman" w:eastAsia="Times New Roman" w:hAnsi="Times New Roman" w:cs="Times New Roman"/>
          <w:spacing w:val="-1"/>
        </w:rPr>
        <w:t>XRF</w:t>
      </w:r>
      <w:r>
        <w:rPr>
          <w:rFonts w:ascii="Times New Roman" w:eastAsia="Times New Roman" w:hAnsi="Times New Roman" w:cs="Times New Roman"/>
          <w:spacing w:val="47"/>
        </w:rPr>
        <w:t xml:space="preserve"> </w:t>
      </w:r>
      <w:r>
        <w:rPr>
          <w:spacing w:val="-1"/>
        </w:rPr>
        <w:t>的生产指导和重金属污染场地的监测十分必要。经过多年技</w:t>
      </w:r>
      <w:r>
        <w:rPr>
          <w:spacing w:val="-2"/>
        </w:rPr>
        <w:t>术经</w:t>
      </w:r>
      <w:r>
        <w:t xml:space="preserve"> </w:t>
      </w:r>
      <w:r>
        <w:rPr>
          <w:spacing w:val="-12"/>
        </w:rPr>
        <w:t>验积累和案例实践，</w:t>
      </w:r>
      <w:r>
        <w:rPr>
          <w:spacing w:val="44"/>
        </w:rPr>
        <w:t xml:space="preserve"> </w:t>
      </w:r>
      <w:r>
        <w:rPr>
          <w:spacing w:val="-12"/>
        </w:rPr>
        <w:t>本标准提出的土壤重金属快速检测技术成熟、效果稳定，</w:t>
      </w:r>
      <w:r>
        <w:rPr>
          <w:spacing w:val="33"/>
        </w:rPr>
        <w:t xml:space="preserve"> </w:t>
      </w:r>
      <w:r>
        <w:rPr>
          <w:spacing w:val="-12"/>
        </w:rPr>
        <w:t>可</w:t>
      </w:r>
      <w:r>
        <w:t xml:space="preserve"> </w:t>
      </w:r>
      <w:r>
        <w:rPr>
          <w:spacing w:val="-1"/>
        </w:rPr>
        <w:t>以为当前便携式</w:t>
      </w:r>
      <w:r>
        <w:rPr>
          <w:spacing w:val="-39"/>
        </w:rPr>
        <w:t xml:space="preserve"> </w:t>
      </w:r>
      <w:r>
        <w:rPr>
          <w:rFonts w:ascii="Times New Roman" w:eastAsia="Times New Roman" w:hAnsi="Times New Roman" w:cs="Times New Roman"/>
          <w:spacing w:val="-1"/>
        </w:rPr>
        <w:t>XRF</w:t>
      </w:r>
      <w:r>
        <w:rPr>
          <w:rFonts w:ascii="Times New Roman" w:eastAsia="Times New Roman" w:hAnsi="Times New Roman" w:cs="Times New Roman"/>
          <w:spacing w:val="50"/>
          <w:w w:val="101"/>
        </w:rPr>
        <w:t xml:space="preserve"> </w:t>
      </w:r>
      <w:r>
        <w:rPr>
          <w:spacing w:val="-1"/>
        </w:rPr>
        <w:t>的设备原理与构成、功能和技术性能要求和使</w:t>
      </w:r>
      <w:r>
        <w:rPr>
          <w:spacing w:val="-2"/>
        </w:rPr>
        <w:t>用方法等做</w:t>
      </w:r>
    </w:p>
    <w:p>
      <w:pPr>
        <w:pStyle w:val="BodyText"/>
        <w:spacing w:before="1" w:line="220" w:lineRule="auto"/>
        <w:ind w:left="44"/>
      </w:pPr>
      <w:r>
        <w:rPr>
          <w:spacing w:val="-8"/>
        </w:rPr>
        <w:t>出规范和指导。</w:t>
      </w:r>
    </w:p>
    <w:p>
      <w:pPr>
        <w:spacing w:line="438" w:lineRule="auto"/>
        <w:rPr>
          <w:rFonts w:ascii="Arial"/>
          <w:sz w:val="21"/>
        </w:rPr>
      </w:pPr>
    </w:p>
    <w:p>
      <w:pPr>
        <w:pStyle w:val="BodyText"/>
        <w:spacing w:before="78" w:line="220" w:lineRule="auto"/>
        <w:ind w:left="18"/>
      </w:pPr>
      <w:r>
        <w:rPr>
          <w:rFonts w:ascii="Times New Roman" w:eastAsia="Times New Roman" w:hAnsi="Times New Roman" w:cs="Times New Roman"/>
          <w:b/>
          <w:bCs/>
          <w:spacing w:val="-2"/>
        </w:rPr>
        <w:t xml:space="preserve">3  </w:t>
      </w:r>
      <w:r>
        <w:rPr>
          <w:b/>
          <w:bCs/>
          <w:spacing w:val="-2"/>
        </w:rPr>
        <w:t>主要工作过程</w:t>
      </w:r>
    </w:p>
    <w:p>
      <w:pPr>
        <w:spacing w:line="429" w:lineRule="auto"/>
        <w:rPr>
          <w:rFonts w:ascii="Arial"/>
          <w:sz w:val="21"/>
        </w:rPr>
      </w:pPr>
    </w:p>
    <w:p>
      <w:pPr>
        <w:pStyle w:val="BodyText"/>
        <w:spacing w:before="78" w:line="220" w:lineRule="auto"/>
        <w:ind w:left="18"/>
        <w:outlineLvl w:val="0"/>
      </w:pPr>
      <w:r>
        <w:rPr>
          <w:rFonts w:ascii="Times New Roman" w:eastAsia="Times New Roman" w:hAnsi="Times New Roman" w:cs="Times New Roman"/>
          <w:b/>
          <w:bCs/>
          <w:spacing w:val="-2"/>
        </w:rPr>
        <w:t xml:space="preserve">3.1 </w:t>
      </w:r>
      <w:r>
        <w:rPr>
          <w:b/>
          <w:bCs/>
          <w:spacing w:val="-2"/>
        </w:rPr>
        <w:t>成立标准编制组</w:t>
      </w:r>
    </w:p>
    <w:p>
      <w:pPr>
        <w:spacing w:line="362" w:lineRule="auto"/>
        <w:rPr>
          <w:rFonts w:ascii="Arial"/>
          <w:sz w:val="21"/>
        </w:rPr>
      </w:pPr>
    </w:p>
    <w:p>
      <w:pPr>
        <w:pStyle w:val="BodyText"/>
        <w:spacing w:before="79" w:line="359" w:lineRule="auto"/>
        <w:ind w:left="23" w:right="60" w:firstLine="475"/>
        <w:jc w:val="both"/>
      </w:pPr>
      <w:r>
        <w:rPr>
          <w:rFonts w:ascii="Times New Roman" w:eastAsia="Times New Roman" w:hAnsi="Times New Roman" w:cs="Times New Roman"/>
          <w:spacing w:val="-1"/>
        </w:rPr>
        <w:t>2023</w:t>
      </w:r>
      <w:r>
        <w:rPr>
          <w:rFonts w:ascii="Times New Roman" w:eastAsia="Times New Roman" w:hAnsi="Times New Roman" w:cs="Times New Roman"/>
          <w:spacing w:val="39"/>
        </w:rPr>
        <w:t xml:space="preserve"> </w:t>
      </w:r>
      <w:r>
        <w:rPr>
          <w:spacing w:val="-1"/>
        </w:rPr>
        <w:t>年</w:t>
      </w:r>
      <w:r>
        <w:rPr>
          <w:spacing w:val="-27"/>
        </w:rPr>
        <w:t xml:space="preserve"> </w:t>
      </w:r>
      <w:r>
        <w:rPr>
          <w:rFonts w:ascii="Times New Roman" w:eastAsia="Times New Roman" w:hAnsi="Times New Roman" w:cs="Times New Roman"/>
          <w:spacing w:val="-1"/>
        </w:rPr>
        <w:t>4</w:t>
      </w:r>
      <w:r>
        <w:rPr>
          <w:rFonts w:ascii="Times New Roman" w:eastAsia="Times New Roman" w:hAnsi="Times New Roman" w:cs="Times New Roman"/>
          <w:spacing w:val="43"/>
          <w:w w:val="101"/>
        </w:rPr>
        <w:t xml:space="preserve"> </w:t>
      </w:r>
      <w:r>
        <w:rPr>
          <w:spacing w:val="-1"/>
        </w:rPr>
        <w:t>月，中国科学院南京土壤研究所、生态环境部环境规划院、生态</w:t>
      </w:r>
      <w:r>
        <w:t xml:space="preserve"> </w:t>
      </w:r>
      <w:r>
        <w:rPr>
          <w:spacing w:val="-3"/>
        </w:rPr>
        <w:t>环境部土壤与农业农村生态环境监管技术中心、北京市农林科学院信息技术研究</w:t>
      </w:r>
      <w:r>
        <w:rPr>
          <w:spacing w:val="1"/>
        </w:rPr>
        <w:t xml:space="preserve"> </w:t>
      </w:r>
      <w:r>
        <w:rPr>
          <w:spacing w:val="-3"/>
        </w:rPr>
        <w:t>中心、江苏萤火虫环境科技有限公司和杭州谱育科技发展有限公司成立标准编制</w:t>
      </w:r>
      <w:r>
        <w:t xml:space="preserve"> </w:t>
      </w:r>
      <w:r>
        <w:rPr>
          <w:spacing w:val="-3"/>
        </w:rPr>
        <w:t>组，专门承担此项标准的研究制订工作。编制组成员中包括有多年监测标准</w:t>
      </w:r>
      <w:r>
        <w:rPr>
          <w:spacing w:val="-4"/>
        </w:rPr>
        <w:t>制订</w:t>
      </w:r>
    </w:p>
    <w:p>
      <w:pPr>
        <w:pStyle w:val="BodyText"/>
        <w:spacing w:line="220" w:lineRule="auto"/>
        <w:ind w:left="26"/>
      </w:pPr>
      <w:r>
        <w:rPr>
          <w:spacing w:val="-2"/>
        </w:rPr>
        <w:t>工作经验的同志和目前从事该项目分析工作的同志。</w:t>
      </w:r>
    </w:p>
    <w:p>
      <w:pPr>
        <w:spacing w:line="357" w:lineRule="auto"/>
        <w:rPr>
          <w:rFonts w:ascii="Arial"/>
          <w:sz w:val="21"/>
        </w:rPr>
        <w:sectPr>
          <w:footerReference w:type="default" r:id="rId6"/>
          <w:pgSz w:w="11907" w:h="16839"/>
          <w:pgMar w:top="1428" w:right="1737" w:bottom="1357" w:left="1785" w:header="0" w:footer="1197" w:gutter="0"/>
          <w:pgNumType w:start="3"/>
          <w:cols w:space="708"/>
        </w:sectPr>
      </w:pPr>
    </w:p>
    <w:p>
      <w:pPr>
        <w:pStyle w:val="BodyText"/>
        <w:spacing w:before="79" w:line="220" w:lineRule="auto"/>
        <w:ind w:left="18"/>
        <w:outlineLvl w:val="0"/>
      </w:pPr>
      <w:r>
        <w:rPr>
          <w:rFonts w:ascii="Times New Roman" w:eastAsia="Times New Roman" w:hAnsi="Times New Roman" w:cs="Times New Roman"/>
          <w:b/>
          <w:bCs/>
          <w:spacing w:val="-2"/>
        </w:rPr>
        <w:t xml:space="preserve">3.2  </w:t>
      </w:r>
      <w:r>
        <w:rPr>
          <w:b/>
          <w:bCs/>
          <w:spacing w:val="-2"/>
        </w:rPr>
        <w:t>查询国内外相关标准和文献资料</w:t>
      </w:r>
    </w:p>
    <w:p>
      <w:pPr>
        <w:spacing w:line="361" w:lineRule="auto"/>
        <w:rPr>
          <w:rFonts w:ascii="Arial"/>
          <w:sz w:val="21"/>
        </w:rPr>
      </w:pPr>
    </w:p>
    <w:p>
      <w:pPr>
        <w:pStyle w:val="BodyText"/>
        <w:spacing w:before="79" w:line="468" w:lineRule="exact"/>
        <w:ind w:left="499"/>
      </w:pPr>
      <w:r>
        <w:rPr>
          <w:rFonts w:ascii="Times New Roman" w:eastAsia="Times New Roman" w:hAnsi="Times New Roman" w:cs="Times New Roman"/>
          <w:spacing w:val="-9"/>
          <w:position w:val="17"/>
        </w:rPr>
        <w:t xml:space="preserve">2023 </w:t>
      </w:r>
      <w:r>
        <w:rPr>
          <w:spacing w:val="-9"/>
          <w:position w:val="17"/>
        </w:rPr>
        <w:t>年</w:t>
      </w:r>
      <w:r>
        <w:rPr>
          <w:spacing w:val="-43"/>
          <w:position w:val="17"/>
        </w:rPr>
        <w:t xml:space="preserve"> </w:t>
      </w:r>
      <w:r>
        <w:rPr>
          <w:rFonts w:ascii="Times New Roman" w:eastAsia="Times New Roman" w:hAnsi="Times New Roman" w:cs="Times New Roman"/>
          <w:spacing w:val="-9"/>
          <w:position w:val="17"/>
        </w:rPr>
        <w:t>5</w:t>
      </w:r>
      <w:r>
        <w:rPr>
          <w:rFonts w:ascii="Times New Roman" w:eastAsia="Times New Roman" w:hAnsi="Times New Roman" w:cs="Times New Roman"/>
          <w:spacing w:val="15"/>
          <w:position w:val="17"/>
        </w:rPr>
        <w:t xml:space="preserve"> </w:t>
      </w:r>
      <w:r>
        <w:rPr>
          <w:spacing w:val="-9"/>
          <w:position w:val="17"/>
        </w:rPr>
        <w:t>月至</w:t>
      </w:r>
      <w:r>
        <w:rPr>
          <w:spacing w:val="-54"/>
          <w:position w:val="17"/>
        </w:rPr>
        <w:t xml:space="preserve"> </w:t>
      </w:r>
      <w:r>
        <w:rPr>
          <w:rFonts w:ascii="Times New Roman" w:eastAsia="Times New Roman" w:hAnsi="Times New Roman" w:cs="Times New Roman"/>
          <w:spacing w:val="-9"/>
          <w:position w:val="17"/>
        </w:rPr>
        <w:t xml:space="preserve">2023 </w:t>
      </w:r>
      <w:r>
        <w:rPr>
          <w:spacing w:val="-9"/>
          <w:position w:val="17"/>
        </w:rPr>
        <w:t>年</w:t>
      </w:r>
      <w:r>
        <w:rPr>
          <w:spacing w:val="-52"/>
          <w:position w:val="17"/>
        </w:rPr>
        <w:t xml:space="preserve"> </w:t>
      </w:r>
      <w:r>
        <w:rPr>
          <w:rFonts w:ascii="Times New Roman" w:eastAsia="Times New Roman" w:hAnsi="Times New Roman" w:cs="Times New Roman"/>
          <w:spacing w:val="-9"/>
          <w:position w:val="17"/>
        </w:rPr>
        <w:t>7</w:t>
      </w:r>
      <w:r>
        <w:rPr>
          <w:rFonts w:ascii="Times New Roman" w:eastAsia="Times New Roman" w:hAnsi="Times New Roman" w:cs="Times New Roman"/>
          <w:spacing w:val="16"/>
          <w:position w:val="17"/>
        </w:rPr>
        <w:t xml:space="preserve"> </w:t>
      </w:r>
      <w:r>
        <w:rPr>
          <w:spacing w:val="-9"/>
          <w:position w:val="17"/>
        </w:rPr>
        <w:t>月，根据《国家环保标准制修订工作管理办法》（国</w:t>
      </w:r>
    </w:p>
    <w:p>
      <w:pPr>
        <w:pStyle w:val="BodyText"/>
        <w:spacing w:before="1" w:line="218" w:lineRule="auto"/>
        <w:ind w:left="23"/>
      </w:pPr>
      <w:r>
        <w:rPr>
          <w:spacing w:val="-9"/>
        </w:rPr>
        <w:t>环规科技〔</w:t>
      </w:r>
      <w:r>
        <w:rPr>
          <w:rFonts w:ascii="Times New Roman" w:eastAsia="Times New Roman" w:hAnsi="Times New Roman" w:cs="Times New Roman"/>
          <w:spacing w:val="-9"/>
        </w:rPr>
        <w:t>2017</w:t>
      </w:r>
      <w:r>
        <w:rPr>
          <w:spacing w:val="-9"/>
        </w:rPr>
        <w:t>〕</w:t>
      </w:r>
      <w:r>
        <w:rPr>
          <w:rFonts w:ascii="Times New Roman" w:eastAsia="Times New Roman" w:hAnsi="Times New Roman" w:cs="Times New Roman"/>
          <w:spacing w:val="-9"/>
        </w:rPr>
        <w:t>1</w:t>
      </w:r>
      <w:r>
        <w:rPr>
          <w:rFonts w:ascii="Times New Roman" w:eastAsia="Times New Roman" w:hAnsi="Times New Roman" w:cs="Times New Roman"/>
          <w:spacing w:val="31"/>
          <w:w w:val="101"/>
        </w:rPr>
        <w:t xml:space="preserve"> </w:t>
      </w:r>
      <w:r>
        <w:rPr>
          <w:spacing w:val="-9"/>
        </w:rPr>
        <w:t>号）</w:t>
      </w:r>
      <w:r>
        <w:rPr>
          <w:spacing w:val="-38"/>
        </w:rPr>
        <w:t xml:space="preserve"> </w:t>
      </w:r>
      <w:r>
        <w:rPr>
          <w:spacing w:val="-9"/>
        </w:rPr>
        <w:t>的相关规定，</w:t>
      </w:r>
      <w:r>
        <w:rPr>
          <w:spacing w:val="55"/>
        </w:rPr>
        <w:t xml:space="preserve"> </w:t>
      </w:r>
      <w:r>
        <w:rPr>
          <w:spacing w:val="-9"/>
        </w:rPr>
        <w:t>检索、查询和收集国内外相关标准和文献</w:t>
      </w:r>
    </w:p>
    <w:p>
      <w:pPr>
        <w:spacing w:line="218" w:lineRule="auto"/>
        <w:sectPr>
          <w:footerReference w:type="default" r:id="rId7"/>
          <w:type w:val="nextPage"/>
          <w:pgSz w:w="11907" w:h="16839"/>
          <w:pgMar w:top="1428" w:right="1737" w:bottom="1357" w:left="1785" w:header="0" w:footer="1197" w:gutter="0"/>
          <w:pgNumType w:start="4"/>
          <w:cols w:space="708"/>
          <w:titlePg w:val="0"/>
        </w:sectPr>
      </w:pPr>
    </w:p>
    <w:p>
      <w:pPr>
        <w:pStyle w:val="BodyText"/>
        <w:spacing w:before="48" w:line="359" w:lineRule="auto"/>
        <w:ind w:left="26" w:right="102" w:firstLine="7"/>
      </w:pPr>
      <w:r>
        <w:rPr>
          <w:spacing w:val="-19"/>
        </w:rPr>
        <w:t>资料，并根据国内相关质量标准，</w:t>
      </w:r>
      <w:r>
        <w:rPr>
          <w:spacing w:val="-47"/>
        </w:rPr>
        <w:t xml:space="preserve"> </w:t>
      </w:r>
      <w:r>
        <w:rPr>
          <w:spacing w:val="-19"/>
        </w:rPr>
        <w:t>结合行业需求、目前现有的方法标准（国内外</w:t>
      </w:r>
      <w:r>
        <w:rPr>
          <w:spacing w:val="-20"/>
        </w:rPr>
        <w:t>）、</w:t>
      </w:r>
      <w:r>
        <w:t xml:space="preserve"> </w:t>
      </w:r>
      <w:r>
        <w:rPr>
          <w:spacing w:val="-2"/>
        </w:rPr>
        <w:t>各个品牌</w:t>
      </w:r>
      <w:r>
        <w:rPr>
          <w:spacing w:val="-58"/>
        </w:rPr>
        <w:t xml:space="preserve"> </w:t>
      </w:r>
      <w:r>
        <w:rPr>
          <w:rFonts w:ascii="Times New Roman" w:eastAsia="Times New Roman" w:hAnsi="Times New Roman" w:cs="Times New Roman"/>
          <w:spacing w:val="-2"/>
        </w:rPr>
        <w:t xml:space="preserve">XRF </w:t>
      </w:r>
      <w:r>
        <w:rPr>
          <w:spacing w:val="-2"/>
        </w:rPr>
        <w:t>仪器情况、</w:t>
      </w:r>
      <w:r>
        <w:rPr>
          <w:rFonts w:ascii="Times New Roman" w:eastAsia="Times New Roman" w:hAnsi="Times New Roman" w:cs="Times New Roman"/>
          <w:spacing w:val="-2"/>
        </w:rPr>
        <w:t xml:space="preserve">XRF </w:t>
      </w:r>
      <w:r>
        <w:rPr>
          <w:spacing w:val="-2"/>
        </w:rPr>
        <w:t>检测技术原理，以及目前土壤重金属便携式</w:t>
      </w:r>
      <w:r>
        <w:rPr>
          <w:spacing w:val="-57"/>
        </w:rPr>
        <w:t xml:space="preserve"> </w:t>
      </w:r>
      <w:r>
        <w:rPr>
          <w:rFonts w:ascii="Times New Roman" w:eastAsia="Times New Roman" w:hAnsi="Times New Roman" w:cs="Times New Roman"/>
          <w:spacing w:val="-2"/>
        </w:rPr>
        <w:t xml:space="preserve">X </w:t>
      </w:r>
      <w:r>
        <w:rPr>
          <w:spacing w:val="-2"/>
        </w:rPr>
        <w:t>射</w:t>
      </w:r>
      <w:r>
        <w:t xml:space="preserve"> </w:t>
      </w:r>
      <w:r>
        <w:rPr>
          <w:spacing w:val="-3"/>
        </w:rPr>
        <w:t>线荧光法测定的分析方法、研究进展以及存在问题进行归纳和总结。</w:t>
      </w:r>
      <w:r>
        <w:rPr>
          <w:spacing w:val="-4"/>
        </w:rPr>
        <w:t>在整理借鉴</w:t>
      </w:r>
      <w:r>
        <w:t xml:space="preserve"> </w:t>
      </w:r>
      <w:r>
        <w:rPr>
          <w:spacing w:val="-9"/>
        </w:rPr>
        <w:t>的基础上， 对测定方式和测试过程等主要内容进行</w:t>
      </w:r>
      <w:r>
        <w:rPr>
          <w:spacing w:val="-10"/>
        </w:rPr>
        <w:t>了初步的研究和探讨， 拟定标</w:t>
      </w:r>
    </w:p>
    <w:p>
      <w:pPr>
        <w:pStyle w:val="BodyText"/>
        <w:spacing w:before="1" w:line="218" w:lineRule="auto"/>
        <w:ind w:left="25"/>
      </w:pPr>
      <w:r>
        <w:rPr>
          <w:spacing w:val="-3"/>
        </w:rPr>
        <w:t>准方法制修订的基本原则和技术路线。</w:t>
      </w:r>
    </w:p>
    <w:p>
      <w:pPr>
        <w:spacing w:line="361" w:lineRule="auto"/>
        <w:rPr>
          <w:rFonts w:ascii="Arial"/>
          <w:sz w:val="21"/>
        </w:rPr>
      </w:pPr>
    </w:p>
    <w:p>
      <w:pPr>
        <w:pStyle w:val="BodyText"/>
        <w:spacing w:before="78" w:line="220" w:lineRule="auto"/>
        <w:ind w:left="18"/>
        <w:outlineLvl w:val="0"/>
      </w:pPr>
      <w:r>
        <w:rPr>
          <w:rFonts w:ascii="Times New Roman" w:eastAsia="Times New Roman" w:hAnsi="Times New Roman" w:cs="Times New Roman"/>
          <w:b/>
          <w:bCs/>
          <w:spacing w:val="-2"/>
        </w:rPr>
        <w:t xml:space="preserve">3.3  </w:t>
      </w:r>
      <w:r>
        <w:rPr>
          <w:b/>
          <w:bCs/>
          <w:spacing w:val="-2"/>
        </w:rPr>
        <w:t>编写标准草案和编制说明</w:t>
      </w:r>
    </w:p>
    <w:p>
      <w:pPr>
        <w:spacing w:line="362" w:lineRule="auto"/>
        <w:rPr>
          <w:rFonts w:ascii="Arial"/>
          <w:sz w:val="21"/>
        </w:rPr>
      </w:pPr>
    </w:p>
    <w:p>
      <w:pPr>
        <w:pStyle w:val="BodyText"/>
        <w:spacing w:before="78" w:line="465" w:lineRule="exact"/>
        <w:ind w:left="499"/>
      </w:pPr>
      <w:r>
        <w:rPr>
          <w:rFonts w:ascii="Times New Roman" w:eastAsia="Times New Roman" w:hAnsi="Times New Roman" w:cs="Times New Roman"/>
          <w:spacing w:val="-9"/>
          <w:position w:val="17"/>
        </w:rPr>
        <w:t xml:space="preserve">2023 </w:t>
      </w:r>
      <w:r>
        <w:rPr>
          <w:spacing w:val="-9"/>
          <w:position w:val="17"/>
        </w:rPr>
        <w:t>年</w:t>
      </w:r>
      <w:r>
        <w:rPr>
          <w:spacing w:val="-38"/>
          <w:position w:val="17"/>
        </w:rPr>
        <w:t xml:space="preserve"> </w:t>
      </w:r>
      <w:r>
        <w:rPr>
          <w:rFonts w:ascii="Times New Roman" w:eastAsia="Times New Roman" w:hAnsi="Times New Roman" w:cs="Times New Roman"/>
          <w:spacing w:val="-9"/>
          <w:position w:val="17"/>
        </w:rPr>
        <w:t>8</w:t>
      </w:r>
      <w:r>
        <w:rPr>
          <w:rFonts w:ascii="Times New Roman" w:eastAsia="Times New Roman" w:hAnsi="Times New Roman" w:cs="Times New Roman"/>
          <w:spacing w:val="15"/>
          <w:position w:val="17"/>
        </w:rPr>
        <w:t xml:space="preserve"> </w:t>
      </w:r>
      <w:r>
        <w:rPr>
          <w:spacing w:val="-9"/>
          <w:position w:val="17"/>
        </w:rPr>
        <w:t>月至</w:t>
      </w:r>
      <w:r>
        <w:rPr>
          <w:spacing w:val="-55"/>
          <w:position w:val="17"/>
        </w:rPr>
        <w:t xml:space="preserve"> </w:t>
      </w:r>
      <w:r>
        <w:rPr>
          <w:rFonts w:ascii="Times New Roman" w:eastAsia="Times New Roman" w:hAnsi="Times New Roman" w:cs="Times New Roman"/>
          <w:spacing w:val="-9"/>
          <w:position w:val="17"/>
        </w:rPr>
        <w:t xml:space="preserve">2023 </w:t>
      </w:r>
      <w:r>
        <w:rPr>
          <w:spacing w:val="-9"/>
          <w:position w:val="17"/>
        </w:rPr>
        <w:t>年</w:t>
      </w:r>
      <w:r>
        <w:rPr>
          <w:spacing w:val="-50"/>
          <w:position w:val="17"/>
        </w:rPr>
        <w:t xml:space="preserve"> </w:t>
      </w:r>
      <w:r>
        <w:rPr>
          <w:rFonts w:ascii="Times New Roman" w:eastAsia="Times New Roman" w:hAnsi="Times New Roman" w:cs="Times New Roman"/>
          <w:spacing w:val="-9"/>
          <w:position w:val="17"/>
        </w:rPr>
        <w:t>9</w:t>
      </w:r>
      <w:r>
        <w:rPr>
          <w:rFonts w:ascii="Times New Roman" w:eastAsia="Times New Roman" w:hAnsi="Times New Roman" w:cs="Times New Roman"/>
          <w:spacing w:val="15"/>
          <w:position w:val="17"/>
        </w:rPr>
        <w:t xml:space="preserve"> </w:t>
      </w:r>
      <w:r>
        <w:rPr>
          <w:spacing w:val="-9"/>
          <w:position w:val="17"/>
        </w:rPr>
        <w:t>月，</w:t>
      </w:r>
      <w:r>
        <w:rPr>
          <w:spacing w:val="-47"/>
          <w:position w:val="17"/>
        </w:rPr>
        <w:t xml:space="preserve"> </w:t>
      </w:r>
      <w:r>
        <w:rPr>
          <w:spacing w:val="-9"/>
          <w:position w:val="17"/>
        </w:rPr>
        <w:t>标准编制组根据拟定的技术路线，</w:t>
      </w:r>
      <w:r>
        <w:rPr>
          <w:spacing w:val="44"/>
          <w:position w:val="17"/>
        </w:rPr>
        <w:t xml:space="preserve"> </w:t>
      </w:r>
      <w:r>
        <w:rPr>
          <w:spacing w:val="-9"/>
          <w:position w:val="17"/>
        </w:rPr>
        <w:t>进行了方法</w:t>
      </w:r>
    </w:p>
    <w:p>
      <w:pPr>
        <w:pStyle w:val="BodyText"/>
        <w:spacing w:before="1" w:line="218" w:lineRule="auto"/>
        <w:ind w:left="43"/>
      </w:pPr>
      <w:r>
        <w:rPr>
          <w:spacing w:val="-3"/>
        </w:rPr>
        <w:t>的条件试验，在此基础上编写了标准文本草案和编制说明。</w:t>
      </w:r>
    </w:p>
    <w:p>
      <w:pPr>
        <w:spacing w:line="443" w:lineRule="auto"/>
        <w:rPr>
          <w:rFonts w:ascii="Arial"/>
          <w:sz w:val="21"/>
        </w:rPr>
      </w:pPr>
    </w:p>
    <w:p>
      <w:pPr>
        <w:pStyle w:val="BodyText"/>
        <w:spacing w:before="78" w:line="220" w:lineRule="auto"/>
        <w:ind w:left="20"/>
      </w:pPr>
      <w:r>
        <w:rPr>
          <w:rFonts w:ascii="Times New Roman" w:eastAsia="Times New Roman" w:hAnsi="Times New Roman" w:cs="Times New Roman"/>
          <w:b/>
          <w:bCs/>
          <w:spacing w:val="-6"/>
        </w:rPr>
        <w:t>4</w:t>
      </w:r>
      <w:r>
        <w:rPr>
          <w:rFonts w:ascii="Times New Roman" w:eastAsia="Times New Roman" w:hAnsi="Times New Roman" w:cs="Times New Roman"/>
          <w:b/>
          <w:bCs/>
          <w:spacing w:val="19"/>
        </w:rPr>
        <w:t xml:space="preserve">  </w:t>
      </w:r>
      <w:r>
        <w:rPr>
          <w:b/>
          <w:bCs/>
          <w:spacing w:val="-6"/>
        </w:rPr>
        <w:t>国内外相关标准概况</w:t>
      </w:r>
    </w:p>
    <w:p>
      <w:pPr>
        <w:spacing w:line="254" w:lineRule="auto"/>
        <w:rPr>
          <w:rFonts w:ascii="Arial"/>
          <w:sz w:val="21"/>
        </w:rPr>
      </w:pPr>
    </w:p>
    <w:p>
      <w:pPr>
        <w:spacing w:line="254" w:lineRule="auto"/>
        <w:rPr>
          <w:rFonts w:ascii="Arial"/>
          <w:sz w:val="21"/>
        </w:rPr>
      </w:pPr>
    </w:p>
    <w:p>
      <w:pPr>
        <w:pStyle w:val="BodyText"/>
        <w:spacing w:before="79" w:line="220" w:lineRule="auto"/>
        <w:ind w:left="20"/>
        <w:outlineLvl w:val="0"/>
      </w:pPr>
      <w:r>
        <w:rPr>
          <w:rFonts w:ascii="Times New Roman" w:eastAsia="Times New Roman" w:hAnsi="Times New Roman" w:cs="Times New Roman"/>
          <w:b/>
          <w:bCs/>
          <w:spacing w:val="-5"/>
        </w:rPr>
        <w:t>4.1</w:t>
      </w:r>
      <w:r>
        <w:rPr>
          <w:rFonts w:ascii="Times New Roman" w:eastAsia="Times New Roman" w:hAnsi="Times New Roman" w:cs="Times New Roman"/>
          <w:b/>
          <w:bCs/>
          <w:spacing w:val="17"/>
        </w:rPr>
        <w:t xml:space="preserve">  </w:t>
      </w:r>
      <w:r>
        <w:rPr>
          <w:b/>
          <w:bCs/>
          <w:spacing w:val="-5"/>
        </w:rPr>
        <w:t>国内相关标准情况</w:t>
      </w:r>
    </w:p>
    <w:p>
      <w:pPr>
        <w:spacing w:line="361" w:lineRule="auto"/>
        <w:rPr>
          <w:rFonts w:ascii="Arial"/>
          <w:sz w:val="21"/>
        </w:rPr>
      </w:pPr>
    </w:p>
    <w:p>
      <w:pPr>
        <w:pStyle w:val="BodyText"/>
        <w:spacing w:before="79" w:line="360" w:lineRule="auto"/>
        <w:ind w:left="22" w:right="26" w:firstLine="481"/>
        <w:jc w:val="both"/>
      </w:pPr>
      <w:r>
        <w:rPr>
          <w:spacing w:val="1"/>
        </w:rPr>
        <w:t>《国家环境保护标准</w:t>
      </w:r>
      <w:r>
        <w:rPr>
          <w:rFonts w:ascii="Times New Roman" w:eastAsia="Times New Roman" w:hAnsi="Times New Roman" w:cs="Times New Roman"/>
          <w:spacing w:val="1"/>
        </w:rPr>
        <w:t>“</w:t>
      </w:r>
      <w:r>
        <w:rPr>
          <w:spacing w:val="1"/>
        </w:rPr>
        <w:t>十三五</w:t>
      </w:r>
      <w:r>
        <w:rPr>
          <w:rFonts w:ascii="Times New Roman" w:eastAsia="Times New Roman" w:hAnsi="Times New Roman" w:cs="Times New Roman"/>
          <w:spacing w:val="1"/>
        </w:rPr>
        <w:t>”</w:t>
      </w:r>
      <w:r>
        <w:rPr>
          <w:spacing w:val="1"/>
        </w:rPr>
        <w:t>发展规划》在</w:t>
      </w:r>
      <w:r>
        <w:rPr>
          <w:rFonts w:ascii="Times New Roman" w:eastAsia="Times New Roman" w:hAnsi="Times New Roman" w:cs="Times New Roman"/>
          <w:spacing w:val="1"/>
        </w:rPr>
        <w:t>“</w:t>
      </w:r>
      <w:r>
        <w:rPr>
          <w:rFonts w:ascii="Times New Roman" w:eastAsia="Times New Roman" w:hAnsi="Times New Roman" w:cs="Times New Roman"/>
          <w:spacing w:val="-40"/>
        </w:rPr>
        <w:t xml:space="preserve"> </w:t>
      </w:r>
      <w:r>
        <w:rPr>
          <w:spacing w:val="1"/>
        </w:rPr>
        <w:t>总体目标</w:t>
      </w:r>
      <w:r>
        <w:rPr>
          <w:rFonts w:ascii="Times New Roman" w:eastAsia="Times New Roman" w:hAnsi="Times New Roman" w:cs="Times New Roman"/>
          <w:spacing w:val="1"/>
        </w:rPr>
        <w:t>”</w:t>
      </w:r>
      <w:r>
        <w:rPr>
          <w:spacing w:val="1"/>
        </w:rPr>
        <w:t>部分明</w:t>
      </w:r>
      <w:r>
        <w:t>确提出：</w:t>
      </w:r>
      <w:r>
        <w:rPr>
          <w:rFonts w:ascii="Times New Roman" w:eastAsia="Times New Roman" w:hAnsi="Times New Roman" w:cs="Times New Roman"/>
        </w:rPr>
        <w:t>“</w:t>
      </w:r>
      <w:r>
        <w:rPr>
          <w:rFonts w:ascii="Times New Roman" w:eastAsia="Times New Roman" w:hAnsi="Times New Roman" w:cs="Times New Roman"/>
          <w:spacing w:val="-28"/>
        </w:rPr>
        <w:t xml:space="preserve"> </w:t>
      </w:r>
      <w:r>
        <w:t xml:space="preserve">围 </w:t>
      </w:r>
      <w:r>
        <w:rPr>
          <w:spacing w:val="-12"/>
        </w:rPr>
        <w:t>绕排污许可及水、大气、土壤等环境管理中心工作，</w:t>
      </w:r>
      <w:r>
        <w:rPr>
          <w:spacing w:val="39"/>
        </w:rPr>
        <w:t xml:space="preserve"> </w:t>
      </w:r>
      <w:r>
        <w:rPr>
          <w:spacing w:val="-12"/>
        </w:rPr>
        <w:t>加</w:t>
      </w:r>
      <w:r>
        <w:rPr>
          <w:spacing w:val="-13"/>
        </w:rPr>
        <w:t>大在研项目推进力度，</w:t>
      </w:r>
      <w:r>
        <w:rPr>
          <w:spacing w:val="40"/>
        </w:rPr>
        <w:t xml:space="preserve"> </w:t>
      </w:r>
      <w:r>
        <w:rPr>
          <w:spacing w:val="-13"/>
        </w:rPr>
        <w:t xml:space="preserve">制 </w:t>
      </w:r>
      <w:r>
        <w:rPr>
          <w:spacing w:val="-7"/>
        </w:rPr>
        <w:t>修订一批关键标准</w:t>
      </w:r>
      <w:r>
        <w:rPr>
          <w:rFonts w:ascii="Times New Roman" w:eastAsia="Times New Roman" w:hAnsi="Times New Roman" w:cs="Times New Roman"/>
          <w:spacing w:val="-7"/>
        </w:rPr>
        <w:t>”</w:t>
      </w:r>
      <w:r>
        <w:rPr>
          <w:spacing w:val="-7"/>
        </w:rPr>
        <w:t>，针对环境监测类标准，</w:t>
      </w:r>
      <w:r>
        <w:rPr>
          <w:spacing w:val="41"/>
        </w:rPr>
        <w:t xml:space="preserve"> </w:t>
      </w:r>
      <w:r>
        <w:rPr>
          <w:spacing w:val="-7"/>
        </w:rPr>
        <w:t>要求</w:t>
      </w:r>
      <w:r>
        <w:rPr>
          <w:rFonts w:ascii="Times New Roman" w:eastAsia="Times New Roman" w:hAnsi="Times New Roman" w:cs="Times New Roman"/>
          <w:spacing w:val="-7"/>
        </w:rPr>
        <w:t>“</w:t>
      </w:r>
      <w:r>
        <w:rPr>
          <w:spacing w:val="-7"/>
        </w:rPr>
        <w:t xml:space="preserve">土壤及固体废物环境监测分析 </w:t>
      </w:r>
      <w:r>
        <w:rPr>
          <w:spacing w:val="-10"/>
        </w:rPr>
        <w:t xml:space="preserve">方法标准方面， 配套土壤环境质量标准的修订， 土壤环境调查工作以及典型污染 </w:t>
      </w:r>
      <w:r>
        <w:rPr>
          <w:spacing w:val="-6"/>
        </w:rPr>
        <w:t>场地环境风险评估工作的需求，</w:t>
      </w:r>
      <w:r>
        <w:rPr>
          <w:spacing w:val="-25"/>
        </w:rPr>
        <w:t xml:space="preserve"> </w:t>
      </w:r>
      <w:r>
        <w:rPr>
          <w:spacing w:val="-6"/>
        </w:rPr>
        <w:t>结合先进大型分析仪器和快速分析方法的</w:t>
      </w:r>
      <w:r>
        <w:rPr>
          <w:spacing w:val="-7"/>
        </w:rPr>
        <w:t xml:space="preserve">推广和 </w:t>
      </w:r>
      <w:r>
        <w:rPr>
          <w:spacing w:val="-1"/>
        </w:rPr>
        <w:t>普及使用，制修订一批涉及土壤基本理化指标以及重金属、多环芳烃、石油烃、</w:t>
      </w:r>
    </w:p>
    <w:p>
      <w:pPr>
        <w:pStyle w:val="BodyText"/>
        <w:spacing w:line="219" w:lineRule="auto"/>
        <w:ind w:left="23"/>
      </w:pPr>
      <w:r>
        <w:rPr>
          <w:spacing w:val="-1"/>
        </w:rPr>
        <w:t>农药等有毒有害污染物的监测分析方法标准</w:t>
      </w:r>
      <w:r>
        <w:rPr>
          <w:rFonts w:ascii="Times New Roman" w:eastAsia="Times New Roman" w:hAnsi="Times New Roman" w:cs="Times New Roman"/>
          <w:spacing w:val="-1"/>
        </w:rPr>
        <w:t>”</w:t>
      </w:r>
      <w:r>
        <w:rPr>
          <w:spacing w:val="-1"/>
        </w:rPr>
        <w:t>。</w:t>
      </w:r>
    </w:p>
    <w:p>
      <w:pPr>
        <w:pStyle w:val="BodyText"/>
        <w:spacing w:before="183" w:line="360" w:lineRule="auto"/>
        <w:ind w:left="23" w:firstLine="482"/>
      </w:pPr>
      <w:r>
        <w:rPr>
          <w:spacing w:val="-9"/>
        </w:rPr>
        <w:t>为更好的监测土壤及沉积物中的重金属污染物</w:t>
      </w:r>
      <w:r>
        <w:rPr>
          <w:spacing w:val="-10"/>
        </w:rPr>
        <w:t>，</w:t>
      </w:r>
      <w:r>
        <w:rPr>
          <w:spacing w:val="-43"/>
        </w:rPr>
        <w:t xml:space="preserve"> </w:t>
      </w:r>
      <w:r>
        <w:rPr>
          <w:spacing w:val="-10"/>
        </w:rPr>
        <w:t>生态环境部（原环境保护部）</w:t>
      </w:r>
      <w:r>
        <w:t xml:space="preserve"> </w:t>
      </w:r>
      <w:r>
        <w:rPr>
          <w:spacing w:val="-12"/>
        </w:rPr>
        <w:t>颁布了一系列监测标准，</w:t>
      </w:r>
      <w:r>
        <w:rPr>
          <w:spacing w:val="43"/>
        </w:rPr>
        <w:t xml:space="preserve"> </w:t>
      </w:r>
      <w:r>
        <w:rPr>
          <w:spacing w:val="-12"/>
        </w:rPr>
        <w:t>用于指导日常监测工作。在现行标准中，</w:t>
      </w:r>
      <w:r>
        <w:rPr>
          <w:spacing w:val="35"/>
        </w:rPr>
        <w:t xml:space="preserve"> </w:t>
      </w:r>
      <w:r>
        <w:rPr>
          <w:spacing w:val="-12"/>
        </w:rPr>
        <w:t>大部分标准的</w:t>
      </w:r>
    </w:p>
    <w:p>
      <w:pPr>
        <w:pStyle w:val="BodyText"/>
        <w:spacing w:before="1" w:line="218" w:lineRule="auto"/>
        <w:ind w:left="23"/>
      </w:pPr>
      <w:r>
        <w:rPr>
          <w:spacing w:val="-2"/>
        </w:rPr>
        <w:t>检测方法是基于大型分析仪器的检测方法。现将部分现行标准列举如下：</w:t>
      </w:r>
    </w:p>
    <w:p>
      <w:pPr>
        <w:pStyle w:val="BodyText"/>
        <w:spacing w:before="184" w:line="468" w:lineRule="exact"/>
        <w:ind w:left="522"/>
        <w:rPr>
          <w:rFonts w:ascii="Times New Roman" w:eastAsia="Times New Roman" w:hAnsi="Times New Roman" w:cs="Times New Roman"/>
        </w:rPr>
      </w:pPr>
      <w:r>
        <w:rPr>
          <w:rFonts w:ascii="Times New Roman" w:eastAsia="Times New Roman" w:hAnsi="Times New Roman" w:cs="Times New Roman"/>
          <w:spacing w:val="-11"/>
          <w:position w:val="16"/>
        </w:rPr>
        <w:t>1</w:t>
      </w:r>
      <w:r>
        <w:rPr>
          <w:spacing w:val="-11"/>
          <w:position w:val="16"/>
        </w:rPr>
        <w:t>）</w:t>
      </w:r>
      <w:r>
        <w:rPr>
          <w:spacing w:val="-48"/>
          <w:position w:val="16"/>
        </w:rPr>
        <w:t xml:space="preserve"> </w:t>
      </w:r>
      <w:r>
        <w:rPr>
          <w:spacing w:val="-11"/>
          <w:position w:val="16"/>
        </w:rPr>
        <w:t>《土壤和沉积物 汞、砷、硒、铋、锑的测定 微波消解</w:t>
      </w:r>
      <w:r>
        <w:rPr>
          <w:rFonts w:ascii="Times New Roman" w:eastAsia="Times New Roman" w:hAnsi="Times New Roman" w:cs="Times New Roman"/>
          <w:spacing w:val="-11"/>
          <w:position w:val="16"/>
        </w:rPr>
        <w:t>/</w:t>
      </w:r>
      <w:r>
        <w:rPr>
          <w:spacing w:val="-11"/>
          <w:position w:val="16"/>
        </w:rPr>
        <w:t>原子荧光法》（</w:t>
      </w:r>
      <w:r>
        <w:rPr>
          <w:rFonts w:ascii="Times New Roman" w:eastAsia="Times New Roman" w:hAnsi="Times New Roman" w:cs="Times New Roman"/>
          <w:spacing w:val="-11"/>
          <w:position w:val="16"/>
        </w:rPr>
        <w:t>HJ</w:t>
      </w:r>
    </w:p>
    <w:p>
      <w:pPr>
        <w:pStyle w:val="BodyText"/>
        <w:spacing w:before="1" w:line="231" w:lineRule="auto"/>
        <w:ind w:left="24"/>
        <w:sectPr>
          <w:footerReference w:type="default" r:id="rId8"/>
          <w:pgSz w:w="11907" w:h="16839"/>
          <w:pgMar w:top="1428" w:right="1695" w:bottom="1357" w:left="1785" w:header="0" w:footer="1197" w:gutter="0"/>
          <w:pgNumType w:start="5"/>
          <w:cols w:space="708"/>
        </w:sectPr>
      </w:pPr>
      <w:r>
        <w:rPr>
          <w:rFonts w:ascii="Times New Roman" w:eastAsia="Times New Roman" w:hAnsi="Times New Roman" w:cs="Times New Roman"/>
          <w:spacing w:val="-2"/>
        </w:rPr>
        <w:t>680-2013</w:t>
      </w:r>
      <w:r>
        <w:rPr>
          <w:spacing w:val="-2"/>
        </w:rPr>
        <w:t>）</w:t>
      </w:r>
    </w:p>
    <w:p>
      <w:pPr>
        <w:pStyle w:val="BodyText"/>
        <w:spacing w:before="167" w:line="468" w:lineRule="exact"/>
        <w:ind w:left="499"/>
        <w:rPr>
          <w:rFonts w:ascii="Times New Roman" w:eastAsia="Times New Roman" w:hAnsi="Times New Roman" w:cs="Times New Roman"/>
        </w:rPr>
      </w:pPr>
      <w:r>
        <w:rPr>
          <w:rFonts w:ascii="Times New Roman" w:eastAsia="Times New Roman" w:hAnsi="Times New Roman" w:cs="Times New Roman"/>
          <w:position w:val="17"/>
        </w:rPr>
        <w:t>2</w:t>
      </w:r>
      <w:r>
        <w:rPr>
          <w:position w:val="17"/>
        </w:rPr>
        <w:t>）《土壤质量 总砷的测定 硼氢化钾</w:t>
      </w:r>
      <w:r>
        <w:rPr>
          <w:rFonts w:ascii="Times New Roman" w:eastAsia="Times New Roman" w:hAnsi="Times New Roman" w:cs="Times New Roman"/>
          <w:position w:val="17"/>
        </w:rPr>
        <w:t>-</w:t>
      </w:r>
      <w:r>
        <w:rPr>
          <w:position w:val="17"/>
        </w:rPr>
        <w:t>硝酸银分光光度法》</w:t>
      </w:r>
      <w:r>
        <w:rPr>
          <w:spacing w:val="-1"/>
          <w:position w:val="17"/>
        </w:rPr>
        <w:t xml:space="preserve"> （</w:t>
      </w:r>
      <w:r>
        <w:rPr>
          <w:rFonts w:ascii="Times New Roman" w:eastAsia="Times New Roman" w:hAnsi="Times New Roman" w:cs="Times New Roman"/>
          <w:spacing w:val="-1"/>
          <w:position w:val="17"/>
        </w:rPr>
        <w:t>GB/T</w:t>
      </w:r>
    </w:p>
    <w:p>
      <w:pPr>
        <w:pStyle w:val="BodyText"/>
        <w:spacing w:before="1" w:line="231" w:lineRule="auto"/>
        <w:ind w:left="42"/>
      </w:pPr>
      <w:r>
        <w:rPr>
          <w:rFonts w:ascii="Times New Roman" w:eastAsia="Times New Roman" w:hAnsi="Times New Roman" w:cs="Times New Roman"/>
          <w:spacing w:val="-6"/>
        </w:rPr>
        <w:t>17135-</w:t>
      </w:r>
      <w:r>
        <w:rPr>
          <w:rFonts w:ascii="Times New Roman" w:eastAsia="Times New Roman" w:hAnsi="Times New Roman" w:cs="Times New Roman"/>
          <w:spacing w:val="-24"/>
        </w:rPr>
        <w:t xml:space="preserve"> </w:t>
      </w:r>
      <w:r>
        <w:rPr>
          <w:rFonts w:ascii="Times New Roman" w:eastAsia="Times New Roman" w:hAnsi="Times New Roman" w:cs="Times New Roman"/>
          <w:spacing w:val="-6"/>
        </w:rPr>
        <w:t>1997</w:t>
      </w:r>
      <w:r>
        <w:rPr>
          <w:spacing w:val="-6"/>
        </w:rPr>
        <w:t>）</w:t>
      </w:r>
    </w:p>
    <w:p>
      <w:pPr>
        <w:pStyle w:val="BodyText"/>
        <w:spacing w:before="166" w:line="469" w:lineRule="exact"/>
        <w:ind w:left="504"/>
      </w:pPr>
      <w:r>
        <w:rPr>
          <w:rFonts w:ascii="Times New Roman" w:eastAsia="Times New Roman" w:hAnsi="Times New Roman" w:cs="Times New Roman"/>
          <w:spacing w:val="-1"/>
          <w:position w:val="17"/>
        </w:rPr>
        <w:t>3</w:t>
      </w:r>
      <w:r>
        <w:rPr>
          <w:spacing w:val="-1"/>
          <w:position w:val="17"/>
        </w:rPr>
        <w:t xml:space="preserve">）《土壤质量 铅、镉的测定 </w:t>
      </w:r>
      <w:r>
        <w:rPr>
          <w:rFonts w:ascii="Times New Roman" w:eastAsia="Times New Roman" w:hAnsi="Times New Roman" w:cs="Times New Roman"/>
          <w:spacing w:val="-1"/>
          <w:position w:val="17"/>
        </w:rPr>
        <w:t xml:space="preserve">KI-MIBK </w:t>
      </w:r>
      <w:r>
        <w:rPr>
          <w:spacing w:val="-1"/>
          <w:position w:val="17"/>
        </w:rPr>
        <w:t>萃取火焰原子吸收分光光度法》</w:t>
      </w:r>
    </w:p>
    <w:p>
      <w:pPr>
        <w:pStyle w:val="BodyText"/>
        <w:spacing w:before="1" w:line="231" w:lineRule="auto"/>
        <w:ind w:left="30"/>
      </w:pPr>
      <w:r>
        <w:rPr>
          <w:spacing w:val="-5"/>
        </w:rPr>
        <w:t>（</w:t>
      </w:r>
      <w:r>
        <w:rPr>
          <w:rFonts w:ascii="Times New Roman" w:eastAsia="Times New Roman" w:hAnsi="Times New Roman" w:cs="Times New Roman"/>
          <w:spacing w:val="-5"/>
        </w:rPr>
        <w:t>GB/T</w:t>
      </w:r>
      <w:r>
        <w:rPr>
          <w:rFonts w:ascii="Times New Roman" w:eastAsia="Times New Roman" w:hAnsi="Times New Roman" w:cs="Times New Roman"/>
          <w:spacing w:val="28"/>
        </w:rPr>
        <w:t xml:space="preserve"> </w:t>
      </w:r>
      <w:r>
        <w:rPr>
          <w:rFonts w:ascii="Times New Roman" w:eastAsia="Times New Roman" w:hAnsi="Times New Roman" w:cs="Times New Roman"/>
          <w:spacing w:val="-5"/>
        </w:rPr>
        <w:t>17140-</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1997</w:t>
      </w:r>
      <w:r>
        <w:rPr>
          <w:spacing w:val="-5"/>
        </w:rPr>
        <w:t>）</w:t>
      </w:r>
    </w:p>
    <w:p>
      <w:pPr>
        <w:spacing w:line="231" w:lineRule="auto"/>
        <w:sectPr>
          <w:footerReference w:type="default" r:id="rId9"/>
          <w:type w:val="nextPage"/>
          <w:pgSz w:w="11907" w:h="16839"/>
          <w:pgMar w:top="1428" w:right="1695" w:bottom="1357" w:left="1785" w:header="0" w:footer="1197" w:gutter="0"/>
          <w:pgNumType w:start="6"/>
          <w:cols w:space="708"/>
          <w:titlePg w:val="0"/>
        </w:sectPr>
      </w:pPr>
    </w:p>
    <w:p>
      <w:pPr>
        <w:pStyle w:val="BodyText"/>
        <w:spacing w:before="123" w:line="220" w:lineRule="auto"/>
        <w:jc w:val="right"/>
      </w:pPr>
      <w:r>
        <w:rPr>
          <w:rFonts w:ascii="Times New Roman" w:eastAsia="Times New Roman" w:hAnsi="Times New Roman" w:cs="Times New Roman"/>
          <w:spacing w:val="-9"/>
        </w:rPr>
        <w:t>4</w:t>
      </w:r>
      <w:r>
        <w:rPr>
          <w:spacing w:val="-9"/>
        </w:rPr>
        <w:t>）《土壤质量 铜、锌的测定 火焰原子吸收分光光度法》（</w:t>
      </w:r>
      <w:r>
        <w:rPr>
          <w:rFonts w:ascii="Times New Roman" w:eastAsia="Times New Roman" w:hAnsi="Times New Roman" w:cs="Times New Roman"/>
          <w:spacing w:val="-9"/>
        </w:rPr>
        <w:t>GB/T</w:t>
      </w:r>
      <w:r>
        <w:rPr>
          <w:rFonts w:ascii="Times New Roman" w:eastAsia="Times New Roman" w:hAnsi="Times New Roman" w:cs="Times New Roman"/>
          <w:spacing w:val="40"/>
        </w:rPr>
        <w:t xml:space="preserve"> </w:t>
      </w:r>
      <w:r>
        <w:rPr>
          <w:rFonts w:ascii="Times New Roman" w:eastAsia="Times New Roman" w:hAnsi="Times New Roman" w:cs="Times New Roman"/>
          <w:spacing w:val="-9"/>
        </w:rPr>
        <w:t>17138-</w:t>
      </w:r>
      <w:r>
        <w:rPr>
          <w:rFonts w:ascii="Times New Roman" w:eastAsia="Times New Roman" w:hAnsi="Times New Roman" w:cs="Times New Roman"/>
          <w:spacing w:val="-33"/>
        </w:rPr>
        <w:t xml:space="preserve"> </w:t>
      </w:r>
      <w:r>
        <w:rPr>
          <w:rFonts w:ascii="Times New Roman" w:eastAsia="Times New Roman" w:hAnsi="Times New Roman" w:cs="Times New Roman"/>
          <w:spacing w:val="-9"/>
        </w:rPr>
        <w:t>1997</w:t>
      </w:r>
      <w:r>
        <w:rPr>
          <w:spacing w:val="-9"/>
        </w:rPr>
        <w:t>）</w:t>
      </w:r>
    </w:p>
    <w:p>
      <w:pPr>
        <w:pStyle w:val="BodyText"/>
        <w:spacing w:before="181" w:line="220" w:lineRule="auto"/>
        <w:ind w:left="505"/>
      </w:pPr>
      <w:r>
        <w:rPr>
          <w:rFonts w:ascii="Times New Roman" w:eastAsia="Times New Roman" w:hAnsi="Times New Roman" w:cs="Times New Roman"/>
        </w:rPr>
        <w:t>5</w:t>
      </w:r>
      <w:r>
        <w:t>）《土壤质量 镍的测定 火焰原子吸收分光光度法》（</w:t>
      </w:r>
      <w:r>
        <w:rPr>
          <w:rFonts w:ascii="Times New Roman" w:eastAsia="Times New Roman" w:hAnsi="Times New Roman" w:cs="Times New Roman"/>
        </w:rPr>
        <w:t>G</w:t>
      </w:r>
      <w:r>
        <w:rPr>
          <w:rFonts w:ascii="Times New Roman" w:eastAsia="Times New Roman" w:hAnsi="Times New Roman" w:cs="Times New Roman"/>
          <w:spacing w:val="-1"/>
        </w:rPr>
        <w:t>B/T</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17139-</w:t>
      </w:r>
      <w:r>
        <w:rPr>
          <w:rFonts w:ascii="Times New Roman" w:eastAsia="Times New Roman" w:hAnsi="Times New Roman" w:cs="Times New Roman"/>
          <w:spacing w:val="-30"/>
        </w:rPr>
        <w:t xml:space="preserve"> </w:t>
      </w:r>
      <w:r>
        <w:rPr>
          <w:rFonts w:ascii="Times New Roman" w:eastAsia="Times New Roman" w:hAnsi="Times New Roman" w:cs="Times New Roman"/>
          <w:spacing w:val="-1"/>
        </w:rPr>
        <w:t>1997</w:t>
      </w:r>
      <w:r>
        <w:rPr>
          <w:spacing w:val="-1"/>
        </w:rPr>
        <w:t>）</w:t>
      </w:r>
    </w:p>
    <w:p>
      <w:pPr>
        <w:pStyle w:val="BodyText"/>
        <w:spacing w:before="182" w:line="468" w:lineRule="exact"/>
        <w:ind w:left="504"/>
        <w:rPr>
          <w:rFonts w:ascii="Times New Roman" w:eastAsia="Times New Roman" w:hAnsi="Times New Roman" w:cs="Times New Roman"/>
        </w:rPr>
      </w:pPr>
      <w:r>
        <w:rPr>
          <w:rFonts w:ascii="Times New Roman" w:eastAsia="Times New Roman" w:hAnsi="Times New Roman" w:cs="Times New Roman"/>
          <w:spacing w:val="-5"/>
          <w:position w:val="17"/>
        </w:rPr>
        <w:t>6</w:t>
      </w:r>
      <w:r>
        <w:rPr>
          <w:spacing w:val="-5"/>
          <w:position w:val="17"/>
        </w:rPr>
        <w:t>） 《土壤质量 总砷的测定 二乙基二硫代氨基甲酸银分光光度法》（</w:t>
      </w:r>
      <w:r>
        <w:rPr>
          <w:rFonts w:ascii="Times New Roman" w:eastAsia="Times New Roman" w:hAnsi="Times New Roman" w:cs="Times New Roman"/>
          <w:spacing w:val="-5"/>
          <w:position w:val="17"/>
        </w:rPr>
        <w:t>GB/T</w:t>
      </w:r>
    </w:p>
    <w:p>
      <w:pPr>
        <w:pStyle w:val="BodyText"/>
        <w:spacing w:before="1" w:line="231" w:lineRule="auto"/>
        <w:ind w:left="42"/>
      </w:pPr>
      <w:r>
        <w:rPr>
          <w:rFonts w:ascii="Times New Roman" w:eastAsia="Times New Roman" w:hAnsi="Times New Roman" w:cs="Times New Roman"/>
          <w:spacing w:val="-6"/>
        </w:rPr>
        <w:t>17134-</w:t>
      </w:r>
      <w:r>
        <w:rPr>
          <w:rFonts w:ascii="Times New Roman" w:eastAsia="Times New Roman" w:hAnsi="Times New Roman" w:cs="Times New Roman"/>
          <w:spacing w:val="-24"/>
        </w:rPr>
        <w:t xml:space="preserve"> </w:t>
      </w:r>
      <w:r>
        <w:rPr>
          <w:rFonts w:ascii="Times New Roman" w:eastAsia="Times New Roman" w:hAnsi="Times New Roman" w:cs="Times New Roman"/>
          <w:spacing w:val="-6"/>
        </w:rPr>
        <w:t>1997</w:t>
      </w:r>
      <w:r>
        <w:rPr>
          <w:spacing w:val="-6"/>
        </w:rPr>
        <w:t>）</w:t>
      </w:r>
    </w:p>
    <w:p>
      <w:pPr>
        <w:pStyle w:val="BodyText"/>
        <w:spacing w:before="166" w:line="220" w:lineRule="auto"/>
        <w:ind w:left="503"/>
      </w:pPr>
      <w:r>
        <w:rPr>
          <w:rFonts w:ascii="Times New Roman" w:eastAsia="Times New Roman" w:hAnsi="Times New Roman" w:cs="Times New Roman"/>
        </w:rPr>
        <w:t>7</w:t>
      </w:r>
      <w:r>
        <w:t>）《土壤质量 总汞的测定 冷原子吸收分光光度法》（</w:t>
      </w:r>
      <w:r>
        <w:rPr>
          <w:rFonts w:ascii="Times New Roman" w:eastAsia="Times New Roman" w:hAnsi="Times New Roman" w:cs="Times New Roman"/>
        </w:rPr>
        <w:t>GB/T</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1"/>
        </w:rPr>
        <w:t>17136-</w:t>
      </w:r>
      <w:r>
        <w:rPr>
          <w:rFonts w:ascii="Times New Roman" w:eastAsia="Times New Roman" w:hAnsi="Times New Roman" w:cs="Times New Roman"/>
          <w:spacing w:val="-30"/>
        </w:rPr>
        <w:t xml:space="preserve"> </w:t>
      </w:r>
      <w:r>
        <w:rPr>
          <w:rFonts w:ascii="Times New Roman" w:eastAsia="Times New Roman" w:hAnsi="Times New Roman" w:cs="Times New Roman"/>
          <w:spacing w:val="-1"/>
        </w:rPr>
        <w:t>1997</w:t>
      </w:r>
      <w:r>
        <w:rPr>
          <w:spacing w:val="-1"/>
        </w:rPr>
        <w:t>）</w:t>
      </w:r>
    </w:p>
    <w:p>
      <w:pPr>
        <w:pStyle w:val="BodyText"/>
        <w:spacing w:before="183" w:line="468" w:lineRule="exact"/>
        <w:ind w:left="509"/>
        <w:rPr>
          <w:rFonts w:ascii="Times New Roman" w:eastAsia="Times New Roman" w:hAnsi="Times New Roman" w:cs="Times New Roman"/>
        </w:rPr>
      </w:pPr>
      <w:r>
        <w:rPr>
          <w:rFonts w:ascii="Times New Roman" w:eastAsia="Times New Roman" w:hAnsi="Times New Roman" w:cs="Times New Roman"/>
          <w:spacing w:val="-4"/>
          <w:position w:val="17"/>
        </w:rPr>
        <w:t>8</w:t>
      </w:r>
      <w:r>
        <w:rPr>
          <w:spacing w:val="-4"/>
          <w:position w:val="17"/>
        </w:rPr>
        <w:t>）《土壤质量 铅、镉的测定 石墨炉原子吸收分光光度法》  （</w:t>
      </w:r>
      <w:r>
        <w:rPr>
          <w:rFonts w:ascii="Times New Roman" w:eastAsia="Times New Roman" w:hAnsi="Times New Roman" w:cs="Times New Roman"/>
          <w:spacing w:val="-4"/>
          <w:position w:val="17"/>
        </w:rPr>
        <w:t>GB/T</w:t>
      </w:r>
    </w:p>
    <w:p>
      <w:pPr>
        <w:pStyle w:val="BodyText"/>
        <w:spacing w:before="1" w:line="231" w:lineRule="auto"/>
        <w:ind w:left="42"/>
      </w:pPr>
      <w:r>
        <w:rPr>
          <w:rFonts w:ascii="Times New Roman" w:eastAsia="Times New Roman" w:hAnsi="Times New Roman" w:cs="Times New Roman"/>
          <w:spacing w:val="-6"/>
        </w:rPr>
        <w:t>17141-</w:t>
      </w:r>
      <w:r>
        <w:rPr>
          <w:rFonts w:ascii="Times New Roman" w:eastAsia="Times New Roman" w:hAnsi="Times New Roman" w:cs="Times New Roman"/>
          <w:spacing w:val="-24"/>
        </w:rPr>
        <w:t xml:space="preserve"> </w:t>
      </w:r>
      <w:r>
        <w:rPr>
          <w:rFonts w:ascii="Times New Roman" w:eastAsia="Times New Roman" w:hAnsi="Times New Roman" w:cs="Times New Roman"/>
          <w:spacing w:val="-6"/>
        </w:rPr>
        <w:t>1997</w:t>
      </w:r>
      <w:r>
        <w:rPr>
          <w:spacing w:val="-6"/>
        </w:rPr>
        <w:t>）</w:t>
      </w:r>
    </w:p>
    <w:p>
      <w:pPr>
        <w:pStyle w:val="BodyText"/>
        <w:spacing w:before="167" w:line="468" w:lineRule="exact"/>
        <w:ind w:left="504"/>
        <w:rPr>
          <w:rFonts w:ascii="Times New Roman" w:eastAsia="Times New Roman" w:hAnsi="Times New Roman" w:cs="Times New Roman"/>
        </w:rPr>
      </w:pPr>
      <w:r>
        <w:rPr>
          <w:rFonts w:ascii="Times New Roman" w:eastAsia="Times New Roman" w:hAnsi="Times New Roman" w:cs="Times New Roman"/>
          <w:position w:val="17"/>
        </w:rPr>
        <w:t>9</w:t>
      </w:r>
      <w:r>
        <w:rPr>
          <w:position w:val="17"/>
        </w:rPr>
        <w:t>）《土壤和沉积物 无机元素的测定 波长色散</w:t>
      </w:r>
      <w:r>
        <w:rPr>
          <w:spacing w:val="-58"/>
          <w:position w:val="17"/>
        </w:rPr>
        <w:t xml:space="preserve"> </w:t>
      </w:r>
      <w:r>
        <w:rPr>
          <w:rFonts w:ascii="Times New Roman" w:eastAsia="Times New Roman" w:hAnsi="Times New Roman" w:cs="Times New Roman"/>
          <w:position w:val="17"/>
        </w:rPr>
        <w:t>X</w:t>
      </w:r>
      <w:r>
        <w:rPr>
          <w:rFonts w:ascii="Times New Roman" w:eastAsia="Times New Roman" w:hAnsi="Times New Roman" w:cs="Times New Roman"/>
          <w:spacing w:val="-1"/>
          <w:position w:val="17"/>
        </w:rPr>
        <w:t xml:space="preserve"> </w:t>
      </w:r>
      <w:r>
        <w:rPr>
          <w:spacing w:val="-1"/>
          <w:position w:val="17"/>
        </w:rPr>
        <w:t>射线荧光光谱法》（</w:t>
      </w:r>
      <w:r>
        <w:rPr>
          <w:rFonts w:ascii="Times New Roman" w:eastAsia="Times New Roman" w:hAnsi="Times New Roman" w:cs="Times New Roman"/>
          <w:spacing w:val="-1"/>
          <w:position w:val="17"/>
        </w:rPr>
        <w:t>HJ</w:t>
      </w:r>
    </w:p>
    <w:p>
      <w:pPr>
        <w:pStyle w:val="BodyText"/>
        <w:spacing w:before="1" w:line="231" w:lineRule="auto"/>
        <w:ind w:left="23"/>
      </w:pPr>
      <w:r>
        <w:rPr>
          <w:rFonts w:ascii="Times New Roman" w:eastAsia="Times New Roman" w:hAnsi="Times New Roman" w:cs="Times New Roman"/>
          <w:spacing w:val="-2"/>
        </w:rPr>
        <w:t>780-2015</w:t>
      </w:r>
      <w:r>
        <w:rPr>
          <w:spacing w:val="-2"/>
        </w:rPr>
        <w:t>）</w:t>
      </w:r>
    </w:p>
    <w:p>
      <w:pPr>
        <w:pStyle w:val="BodyText"/>
        <w:spacing w:before="167" w:line="468" w:lineRule="exact"/>
        <w:ind w:left="522"/>
      </w:pPr>
      <w:r>
        <w:rPr>
          <w:rFonts w:ascii="Times New Roman" w:eastAsia="Times New Roman" w:hAnsi="Times New Roman" w:cs="Times New Roman"/>
          <w:spacing w:val="-7"/>
          <w:position w:val="17"/>
        </w:rPr>
        <w:t>10</w:t>
      </w:r>
      <w:r>
        <w:rPr>
          <w:spacing w:val="-7"/>
          <w:position w:val="17"/>
        </w:rPr>
        <w:t>）</w:t>
      </w:r>
      <w:r>
        <w:rPr>
          <w:spacing w:val="-33"/>
          <w:position w:val="17"/>
        </w:rPr>
        <w:t xml:space="preserve"> </w:t>
      </w:r>
      <w:r>
        <w:rPr>
          <w:spacing w:val="-7"/>
          <w:position w:val="17"/>
        </w:rPr>
        <w:t xml:space="preserve">《土壤和沉积物 </w:t>
      </w:r>
      <w:r>
        <w:rPr>
          <w:rFonts w:ascii="Times New Roman" w:eastAsia="Times New Roman" w:hAnsi="Times New Roman" w:cs="Times New Roman"/>
          <w:spacing w:val="-7"/>
          <w:position w:val="17"/>
        </w:rPr>
        <w:t xml:space="preserve">11 </w:t>
      </w:r>
      <w:r>
        <w:rPr>
          <w:spacing w:val="-7"/>
          <w:position w:val="17"/>
        </w:rPr>
        <w:t>种元素的测定碱熔</w:t>
      </w:r>
      <w:r>
        <w:rPr>
          <w:rFonts w:ascii="Times New Roman" w:eastAsia="Times New Roman" w:hAnsi="Times New Roman" w:cs="Times New Roman"/>
          <w:spacing w:val="-7"/>
          <w:position w:val="17"/>
        </w:rPr>
        <w:t>-</w:t>
      </w:r>
      <w:r>
        <w:rPr>
          <w:rFonts w:ascii="Times New Roman" w:eastAsia="Times New Roman" w:hAnsi="Times New Roman" w:cs="Times New Roman"/>
          <w:spacing w:val="-23"/>
          <w:position w:val="17"/>
        </w:rPr>
        <w:t xml:space="preserve"> </w:t>
      </w:r>
      <w:r>
        <w:rPr>
          <w:spacing w:val="-7"/>
          <w:position w:val="17"/>
        </w:rPr>
        <w:t>电</w:t>
      </w:r>
      <w:r>
        <w:rPr>
          <w:spacing w:val="-8"/>
          <w:position w:val="17"/>
        </w:rPr>
        <w:t>感耦合等离子体发射光谱法》</w:t>
      </w:r>
    </w:p>
    <w:p>
      <w:pPr>
        <w:pStyle w:val="BodyText"/>
        <w:spacing w:before="1" w:line="231" w:lineRule="auto"/>
        <w:ind w:left="30"/>
      </w:pPr>
      <w:r>
        <w:rPr>
          <w:spacing w:val="-2"/>
        </w:rPr>
        <w:t>（</w:t>
      </w:r>
      <w:r>
        <w:rPr>
          <w:rFonts w:ascii="Times New Roman" w:eastAsia="Times New Roman" w:hAnsi="Times New Roman" w:cs="Times New Roman"/>
          <w:spacing w:val="-2"/>
        </w:rPr>
        <w:t>HJ974-2018</w:t>
      </w:r>
      <w:r>
        <w:rPr>
          <w:spacing w:val="-2"/>
        </w:rPr>
        <w:t>）</w:t>
      </w:r>
    </w:p>
    <w:p>
      <w:pPr>
        <w:pStyle w:val="BodyText"/>
        <w:spacing w:before="166" w:line="220" w:lineRule="auto"/>
        <w:ind w:left="522"/>
      </w:pPr>
      <w:r>
        <w:rPr>
          <w:rFonts w:ascii="Times New Roman" w:eastAsia="Times New Roman" w:hAnsi="Times New Roman" w:cs="Times New Roman"/>
          <w:spacing w:val="-1"/>
        </w:rPr>
        <w:t>11</w:t>
      </w:r>
      <w:r>
        <w:rPr>
          <w:spacing w:val="-1"/>
        </w:rPr>
        <w:t>）《土壤和沉积物 金属元素总量的消解 微波消解</w:t>
      </w:r>
      <w:r>
        <w:rPr>
          <w:spacing w:val="-2"/>
        </w:rPr>
        <w:t>法》（</w:t>
      </w:r>
      <w:r>
        <w:rPr>
          <w:rFonts w:ascii="Times New Roman" w:eastAsia="Times New Roman" w:hAnsi="Times New Roman" w:cs="Times New Roman"/>
          <w:spacing w:val="-2"/>
        </w:rPr>
        <w:t>HJ</w:t>
      </w:r>
      <w:r>
        <w:rPr>
          <w:rFonts w:ascii="Times New Roman" w:eastAsia="Times New Roman" w:hAnsi="Times New Roman" w:cs="Times New Roman"/>
          <w:spacing w:val="17"/>
        </w:rPr>
        <w:t xml:space="preserve"> </w:t>
      </w:r>
      <w:r>
        <w:rPr>
          <w:rFonts w:ascii="Times New Roman" w:eastAsia="Times New Roman" w:hAnsi="Times New Roman" w:cs="Times New Roman"/>
          <w:spacing w:val="-2"/>
        </w:rPr>
        <w:t>832-2017</w:t>
      </w:r>
      <w:r>
        <w:rPr>
          <w:spacing w:val="-2"/>
        </w:rPr>
        <w:t>）</w:t>
      </w:r>
    </w:p>
    <w:p>
      <w:pPr>
        <w:pStyle w:val="BodyText"/>
        <w:spacing w:before="182" w:line="220" w:lineRule="auto"/>
        <w:jc w:val="right"/>
      </w:pPr>
      <w:r>
        <w:rPr>
          <w:rFonts w:ascii="Times New Roman" w:eastAsia="Times New Roman" w:hAnsi="Times New Roman" w:cs="Times New Roman"/>
          <w:spacing w:val="-9"/>
        </w:rPr>
        <w:t>12</w:t>
      </w:r>
      <w:r>
        <w:rPr>
          <w:spacing w:val="-9"/>
        </w:rPr>
        <w:t>）《土壤和沉积物 铊的测定 石墨炉原子吸收分光光度法</w:t>
      </w:r>
      <w:r>
        <w:rPr>
          <w:spacing w:val="-10"/>
        </w:rPr>
        <w:t>》</w:t>
      </w:r>
      <w:r>
        <w:rPr>
          <w:spacing w:val="-62"/>
        </w:rPr>
        <w:t xml:space="preserve"> </w:t>
      </w:r>
      <w:r>
        <w:rPr>
          <w:spacing w:val="-10"/>
        </w:rPr>
        <w:t>（</w:t>
      </w:r>
      <w:r>
        <w:rPr>
          <w:rFonts w:ascii="Times New Roman" w:eastAsia="Times New Roman" w:hAnsi="Times New Roman" w:cs="Times New Roman"/>
          <w:spacing w:val="-10"/>
        </w:rPr>
        <w:t>HJ</w:t>
      </w:r>
      <w:r>
        <w:rPr>
          <w:rFonts w:ascii="Times New Roman" w:eastAsia="Times New Roman" w:hAnsi="Times New Roman" w:cs="Times New Roman"/>
          <w:spacing w:val="30"/>
        </w:rPr>
        <w:t xml:space="preserve"> </w:t>
      </w:r>
      <w:r>
        <w:rPr>
          <w:rFonts w:ascii="Times New Roman" w:eastAsia="Times New Roman" w:hAnsi="Times New Roman" w:cs="Times New Roman"/>
          <w:spacing w:val="-10"/>
        </w:rPr>
        <w:t>1080-2019</w:t>
      </w:r>
      <w:r>
        <w:rPr>
          <w:spacing w:val="-10"/>
        </w:rPr>
        <w:t>）</w:t>
      </w:r>
    </w:p>
    <w:p>
      <w:pPr>
        <w:pStyle w:val="BodyText"/>
        <w:spacing w:before="182" w:line="220" w:lineRule="auto"/>
        <w:ind w:left="522"/>
      </w:pPr>
      <w:r>
        <w:rPr>
          <w:rFonts w:ascii="Times New Roman" w:eastAsia="Times New Roman" w:hAnsi="Times New Roman" w:cs="Times New Roman"/>
          <w:spacing w:val="-1"/>
        </w:rPr>
        <w:t>13</w:t>
      </w:r>
      <w:r>
        <w:rPr>
          <w:spacing w:val="-1"/>
        </w:rPr>
        <w:t>）《土壤和沉积物 钴的测定 原子吸收分</w:t>
      </w:r>
      <w:r>
        <w:rPr>
          <w:spacing w:val="-2"/>
        </w:rPr>
        <w:t>光光度法》（</w:t>
      </w:r>
      <w:r>
        <w:rPr>
          <w:rFonts w:ascii="Times New Roman" w:eastAsia="Times New Roman" w:hAnsi="Times New Roman" w:cs="Times New Roman"/>
          <w:spacing w:val="-2"/>
        </w:rPr>
        <w:t>HJ</w:t>
      </w:r>
      <w:r>
        <w:rPr>
          <w:rFonts w:ascii="Times New Roman" w:eastAsia="Times New Roman" w:hAnsi="Times New Roman" w:cs="Times New Roman"/>
          <w:spacing w:val="30"/>
          <w:w w:val="101"/>
        </w:rPr>
        <w:t xml:space="preserve"> </w:t>
      </w:r>
      <w:r>
        <w:rPr>
          <w:rFonts w:ascii="Times New Roman" w:eastAsia="Times New Roman" w:hAnsi="Times New Roman" w:cs="Times New Roman"/>
          <w:spacing w:val="-2"/>
        </w:rPr>
        <w:t>1081-2019</w:t>
      </w:r>
      <w:r>
        <w:rPr>
          <w:spacing w:val="-2"/>
        </w:rPr>
        <w:t>）</w:t>
      </w:r>
    </w:p>
    <w:p>
      <w:pPr>
        <w:pStyle w:val="BodyText"/>
        <w:spacing w:before="183" w:line="468" w:lineRule="exact"/>
        <w:ind w:left="522"/>
      </w:pPr>
      <w:r>
        <w:rPr>
          <w:rFonts w:ascii="Times New Roman" w:eastAsia="Times New Roman" w:hAnsi="Times New Roman" w:cs="Times New Roman"/>
          <w:spacing w:val="-6"/>
          <w:position w:val="17"/>
        </w:rPr>
        <w:t>14</w:t>
      </w:r>
      <w:r>
        <w:rPr>
          <w:spacing w:val="-6"/>
          <w:position w:val="17"/>
        </w:rPr>
        <w:t>）《土壤和沉积物 六价铬的测定 碱溶液提取</w:t>
      </w:r>
      <w:r>
        <w:rPr>
          <w:rFonts w:ascii="Times New Roman" w:eastAsia="Times New Roman" w:hAnsi="Times New Roman" w:cs="Times New Roman"/>
          <w:spacing w:val="-6"/>
          <w:position w:val="17"/>
        </w:rPr>
        <w:t>-</w:t>
      </w:r>
      <w:r>
        <w:rPr>
          <w:spacing w:val="-6"/>
          <w:position w:val="17"/>
        </w:rPr>
        <w:t>火焰原子吸收分光光度法》</w:t>
      </w:r>
    </w:p>
    <w:p>
      <w:pPr>
        <w:pStyle w:val="BodyText"/>
        <w:spacing w:before="1" w:line="231" w:lineRule="auto"/>
        <w:ind w:left="30"/>
      </w:pPr>
      <w:r>
        <w:rPr>
          <w:spacing w:val="-4"/>
        </w:rPr>
        <w:t>（</w:t>
      </w:r>
      <w:r>
        <w:rPr>
          <w:rFonts w:ascii="Times New Roman" w:eastAsia="Times New Roman" w:hAnsi="Times New Roman" w:cs="Times New Roman"/>
          <w:spacing w:val="-4"/>
        </w:rPr>
        <w:t>HJ</w:t>
      </w:r>
      <w:r>
        <w:rPr>
          <w:rFonts w:ascii="Times New Roman" w:eastAsia="Times New Roman" w:hAnsi="Times New Roman" w:cs="Times New Roman"/>
          <w:spacing w:val="36"/>
        </w:rPr>
        <w:t xml:space="preserve"> </w:t>
      </w:r>
      <w:r>
        <w:rPr>
          <w:rFonts w:ascii="Times New Roman" w:eastAsia="Times New Roman" w:hAnsi="Times New Roman" w:cs="Times New Roman"/>
          <w:spacing w:val="-4"/>
        </w:rPr>
        <w:t>1082-2019</w:t>
      </w:r>
      <w:r>
        <w:rPr>
          <w:spacing w:val="-4"/>
        </w:rPr>
        <w:t>）</w:t>
      </w:r>
    </w:p>
    <w:p>
      <w:pPr>
        <w:pStyle w:val="BodyText"/>
        <w:spacing w:before="167" w:line="468" w:lineRule="exact"/>
        <w:ind w:left="522"/>
      </w:pPr>
      <w:r>
        <w:rPr>
          <w:rFonts w:ascii="Times New Roman" w:eastAsia="Times New Roman" w:hAnsi="Times New Roman" w:cs="Times New Roman"/>
          <w:spacing w:val="-10"/>
          <w:position w:val="17"/>
        </w:rPr>
        <w:t>15</w:t>
      </w:r>
      <w:r>
        <w:rPr>
          <w:spacing w:val="-10"/>
          <w:position w:val="17"/>
        </w:rPr>
        <w:t>）《土壤和沉积物 铜、锌、铅、镍、铬的测定 火焰</w:t>
      </w:r>
      <w:r>
        <w:rPr>
          <w:spacing w:val="-11"/>
          <w:position w:val="17"/>
        </w:rPr>
        <w:t>原子吸收分光光度法》</w:t>
      </w:r>
    </w:p>
    <w:p>
      <w:pPr>
        <w:pStyle w:val="BodyText"/>
        <w:spacing w:before="1" w:line="231" w:lineRule="auto"/>
        <w:ind w:left="30"/>
      </w:pPr>
      <w:r>
        <w:rPr>
          <w:spacing w:val="-2"/>
        </w:rPr>
        <w:t>（</w:t>
      </w:r>
      <w:r>
        <w:rPr>
          <w:rFonts w:ascii="Times New Roman" w:eastAsia="Times New Roman" w:hAnsi="Times New Roman" w:cs="Times New Roman"/>
          <w:spacing w:val="-2"/>
        </w:rPr>
        <w:t>HJ 491-2019</w:t>
      </w:r>
      <w:r>
        <w:rPr>
          <w:spacing w:val="-2"/>
        </w:rPr>
        <w:t>）</w:t>
      </w:r>
    </w:p>
    <w:p>
      <w:pPr>
        <w:pStyle w:val="BodyText"/>
        <w:spacing w:before="166" w:line="468" w:lineRule="exact"/>
        <w:ind w:left="522"/>
      </w:pPr>
      <w:r>
        <w:rPr>
          <w:rFonts w:ascii="Times New Roman" w:eastAsia="Times New Roman" w:hAnsi="Times New Roman" w:cs="Times New Roman"/>
          <w:spacing w:val="-6"/>
          <w:position w:val="17"/>
        </w:rPr>
        <w:t>16</w:t>
      </w:r>
      <w:r>
        <w:rPr>
          <w:spacing w:val="-6"/>
          <w:position w:val="17"/>
        </w:rPr>
        <w:t>）</w:t>
      </w:r>
      <w:r>
        <w:rPr>
          <w:spacing w:val="-43"/>
          <w:position w:val="17"/>
        </w:rPr>
        <w:t xml:space="preserve"> </w:t>
      </w:r>
      <w:r>
        <w:rPr>
          <w:spacing w:val="-6"/>
          <w:position w:val="17"/>
        </w:rPr>
        <w:t>《土壤和沉积物</w:t>
      </w:r>
      <w:r>
        <w:rPr>
          <w:spacing w:val="41"/>
          <w:position w:val="17"/>
        </w:rPr>
        <w:t xml:space="preserve"> </w:t>
      </w:r>
      <w:r>
        <w:rPr>
          <w:rFonts w:ascii="Times New Roman" w:eastAsia="Times New Roman" w:hAnsi="Times New Roman" w:cs="Times New Roman"/>
          <w:spacing w:val="-6"/>
          <w:position w:val="17"/>
        </w:rPr>
        <w:t xml:space="preserve">12  </w:t>
      </w:r>
      <w:r>
        <w:rPr>
          <w:spacing w:val="-6"/>
          <w:position w:val="17"/>
        </w:rPr>
        <w:t>种金属元素的测定 王水提</w:t>
      </w:r>
      <w:r>
        <w:rPr>
          <w:spacing w:val="-7"/>
          <w:position w:val="17"/>
        </w:rPr>
        <w:t>取</w:t>
      </w:r>
      <w:r>
        <w:rPr>
          <w:rFonts w:ascii="Times New Roman" w:eastAsia="Times New Roman" w:hAnsi="Times New Roman" w:cs="Times New Roman"/>
          <w:spacing w:val="-7"/>
          <w:position w:val="17"/>
        </w:rPr>
        <w:t>-</w:t>
      </w:r>
      <w:r>
        <w:rPr>
          <w:rFonts w:ascii="Times New Roman" w:eastAsia="Times New Roman" w:hAnsi="Times New Roman" w:cs="Times New Roman"/>
          <w:spacing w:val="-23"/>
          <w:position w:val="17"/>
        </w:rPr>
        <w:t xml:space="preserve"> </w:t>
      </w:r>
      <w:r>
        <w:rPr>
          <w:spacing w:val="-7"/>
          <w:position w:val="17"/>
        </w:rPr>
        <w:t>电感耦合等离子体质</w:t>
      </w:r>
    </w:p>
    <w:p>
      <w:pPr>
        <w:pStyle w:val="BodyText"/>
        <w:spacing w:before="2" w:line="220" w:lineRule="auto"/>
        <w:ind w:left="22"/>
      </w:pPr>
      <w:r>
        <w:rPr>
          <w:spacing w:val="-8"/>
        </w:rPr>
        <w:t>谱法》</w:t>
      </w:r>
      <w:r>
        <w:rPr>
          <w:spacing w:val="95"/>
        </w:rPr>
        <w:t xml:space="preserve"> </w:t>
      </w:r>
      <w:r>
        <w:rPr>
          <w:spacing w:val="-8"/>
        </w:rPr>
        <w:t>（</w:t>
      </w:r>
      <w:r>
        <w:rPr>
          <w:rFonts w:ascii="Times New Roman" w:eastAsia="Times New Roman" w:hAnsi="Times New Roman" w:cs="Times New Roman"/>
          <w:spacing w:val="-8"/>
        </w:rPr>
        <w:t>HJ</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8"/>
        </w:rPr>
        <w:t>803-2016</w:t>
      </w:r>
      <w:r>
        <w:rPr>
          <w:spacing w:val="-8"/>
        </w:rPr>
        <w:t>）</w:t>
      </w:r>
    </w:p>
    <w:p>
      <w:pPr>
        <w:pStyle w:val="BodyText"/>
        <w:spacing w:before="180" w:line="469" w:lineRule="exact"/>
        <w:ind w:left="522"/>
      </w:pPr>
      <w:r>
        <w:rPr>
          <w:rFonts w:ascii="Times New Roman" w:eastAsia="Times New Roman" w:hAnsi="Times New Roman" w:cs="Times New Roman"/>
          <w:spacing w:val="-5"/>
          <w:position w:val="17"/>
        </w:rPr>
        <w:t>17</w:t>
      </w:r>
      <w:r>
        <w:rPr>
          <w:spacing w:val="-5"/>
          <w:position w:val="17"/>
        </w:rPr>
        <w:t>）《土壤</w:t>
      </w:r>
      <w:r>
        <w:rPr>
          <w:spacing w:val="-35"/>
          <w:position w:val="17"/>
        </w:rPr>
        <w:t xml:space="preserve"> </w:t>
      </w:r>
      <w:r>
        <w:rPr>
          <w:rFonts w:ascii="Times New Roman" w:eastAsia="Times New Roman" w:hAnsi="Times New Roman" w:cs="Times New Roman"/>
          <w:spacing w:val="-5"/>
          <w:position w:val="17"/>
        </w:rPr>
        <w:t xml:space="preserve">8  </w:t>
      </w:r>
      <w:r>
        <w:rPr>
          <w:spacing w:val="-5"/>
          <w:position w:val="17"/>
        </w:rPr>
        <w:t>种有效态元素的测定 二乙烯三胺</w:t>
      </w:r>
      <w:r>
        <w:rPr>
          <w:spacing w:val="-6"/>
          <w:position w:val="17"/>
        </w:rPr>
        <w:t>五乙酸浸提</w:t>
      </w:r>
      <w:r>
        <w:rPr>
          <w:rFonts w:ascii="Times New Roman" w:eastAsia="Times New Roman" w:hAnsi="Times New Roman" w:cs="Times New Roman"/>
          <w:spacing w:val="-6"/>
          <w:position w:val="17"/>
        </w:rPr>
        <w:t>-</w:t>
      </w:r>
      <w:r>
        <w:rPr>
          <w:rFonts w:ascii="Times New Roman" w:eastAsia="Times New Roman" w:hAnsi="Times New Roman" w:cs="Times New Roman"/>
          <w:spacing w:val="-24"/>
          <w:position w:val="17"/>
        </w:rPr>
        <w:t xml:space="preserve"> </w:t>
      </w:r>
      <w:r>
        <w:rPr>
          <w:spacing w:val="-6"/>
          <w:position w:val="17"/>
        </w:rPr>
        <w:t>电感耦合等离子</w:t>
      </w:r>
    </w:p>
    <w:p>
      <w:pPr>
        <w:pStyle w:val="BodyText"/>
        <w:spacing w:before="1" w:line="219" w:lineRule="auto"/>
        <w:ind w:left="23"/>
      </w:pPr>
      <w:r>
        <w:rPr>
          <w:spacing w:val="-2"/>
        </w:rPr>
        <w:t>体发射光谱法》（</w:t>
      </w:r>
      <w:r>
        <w:rPr>
          <w:rFonts w:ascii="Times New Roman" w:eastAsia="Times New Roman" w:hAnsi="Times New Roman" w:cs="Times New Roman"/>
          <w:spacing w:val="-2"/>
        </w:rPr>
        <w:t>HJ</w:t>
      </w:r>
      <w:r>
        <w:rPr>
          <w:rFonts w:ascii="Times New Roman" w:eastAsia="Times New Roman" w:hAnsi="Times New Roman" w:cs="Times New Roman"/>
          <w:spacing w:val="27"/>
        </w:rPr>
        <w:t xml:space="preserve"> </w:t>
      </w:r>
      <w:r>
        <w:rPr>
          <w:rFonts w:ascii="Times New Roman" w:eastAsia="Times New Roman" w:hAnsi="Times New Roman" w:cs="Times New Roman"/>
          <w:spacing w:val="-2"/>
        </w:rPr>
        <w:t>804-2016</w:t>
      </w:r>
      <w:r>
        <w:rPr>
          <w:spacing w:val="-2"/>
        </w:rPr>
        <w:t>）</w:t>
      </w:r>
    </w:p>
    <w:p>
      <w:pPr>
        <w:pStyle w:val="BodyText"/>
        <w:spacing w:before="182" w:line="220" w:lineRule="auto"/>
        <w:ind w:left="549"/>
      </w:pPr>
      <w:r>
        <w:rPr>
          <w:spacing w:val="-4"/>
        </w:rPr>
        <w:t>目前正在制修订关于土壤重金属的检测标准，共</w:t>
      </w:r>
      <w:r>
        <w:rPr>
          <w:spacing w:val="-41"/>
        </w:rPr>
        <w:t xml:space="preserve"> </w:t>
      </w:r>
      <w:r>
        <w:rPr>
          <w:rFonts w:ascii="Times New Roman" w:eastAsia="Times New Roman" w:hAnsi="Times New Roman" w:cs="Times New Roman"/>
          <w:spacing w:val="-4"/>
        </w:rPr>
        <w:t xml:space="preserve">4 </w:t>
      </w:r>
      <w:r>
        <w:rPr>
          <w:spacing w:val="-4"/>
        </w:rPr>
        <w:t>项，如下所列：</w:t>
      </w:r>
    </w:p>
    <w:p>
      <w:pPr>
        <w:pStyle w:val="BodyText"/>
        <w:spacing w:before="183" w:line="233" w:lineRule="auto"/>
        <w:ind w:left="522"/>
      </w:pPr>
      <w:r>
        <w:rPr>
          <w:rFonts w:ascii="Times New Roman" w:eastAsia="Times New Roman" w:hAnsi="Times New Roman" w:cs="Times New Roman"/>
          <w:spacing w:val="-2"/>
        </w:rPr>
        <w:t>1</w:t>
      </w:r>
      <w:r>
        <w:rPr>
          <w:spacing w:val="-2"/>
        </w:rPr>
        <w:t>）《土壤、沉积物 痕量金属元素的测定 酸溶</w:t>
      </w:r>
      <w:r>
        <w:rPr>
          <w:rFonts w:ascii="Times New Roman" w:eastAsia="Times New Roman" w:hAnsi="Times New Roman" w:cs="Times New Roman"/>
          <w:spacing w:val="-2"/>
        </w:rPr>
        <w:t>/</w:t>
      </w:r>
      <w:r>
        <w:rPr>
          <w:spacing w:val="-2"/>
        </w:rPr>
        <w:t>电感耦合等离子体原子发射</w:t>
      </w:r>
    </w:p>
    <w:p>
      <w:pPr>
        <w:spacing w:line="116" w:lineRule="exact"/>
      </w:pPr>
    </w:p>
    <w:p>
      <w:pPr>
        <w:spacing w:line="116" w:lineRule="exact"/>
        <w:sectPr>
          <w:footerReference w:type="default" r:id="rId10"/>
          <w:pgSz w:w="11907" w:h="16839"/>
          <w:pgMar w:top="1431" w:right="1573" w:bottom="1357" w:left="1785" w:header="0" w:footer="1197" w:gutter="0"/>
          <w:pgNumType w:start="7"/>
          <w:cols w:num="1" w:space="708" w:equalWidth="0">
            <w:col w:w="8547" w:space="0"/>
          </w:cols>
        </w:sectPr>
      </w:pPr>
    </w:p>
    <w:p>
      <w:pPr>
        <w:pStyle w:val="BodyText"/>
        <w:spacing w:before="48" w:line="220" w:lineRule="auto"/>
        <w:ind w:left="25"/>
      </w:pPr>
      <w:r>
        <w:rPr>
          <w:spacing w:val="-4"/>
        </w:rPr>
        <w:t>光谱法》</w:t>
      </w:r>
    </w:p>
    <w:p>
      <w:pPr>
        <w:pStyle w:val="BodyText"/>
        <w:spacing w:before="182" w:line="468" w:lineRule="exact"/>
        <w:ind w:right="47"/>
        <w:jc w:val="right"/>
      </w:pPr>
      <w:r>
        <w:rPr>
          <w:rFonts w:ascii="Times New Roman" w:eastAsia="Times New Roman" w:hAnsi="Times New Roman" w:cs="Times New Roman"/>
          <w:spacing w:val="-2"/>
          <w:position w:val="17"/>
        </w:rPr>
        <w:t>2</w:t>
      </w:r>
      <w:r>
        <w:rPr>
          <w:spacing w:val="-2"/>
          <w:position w:val="17"/>
        </w:rPr>
        <w:t>）《土壤和沉积物</w:t>
      </w:r>
    </w:p>
    <w:p>
      <w:pPr>
        <w:pStyle w:val="BodyText"/>
        <w:spacing w:before="1" w:line="220" w:lineRule="auto"/>
        <w:ind w:right="39"/>
        <w:jc w:val="right"/>
      </w:pPr>
      <w:r>
        <w:rPr>
          <w:rFonts w:ascii="Times New Roman" w:eastAsia="Times New Roman" w:hAnsi="Times New Roman" w:cs="Times New Roman"/>
          <w:spacing w:val="-2"/>
        </w:rPr>
        <w:t>3</w:t>
      </w:r>
      <w:r>
        <w:rPr>
          <w:spacing w:val="-2"/>
        </w:rPr>
        <w:t>）《土壤和沉积物</w:t>
      </w:r>
    </w:p>
    <w:p>
      <w:pPr>
        <w:pStyle w:val="BodyText"/>
        <w:spacing w:before="181" w:line="220" w:lineRule="auto"/>
        <w:ind w:left="33"/>
        <w:sectPr>
          <w:footerReference w:type="default" r:id="rId11"/>
          <w:type w:val="continuous"/>
          <w:pgSz w:w="11907" w:h="16839"/>
          <w:pgMar w:top="1431" w:right="1573" w:bottom="1357" w:left="1785" w:header="0" w:footer="1197" w:gutter="0"/>
          <w:pgNumType w:start="8"/>
          <w:cols w:num="2" w:space="708" w:equalWidth="0">
            <w:col w:w="2571" w:space="100"/>
            <w:col w:w="5876" w:space="0"/>
          </w:cols>
        </w:sectPr>
      </w:pPr>
      <w:r>
        <w:rPr>
          <w:spacing w:val="-6"/>
        </w:rPr>
        <w:t>吸收法》</w:t>
      </w:r>
    </w:p>
    <w:p>
      <w:pPr>
        <w:pStyle w:val="BodyText"/>
        <w:spacing w:before="182" w:line="185" w:lineRule="auto"/>
        <w:ind w:right="29"/>
        <w:jc w:val="right"/>
      </w:pPr>
      <w:r>
        <w:rPr>
          <w:rFonts w:ascii="Times New Roman" w:eastAsia="Times New Roman" w:hAnsi="Times New Roman" w:cs="Times New Roman"/>
        </w:rPr>
        <w:t>4</w:t>
      </w:r>
      <w:r>
        <w:t>）《土壤和沉积物</w:t>
      </w:r>
    </w:p>
    <w:p>
      <w:pPr>
        <w:spacing w:line="14" w:lineRule="auto"/>
        <w:rPr>
          <w:rFonts w:ascii="Arial"/>
          <w:sz w:val="2"/>
        </w:rPr>
      </w:pPr>
      <w:r>
        <w:rPr>
          <w:rFonts w:ascii="Arial" w:eastAsia="Arial" w:hAnsi="Arial" w:cs="Arial"/>
          <w:sz w:val="2"/>
          <w:szCs w:val="2"/>
        </w:rPr>
        <w:br w:type="column"/>
      </w:r>
    </w:p>
    <w:p>
      <w:pPr>
        <w:spacing w:line="433" w:lineRule="auto"/>
        <w:rPr>
          <w:rFonts w:ascii="Arial"/>
          <w:sz w:val="21"/>
        </w:rPr>
      </w:pPr>
    </w:p>
    <w:p>
      <w:pPr>
        <w:pStyle w:val="BodyText"/>
        <w:spacing w:before="79" w:line="220" w:lineRule="auto"/>
      </w:pPr>
      <w:r>
        <w:rPr>
          <w:spacing w:val="-2"/>
        </w:rPr>
        <w:t>总锡的测定 原子荧光法》</w:t>
      </w:r>
    </w:p>
    <w:p>
      <w:pPr>
        <w:pStyle w:val="BodyText"/>
        <w:spacing w:before="182" w:line="220" w:lineRule="auto"/>
      </w:pPr>
      <w:r>
        <w:t>铜、铅、锌、铬、镉、镍等重金属的测定 石墨炉原子</w:t>
      </w:r>
    </w:p>
    <w:p>
      <w:pPr>
        <w:spacing w:line="284" w:lineRule="auto"/>
        <w:rPr>
          <w:rFonts w:ascii="Arial"/>
          <w:sz w:val="21"/>
        </w:rPr>
      </w:pPr>
    </w:p>
    <w:p>
      <w:pPr>
        <w:spacing w:line="285" w:lineRule="auto"/>
        <w:rPr>
          <w:rFonts w:ascii="Arial"/>
          <w:sz w:val="21"/>
        </w:rPr>
      </w:pPr>
    </w:p>
    <w:p>
      <w:pPr>
        <w:pStyle w:val="BodyText"/>
        <w:spacing w:before="78" w:line="185" w:lineRule="auto"/>
        <w:ind w:left="18"/>
      </w:pPr>
      <w:r>
        <w:rPr>
          <w:spacing w:val="-1"/>
        </w:rPr>
        <w:t>重金属元素的测定</w:t>
      </w:r>
      <w:r>
        <w:rPr>
          <w:spacing w:val="56"/>
        </w:rPr>
        <w:t xml:space="preserve"> </w:t>
      </w:r>
      <w:r>
        <w:rPr>
          <w:spacing w:val="-1"/>
        </w:rPr>
        <w:t>电感耦合等离子体质谱（</w:t>
      </w:r>
      <w:r>
        <w:rPr>
          <w:rFonts w:ascii="Times New Roman" w:eastAsia="Times New Roman" w:hAnsi="Times New Roman" w:cs="Times New Roman"/>
          <w:spacing w:val="-1"/>
        </w:rPr>
        <w:t>ICP-MS</w:t>
      </w:r>
      <w:r>
        <w:rPr>
          <w:spacing w:val="-1"/>
        </w:rPr>
        <w:t>）</w:t>
      </w:r>
    </w:p>
    <w:p>
      <w:pPr>
        <w:spacing w:line="185" w:lineRule="auto"/>
        <w:sectPr>
          <w:footerReference w:type="default" r:id="rId12"/>
          <w:type w:val="nextPage"/>
          <w:pgSz w:w="11907" w:h="16839"/>
          <w:pgMar w:top="1431" w:right="1573" w:bottom="1357" w:left="1785" w:header="0" w:footer="1197" w:gutter="0"/>
          <w:pgNumType w:start="9"/>
          <w:cols w:num="2" w:space="708" w:equalWidth="0">
            <w:col w:w="2571" w:space="100"/>
            <w:col w:w="5876" w:space="0"/>
          </w:cols>
          <w:titlePg w:val="0"/>
        </w:sectPr>
      </w:pPr>
    </w:p>
    <w:p>
      <w:pPr>
        <w:pStyle w:val="BodyText"/>
        <w:spacing w:before="124" w:line="225" w:lineRule="auto"/>
        <w:ind w:left="24"/>
      </w:pPr>
      <w:r>
        <w:rPr>
          <w:spacing w:val="-5"/>
        </w:rPr>
        <w:t>法》</w:t>
      </w:r>
    </w:p>
    <w:p>
      <w:pPr>
        <w:pStyle w:val="BodyText"/>
        <w:spacing w:before="175" w:line="360" w:lineRule="auto"/>
        <w:ind w:left="22" w:right="81" w:firstLine="483"/>
      </w:pPr>
      <w:r>
        <w:rPr>
          <w:spacing w:val="-13"/>
        </w:rPr>
        <w:t>从上述所列标准可以看出，</w:t>
      </w:r>
      <w:r>
        <w:rPr>
          <w:spacing w:val="46"/>
        </w:rPr>
        <w:t xml:space="preserve"> </w:t>
      </w:r>
      <w:r>
        <w:rPr>
          <w:spacing w:val="-13"/>
        </w:rPr>
        <w:t>这些国家监测标准、行业监测标准，</w:t>
      </w:r>
      <w:r>
        <w:rPr>
          <w:spacing w:val="36"/>
        </w:rPr>
        <w:t xml:space="preserve"> </w:t>
      </w:r>
      <w:r>
        <w:rPr>
          <w:spacing w:val="-13"/>
        </w:rPr>
        <w:t>都是针对样</w:t>
      </w:r>
      <w:r>
        <w:t xml:space="preserve"> </w:t>
      </w:r>
      <w:r>
        <w:rPr>
          <w:spacing w:val="-15"/>
        </w:rPr>
        <w:t>品采集后， 运输到实验室进行分析的监测方法。然而，</w:t>
      </w:r>
      <w:r>
        <w:rPr>
          <w:spacing w:val="38"/>
        </w:rPr>
        <w:t xml:space="preserve"> </w:t>
      </w:r>
      <w:r>
        <w:rPr>
          <w:spacing w:val="-15"/>
        </w:rPr>
        <w:t>对于实验室分析，</w:t>
      </w:r>
      <w:r>
        <w:rPr>
          <w:spacing w:val="38"/>
        </w:rPr>
        <w:t xml:space="preserve"> </w:t>
      </w:r>
      <w:r>
        <w:rPr>
          <w:spacing w:val="-15"/>
        </w:rPr>
        <w:t>样</w:t>
      </w:r>
      <w:r>
        <w:rPr>
          <w:spacing w:val="-16"/>
        </w:rPr>
        <w:t>品在</w:t>
      </w:r>
      <w:r>
        <w:t xml:space="preserve"> </w:t>
      </w:r>
      <w:r>
        <w:rPr>
          <w:spacing w:val="-12"/>
        </w:rPr>
        <w:t>现场采集后，</w:t>
      </w:r>
      <w:r>
        <w:rPr>
          <w:spacing w:val="43"/>
        </w:rPr>
        <w:t xml:space="preserve"> </w:t>
      </w:r>
      <w:r>
        <w:rPr>
          <w:spacing w:val="-12"/>
        </w:rPr>
        <w:t>必须通过样品保存、运输的环节，</w:t>
      </w:r>
      <w:r>
        <w:rPr>
          <w:spacing w:val="45"/>
        </w:rPr>
        <w:t xml:space="preserve"> </w:t>
      </w:r>
      <w:r>
        <w:rPr>
          <w:spacing w:val="-13"/>
        </w:rPr>
        <w:t>带到实验室进行分析。在此过程</w:t>
      </w:r>
      <w:r>
        <w:t xml:space="preserve"> </w:t>
      </w:r>
      <w:r>
        <w:rPr>
          <w:spacing w:val="-6"/>
        </w:rPr>
        <w:t>中，样品不可避免需要通过介质或者容器进行保存， 这些</w:t>
      </w:r>
      <w:r>
        <w:rPr>
          <w:spacing w:val="-7"/>
        </w:rPr>
        <w:t>容器和采样介质都会对</w:t>
      </w:r>
      <w:r>
        <w:t xml:space="preserve"> </w:t>
      </w:r>
      <w:r>
        <w:rPr>
          <w:spacing w:val="-12"/>
        </w:rPr>
        <w:t>样品造成损失。除此之外，</w:t>
      </w:r>
      <w:r>
        <w:rPr>
          <w:spacing w:val="43"/>
        </w:rPr>
        <w:t xml:space="preserve"> </w:t>
      </w:r>
      <w:r>
        <w:rPr>
          <w:spacing w:val="-12"/>
        </w:rPr>
        <w:t>部分样品由于活性较强，</w:t>
      </w:r>
      <w:r>
        <w:rPr>
          <w:spacing w:val="34"/>
        </w:rPr>
        <w:t xml:space="preserve"> </w:t>
      </w:r>
      <w:r>
        <w:rPr>
          <w:spacing w:val="-12"/>
        </w:rPr>
        <w:t>可能会在运输过程中发生降</w:t>
      </w:r>
    </w:p>
    <w:p>
      <w:pPr>
        <w:pStyle w:val="BodyText"/>
        <w:spacing w:line="219" w:lineRule="auto"/>
        <w:ind w:left="22"/>
      </w:pPr>
      <w:r>
        <w:rPr>
          <w:spacing w:val="-1"/>
        </w:rPr>
        <w:t>解或者浓度变化，以至于无法通过实验室分析得到现场样品浓度和结果。</w:t>
      </w:r>
    </w:p>
    <w:p>
      <w:pPr>
        <w:pStyle w:val="BodyText"/>
        <w:spacing w:before="184" w:line="360" w:lineRule="auto"/>
        <w:ind w:left="22" w:firstLine="526"/>
      </w:pPr>
      <w:r>
        <w:rPr>
          <w:spacing w:val="-5"/>
        </w:rPr>
        <w:t xml:space="preserve">目前我国土壤中重金属的标准分析方法主要为原子吸收分光光度法、原子荧 </w:t>
      </w:r>
      <w:r>
        <w:rPr>
          <w:spacing w:val="-1"/>
        </w:rPr>
        <w:t xml:space="preserve">光法和波长色散 </w:t>
      </w:r>
      <w:r>
        <w:rPr>
          <w:rFonts w:ascii="Times New Roman" w:eastAsia="Times New Roman" w:hAnsi="Times New Roman" w:cs="Times New Roman"/>
          <w:spacing w:val="-1"/>
        </w:rPr>
        <w:t>X</w:t>
      </w:r>
      <w:r>
        <w:rPr>
          <w:rFonts w:ascii="Times New Roman" w:eastAsia="Times New Roman" w:hAnsi="Times New Roman" w:cs="Times New Roman"/>
          <w:spacing w:val="55"/>
          <w:w w:val="101"/>
        </w:rPr>
        <w:t xml:space="preserve"> </w:t>
      </w:r>
      <w:r>
        <w:rPr>
          <w:spacing w:val="-1"/>
        </w:rPr>
        <w:t>射线荧光光谱法，都需要样</w:t>
      </w:r>
      <w:r>
        <w:rPr>
          <w:spacing w:val="-2"/>
        </w:rPr>
        <w:t xml:space="preserve">品制备、消解，消耗多种危险化 </w:t>
      </w:r>
      <w:r>
        <w:rPr>
          <w:spacing w:val="-11"/>
        </w:rPr>
        <w:t>学试剂和气体，</w:t>
      </w:r>
      <w:r>
        <w:rPr>
          <w:spacing w:val="-45"/>
        </w:rPr>
        <w:t xml:space="preserve"> </w:t>
      </w:r>
      <w:r>
        <w:rPr>
          <w:spacing w:val="-11"/>
        </w:rPr>
        <w:t>无法进行现场快速分析。其</w:t>
      </w:r>
      <w:r>
        <w:rPr>
          <w:spacing w:val="-12"/>
        </w:rPr>
        <w:t xml:space="preserve">中《土壤和沉积物 无机元素的测定 波 </w:t>
      </w:r>
      <w:r>
        <w:rPr>
          <w:spacing w:val="-1"/>
        </w:rPr>
        <w:t>长色散</w:t>
      </w:r>
      <w:r>
        <w:rPr>
          <w:spacing w:val="-59"/>
        </w:rPr>
        <w:t xml:space="preserve"> </w:t>
      </w:r>
      <w:r>
        <w:rPr>
          <w:rFonts w:ascii="Times New Roman" w:eastAsia="Times New Roman" w:hAnsi="Times New Roman" w:cs="Times New Roman"/>
          <w:spacing w:val="-1"/>
        </w:rPr>
        <w:t xml:space="preserve">X </w:t>
      </w:r>
      <w:r>
        <w:rPr>
          <w:spacing w:val="-1"/>
        </w:rPr>
        <w:t>射线荧光光谱法》（</w:t>
      </w:r>
      <w:r>
        <w:rPr>
          <w:rFonts w:ascii="Times New Roman" w:eastAsia="Times New Roman" w:hAnsi="Times New Roman" w:cs="Times New Roman"/>
          <w:spacing w:val="-1"/>
        </w:rPr>
        <w:t>HJ  780-2015</w:t>
      </w:r>
      <w:r>
        <w:rPr>
          <w:spacing w:val="-1"/>
        </w:rPr>
        <w:t xml:space="preserve">）需用大型实验室分析设备，价格高 </w:t>
      </w:r>
      <w:r>
        <w:rPr>
          <w:spacing w:val="-3"/>
        </w:rPr>
        <w:t>昂且维护成本高，且无法在现场进行分析。</w:t>
      </w:r>
      <w:r>
        <w:rPr>
          <w:spacing w:val="-26"/>
        </w:rPr>
        <w:t xml:space="preserve"> </w:t>
      </w:r>
      <w:r>
        <w:rPr>
          <w:spacing w:val="-3"/>
        </w:rPr>
        <w:t>一些地方标</w:t>
      </w:r>
      <w:r>
        <w:rPr>
          <w:spacing w:val="-4"/>
        </w:rPr>
        <w:t>准，如《农田土壤中镉、</w:t>
      </w:r>
      <w:r>
        <w:t xml:space="preserve"> </w:t>
      </w:r>
      <w:r>
        <w:rPr>
          <w:spacing w:val="-9"/>
        </w:rPr>
        <w:t>砷、铅、铬、铜、镍、锌</w:t>
      </w:r>
      <w:r>
        <w:rPr>
          <w:spacing w:val="39"/>
        </w:rPr>
        <w:t xml:space="preserve"> </w:t>
      </w:r>
      <w:r>
        <w:rPr>
          <w:spacing w:val="-9"/>
        </w:rPr>
        <w:t>的快速检测 能量色散型</w:t>
      </w:r>
      <w:r>
        <w:rPr>
          <w:spacing w:val="-58"/>
        </w:rPr>
        <w:t xml:space="preserve"> </w:t>
      </w:r>
      <w:r>
        <w:rPr>
          <w:rFonts w:ascii="Times New Roman" w:eastAsia="Times New Roman" w:hAnsi="Times New Roman" w:cs="Times New Roman"/>
          <w:spacing w:val="-9"/>
        </w:rPr>
        <w:t xml:space="preserve">X </w:t>
      </w:r>
      <w:r>
        <w:rPr>
          <w:spacing w:val="-9"/>
        </w:rPr>
        <w:t>射线荧光光谱法》（</w:t>
      </w:r>
      <w:r>
        <w:rPr>
          <w:rFonts w:ascii="Times New Roman" w:eastAsia="Times New Roman" w:hAnsi="Times New Roman" w:cs="Times New Roman"/>
          <w:spacing w:val="-9"/>
        </w:rPr>
        <w:t>DB</w:t>
      </w:r>
      <w:r>
        <w:rPr>
          <w:rFonts w:ascii="Times New Roman" w:eastAsia="Times New Roman" w:hAnsi="Times New Roman" w:cs="Times New Roman"/>
          <w:spacing w:val="26"/>
        </w:rPr>
        <w:t xml:space="preserve"> </w:t>
      </w:r>
      <w:r>
        <w:rPr>
          <w:rFonts w:ascii="Times New Roman" w:eastAsia="Times New Roman" w:hAnsi="Times New Roman" w:cs="Times New Roman"/>
          <w:spacing w:val="-9"/>
        </w:rPr>
        <w:t xml:space="preserve">13/T  </w:t>
      </w:r>
      <w:r>
        <w:rPr>
          <w:rFonts w:ascii="Times New Roman" w:eastAsia="Times New Roman" w:hAnsi="Times New Roman" w:cs="Times New Roman"/>
          <w:spacing w:val="2"/>
        </w:rPr>
        <w:t>5396—2021</w:t>
      </w:r>
      <w:r>
        <w:rPr>
          <w:spacing w:val="-6"/>
        </w:rPr>
        <w:t>），</w:t>
      </w:r>
      <w:r>
        <w:rPr>
          <w:spacing w:val="2"/>
        </w:rPr>
        <w:t xml:space="preserve">《土壤和沉积物无机元素的测定 能量色 </w:t>
      </w:r>
      <w:r>
        <w:rPr>
          <w:rFonts w:ascii="Times New Roman" w:eastAsia="Times New Roman" w:hAnsi="Times New Roman" w:cs="Times New Roman"/>
          <w:spacing w:val="2"/>
        </w:rPr>
        <w:t xml:space="preserve">X  </w:t>
      </w:r>
      <w:r>
        <w:rPr>
          <w:spacing w:val="2"/>
        </w:rPr>
        <w:t>射线荧光</w:t>
      </w:r>
      <w:r>
        <w:rPr>
          <w:spacing w:val="1"/>
        </w:rPr>
        <w:t xml:space="preserve">光谱法》 </w:t>
      </w:r>
      <w:r>
        <w:rPr>
          <w:spacing w:val="-2"/>
        </w:rPr>
        <w:t>（</w:t>
      </w:r>
      <w:r>
        <w:rPr>
          <w:rFonts w:ascii="Times New Roman" w:eastAsia="Times New Roman" w:hAnsi="Times New Roman" w:cs="Times New Roman"/>
          <w:spacing w:val="-2"/>
        </w:rPr>
        <w:t>DB61/T1580—2022</w:t>
      </w:r>
      <w:r>
        <w:rPr>
          <w:spacing w:val="-35"/>
          <w:w w:val="56"/>
        </w:rPr>
        <w:t>），</w:t>
      </w:r>
      <w:r>
        <w:rPr>
          <w:spacing w:val="-2"/>
        </w:rPr>
        <w:t>《土壤重金属元素的测定 能量色散</w:t>
      </w:r>
      <w:r>
        <w:rPr>
          <w:spacing w:val="-55"/>
        </w:rPr>
        <w:t xml:space="preserve"> </w:t>
      </w:r>
      <w:r>
        <w:rPr>
          <w:rFonts w:ascii="Times New Roman" w:eastAsia="Times New Roman" w:hAnsi="Times New Roman" w:cs="Times New Roman"/>
          <w:spacing w:val="-2"/>
        </w:rPr>
        <w:t xml:space="preserve">X </w:t>
      </w:r>
      <w:r>
        <w:rPr>
          <w:spacing w:val="-2"/>
        </w:rPr>
        <w:t xml:space="preserve">射线荧光光谱法》 </w:t>
      </w:r>
      <w:r>
        <w:rPr>
          <w:spacing w:val="-3"/>
        </w:rPr>
        <w:t>（</w:t>
      </w:r>
      <w:r>
        <w:rPr>
          <w:rFonts w:ascii="Times New Roman" w:eastAsia="Times New Roman" w:hAnsi="Times New Roman" w:cs="Times New Roman"/>
          <w:spacing w:val="-3"/>
        </w:rPr>
        <w:t>DB 61/T</w:t>
      </w:r>
      <w:r>
        <w:rPr>
          <w:rFonts w:ascii="Times New Roman" w:eastAsia="Times New Roman" w:hAnsi="Times New Roman" w:cs="Times New Roman"/>
          <w:spacing w:val="23"/>
          <w:w w:val="101"/>
        </w:rPr>
        <w:t xml:space="preserve"> </w:t>
      </w:r>
      <w:r>
        <w:rPr>
          <w:rFonts w:ascii="Times New Roman" w:eastAsia="Times New Roman" w:hAnsi="Times New Roman" w:cs="Times New Roman"/>
          <w:spacing w:val="-3"/>
        </w:rPr>
        <w:t>1162—2018</w:t>
      </w:r>
      <w:r>
        <w:rPr>
          <w:spacing w:val="-3"/>
        </w:rPr>
        <w:t>）也均提出了使用能量色</w:t>
      </w:r>
      <w:r>
        <w:rPr>
          <w:spacing w:val="-4"/>
        </w:rPr>
        <w:t>散</w:t>
      </w:r>
      <w:r>
        <w:rPr>
          <w:spacing w:val="-58"/>
        </w:rPr>
        <w:t xml:space="preserve"> </w:t>
      </w:r>
      <w:r>
        <w:rPr>
          <w:rFonts w:ascii="Times New Roman" w:eastAsia="Times New Roman" w:hAnsi="Times New Roman" w:cs="Times New Roman"/>
          <w:spacing w:val="-4"/>
        </w:rPr>
        <w:t xml:space="preserve">X </w:t>
      </w:r>
      <w:r>
        <w:rPr>
          <w:spacing w:val="-4"/>
        </w:rPr>
        <w:t xml:space="preserve">射线荧光谱技术测定土壤中 </w:t>
      </w:r>
      <w:r>
        <w:rPr>
          <w:spacing w:val="-7"/>
        </w:rPr>
        <w:t xml:space="preserve">的重金属的检测方法。上述三个地方标准中， 均定位于通过烘干和研磨等样品制 </w:t>
      </w:r>
      <w:r>
        <w:rPr>
          <w:spacing w:val="-2"/>
        </w:rPr>
        <w:t>备，再进行土壤重金属的</w:t>
      </w:r>
      <w:r>
        <w:rPr>
          <w:spacing w:val="-15"/>
        </w:rPr>
        <w:t xml:space="preserve"> </w:t>
      </w:r>
      <w:r>
        <w:rPr>
          <w:rFonts w:ascii="Times New Roman" w:eastAsia="Times New Roman" w:hAnsi="Times New Roman" w:cs="Times New Roman"/>
          <w:spacing w:val="-2"/>
        </w:rPr>
        <w:t>XRF</w:t>
      </w:r>
      <w:r>
        <w:rPr>
          <w:rFonts w:ascii="Times New Roman" w:eastAsia="Times New Roman" w:hAnsi="Times New Roman" w:cs="Times New Roman"/>
          <w:spacing w:val="42"/>
        </w:rPr>
        <w:t xml:space="preserve"> </w:t>
      </w:r>
      <w:r>
        <w:rPr>
          <w:spacing w:val="-2"/>
        </w:rPr>
        <w:t xml:space="preserve">检测定量工作。其中除湿过程选择风干或 </w:t>
      </w:r>
      <w:r>
        <w:rPr>
          <w:rFonts w:ascii="Times New Roman" w:eastAsia="Times New Roman" w:hAnsi="Times New Roman" w:cs="Times New Roman"/>
          <w:spacing w:val="-2"/>
        </w:rPr>
        <w:t>105</w:t>
      </w:r>
      <w:r>
        <w:rPr>
          <w:spacing w:val="-2"/>
        </w:rPr>
        <w:t xml:space="preserve">℃ </w:t>
      </w:r>
      <w:r>
        <w:rPr>
          <w:spacing w:val="-12"/>
        </w:rPr>
        <w:t>烘干，</w:t>
      </w:r>
      <w:r>
        <w:rPr>
          <w:spacing w:val="-30"/>
        </w:rPr>
        <w:t xml:space="preserve"> </w:t>
      </w:r>
      <w:r>
        <w:rPr>
          <w:spacing w:val="-12"/>
        </w:rPr>
        <w:t>样品过筛选择</w:t>
      </w:r>
      <w:r>
        <w:rPr>
          <w:spacing w:val="-31"/>
        </w:rPr>
        <w:t xml:space="preserve"> </w:t>
      </w:r>
      <w:r>
        <w:rPr>
          <w:rFonts w:ascii="Times New Roman" w:eastAsia="Times New Roman" w:hAnsi="Times New Roman" w:cs="Times New Roman"/>
          <w:spacing w:val="-12"/>
        </w:rPr>
        <w:t xml:space="preserve">100  </w:t>
      </w:r>
      <w:r>
        <w:rPr>
          <w:spacing w:val="-12"/>
        </w:rPr>
        <w:t>目或</w:t>
      </w:r>
      <w:r>
        <w:rPr>
          <w:spacing w:val="-55"/>
        </w:rPr>
        <w:t xml:space="preserve"> </w:t>
      </w:r>
      <w:r>
        <w:rPr>
          <w:rFonts w:ascii="Times New Roman" w:eastAsia="Times New Roman" w:hAnsi="Times New Roman" w:cs="Times New Roman"/>
          <w:spacing w:val="-12"/>
        </w:rPr>
        <w:t xml:space="preserve">200  </w:t>
      </w:r>
      <w:r>
        <w:rPr>
          <w:spacing w:val="-12"/>
        </w:rPr>
        <w:t>目，制样方式选</w:t>
      </w:r>
      <w:r>
        <w:rPr>
          <w:spacing w:val="-13"/>
        </w:rPr>
        <w:t>择压片法或粉末法，</w:t>
      </w:r>
      <w:r>
        <w:rPr>
          <w:spacing w:val="32"/>
        </w:rPr>
        <w:t xml:space="preserve"> </w:t>
      </w:r>
      <w:r>
        <w:rPr>
          <w:spacing w:val="-13"/>
        </w:rPr>
        <w:t xml:space="preserve">根据需要 </w:t>
      </w:r>
      <w:r>
        <w:rPr>
          <w:spacing w:val="-7"/>
        </w:rPr>
        <w:t xml:space="preserve">所测量元素， 对数据的要求及样品本身的条件来确定。以上标准中尚未对如何进 </w:t>
      </w:r>
      <w:r>
        <w:rPr>
          <w:spacing w:val="-1"/>
        </w:rPr>
        <w:t>行定性、半定量分析做出描述，也未对便携式</w:t>
      </w:r>
      <w:r>
        <w:rPr>
          <w:spacing w:val="-22"/>
        </w:rPr>
        <w:t xml:space="preserve"> </w:t>
      </w:r>
      <w:r>
        <w:rPr>
          <w:rFonts w:ascii="Times New Roman" w:eastAsia="Times New Roman" w:hAnsi="Times New Roman" w:cs="Times New Roman"/>
          <w:spacing w:val="-1"/>
        </w:rPr>
        <w:t>XRF</w:t>
      </w:r>
      <w:r>
        <w:rPr>
          <w:rFonts w:ascii="Times New Roman" w:eastAsia="Times New Roman" w:hAnsi="Times New Roman" w:cs="Times New Roman"/>
          <w:spacing w:val="27"/>
          <w:w w:val="101"/>
        </w:rPr>
        <w:t xml:space="preserve"> </w:t>
      </w:r>
      <w:r>
        <w:rPr>
          <w:spacing w:val="-1"/>
        </w:rPr>
        <w:t>检测仪的技术要求进行说明</w:t>
      </w:r>
    </w:p>
    <w:p>
      <w:pPr>
        <w:pStyle w:val="BodyText"/>
        <w:spacing w:line="221" w:lineRule="auto"/>
        <w:ind w:left="24"/>
      </w:pPr>
      <w:r>
        <w:rPr>
          <w:spacing w:val="-9"/>
        </w:rPr>
        <w:t>和规范。</w:t>
      </w:r>
    </w:p>
    <w:p>
      <w:pPr>
        <w:pStyle w:val="BodyText"/>
        <w:spacing w:before="180" w:line="360" w:lineRule="auto"/>
        <w:ind w:left="23" w:right="13" w:firstLine="472"/>
      </w:pPr>
      <w:r>
        <w:rPr>
          <w:rFonts w:ascii="Times New Roman" w:eastAsia="Times New Roman" w:hAnsi="Times New Roman" w:cs="Times New Roman"/>
          <w:spacing w:val="-2"/>
        </w:rPr>
        <w:t>X</w:t>
      </w:r>
      <w:r>
        <w:rPr>
          <w:rFonts w:ascii="Times New Roman" w:eastAsia="Times New Roman" w:hAnsi="Times New Roman" w:cs="Times New Roman"/>
          <w:spacing w:val="44"/>
        </w:rPr>
        <w:t xml:space="preserve"> </w:t>
      </w:r>
      <w:r>
        <w:rPr>
          <w:spacing w:val="-2"/>
        </w:rPr>
        <w:t>射线荧光光谱技术相关规范和标准的施行，对于监测土壤重金属的污染，</w:t>
      </w:r>
      <w:r>
        <w:t xml:space="preserve"> </w:t>
      </w:r>
      <w:r>
        <w:rPr>
          <w:spacing w:val="-6"/>
        </w:rPr>
        <w:t>推进我国重金属污染地块污染管控工作，</w:t>
      </w:r>
      <w:r>
        <w:rPr>
          <w:spacing w:val="-14"/>
        </w:rPr>
        <w:t xml:space="preserve"> </w:t>
      </w:r>
      <w:r>
        <w:rPr>
          <w:spacing w:val="-6"/>
        </w:rPr>
        <w:t>完善污染地块土壤环境管理技术支撑体</w:t>
      </w:r>
    </w:p>
    <w:p>
      <w:pPr>
        <w:pStyle w:val="BodyText"/>
        <w:spacing w:before="1" w:line="219" w:lineRule="auto"/>
        <w:ind w:left="28"/>
      </w:pPr>
      <w:r>
        <w:rPr>
          <w:spacing w:val="-1"/>
        </w:rPr>
        <w:t>系，规范和指导重金属污染地块风险管控与修复治理有着重要意义。</w:t>
      </w:r>
    </w:p>
    <w:p>
      <w:pPr>
        <w:pStyle w:val="BodyText"/>
        <w:spacing w:before="183" w:line="360" w:lineRule="auto"/>
        <w:ind w:left="23" w:right="80" w:firstLine="480"/>
        <w:sectPr>
          <w:footerReference w:type="default" r:id="rId13"/>
          <w:pgSz w:w="11907" w:h="16839"/>
          <w:pgMar w:top="1431" w:right="1718" w:bottom="1355" w:left="1785" w:header="0" w:footer="1197" w:gutter="0"/>
          <w:pgNumType w:start="10"/>
          <w:cols w:space="708"/>
        </w:sectPr>
      </w:pPr>
      <w:r>
        <w:t>然而，由于土壤样品的复杂性</w:t>
      </w:r>
      <w:r>
        <w:rPr>
          <w:rFonts w:ascii="Times New Roman" w:eastAsia="Times New Roman" w:hAnsi="Times New Roman" w:cs="Times New Roman"/>
        </w:rPr>
        <w:t>,</w:t>
      </w:r>
      <w:r>
        <w:t>仪器性能参差不齐，</w:t>
      </w:r>
      <w:r>
        <w:rPr>
          <w:spacing w:val="-46"/>
        </w:rPr>
        <w:t xml:space="preserve"> </w:t>
      </w:r>
      <w:r>
        <w:t xml:space="preserve">目前仍缺少专门针对土 </w:t>
      </w:r>
      <w:r>
        <w:rPr>
          <w:spacing w:val="-3"/>
        </w:rPr>
        <w:t>壤重金属快速检测的统一技术规范。为了进一步完善和补充土壤重金属快速检测</w:t>
      </w:r>
      <w:r>
        <w:rPr>
          <w:spacing w:val="1"/>
        </w:rPr>
        <w:t xml:space="preserve"> </w:t>
      </w:r>
      <w:r>
        <w:rPr>
          <w:spacing w:val="-2"/>
        </w:rPr>
        <w:t>技术需求，本规范规定了便携式</w:t>
      </w:r>
      <w:r>
        <w:rPr>
          <w:spacing w:val="-33"/>
        </w:rPr>
        <w:t xml:space="preserve"> </w:t>
      </w:r>
      <w:r>
        <w:rPr>
          <w:rFonts w:ascii="Times New Roman" w:eastAsia="Times New Roman" w:hAnsi="Times New Roman" w:cs="Times New Roman"/>
          <w:spacing w:val="-2"/>
        </w:rPr>
        <w:t>XRF</w:t>
      </w:r>
      <w:r>
        <w:rPr>
          <w:rFonts w:ascii="Times New Roman" w:eastAsia="Times New Roman" w:hAnsi="Times New Roman" w:cs="Times New Roman"/>
          <w:spacing w:val="30"/>
          <w:w w:val="101"/>
        </w:rPr>
        <w:t xml:space="preserve"> </w:t>
      </w:r>
      <w:r>
        <w:rPr>
          <w:spacing w:val="-2"/>
        </w:rPr>
        <w:t>快速测定土壤重金属检测仪的技术要求，</w:t>
      </w:r>
    </w:p>
    <w:p>
      <w:pPr>
        <w:pStyle w:val="BodyText"/>
        <w:spacing w:before="1" w:line="219" w:lineRule="auto"/>
        <w:ind w:left="23"/>
      </w:pPr>
      <w:r>
        <w:rPr>
          <w:spacing w:val="-1"/>
        </w:rPr>
        <w:t xml:space="preserve">针对不同的数据要求和样品条件提出完善便携式 </w:t>
      </w:r>
      <w:r>
        <w:rPr>
          <w:rFonts w:ascii="Times New Roman" w:eastAsia="Times New Roman" w:hAnsi="Times New Roman" w:cs="Times New Roman"/>
          <w:spacing w:val="-1"/>
        </w:rPr>
        <w:t>X</w:t>
      </w:r>
      <w:r>
        <w:rPr>
          <w:rFonts w:ascii="Times New Roman" w:eastAsia="Times New Roman" w:hAnsi="Times New Roman" w:cs="Times New Roman"/>
          <w:spacing w:val="58"/>
        </w:rPr>
        <w:t xml:space="preserve"> </w:t>
      </w:r>
      <w:r>
        <w:rPr>
          <w:spacing w:val="-1"/>
        </w:rPr>
        <w:t>射线荧光光谱技术快速测定</w:t>
      </w:r>
    </w:p>
    <w:p>
      <w:pPr>
        <w:spacing w:line="219" w:lineRule="auto"/>
        <w:sectPr>
          <w:footerReference w:type="default" r:id="rId14"/>
          <w:type w:val="nextPage"/>
          <w:pgSz w:w="11907" w:h="16839"/>
          <w:pgMar w:top="1431" w:right="1718" w:bottom="1355" w:left="1785" w:header="0" w:footer="1197" w:gutter="0"/>
          <w:pgNumType w:start="11"/>
          <w:cols w:space="708"/>
          <w:titlePg w:val="0"/>
        </w:sectPr>
      </w:pPr>
    </w:p>
    <w:p>
      <w:pPr>
        <w:pStyle w:val="BodyText"/>
        <w:spacing w:before="124" w:line="220" w:lineRule="auto"/>
        <w:ind w:left="123"/>
      </w:pPr>
      <w:r>
        <w:rPr>
          <w:spacing w:val="-4"/>
        </w:rPr>
        <w:t>重金属的标准规范体系。</w:t>
      </w:r>
    </w:p>
    <w:p>
      <w:pPr>
        <w:spacing w:line="360" w:lineRule="auto"/>
        <w:rPr>
          <w:rFonts w:ascii="Arial"/>
          <w:sz w:val="21"/>
        </w:rPr>
      </w:pPr>
    </w:p>
    <w:p>
      <w:pPr>
        <w:pStyle w:val="BodyText"/>
        <w:spacing w:before="78" w:line="220" w:lineRule="auto"/>
        <w:ind w:left="118"/>
        <w:outlineLvl w:val="0"/>
      </w:pPr>
      <w:r>
        <w:rPr>
          <w:rFonts w:ascii="Times New Roman" w:eastAsia="Times New Roman" w:hAnsi="Times New Roman" w:cs="Times New Roman"/>
          <w:b/>
          <w:bCs/>
          <w:spacing w:val="-5"/>
        </w:rPr>
        <w:t>4.2</w:t>
      </w:r>
      <w:r>
        <w:rPr>
          <w:rFonts w:ascii="Times New Roman" w:eastAsia="Times New Roman" w:hAnsi="Times New Roman" w:cs="Times New Roman"/>
          <w:b/>
          <w:bCs/>
          <w:spacing w:val="17"/>
        </w:rPr>
        <w:t xml:space="preserve">  </w:t>
      </w:r>
      <w:r>
        <w:rPr>
          <w:b/>
          <w:bCs/>
          <w:spacing w:val="-5"/>
        </w:rPr>
        <w:t>国外相关标准情况</w:t>
      </w:r>
    </w:p>
    <w:p>
      <w:pPr>
        <w:spacing w:line="363" w:lineRule="auto"/>
        <w:rPr>
          <w:rFonts w:ascii="Arial"/>
          <w:sz w:val="21"/>
        </w:rPr>
      </w:pPr>
    </w:p>
    <w:p>
      <w:pPr>
        <w:pStyle w:val="BodyText"/>
        <w:spacing w:before="78" w:line="360" w:lineRule="auto"/>
        <w:ind w:left="123" w:right="8" w:firstLine="524"/>
        <w:jc w:val="both"/>
        <w:rPr>
          <w:rFonts w:ascii="Times New Roman" w:eastAsia="Times New Roman" w:hAnsi="Times New Roman" w:cs="Times New Roman"/>
        </w:rPr>
      </w:pPr>
      <w:r>
        <w:rPr>
          <w:spacing w:val="-8"/>
        </w:rPr>
        <w:t>目前，便携式</w:t>
      </w:r>
      <w:r>
        <w:rPr>
          <w:rFonts w:ascii="Times New Roman" w:eastAsia="Times New Roman" w:hAnsi="Times New Roman" w:cs="Times New Roman"/>
          <w:spacing w:val="-8"/>
        </w:rPr>
        <w:t>X</w:t>
      </w:r>
      <w:r>
        <w:rPr>
          <w:rFonts w:ascii="Times New Roman" w:eastAsia="Times New Roman" w:hAnsi="Times New Roman" w:cs="Times New Roman"/>
          <w:spacing w:val="-14"/>
        </w:rPr>
        <w:t xml:space="preserve"> </w:t>
      </w:r>
      <w:r>
        <w:rPr>
          <w:spacing w:val="-8"/>
        </w:rPr>
        <w:t>射线荧光光谱法在美国已列为</w:t>
      </w:r>
      <w:r>
        <w:rPr>
          <w:rFonts w:ascii="Times New Roman" w:eastAsia="Times New Roman" w:hAnsi="Times New Roman" w:cs="Times New Roman"/>
          <w:spacing w:val="-8"/>
        </w:rPr>
        <w:t>EPA</w:t>
      </w:r>
      <w:r>
        <w:rPr>
          <w:rFonts w:ascii="Times New Roman" w:eastAsia="Times New Roman" w:hAnsi="Times New Roman" w:cs="Times New Roman"/>
          <w:spacing w:val="-15"/>
        </w:rPr>
        <w:t xml:space="preserve"> </w:t>
      </w:r>
      <w:r>
        <w:rPr>
          <w:spacing w:val="-8"/>
        </w:rPr>
        <w:t>标准分析方法（</w:t>
      </w:r>
      <w:r>
        <w:rPr>
          <w:rFonts w:ascii="Times New Roman" w:eastAsia="Times New Roman" w:hAnsi="Times New Roman" w:cs="Times New Roman"/>
          <w:spacing w:val="-8"/>
        </w:rPr>
        <w:t>EPA 6</w:t>
      </w:r>
      <w:r>
        <w:rPr>
          <w:rFonts w:ascii="Times New Roman" w:eastAsia="Times New Roman" w:hAnsi="Times New Roman" w:cs="Times New Roman"/>
          <w:spacing w:val="-9"/>
        </w:rPr>
        <w:t>200</w:t>
      </w:r>
      <w:r>
        <w:rPr>
          <w:spacing w:val="-9"/>
        </w:rPr>
        <w:t>）</w:t>
      </w:r>
      <w:r>
        <w:t xml:space="preserve"> </w:t>
      </w:r>
      <w:r>
        <w:rPr>
          <w:spacing w:val="-1"/>
        </w:rPr>
        <w:t>和</w:t>
      </w:r>
      <w:r>
        <w:rPr>
          <w:spacing w:val="-58"/>
        </w:rPr>
        <w:t xml:space="preserve"> </w:t>
      </w:r>
      <w:r>
        <w:rPr>
          <w:rFonts w:ascii="Times New Roman" w:eastAsia="Times New Roman" w:hAnsi="Times New Roman" w:cs="Times New Roman"/>
          <w:spacing w:val="-1"/>
        </w:rPr>
        <w:t xml:space="preserve">ASTM  </w:t>
      </w:r>
      <w:r>
        <w:rPr>
          <w:spacing w:val="-1"/>
        </w:rPr>
        <w:t>标准方法（</w:t>
      </w:r>
      <w:r>
        <w:rPr>
          <w:rFonts w:ascii="Times New Roman" w:eastAsia="Times New Roman" w:hAnsi="Times New Roman" w:cs="Times New Roman"/>
          <w:spacing w:val="-1"/>
        </w:rPr>
        <w:t>ASTM  D8064</w:t>
      </w:r>
      <w:r>
        <w:rPr>
          <w:spacing w:val="-1"/>
        </w:rPr>
        <w:t>），并且国际上也列有</w:t>
      </w:r>
      <w:r>
        <w:rPr>
          <w:spacing w:val="-39"/>
        </w:rPr>
        <w:t xml:space="preserve"> </w:t>
      </w:r>
      <w:r>
        <w:rPr>
          <w:rFonts w:ascii="Times New Roman" w:eastAsia="Times New Roman" w:hAnsi="Times New Roman" w:cs="Times New Roman"/>
          <w:spacing w:val="-1"/>
        </w:rPr>
        <w:t>ISO13</w:t>
      </w:r>
      <w:r>
        <w:rPr>
          <w:rFonts w:ascii="Times New Roman" w:eastAsia="Times New Roman" w:hAnsi="Times New Roman" w:cs="Times New Roman"/>
          <w:spacing w:val="-2"/>
        </w:rPr>
        <w:t xml:space="preserve">196 </w:t>
      </w:r>
      <w:r>
        <w:rPr>
          <w:spacing w:val="-2"/>
        </w:rPr>
        <w:t>标准方法。</w:t>
      </w:r>
      <w:r>
        <w:t xml:space="preserve"> </w:t>
      </w:r>
      <w:r>
        <w:rPr>
          <w:spacing w:val="16"/>
        </w:rPr>
        <w:t xml:space="preserve">欧盟针对废弃物和土壤中重金属元素的 </w:t>
      </w:r>
      <w:r>
        <w:rPr>
          <w:rFonts w:ascii="Times New Roman" w:eastAsia="Times New Roman" w:hAnsi="Times New Roman" w:cs="Times New Roman"/>
          <w:spacing w:val="16"/>
        </w:rPr>
        <w:t xml:space="preserve">X  </w:t>
      </w:r>
      <w:r>
        <w:rPr>
          <w:spacing w:val="16"/>
        </w:rPr>
        <w:t>射线荧光光谱法也有（</w:t>
      </w:r>
      <w:r>
        <w:rPr>
          <w:rFonts w:ascii="Times New Roman" w:eastAsia="Times New Roman" w:hAnsi="Times New Roman" w:cs="Times New Roman"/>
        </w:rPr>
        <w:t>DIN</w:t>
      </w:r>
      <w:r>
        <w:rPr>
          <w:rFonts w:ascii="Times New Roman" w:eastAsia="Times New Roman" w:hAnsi="Times New Roman" w:cs="Times New Roman"/>
          <w:spacing w:val="16"/>
        </w:rPr>
        <w:t xml:space="preserve">  </w:t>
      </w:r>
      <w:r>
        <w:rPr>
          <w:rFonts w:ascii="Times New Roman" w:eastAsia="Times New Roman" w:hAnsi="Times New Roman" w:cs="Times New Roman"/>
        </w:rPr>
        <w:t>EN</w:t>
      </w:r>
    </w:p>
    <w:p>
      <w:pPr>
        <w:pStyle w:val="BodyText"/>
        <w:spacing w:line="220" w:lineRule="auto"/>
        <w:ind w:left="140"/>
      </w:pPr>
      <w:r>
        <w:rPr>
          <w:rFonts w:ascii="Times New Roman" w:eastAsia="Times New Roman" w:hAnsi="Times New Roman" w:cs="Times New Roman"/>
          <w:spacing w:val="-4"/>
        </w:rPr>
        <w:t>15309-2007E</w:t>
      </w:r>
      <w:r>
        <w:rPr>
          <w:spacing w:val="-4"/>
        </w:rPr>
        <w:t>）标准方法。</w:t>
      </w:r>
    </w:p>
    <w:p>
      <w:pPr>
        <w:pStyle w:val="BodyText"/>
        <w:spacing w:before="259" w:line="220" w:lineRule="auto"/>
        <w:ind w:left="118"/>
        <w:outlineLvl w:val="0"/>
        <w:rPr>
          <w:rFonts w:ascii="Times New Roman" w:eastAsia="Times New Roman" w:hAnsi="Times New Roman" w:cs="Times New Roman"/>
        </w:rPr>
      </w:pPr>
      <w:r>
        <w:rPr>
          <w:rFonts w:ascii="Times New Roman" w:eastAsia="Times New Roman" w:hAnsi="Times New Roman" w:cs="Times New Roman"/>
          <w:b/>
          <w:bCs/>
          <w:spacing w:val="-3"/>
        </w:rPr>
        <w:t xml:space="preserve">4.2.1  </w:t>
      </w:r>
      <w:r>
        <w:rPr>
          <w:b/>
          <w:bCs/>
          <w:spacing w:val="-3"/>
        </w:rPr>
        <w:t>美国</w:t>
      </w:r>
      <w:r>
        <w:rPr>
          <w:spacing w:val="-39"/>
        </w:rPr>
        <w:t xml:space="preserve"> </w:t>
      </w:r>
      <w:r>
        <w:rPr>
          <w:rFonts w:ascii="Times New Roman" w:eastAsia="Times New Roman" w:hAnsi="Times New Roman" w:cs="Times New Roman"/>
          <w:b/>
          <w:bCs/>
          <w:spacing w:val="-3"/>
        </w:rPr>
        <w:t>EPA6200</w:t>
      </w:r>
    </w:p>
    <w:p>
      <w:pPr>
        <w:pStyle w:val="BodyText"/>
        <w:spacing w:before="261" w:line="360" w:lineRule="auto"/>
        <w:ind w:left="114" w:right="30" w:firstLine="489"/>
      </w:pPr>
      <w:r>
        <w:rPr>
          <w:spacing w:val="-5"/>
        </w:rPr>
        <w:t>美国环保部门于</w:t>
      </w:r>
      <w:r>
        <w:rPr>
          <w:spacing w:val="-36"/>
        </w:rPr>
        <w:t xml:space="preserve"> </w:t>
      </w:r>
      <w:r>
        <w:rPr>
          <w:rFonts w:ascii="Times New Roman" w:eastAsia="Times New Roman" w:hAnsi="Times New Roman" w:cs="Times New Roman"/>
          <w:spacing w:val="-5"/>
        </w:rPr>
        <w:t xml:space="preserve">2007 </w:t>
      </w:r>
      <w:r>
        <w:rPr>
          <w:spacing w:val="-5"/>
        </w:rPr>
        <w:t>年</w:t>
      </w:r>
      <w:r>
        <w:rPr>
          <w:spacing w:val="-55"/>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15"/>
        </w:rPr>
        <w:t xml:space="preserve"> </w:t>
      </w:r>
      <w:r>
        <w:rPr>
          <w:spacing w:val="-5"/>
        </w:rPr>
        <w:t>月推出了</w:t>
      </w:r>
      <w:r>
        <w:rPr>
          <w:spacing w:val="-55"/>
        </w:rPr>
        <w:t xml:space="preserve"> </w:t>
      </w:r>
      <w:r>
        <w:rPr>
          <w:rFonts w:ascii="Times New Roman" w:eastAsia="Times New Roman" w:hAnsi="Times New Roman" w:cs="Times New Roman"/>
          <w:spacing w:val="-5"/>
        </w:rPr>
        <w:t xml:space="preserve">EPA 6200 </w:t>
      </w:r>
      <w:r>
        <w:rPr>
          <w:spacing w:val="-5"/>
        </w:rPr>
        <w:t xml:space="preserve">方法，该方法是利用能量色散 </w:t>
      </w:r>
      <w:r>
        <w:rPr>
          <w:rFonts w:ascii="Times New Roman" w:eastAsia="Times New Roman" w:hAnsi="Times New Roman" w:cs="Times New Roman"/>
          <w:spacing w:val="-2"/>
        </w:rPr>
        <w:t>X</w:t>
      </w:r>
      <w:r>
        <w:rPr>
          <w:rFonts w:ascii="Times New Roman" w:eastAsia="Times New Roman" w:hAnsi="Times New Roman" w:cs="Times New Roman"/>
          <w:spacing w:val="33"/>
          <w:w w:val="101"/>
        </w:rPr>
        <w:t xml:space="preserve"> </w:t>
      </w:r>
      <w:r>
        <w:rPr>
          <w:spacing w:val="-2"/>
        </w:rPr>
        <w:t>射线荧光光谱法，对土壤和沉积物中</w:t>
      </w:r>
      <w:r>
        <w:rPr>
          <w:spacing w:val="-31"/>
        </w:rPr>
        <w:t xml:space="preserve"> </w:t>
      </w:r>
      <w:r>
        <w:rPr>
          <w:rFonts w:ascii="Times New Roman" w:eastAsia="Times New Roman" w:hAnsi="Times New Roman" w:cs="Times New Roman"/>
          <w:spacing w:val="-2"/>
        </w:rPr>
        <w:t>26</w:t>
      </w:r>
      <w:r>
        <w:rPr>
          <w:rFonts w:ascii="Times New Roman" w:eastAsia="Times New Roman" w:hAnsi="Times New Roman" w:cs="Times New Roman"/>
          <w:spacing w:val="34"/>
        </w:rPr>
        <w:t xml:space="preserve"> </w:t>
      </w:r>
      <w:r>
        <w:rPr>
          <w:spacing w:val="-2"/>
        </w:rPr>
        <w:t xml:space="preserve">种元素（见下表 </w:t>
      </w:r>
      <w:r>
        <w:rPr>
          <w:rFonts w:ascii="Times New Roman" w:eastAsia="Times New Roman" w:hAnsi="Times New Roman" w:cs="Times New Roman"/>
          <w:spacing w:val="-2"/>
        </w:rPr>
        <w:t>1</w:t>
      </w:r>
      <w:r>
        <w:rPr>
          <w:spacing w:val="-3"/>
        </w:rPr>
        <w:t xml:space="preserve">）进行原位和侵入 </w:t>
      </w:r>
      <w:r>
        <w:rPr>
          <w:spacing w:val="-9"/>
        </w:rPr>
        <w:t>性分析，并规定该方法是一种筛选方法，</w:t>
      </w:r>
      <w:r>
        <w:rPr>
          <w:spacing w:val="-44"/>
        </w:rPr>
        <w:t xml:space="preserve"> </w:t>
      </w:r>
      <w:r>
        <w:rPr>
          <w:spacing w:val="-9"/>
        </w:rPr>
        <w:t>和其他定量方法如火焰原子吸</w:t>
      </w:r>
      <w:r>
        <w:rPr>
          <w:spacing w:val="-10"/>
        </w:rPr>
        <w:t>收光谱法、</w:t>
      </w:r>
      <w:r>
        <w:t xml:space="preserve"> </w:t>
      </w:r>
      <w:r>
        <w:t>电感耦合等离子体原子发射光谱或电感耦合等</w:t>
      </w:r>
      <w:r>
        <w:rPr>
          <w:spacing w:val="-1"/>
        </w:rPr>
        <w:t>离子体质谱分析法一起配套使用。</w:t>
      </w:r>
      <w:r>
        <w:t xml:space="preserve"> </w:t>
      </w:r>
      <w:r>
        <w:rPr>
          <w:spacing w:val="1"/>
        </w:rPr>
        <w:t xml:space="preserve">由于不能被场地便携式 </w:t>
      </w:r>
      <w:r>
        <w:rPr>
          <w:rFonts w:ascii="Times New Roman" w:eastAsia="Times New Roman" w:hAnsi="Times New Roman" w:cs="Times New Roman"/>
          <w:spacing w:val="1"/>
        </w:rPr>
        <w:t xml:space="preserve">X  </w:t>
      </w:r>
      <w:r>
        <w:rPr>
          <w:spacing w:val="1"/>
        </w:rPr>
        <w:t>射线应该光谱仪（</w:t>
      </w:r>
      <w:r>
        <w:rPr>
          <w:rFonts w:ascii="Times New Roman" w:eastAsia="Times New Roman" w:hAnsi="Times New Roman" w:cs="Times New Roman"/>
        </w:rPr>
        <w:t>field</w:t>
      </w:r>
      <w:r>
        <w:rPr>
          <w:rFonts w:ascii="Times New Roman" w:eastAsia="Times New Roman" w:hAnsi="Times New Roman" w:cs="Times New Roman"/>
          <w:spacing w:val="1"/>
        </w:rPr>
        <w:t xml:space="preserve"> </w:t>
      </w:r>
      <w:r>
        <w:rPr>
          <w:rFonts w:ascii="Times New Roman" w:eastAsia="Times New Roman" w:hAnsi="Times New Roman" w:cs="Times New Roman"/>
        </w:rPr>
        <w:t xml:space="preserve"> portable  x-ray  fluorescence</w:t>
      </w:r>
      <w:r>
        <w:t>，</w:t>
      </w:r>
    </w:p>
    <w:p>
      <w:pPr>
        <w:pStyle w:val="BodyText"/>
        <w:spacing w:before="1" w:line="219" w:lineRule="auto"/>
        <w:jc w:val="right"/>
      </w:pPr>
      <w:r>
        <w:rPr>
          <w:rFonts w:ascii="Times New Roman" w:eastAsia="Times New Roman" w:hAnsi="Times New Roman" w:cs="Times New Roman"/>
        </w:rPr>
        <w:t>FPXRF</w:t>
      </w:r>
      <w:r>
        <w:t>）所测定，一些轻质元素如锂、铍、钠、镁、铝、硅和磷</w:t>
      </w:r>
      <w:r>
        <w:rPr>
          <w:spacing w:val="-1"/>
        </w:rPr>
        <w:t>未被列入表</w:t>
      </w:r>
      <w:r>
        <w:rPr>
          <w:spacing w:val="-21"/>
        </w:rPr>
        <w:t xml:space="preserve"> </w:t>
      </w:r>
      <w:r>
        <w:rPr>
          <w:rFonts w:ascii="Times New Roman" w:eastAsia="Times New Roman" w:hAnsi="Times New Roman" w:cs="Times New Roman"/>
          <w:spacing w:val="-1"/>
        </w:rPr>
        <w:t>1</w:t>
      </w:r>
      <w:r>
        <w:rPr>
          <w:spacing w:val="-1"/>
        </w:rPr>
        <w:t>。</w:t>
      </w:r>
    </w:p>
    <w:p>
      <w:pPr>
        <w:pStyle w:val="BodyText"/>
        <w:spacing w:before="183" w:line="220" w:lineRule="auto"/>
        <w:ind w:left="2917"/>
      </w:pPr>
      <w:r>
        <w:rPr>
          <w:spacing w:val="-3"/>
        </w:rPr>
        <w:t>表</w:t>
      </w:r>
      <w:r>
        <w:rPr>
          <w:spacing w:val="-19"/>
        </w:rPr>
        <w:t xml:space="preserve"> </w:t>
      </w:r>
      <w:r>
        <w:rPr>
          <w:rFonts w:ascii="Times New Roman" w:eastAsia="Times New Roman" w:hAnsi="Times New Roman" w:cs="Times New Roman"/>
          <w:spacing w:val="-3"/>
        </w:rPr>
        <w:t xml:space="preserve">1 FPXRF </w:t>
      </w:r>
      <w:r>
        <w:rPr>
          <w:spacing w:val="-3"/>
        </w:rPr>
        <w:t>测定的指标一览表</w:t>
      </w:r>
    </w:p>
    <w:tbl>
      <w:tblPr>
        <w:tblStyle w:val="TableNormal0"/>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63"/>
        <w:gridCol w:w="4265"/>
      </w:tblGrid>
      <w:tr>
        <w:tblPrEx>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4263" w:type="dxa"/>
            <w:vAlign w:val="top"/>
          </w:tcPr>
          <w:p>
            <w:pPr>
              <w:spacing w:before="120" w:line="220" w:lineRule="auto"/>
              <w:ind w:left="599"/>
              <w:rPr>
                <w:rFonts w:ascii="SimSun" w:eastAsia="SimSun" w:hAnsi="SimSun" w:cs="SimSun"/>
                <w:sz w:val="24"/>
                <w:szCs w:val="24"/>
              </w:rPr>
            </w:pPr>
            <w:r>
              <w:rPr>
                <w:rFonts w:ascii="SimSun" w:eastAsia="SimSun" w:hAnsi="SimSun" w:cs="SimSun"/>
                <w:spacing w:val="-4"/>
                <w:sz w:val="24"/>
                <w:szCs w:val="24"/>
              </w:rPr>
              <w:t>指标</w:t>
            </w:r>
          </w:p>
        </w:tc>
        <w:tc>
          <w:tcPr>
            <w:tcW w:w="4265" w:type="dxa"/>
            <w:vAlign w:val="top"/>
          </w:tcPr>
          <w:p>
            <w:pPr>
              <w:pStyle w:val="TableText"/>
              <w:spacing w:before="119" w:line="221" w:lineRule="auto"/>
              <w:ind w:left="594"/>
              <w:rPr>
                <w:rFonts w:ascii="SimSun" w:eastAsia="SimSun" w:hAnsi="SimSun" w:cs="SimSun"/>
              </w:rPr>
            </w:pPr>
            <w:r>
              <w:rPr>
                <w:spacing w:val="-3"/>
              </w:rPr>
              <w:t>CAS</w:t>
            </w:r>
            <w:r>
              <w:rPr>
                <w:spacing w:val="18"/>
                <w:w w:val="101"/>
              </w:rPr>
              <w:t xml:space="preserve"> </w:t>
            </w:r>
            <w:r>
              <w:rPr>
                <w:rFonts w:ascii="SimSun" w:eastAsia="SimSun" w:hAnsi="SimSun" w:cs="SimSun"/>
                <w:spacing w:val="-3"/>
              </w:rPr>
              <w:t>号</w:t>
            </w:r>
          </w:p>
        </w:tc>
      </w:tr>
      <w:tr>
        <w:tblPrEx>
          <w:tblW w:w="8528" w:type="dxa"/>
          <w:tblInd w:w="2" w:type="dxa"/>
          <w:tblLayout w:type="fixed"/>
        </w:tblPrEx>
        <w:trPr>
          <w:trHeight w:val="472"/>
        </w:trPr>
        <w:tc>
          <w:tcPr>
            <w:tcW w:w="4263" w:type="dxa"/>
            <w:vAlign w:val="top"/>
          </w:tcPr>
          <w:p>
            <w:pPr>
              <w:pStyle w:val="TableText"/>
              <w:spacing w:before="152" w:line="190" w:lineRule="auto"/>
              <w:ind w:left="602"/>
            </w:pPr>
            <w:r>
              <w:rPr>
                <w:spacing w:val="-4"/>
              </w:rPr>
              <w:t>Sb</w:t>
            </w:r>
          </w:p>
        </w:tc>
        <w:tc>
          <w:tcPr>
            <w:tcW w:w="4265" w:type="dxa"/>
            <w:vAlign w:val="top"/>
          </w:tcPr>
          <w:p>
            <w:pPr>
              <w:pStyle w:val="TableText"/>
              <w:spacing w:before="157" w:line="186" w:lineRule="auto"/>
              <w:ind w:left="594"/>
            </w:pPr>
            <w:r>
              <w:rPr>
                <w:spacing w:val="-2"/>
              </w:rPr>
              <w:t>7440-36-0</w:t>
            </w:r>
          </w:p>
        </w:tc>
      </w:tr>
      <w:tr>
        <w:tblPrEx>
          <w:tblW w:w="8528" w:type="dxa"/>
          <w:tblInd w:w="2" w:type="dxa"/>
          <w:tblLayout w:type="fixed"/>
        </w:tblPrEx>
        <w:trPr>
          <w:trHeight w:val="472"/>
        </w:trPr>
        <w:tc>
          <w:tcPr>
            <w:tcW w:w="4263" w:type="dxa"/>
            <w:vAlign w:val="top"/>
          </w:tcPr>
          <w:p>
            <w:pPr>
              <w:pStyle w:val="TableText"/>
              <w:spacing w:before="157" w:line="186" w:lineRule="auto"/>
              <w:ind w:left="589"/>
            </w:pPr>
            <w:r>
              <w:rPr>
                <w:spacing w:val="-1"/>
              </w:rPr>
              <w:t>As</w:t>
            </w:r>
          </w:p>
        </w:tc>
        <w:tc>
          <w:tcPr>
            <w:tcW w:w="4265" w:type="dxa"/>
            <w:vAlign w:val="top"/>
          </w:tcPr>
          <w:p>
            <w:pPr>
              <w:pStyle w:val="TableText"/>
              <w:spacing w:before="157" w:line="186" w:lineRule="auto"/>
              <w:ind w:left="594"/>
            </w:pPr>
            <w:r>
              <w:rPr>
                <w:spacing w:val="-2"/>
              </w:rPr>
              <w:t>7440-38-0</w:t>
            </w:r>
          </w:p>
        </w:tc>
      </w:tr>
      <w:tr>
        <w:tblPrEx>
          <w:tblW w:w="8528" w:type="dxa"/>
          <w:tblInd w:w="2" w:type="dxa"/>
          <w:tblLayout w:type="fixed"/>
        </w:tblPrEx>
        <w:trPr>
          <w:trHeight w:val="472"/>
        </w:trPr>
        <w:tc>
          <w:tcPr>
            <w:tcW w:w="4263" w:type="dxa"/>
            <w:vAlign w:val="top"/>
          </w:tcPr>
          <w:p>
            <w:pPr>
              <w:pStyle w:val="TableText"/>
              <w:spacing w:before="161" w:line="183" w:lineRule="auto"/>
              <w:ind w:left="591"/>
            </w:pPr>
            <w:r>
              <w:rPr>
                <w:spacing w:val="-2"/>
              </w:rPr>
              <w:t>Ba</w:t>
            </w:r>
          </w:p>
        </w:tc>
        <w:tc>
          <w:tcPr>
            <w:tcW w:w="4265" w:type="dxa"/>
            <w:vAlign w:val="top"/>
          </w:tcPr>
          <w:p>
            <w:pPr>
              <w:pStyle w:val="TableText"/>
              <w:spacing w:before="158" w:line="186" w:lineRule="auto"/>
              <w:ind w:left="594"/>
            </w:pPr>
            <w:r>
              <w:rPr>
                <w:spacing w:val="-2"/>
              </w:rPr>
              <w:t>7440-39-3</w:t>
            </w:r>
          </w:p>
        </w:tc>
      </w:tr>
      <w:tr>
        <w:tblPrEx>
          <w:tblW w:w="8528" w:type="dxa"/>
          <w:tblInd w:w="2" w:type="dxa"/>
          <w:tblLayout w:type="fixed"/>
        </w:tblPrEx>
        <w:trPr>
          <w:trHeight w:val="472"/>
        </w:trPr>
        <w:tc>
          <w:tcPr>
            <w:tcW w:w="4263" w:type="dxa"/>
            <w:vAlign w:val="top"/>
          </w:tcPr>
          <w:p>
            <w:pPr>
              <w:pStyle w:val="TableText"/>
              <w:spacing w:before="154" w:line="190" w:lineRule="auto"/>
              <w:ind w:left="596"/>
            </w:pPr>
            <w:r>
              <w:rPr>
                <w:spacing w:val="-3"/>
              </w:rPr>
              <w:t>Cd</w:t>
            </w:r>
          </w:p>
        </w:tc>
        <w:tc>
          <w:tcPr>
            <w:tcW w:w="4265" w:type="dxa"/>
            <w:vAlign w:val="top"/>
          </w:tcPr>
          <w:p>
            <w:pPr>
              <w:pStyle w:val="TableText"/>
              <w:spacing w:before="159" w:line="186" w:lineRule="auto"/>
              <w:ind w:left="594"/>
            </w:pPr>
            <w:r>
              <w:rPr>
                <w:spacing w:val="-2"/>
              </w:rPr>
              <w:t>7440-43-9</w:t>
            </w:r>
          </w:p>
        </w:tc>
      </w:tr>
      <w:tr>
        <w:tblPrEx>
          <w:tblW w:w="8528" w:type="dxa"/>
          <w:tblInd w:w="2" w:type="dxa"/>
          <w:tblLayout w:type="fixed"/>
        </w:tblPrEx>
        <w:trPr>
          <w:trHeight w:val="475"/>
        </w:trPr>
        <w:tc>
          <w:tcPr>
            <w:tcW w:w="4263" w:type="dxa"/>
            <w:vAlign w:val="top"/>
          </w:tcPr>
          <w:p>
            <w:pPr>
              <w:pStyle w:val="TableText"/>
              <w:spacing w:before="162" w:line="186" w:lineRule="auto"/>
              <w:ind w:left="596"/>
            </w:pPr>
            <w:r>
              <w:rPr>
                <w:spacing w:val="-3"/>
              </w:rPr>
              <w:t>Cr</w:t>
            </w:r>
          </w:p>
        </w:tc>
        <w:tc>
          <w:tcPr>
            <w:tcW w:w="4265" w:type="dxa"/>
            <w:vAlign w:val="top"/>
          </w:tcPr>
          <w:p>
            <w:pPr>
              <w:pStyle w:val="TableText"/>
              <w:spacing w:before="162" w:line="186" w:lineRule="auto"/>
              <w:ind w:left="594"/>
            </w:pPr>
            <w:r>
              <w:rPr>
                <w:spacing w:val="-2"/>
              </w:rPr>
              <w:t>7440-47-3</w:t>
            </w:r>
          </w:p>
        </w:tc>
      </w:tr>
      <w:tr>
        <w:tblPrEx>
          <w:tblW w:w="8528" w:type="dxa"/>
          <w:tblInd w:w="2" w:type="dxa"/>
          <w:tblLayout w:type="fixed"/>
        </w:tblPrEx>
        <w:trPr>
          <w:trHeight w:val="472"/>
        </w:trPr>
        <w:tc>
          <w:tcPr>
            <w:tcW w:w="4263" w:type="dxa"/>
            <w:vAlign w:val="top"/>
          </w:tcPr>
          <w:p>
            <w:pPr>
              <w:pStyle w:val="TableText"/>
              <w:spacing w:before="160" w:line="186" w:lineRule="auto"/>
              <w:ind w:left="596"/>
            </w:pPr>
            <w:r>
              <w:rPr>
                <w:spacing w:val="-3"/>
              </w:rPr>
              <w:t>Co</w:t>
            </w:r>
          </w:p>
        </w:tc>
        <w:tc>
          <w:tcPr>
            <w:tcW w:w="4265" w:type="dxa"/>
            <w:vAlign w:val="top"/>
          </w:tcPr>
          <w:p>
            <w:pPr>
              <w:pStyle w:val="TableText"/>
              <w:spacing w:before="160" w:line="186" w:lineRule="auto"/>
              <w:ind w:left="594"/>
            </w:pPr>
            <w:r>
              <w:rPr>
                <w:spacing w:val="-2"/>
              </w:rPr>
              <w:t>7440-48-4</w:t>
            </w:r>
          </w:p>
        </w:tc>
      </w:tr>
      <w:tr>
        <w:tblPrEx>
          <w:tblW w:w="8528" w:type="dxa"/>
          <w:tblInd w:w="2" w:type="dxa"/>
          <w:tblLayout w:type="fixed"/>
        </w:tblPrEx>
        <w:trPr>
          <w:trHeight w:val="472"/>
        </w:trPr>
        <w:tc>
          <w:tcPr>
            <w:tcW w:w="4263" w:type="dxa"/>
            <w:vAlign w:val="top"/>
          </w:tcPr>
          <w:p>
            <w:pPr>
              <w:pStyle w:val="TableText"/>
              <w:spacing w:before="160" w:line="186" w:lineRule="auto"/>
              <w:ind w:left="596"/>
            </w:pPr>
            <w:r>
              <w:rPr>
                <w:spacing w:val="-3"/>
              </w:rPr>
              <w:t>Cu</w:t>
            </w:r>
          </w:p>
        </w:tc>
        <w:tc>
          <w:tcPr>
            <w:tcW w:w="4265" w:type="dxa"/>
            <w:vAlign w:val="top"/>
          </w:tcPr>
          <w:p>
            <w:pPr>
              <w:pStyle w:val="TableText"/>
              <w:spacing w:before="160" w:line="186" w:lineRule="auto"/>
              <w:ind w:left="594"/>
            </w:pPr>
            <w:r>
              <w:rPr>
                <w:spacing w:val="-2"/>
              </w:rPr>
              <w:t>7440-50-8</w:t>
            </w:r>
          </w:p>
        </w:tc>
      </w:tr>
      <w:tr>
        <w:tblPrEx>
          <w:tblW w:w="8528" w:type="dxa"/>
          <w:tblInd w:w="2" w:type="dxa"/>
          <w:tblLayout w:type="fixed"/>
        </w:tblPrEx>
        <w:trPr>
          <w:trHeight w:val="472"/>
        </w:trPr>
        <w:tc>
          <w:tcPr>
            <w:tcW w:w="4263" w:type="dxa"/>
            <w:vAlign w:val="top"/>
          </w:tcPr>
          <w:p>
            <w:pPr>
              <w:pStyle w:val="TableText"/>
              <w:spacing w:before="156" w:line="190" w:lineRule="auto"/>
              <w:ind w:left="591"/>
            </w:pPr>
            <w:r>
              <w:rPr>
                <w:spacing w:val="-1"/>
              </w:rPr>
              <w:t>Pb</w:t>
            </w:r>
          </w:p>
        </w:tc>
        <w:tc>
          <w:tcPr>
            <w:tcW w:w="4265" w:type="dxa"/>
            <w:vAlign w:val="top"/>
          </w:tcPr>
          <w:p>
            <w:pPr>
              <w:pStyle w:val="TableText"/>
              <w:spacing w:before="161" w:line="186" w:lineRule="auto"/>
              <w:ind w:left="594"/>
            </w:pPr>
            <w:r>
              <w:rPr>
                <w:spacing w:val="-2"/>
              </w:rPr>
              <w:t>7439-92-</w:t>
            </w:r>
            <w:r>
              <w:rPr>
                <w:spacing w:val="-26"/>
              </w:rPr>
              <w:t xml:space="preserve"> </w:t>
            </w:r>
            <w:r>
              <w:rPr>
                <w:spacing w:val="-2"/>
              </w:rPr>
              <w:t>1</w:t>
            </w:r>
          </w:p>
        </w:tc>
      </w:tr>
      <w:tr>
        <w:tblPrEx>
          <w:tblW w:w="8528" w:type="dxa"/>
          <w:tblInd w:w="2" w:type="dxa"/>
          <w:tblLayout w:type="fixed"/>
        </w:tblPrEx>
        <w:trPr>
          <w:trHeight w:val="472"/>
        </w:trPr>
        <w:tc>
          <w:tcPr>
            <w:tcW w:w="4263" w:type="dxa"/>
            <w:vAlign w:val="top"/>
          </w:tcPr>
          <w:p>
            <w:pPr>
              <w:pStyle w:val="TableText"/>
              <w:spacing w:before="157" w:line="190" w:lineRule="auto"/>
              <w:ind w:left="591"/>
            </w:pPr>
            <w:r>
              <w:rPr>
                <w:spacing w:val="-2"/>
              </w:rPr>
              <w:t>Hg</w:t>
            </w:r>
          </w:p>
        </w:tc>
        <w:tc>
          <w:tcPr>
            <w:tcW w:w="4265" w:type="dxa"/>
            <w:vAlign w:val="top"/>
          </w:tcPr>
          <w:p>
            <w:pPr>
              <w:pStyle w:val="TableText"/>
              <w:spacing w:before="162" w:line="186" w:lineRule="auto"/>
              <w:ind w:left="594"/>
            </w:pPr>
            <w:r>
              <w:rPr>
                <w:spacing w:val="-2"/>
              </w:rPr>
              <w:t>7439-97-6</w:t>
            </w:r>
          </w:p>
        </w:tc>
      </w:tr>
    </w:tbl>
    <w:p>
      <w:pPr>
        <w:sectPr>
          <w:footerReference w:type="default" r:id="rId15"/>
          <w:pgSz w:w="11907" w:h="16839"/>
          <w:pgMar w:top="1431" w:right="1685" w:bottom="1357" w:left="1687" w:header="0" w:footer="1197" w:gutter="0"/>
          <w:pgNumType w:start="12"/>
          <w:cols w:space="708"/>
        </w:sectPr>
      </w:pPr>
    </w:p>
    <w:tbl>
      <w:tblPr>
        <w:tblStyle w:val="TableNormal1"/>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63"/>
        <w:gridCol w:w="4265"/>
      </w:tblGrid>
      <w:tr>
        <w:tblPrEx>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3"/>
        </w:trPr>
        <w:tc>
          <w:tcPr>
            <w:tcW w:w="4263" w:type="dxa"/>
            <w:vAlign w:val="top"/>
          </w:tcPr>
          <w:p>
            <w:pPr>
              <w:pStyle w:val="TableText"/>
              <w:spacing w:before="158" w:line="190" w:lineRule="auto"/>
              <w:ind w:left="584"/>
            </w:pPr>
            <w:r>
              <w:rPr>
                <w:spacing w:val="1"/>
              </w:rPr>
              <w:t>Ni</w:t>
            </w:r>
          </w:p>
        </w:tc>
        <w:tc>
          <w:tcPr>
            <w:tcW w:w="4265" w:type="dxa"/>
            <w:vAlign w:val="top"/>
          </w:tcPr>
          <w:p>
            <w:pPr>
              <w:pStyle w:val="TableText"/>
              <w:spacing w:before="162" w:line="186" w:lineRule="auto"/>
              <w:ind w:left="594"/>
            </w:pPr>
            <w:r>
              <w:rPr>
                <w:spacing w:val="-2"/>
              </w:rPr>
              <w:t>7440-49-2</w:t>
            </w:r>
          </w:p>
        </w:tc>
      </w:tr>
      <w:tr>
        <w:tblPrEx>
          <w:tblW w:w="8528" w:type="dxa"/>
          <w:tblInd w:w="2" w:type="dxa"/>
          <w:tblLayout w:type="fixed"/>
        </w:tblPrEx>
        <w:trPr>
          <w:trHeight w:val="475"/>
        </w:trPr>
        <w:tc>
          <w:tcPr>
            <w:tcW w:w="4263" w:type="dxa"/>
            <w:vAlign w:val="top"/>
          </w:tcPr>
          <w:p>
            <w:pPr>
              <w:pStyle w:val="TableText"/>
              <w:spacing w:before="164" w:line="186" w:lineRule="auto"/>
              <w:ind w:left="602"/>
            </w:pPr>
            <w:r>
              <w:rPr>
                <w:spacing w:val="-4"/>
              </w:rPr>
              <w:t>Se</w:t>
            </w:r>
          </w:p>
        </w:tc>
        <w:tc>
          <w:tcPr>
            <w:tcW w:w="4265" w:type="dxa"/>
            <w:vAlign w:val="top"/>
          </w:tcPr>
          <w:p>
            <w:pPr>
              <w:pStyle w:val="TableText"/>
              <w:spacing w:before="164" w:line="186" w:lineRule="auto"/>
              <w:ind w:left="594"/>
            </w:pPr>
            <w:r>
              <w:rPr>
                <w:spacing w:val="-2"/>
              </w:rPr>
              <w:t>7782-49-2</w:t>
            </w:r>
          </w:p>
        </w:tc>
      </w:tr>
      <w:tr>
        <w:tblPrEx>
          <w:tblW w:w="8528" w:type="dxa"/>
          <w:tblInd w:w="2" w:type="dxa"/>
          <w:tblLayout w:type="fixed"/>
        </w:tblPrEx>
        <w:trPr>
          <w:trHeight w:val="473"/>
        </w:trPr>
        <w:tc>
          <w:tcPr>
            <w:tcW w:w="4263" w:type="dxa"/>
            <w:vAlign w:val="top"/>
          </w:tcPr>
          <w:p>
            <w:pPr>
              <w:pStyle w:val="TableText"/>
              <w:spacing w:before="158" w:line="190" w:lineRule="auto"/>
              <w:ind w:left="589"/>
            </w:pPr>
            <w:r>
              <w:rPr>
                <w:spacing w:val="-1"/>
              </w:rPr>
              <w:t>Ag</w:t>
            </w:r>
          </w:p>
        </w:tc>
        <w:tc>
          <w:tcPr>
            <w:tcW w:w="4265" w:type="dxa"/>
            <w:vAlign w:val="top"/>
          </w:tcPr>
          <w:p>
            <w:pPr>
              <w:pStyle w:val="TableText"/>
              <w:spacing w:before="162" w:line="186" w:lineRule="auto"/>
              <w:ind w:left="594"/>
            </w:pPr>
            <w:r>
              <w:rPr>
                <w:spacing w:val="-2"/>
              </w:rPr>
              <w:t>7440-22-4</w:t>
            </w:r>
          </w:p>
        </w:tc>
      </w:tr>
      <w:tr>
        <w:tblPrEx>
          <w:tblW w:w="8528" w:type="dxa"/>
          <w:tblInd w:w="2" w:type="dxa"/>
          <w:tblLayout w:type="fixed"/>
        </w:tblPrEx>
        <w:trPr>
          <w:trHeight w:val="477"/>
        </w:trPr>
        <w:tc>
          <w:tcPr>
            <w:tcW w:w="4263" w:type="dxa"/>
            <w:vAlign w:val="top"/>
          </w:tcPr>
          <w:p>
            <w:pPr>
              <w:pStyle w:val="TableText"/>
              <w:spacing w:before="157" w:line="190" w:lineRule="auto"/>
              <w:ind w:left="594"/>
            </w:pPr>
            <w:r>
              <w:rPr>
                <w:spacing w:val="-3"/>
              </w:rPr>
              <w:t>Tl</w:t>
            </w:r>
          </w:p>
        </w:tc>
        <w:tc>
          <w:tcPr>
            <w:tcW w:w="4265" w:type="dxa"/>
            <w:vAlign w:val="top"/>
          </w:tcPr>
          <w:p>
            <w:pPr>
              <w:pStyle w:val="TableText"/>
              <w:spacing w:before="162" w:line="186" w:lineRule="auto"/>
              <w:ind w:left="594"/>
            </w:pPr>
            <w:r>
              <w:rPr>
                <w:spacing w:val="-2"/>
              </w:rPr>
              <w:t>7440-28-0</w:t>
            </w:r>
          </w:p>
        </w:tc>
      </w:tr>
    </w:tbl>
    <w:p>
      <w:pPr>
        <w:spacing w:line="99" w:lineRule="exact"/>
        <w:rPr>
          <w:rFonts w:ascii="Arial"/>
          <w:sz w:val="8"/>
        </w:rPr>
      </w:pPr>
    </w:p>
    <w:p>
      <w:pPr>
        <w:spacing w:line="99" w:lineRule="exact"/>
        <w:rPr>
          <w:rFonts w:ascii="Arial" w:eastAsia="Arial" w:hAnsi="Arial" w:cs="Arial"/>
          <w:sz w:val="8"/>
          <w:szCs w:val="8"/>
        </w:rPr>
        <w:sectPr>
          <w:footerReference w:type="default" r:id="rId16"/>
          <w:type w:val="nextPage"/>
          <w:pgSz w:w="11907" w:h="16839"/>
          <w:pgMar w:top="1431" w:right="1685" w:bottom="1357" w:left="1687" w:header="0" w:footer="1197" w:gutter="0"/>
          <w:pgNumType w:start="13"/>
          <w:cols w:space="708"/>
          <w:titlePg w:val="0"/>
        </w:sectPr>
      </w:pPr>
    </w:p>
    <w:p>
      <w:pPr>
        <w:spacing w:line="91" w:lineRule="auto"/>
        <w:rPr>
          <w:rFonts w:ascii="Arial"/>
          <w:sz w:val="2"/>
        </w:rPr>
      </w:pPr>
    </w:p>
    <w:tbl>
      <w:tblPr>
        <w:tblStyle w:val="TableNormal2"/>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63"/>
        <w:gridCol w:w="4265"/>
      </w:tblGrid>
      <w:tr>
        <w:tblPrEx>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8"/>
        </w:trPr>
        <w:tc>
          <w:tcPr>
            <w:tcW w:w="4263" w:type="dxa"/>
            <w:vAlign w:val="top"/>
          </w:tcPr>
          <w:p>
            <w:pPr>
              <w:spacing w:before="120" w:line="220" w:lineRule="auto"/>
              <w:ind w:left="599"/>
              <w:rPr>
                <w:rFonts w:ascii="SimSun" w:eastAsia="SimSun" w:hAnsi="SimSun" w:cs="SimSun"/>
                <w:sz w:val="24"/>
                <w:szCs w:val="24"/>
              </w:rPr>
            </w:pPr>
            <w:r>
              <w:rPr>
                <w:rFonts w:ascii="SimSun" w:eastAsia="SimSun" w:hAnsi="SimSun" w:cs="SimSun"/>
                <w:spacing w:val="-4"/>
                <w:sz w:val="24"/>
                <w:szCs w:val="24"/>
              </w:rPr>
              <w:t>指标</w:t>
            </w:r>
          </w:p>
        </w:tc>
        <w:tc>
          <w:tcPr>
            <w:tcW w:w="4265" w:type="dxa"/>
            <w:vAlign w:val="top"/>
          </w:tcPr>
          <w:p>
            <w:pPr>
              <w:pStyle w:val="TableText"/>
              <w:spacing w:before="120" w:line="221" w:lineRule="auto"/>
              <w:ind w:left="594"/>
              <w:rPr>
                <w:rFonts w:ascii="SimSun" w:eastAsia="SimSun" w:hAnsi="SimSun" w:cs="SimSun"/>
              </w:rPr>
            </w:pPr>
            <w:r>
              <w:rPr>
                <w:spacing w:val="-3"/>
              </w:rPr>
              <w:t>CAS</w:t>
            </w:r>
            <w:r>
              <w:rPr>
                <w:spacing w:val="18"/>
                <w:w w:val="101"/>
              </w:rPr>
              <w:t xml:space="preserve"> </w:t>
            </w:r>
            <w:r>
              <w:rPr>
                <w:rFonts w:ascii="SimSun" w:eastAsia="SimSun" w:hAnsi="SimSun" w:cs="SimSun"/>
                <w:spacing w:val="-3"/>
              </w:rPr>
              <w:t>号</w:t>
            </w:r>
          </w:p>
        </w:tc>
      </w:tr>
      <w:tr>
        <w:tblPrEx>
          <w:tblW w:w="8528" w:type="dxa"/>
          <w:tblInd w:w="2" w:type="dxa"/>
          <w:tblLayout w:type="fixed"/>
        </w:tblPrEx>
        <w:trPr>
          <w:trHeight w:val="472"/>
        </w:trPr>
        <w:tc>
          <w:tcPr>
            <w:tcW w:w="4263" w:type="dxa"/>
            <w:vAlign w:val="top"/>
          </w:tcPr>
          <w:p>
            <w:pPr>
              <w:pStyle w:val="TableText"/>
              <w:spacing w:before="156" w:line="186" w:lineRule="auto"/>
              <w:ind w:left="602"/>
            </w:pPr>
            <w:r>
              <w:rPr>
                <w:spacing w:val="-4"/>
              </w:rPr>
              <w:t>Sn</w:t>
            </w:r>
          </w:p>
        </w:tc>
        <w:tc>
          <w:tcPr>
            <w:tcW w:w="4265" w:type="dxa"/>
            <w:vAlign w:val="top"/>
          </w:tcPr>
          <w:p>
            <w:pPr>
              <w:pStyle w:val="TableText"/>
              <w:spacing w:before="156" w:line="186" w:lineRule="auto"/>
              <w:ind w:left="594"/>
            </w:pPr>
            <w:r>
              <w:rPr>
                <w:spacing w:val="-2"/>
              </w:rPr>
              <w:t>7440-31-5</w:t>
            </w:r>
          </w:p>
        </w:tc>
      </w:tr>
      <w:tr>
        <w:tblPrEx>
          <w:tblW w:w="8528" w:type="dxa"/>
          <w:tblInd w:w="2" w:type="dxa"/>
          <w:tblLayout w:type="fixed"/>
        </w:tblPrEx>
        <w:trPr>
          <w:trHeight w:val="472"/>
        </w:trPr>
        <w:tc>
          <w:tcPr>
            <w:tcW w:w="4263" w:type="dxa"/>
            <w:vAlign w:val="top"/>
          </w:tcPr>
          <w:p>
            <w:pPr>
              <w:pStyle w:val="TableText"/>
              <w:spacing w:before="160" w:line="183" w:lineRule="auto"/>
              <w:ind w:left="589"/>
            </w:pPr>
            <w:r>
              <w:t>V</w:t>
            </w:r>
          </w:p>
        </w:tc>
        <w:tc>
          <w:tcPr>
            <w:tcW w:w="4265" w:type="dxa"/>
            <w:vAlign w:val="top"/>
          </w:tcPr>
          <w:p>
            <w:pPr>
              <w:pStyle w:val="TableText"/>
              <w:spacing w:before="157" w:line="186" w:lineRule="auto"/>
              <w:ind w:left="594"/>
            </w:pPr>
            <w:r>
              <w:rPr>
                <w:spacing w:val="-2"/>
              </w:rPr>
              <w:t>7440-62-2</w:t>
            </w:r>
          </w:p>
        </w:tc>
      </w:tr>
      <w:tr>
        <w:tblPrEx>
          <w:tblW w:w="8528" w:type="dxa"/>
          <w:tblInd w:w="2" w:type="dxa"/>
          <w:tblLayout w:type="fixed"/>
        </w:tblPrEx>
        <w:trPr>
          <w:trHeight w:val="475"/>
        </w:trPr>
        <w:tc>
          <w:tcPr>
            <w:tcW w:w="4263" w:type="dxa"/>
            <w:vAlign w:val="top"/>
          </w:tcPr>
          <w:p>
            <w:pPr>
              <w:pStyle w:val="TableText"/>
              <w:spacing w:before="163" w:line="183" w:lineRule="auto"/>
              <w:ind w:left="590"/>
            </w:pPr>
            <w:r>
              <w:rPr>
                <w:spacing w:val="-2"/>
              </w:rPr>
              <w:t>Zn</w:t>
            </w:r>
          </w:p>
        </w:tc>
        <w:tc>
          <w:tcPr>
            <w:tcW w:w="4265" w:type="dxa"/>
            <w:vAlign w:val="top"/>
          </w:tcPr>
          <w:p>
            <w:pPr>
              <w:pStyle w:val="TableText"/>
              <w:spacing w:before="160" w:line="186" w:lineRule="auto"/>
              <w:ind w:left="594"/>
            </w:pPr>
            <w:r>
              <w:rPr>
                <w:spacing w:val="-2"/>
              </w:rPr>
              <w:t>7440-66-6</w:t>
            </w:r>
          </w:p>
        </w:tc>
      </w:tr>
      <w:tr>
        <w:tblPrEx>
          <w:tblW w:w="8528" w:type="dxa"/>
          <w:tblInd w:w="2" w:type="dxa"/>
          <w:tblLayout w:type="fixed"/>
        </w:tblPrEx>
        <w:trPr>
          <w:trHeight w:val="472"/>
        </w:trPr>
        <w:tc>
          <w:tcPr>
            <w:tcW w:w="4263" w:type="dxa"/>
            <w:vAlign w:val="top"/>
          </w:tcPr>
          <w:p>
            <w:pPr>
              <w:pStyle w:val="TableText"/>
              <w:spacing w:before="157" w:line="186" w:lineRule="auto"/>
              <w:ind w:left="596"/>
            </w:pPr>
            <w:r>
              <w:rPr>
                <w:spacing w:val="-3"/>
              </w:rPr>
              <w:t>Ca</w:t>
            </w:r>
          </w:p>
        </w:tc>
        <w:tc>
          <w:tcPr>
            <w:tcW w:w="4265" w:type="dxa"/>
            <w:vAlign w:val="top"/>
          </w:tcPr>
          <w:p>
            <w:pPr>
              <w:pStyle w:val="TableText"/>
              <w:spacing w:before="157" w:line="186" w:lineRule="auto"/>
              <w:ind w:left="594"/>
            </w:pPr>
            <w:r>
              <w:rPr>
                <w:spacing w:val="-2"/>
              </w:rPr>
              <w:t>7440-70-2</w:t>
            </w:r>
          </w:p>
        </w:tc>
      </w:tr>
      <w:tr>
        <w:tblPrEx>
          <w:tblW w:w="8528" w:type="dxa"/>
          <w:tblInd w:w="2" w:type="dxa"/>
          <w:tblLayout w:type="fixed"/>
        </w:tblPrEx>
        <w:trPr>
          <w:trHeight w:val="472"/>
        </w:trPr>
        <w:tc>
          <w:tcPr>
            <w:tcW w:w="4263" w:type="dxa"/>
            <w:vAlign w:val="top"/>
          </w:tcPr>
          <w:p>
            <w:pPr>
              <w:pStyle w:val="TableText"/>
              <w:spacing w:before="161" w:line="183" w:lineRule="auto"/>
              <w:ind w:left="591"/>
            </w:pPr>
            <w:r>
              <w:rPr>
                <w:spacing w:val="-2"/>
              </w:rPr>
              <w:t>Fe</w:t>
            </w:r>
          </w:p>
        </w:tc>
        <w:tc>
          <w:tcPr>
            <w:tcW w:w="4265" w:type="dxa"/>
            <w:vAlign w:val="top"/>
          </w:tcPr>
          <w:p>
            <w:pPr>
              <w:pStyle w:val="TableText"/>
              <w:spacing w:before="158" w:line="186" w:lineRule="auto"/>
              <w:ind w:left="594"/>
            </w:pPr>
            <w:r>
              <w:rPr>
                <w:spacing w:val="-2"/>
              </w:rPr>
              <w:t>7439-89-6</w:t>
            </w:r>
          </w:p>
        </w:tc>
      </w:tr>
      <w:tr>
        <w:tblPrEx>
          <w:tblW w:w="8528" w:type="dxa"/>
          <w:tblInd w:w="2" w:type="dxa"/>
          <w:tblLayout w:type="fixed"/>
        </w:tblPrEx>
        <w:trPr>
          <w:trHeight w:val="472"/>
        </w:trPr>
        <w:tc>
          <w:tcPr>
            <w:tcW w:w="4263" w:type="dxa"/>
            <w:vAlign w:val="top"/>
          </w:tcPr>
          <w:p>
            <w:pPr>
              <w:pStyle w:val="TableText"/>
              <w:spacing w:before="162" w:line="183" w:lineRule="auto"/>
              <w:ind w:left="591"/>
            </w:pPr>
            <w:r>
              <w:rPr>
                <w:spacing w:val="-2"/>
              </w:rPr>
              <w:t>Mn</w:t>
            </w:r>
          </w:p>
        </w:tc>
        <w:tc>
          <w:tcPr>
            <w:tcW w:w="4265" w:type="dxa"/>
            <w:vAlign w:val="top"/>
          </w:tcPr>
          <w:p>
            <w:pPr>
              <w:pStyle w:val="TableText"/>
              <w:spacing w:before="159" w:line="186" w:lineRule="auto"/>
              <w:ind w:left="594"/>
            </w:pPr>
            <w:r>
              <w:rPr>
                <w:spacing w:val="-2"/>
              </w:rPr>
              <w:t>7439-96-5</w:t>
            </w:r>
          </w:p>
        </w:tc>
      </w:tr>
      <w:tr>
        <w:tblPrEx>
          <w:tblW w:w="8528" w:type="dxa"/>
          <w:tblInd w:w="2" w:type="dxa"/>
          <w:tblLayout w:type="fixed"/>
        </w:tblPrEx>
        <w:trPr>
          <w:trHeight w:val="473"/>
        </w:trPr>
        <w:tc>
          <w:tcPr>
            <w:tcW w:w="4263" w:type="dxa"/>
            <w:vAlign w:val="top"/>
          </w:tcPr>
          <w:p>
            <w:pPr>
              <w:pStyle w:val="TableText"/>
              <w:spacing w:before="163" w:line="183" w:lineRule="auto"/>
              <w:ind w:left="591"/>
            </w:pPr>
            <w:r>
              <w:rPr>
                <w:spacing w:val="-2"/>
              </w:rPr>
              <w:t>Mo</w:t>
            </w:r>
          </w:p>
        </w:tc>
        <w:tc>
          <w:tcPr>
            <w:tcW w:w="4265" w:type="dxa"/>
            <w:vAlign w:val="top"/>
          </w:tcPr>
          <w:p>
            <w:pPr>
              <w:pStyle w:val="TableText"/>
              <w:spacing w:before="160" w:line="186" w:lineRule="auto"/>
              <w:ind w:left="594"/>
            </w:pPr>
            <w:r>
              <w:rPr>
                <w:spacing w:val="-2"/>
              </w:rPr>
              <w:t>7439-93-7</w:t>
            </w:r>
          </w:p>
        </w:tc>
      </w:tr>
      <w:tr>
        <w:tblPrEx>
          <w:tblW w:w="8528" w:type="dxa"/>
          <w:tblInd w:w="2" w:type="dxa"/>
          <w:tblLayout w:type="fixed"/>
        </w:tblPrEx>
        <w:trPr>
          <w:trHeight w:val="472"/>
        </w:trPr>
        <w:tc>
          <w:tcPr>
            <w:tcW w:w="4263" w:type="dxa"/>
            <w:vAlign w:val="top"/>
          </w:tcPr>
          <w:p>
            <w:pPr>
              <w:pStyle w:val="TableText"/>
              <w:spacing w:before="163" w:line="183" w:lineRule="auto"/>
              <w:ind w:left="591"/>
            </w:pPr>
            <w:r>
              <w:t>K</w:t>
            </w:r>
          </w:p>
        </w:tc>
        <w:tc>
          <w:tcPr>
            <w:tcW w:w="4265" w:type="dxa"/>
            <w:vAlign w:val="top"/>
          </w:tcPr>
          <w:p>
            <w:pPr>
              <w:pStyle w:val="TableText"/>
              <w:spacing w:before="159" w:line="186" w:lineRule="auto"/>
              <w:ind w:left="594"/>
            </w:pPr>
            <w:r>
              <w:rPr>
                <w:spacing w:val="-2"/>
              </w:rPr>
              <w:t>7440-09-7</w:t>
            </w:r>
          </w:p>
        </w:tc>
      </w:tr>
      <w:tr>
        <w:tblPrEx>
          <w:tblW w:w="8528" w:type="dxa"/>
          <w:tblInd w:w="2" w:type="dxa"/>
          <w:tblLayout w:type="fixed"/>
        </w:tblPrEx>
        <w:trPr>
          <w:trHeight w:val="475"/>
        </w:trPr>
        <w:tc>
          <w:tcPr>
            <w:tcW w:w="4263" w:type="dxa"/>
            <w:vAlign w:val="top"/>
          </w:tcPr>
          <w:p>
            <w:pPr>
              <w:pStyle w:val="TableText"/>
              <w:spacing w:before="158" w:line="190" w:lineRule="auto"/>
              <w:ind w:left="591"/>
            </w:pPr>
            <w:r>
              <w:rPr>
                <w:spacing w:val="-1"/>
              </w:rPr>
              <w:t>Rb</w:t>
            </w:r>
          </w:p>
        </w:tc>
        <w:tc>
          <w:tcPr>
            <w:tcW w:w="4265" w:type="dxa"/>
            <w:vAlign w:val="top"/>
          </w:tcPr>
          <w:p>
            <w:pPr>
              <w:pStyle w:val="TableText"/>
              <w:spacing w:before="162" w:line="186" w:lineRule="auto"/>
              <w:ind w:left="594"/>
            </w:pPr>
            <w:r>
              <w:rPr>
                <w:spacing w:val="-5"/>
              </w:rPr>
              <w:t>7440-</w:t>
            </w:r>
            <w:r>
              <w:rPr>
                <w:spacing w:val="-26"/>
              </w:rPr>
              <w:t xml:space="preserve"> </w:t>
            </w:r>
            <w:r>
              <w:rPr>
                <w:spacing w:val="-5"/>
              </w:rPr>
              <w:t>17-7</w:t>
            </w:r>
          </w:p>
        </w:tc>
      </w:tr>
      <w:tr>
        <w:tblPrEx>
          <w:tblW w:w="8528" w:type="dxa"/>
          <w:tblInd w:w="2" w:type="dxa"/>
          <w:tblLayout w:type="fixed"/>
        </w:tblPrEx>
        <w:trPr>
          <w:trHeight w:val="472"/>
        </w:trPr>
        <w:tc>
          <w:tcPr>
            <w:tcW w:w="4263" w:type="dxa"/>
            <w:vAlign w:val="top"/>
          </w:tcPr>
          <w:p>
            <w:pPr>
              <w:pStyle w:val="TableText"/>
              <w:spacing w:before="160" w:line="186" w:lineRule="auto"/>
              <w:ind w:left="602"/>
            </w:pPr>
            <w:r>
              <w:rPr>
                <w:spacing w:val="-4"/>
              </w:rPr>
              <w:t>Sr</w:t>
            </w:r>
          </w:p>
        </w:tc>
        <w:tc>
          <w:tcPr>
            <w:tcW w:w="4265" w:type="dxa"/>
            <w:vAlign w:val="top"/>
          </w:tcPr>
          <w:p>
            <w:pPr>
              <w:pStyle w:val="TableText"/>
              <w:spacing w:before="160" w:line="186" w:lineRule="auto"/>
              <w:ind w:left="594"/>
            </w:pPr>
            <w:r>
              <w:rPr>
                <w:spacing w:val="-2"/>
              </w:rPr>
              <w:t>7440-24-6</w:t>
            </w:r>
          </w:p>
        </w:tc>
      </w:tr>
      <w:tr>
        <w:tblPrEx>
          <w:tblW w:w="8528" w:type="dxa"/>
          <w:tblInd w:w="2" w:type="dxa"/>
          <w:tblLayout w:type="fixed"/>
        </w:tblPrEx>
        <w:trPr>
          <w:trHeight w:val="472"/>
        </w:trPr>
        <w:tc>
          <w:tcPr>
            <w:tcW w:w="4263" w:type="dxa"/>
            <w:vAlign w:val="top"/>
          </w:tcPr>
          <w:p>
            <w:pPr>
              <w:pStyle w:val="TableText"/>
              <w:spacing w:before="156" w:line="190" w:lineRule="auto"/>
              <w:ind w:left="594"/>
            </w:pPr>
            <w:r>
              <w:rPr>
                <w:spacing w:val="-3"/>
              </w:rPr>
              <w:t>Th</w:t>
            </w:r>
          </w:p>
        </w:tc>
        <w:tc>
          <w:tcPr>
            <w:tcW w:w="4265" w:type="dxa"/>
            <w:vAlign w:val="top"/>
          </w:tcPr>
          <w:p>
            <w:pPr>
              <w:pStyle w:val="TableText"/>
              <w:spacing w:before="161" w:line="186" w:lineRule="auto"/>
              <w:ind w:left="594"/>
            </w:pPr>
            <w:r>
              <w:rPr>
                <w:spacing w:val="-2"/>
              </w:rPr>
              <w:t>7440-29-</w:t>
            </w:r>
            <w:r>
              <w:rPr>
                <w:spacing w:val="-26"/>
              </w:rPr>
              <w:t xml:space="preserve"> </w:t>
            </w:r>
            <w:r>
              <w:rPr>
                <w:spacing w:val="-2"/>
              </w:rPr>
              <w:t>1</w:t>
            </w:r>
          </w:p>
        </w:tc>
      </w:tr>
      <w:tr>
        <w:tblPrEx>
          <w:tblW w:w="8528" w:type="dxa"/>
          <w:tblInd w:w="2" w:type="dxa"/>
          <w:tblLayout w:type="fixed"/>
        </w:tblPrEx>
        <w:trPr>
          <w:trHeight w:val="472"/>
        </w:trPr>
        <w:tc>
          <w:tcPr>
            <w:tcW w:w="4263" w:type="dxa"/>
            <w:vAlign w:val="top"/>
          </w:tcPr>
          <w:p>
            <w:pPr>
              <w:pStyle w:val="TableText"/>
              <w:spacing w:before="157" w:line="190" w:lineRule="auto"/>
              <w:ind w:left="594"/>
            </w:pPr>
            <w:r>
              <w:rPr>
                <w:spacing w:val="-6"/>
              </w:rPr>
              <w:t>Ti</w:t>
            </w:r>
          </w:p>
        </w:tc>
        <w:tc>
          <w:tcPr>
            <w:tcW w:w="4265" w:type="dxa"/>
            <w:vAlign w:val="top"/>
          </w:tcPr>
          <w:p>
            <w:pPr>
              <w:pStyle w:val="TableText"/>
              <w:spacing w:before="161" w:line="186" w:lineRule="auto"/>
              <w:ind w:left="594"/>
            </w:pPr>
            <w:r>
              <w:rPr>
                <w:spacing w:val="-2"/>
              </w:rPr>
              <w:t>7440-32-6</w:t>
            </w:r>
          </w:p>
        </w:tc>
      </w:tr>
      <w:tr>
        <w:tblPrEx>
          <w:tblW w:w="8528" w:type="dxa"/>
          <w:tblInd w:w="2" w:type="dxa"/>
          <w:tblLayout w:type="fixed"/>
        </w:tblPrEx>
        <w:trPr>
          <w:trHeight w:val="478"/>
        </w:trPr>
        <w:tc>
          <w:tcPr>
            <w:tcW w:w="4263" w:type="dxa"/>
            <w:vAlign w:val="top"/>
          </w:tcPr>
          <w:p>
            <w:pPr>
              <w:pStyle w:val="TableText"/>
              <w:spacing w:before="165" w:line="183" w:lineRule="auto"/>
              <w:ind w:left="590"/>
            </w:pPr>
            <w:r>
              <w:rPr>
                <w:spacing w:val="-2"/>
              </w:rPr>
              <w:t>Zr</w:t>
            </w:r>
          </w:p>
        </w:tc>
        <w:tc>
          <w:tcPr>
            <w:tcW w:w="4265" w:type="dxa"/>
            <w:vAlign w:val="top"/>
          </w:tcPr>
          <w:p>
            <w:pPr>
              <w:pStyle w:val="TableText"/>
              <w:spacing w:before="162" w:line="186" w:lineRule="auto"/>
              <w:ind w:left="594"/>
            </w:pPr>
            <w:r>
              <w:rPr>
                <w:spacing w:val="-2"/>
              </w:rPr>
              <w:t>7440-67-7</w:t>
            </w:r>
          </w:p>
        </w:tc>
      </w:tr>
    </w:tbl>
    <w:p>
      <w:pPr>
        <w:pStyle w:val="BodyText"/>
        <w:spacing w:before="115" w:line="360" w:lineRule="auto"/>
        <w:ind w:left="124" w:right="115" w:firstLine="478"/>
      </w:pPr>
      <w:r>
        <w:rPr>
          <w:spacing w:val="-6"/>
        </w:rPr>
        <w:t>方法的灵敏度或检出下限取决于以下主要因素，</w:t>
      </w:r>
      <w:r>
        <w:rPr>
          <w:spacing w:val="-29"/>
        </w:rPr>
        <w:t xml:space="preserve"> </w:t>
      </w:r>
      <w:r>
        <w:rPr>
          <w:spacing w:val="-6"/>
        </w:rPr>
        <w:t>包括目标检测物是什么、使</w:t>
      </w:r>
      <w:r>
        <w:t xml:space="preserve"> </w:t>
      </w:r>
      <w:r>
        <w:rPr>
          <w:spacing w:val="-3"/>
        </w:rPr>
        <w:t>用的检测器、激发源的类型、激发源的能量、测定样品的计数时间、物</w:t>
      </w:r>
      <w:r>
        <w:rPr>
          <w:spacing w:val="-4"/>
        </w:rPr>
        <w:t>理基质影</w:t>
      </w:r>
    </w:p>
    <w:p>
      <w:pPr>
        <w:pStyle w:val="BodyText"/>
        <w:spacing w:before="1" w:line="218" w:lineRule="auto"/>
        <w:ind w:left="134"/>
      </w:pPr>
      <w:r>
        <w:rPr>
          <w:spacing w:val="-2"/>
        </w:rPr>
        <w:t>响、化学基质影响以及元素间光谱干扰，如土壤水分含量、土壤粒径大小等。</w:t>
      </w:r>
    </w:p>
    <w:p>
      <w:pPr>
        <w:pStyle w:val="BodyText"/>
        <w:spacing w:before="183" w:line="360" w:lineRule="auto"/>
        <w:ind w:left="122" w:right="36" w:firstLine="480"/>
      </w:pPr>
      <w:r>
        <w:rPr>
          <w:spacing w:val="-11"/>
        </w:rPr>
        <w:t>方法中，使用的</w:t>
      </w:r>
      <w:r>
        <w:rPr>
          <w:spacing w:val="-56"/>
        </w:rPr>
        <w:t xml:space="preserve"> </w:t>
      </w:r>
      <w:r>
        <w:rPr>
          <w:rFonts w:ascii="Times New Roman" w:eastAsia="Times New Roman" w:hAnsi="Times New Roman" w:cs="Times New Roman"/>
          <w:spacing w:val="-11"/>
        </w:rPr>
        <w:t xml:space="preserve">FPXRF </w:t>
      </w:r>
      <w:r>
        <w:rPr>
          <w:spacing w:val="-11"/>
        </w:rPr>
        <w:t>包含四个主要部件，</w:t>
      </w:r>
      <w:r>
        <w:rPr>
          <w:spacing w:val="-30"/>
        </w:rPr>
        <w:t xml:space="preserve"> </w:t>
      </w:r>
      <w:r>
        <w:rPr>
          <w:spacing w:val="-12"/>
        </w:rPr>
        <w:t>包括</w:t>
      </w:r>
      <w:r>
        <w:rPr>
          <w:spacing w:val="-58"/>
        </w:rPr>
        <w:t xml:space="preserve"> </w:t>
      </w:r>
      <w:r>
        <w:rPr>
          <w:rFonts w:ascii="Times New Roman" w:eastAsia="Times New Roman" w:hAnsi="Times New Roman" w:cs="Times New Roman"/>
          <w:spacing w:val="-12"/>
        </w:rPr>
        <w:t xml:space="preserve">X </w:t>
      </w:r>
      <w:r>
        <w:rPr>
          <w:spacing w:val="-12"/>
        </w:rPr>
        <w:t>射线源、样品装载设备、</w:t>
      </w:r>
      <w:r>
        <w:t xml:space="preserve">  </w:t>
      </w:r>
      <w:r>
        <w:rPr>
          <w:spacing w:val="-4"/>
        </w:rPr>
        <w:t>检测器、数据处理单元。另外， 额外的部件包括研钵和研杵、储存样品的容</w:t>
      </w:r>
      <w:r>
        <w:rPr>
          <w:spacing w:val="-5"/>
        </w:rPr>
        <w:t>器、</w:t>
      </w:r>
    </w:p>
    <w:p>
      <w:pPr>
        <w:pStyle w:val="BodyText"/>
        <w:spacing w:line="219" w:lineRule="auto"/>
        <w:ind w:left="123"/>
      </w:pPr>
      <w:r>
        <w:rPr>
          <w:rFonts w:ascii="Times New Roman" w:eastAsia="Times New Roman" w:hAnsi="Times New Roman" w:cs="Times New Roman"/>
          <w:spacing w:val="-4"/>
        </w:rPr>
        <w:t>60</w:t>
      </w:r>
      <w:r>
        <w:rPr>
          <w:rFonts w:ascii="Times New Roman" w:eastAsia="Times New Roman" w:hAnsi="Times New Roman" w:cs="Times New Roman"/>
          <w:spacing w:val="65"/>
        </w:rPr>
        <w:t xml:space="preserve"> </w:t>
      </w:r>
      <w:r>
        <w:rPr>
          <w:spacing w:val="-4"/>
        </w:rPr>
        <w:t>目的筛子（不锈钢、尼龙等）、泥刀、塑料袋、烘箱等。</w:t>
      </w:r>
    </w:p>
    <w:p>
      <w:pPr>
        <w:pStyle w:val="BodyText"/>
        <w:spacing w:before="183" w:line="360" w:lineRule="auto"/>
        <w:ind w:left="122" w:right="113" w:firstLine="480"/>
      </w:pPr>
      <w:r>
        <w:rPr>
          <w:spacing w:val="-11"/>
        </w:rPr>
        <w:t>方法中，</w:t>
      </w:r>
      <w:r>
        <w:rPr>
          <w:spacing w:val="-27"/>
        </w:rPr>
        <w:t xml:space="preserve"> </w:t>
      </w:r>
      <w:r>
        <w:rPr>
          <w:spacing w:val="-11"/>
        </w:rPr>
        <w:t>可以使用单一元素的标准品进行每个元素响应范围的确定，</w:t>
      </w:r>
      <w:r>
        <w:rPr>
          <w:spacing w:val="42"/>
        </w:rPr>
        <w:t xml:space="preserve"> </w:t>
      </w:r>
      <w:r>
        <w:rPr>
          <w:spacing w:val="-11"/>
        </w:rPr>
        <w:t>以及仪</w:t>
      </w:r>
      <w:r>
        <w:t xml:space="preserve"> </w:t>
      </w:r>
      <w:r>
        <w:rPr>
          <w:spacing w:val="-2"/>
        </w:rPr>
        <w:t xml:space="preserve">器的校准。特定场地校准曲线，需要至少 </w:t>
      </w:r>
      <w:r>
        <w:rPr>
          <w:rFonts w:ascii="Times New Roman" w:eastAsia="Times New Roman" w:hAnsi="Times New Roman" w:cs="Times New Roman"/>
          <w:spacing w:val="-2"/>
        </w:rPr>
        <w:t>10</w:t>
      </w:r>
      <w:r>
        <w:rPr>
          <w:rFonts w:ascii="Times New Roman" w:eastAsia="Times New Roman" w:hAnsi="Times New Roman" w:cs="Times New Roman"/>
          <w:spacing w:val="28"/>
          <w:w w:val="101"/>
        </w:rPr>
        <w:t xml:space="preserve"> </w:t>
      </w:r>
      <w:r>
        <w:rPr>
          <w:spacing w:val="-2"/>
        </w:rPr>
        <w:t>个标准点进行校准，且需要包含该</w:t>
      </w:r>
    </w:p>
    <w:p>
      <w:pPr>
        <w:pStyle w:val="BodyText"/>
        <w:spacing w:line="212" w:lineRule="auto"/>
        <w:ind w:left="121"/>
      </w:pPr>
      <w:r>
        <w:rPr>
          <w:spacing w:val="-8"/>
        </w:rPr>
        <w:t>场地的目标检测物。建议每个校准样品的大小应该为</w:t>
      </w:r>
      <w:r>
        <w:rPr>
          <w:rFonts w:ascii="Times New Roman" w:eastAsia="Times New Roman" w:hAnsi="Times New Roman" w:cs="Times New Roman"/>
          <w:spacing w:val="-8"/>
        </w:rPr>
        <w:t xml:space="preserve">4~8 </w:t>
      </w:r>
      <w:r>
        <w:rPr>
          <w:spacing w:val="-8"/>
        </w:rPr>
        <w:t>盎司（约</w:t>
      </w:r>
      <w:r>
        <w:rPr>
          <w:spacing w:val="-27"/>
        </w:rPr>
        <w:t xml:space="preserve"> </w:t>
      </w:r>
      <w:r>
        <w:rPr>
          <w:rFonts w:ascii="Times New Roman" w:eastAsia="Times New Roman" w:hAnsi="Times New Roman" w:cs="Times New Roman"/>
          <w:spacing w:val="-8"/>
        </w:rPr>
        <w:t>100 g~200 g</w:t>
      </w:r>
      <w:r>
        <w:rPr>
          <w:spacing w:val="-9"/>
        </w:rPr>
        <w:t>）。</w:t>
      </w:r>
    </w:p>
    <w:p>
      <w:pPr>
        <w:pStyle w:val="BodyText"/>
        <w:spacing w:before="192" w:line="360" w:lineRule="auto"/>
        <w:ind w:left="128" w:right="112" w:firstLine="474"/>
        <w:sectPr>
          <w:footerReference w:type="default" r:id="rId17"/>
          <w:pgSz w:w="11907" w:h="16839"/>
          <w:pgMar w:top="1431" w:right="1685" w:bottom="1355" w:left="1687" w:header="0" w:footer="1197" w:gutter="0"/>
          <w:pgNumType w:start="14"/>
          <w:cols w:space="708"/>
        </w:sectPr>
      </w:pPr>
      <w:r>
        <w:rPr>
          <w:spacing w:val="-11"/>
        </w:rPr>
        <w:t>方法规定了校准样品的前期准备过程：</w:t>
      </w:r>
      <w:r>
        <w:rPr>
          <w:spacing w:val="-52"/>
        </w:rPr>
        <w:t xml:space="preserve"> </w:t>
      </w:r>
      <w:r>
        <w:rPr>
          <w:spacing w:val="-11"/>
        </w:rPr>
        <w:t>样品需要在测定</w:t>
      </w:r>
      <w:r>
        <w:rPr>
          <w:spacing w:val="-12"/>
        </w:rPr>
        <w:t>前，</w:t>
      </w:r>
      <w:r>
        <w:rPr>
          <w:spacing w:val="-53"/>
        </w:rPr>
        <w:t xml:space="preserve"> </w:t>
      </w:r>
      <w:r>
        <w:rPr>
          <w:spacing w:val="-12"/>
        </w:rPr>
        <w:t>在</w:t>
      </w:r>
      <w:r>
        <w:rPr>
          <w:spacing w:val="-31"/>
        </w:rPr>
        <w:t xml:space="preserve"> </w:t>
      </w:r>
      <w:r>
        <w:rPr>
          <w:rFonts w:ascii="Times New Roman" w:eastAsia="Times New Roman" w:hAnsi="Times New Roman" w:cs="Times New Roman"/>
          <w:spacing w:val="-12"/>
        </w:rPr>
        <w:t>150℃</w:t>
      </w:r>
      <w:r>
        <w:rPr>
          <w:spacing w:val="-12"/>
        </w:rPr>
        <w:t>烘干</w:t>
      </w:r>
      <w:r>
        <w:rPr>
          <w:spacing w:val="-55"/>
        </w:rPr>
        <w:t xml:space="preserve"> </w:t>
      </w:r>
      <w:r>
        <w:rPr>
          <w:rFonts w:ascii="Times New Roman" w:eastAsia="Times New Roman" w:hAnsi="Times New Roman" w:cs="Times New Roman"/>
          <w:spacing w:val="-12"/>
        </w:rPr>
        <w:t>2~4</w:t>
      </w:r>
      <w:r>
        <w:rPr>
          <w:rFonts w:ascii="Times New Roman" w:eastAsia="Times New Roman" w:hAnsi="Times New Roman" w:cs="Times New Roman"/>
        </w:rPr>
        <w:t xml:space="preserve"> </w:t>
      </w:r>
      <w:r>
        <w:rPr>
          <w:spacing w:val="-12"/>
        </w:rPr>
        <w:t>小时。如果需要测定汞的话，</w:t>
      </w:r>
      <w:r>
        <w:rPr>
          <w:spacing w:val="41"/>
        </w:rPr>
        <w:t xml:space="preserve"> </w:t>
      </w:r>
      <w:r>
        <w:rPr>
          <w:spacing w:val="-12"/>
        </w:rPr>
        <w:t>用室温烘干一份单独的样</w:t>
      </w:r>
      <w:r>
        <w:rPr>
          <w:spacing w:val="-13"/>
        </w:rPr>
        <w:t>品，</w:t>
      </w:r>
      <w:r>
        <w:rPr>
          <w:spacing w:val="37"/>
        </w:rPr>
        <w:t xml:space="preserve"> </w:t>
      </w:r>
      <w:r>
        <w:rPr>
          <w:spacing w:val="-13"/>
        </w:rPr>
        <w:t>进行汞的测定。当样</w:t>
      </w:r>
      <w:r>
        <w:t xml:space="preserve"> </w:t>
      </w:r>
      <w:r>
        <w:rPr>
          <w:spacing w:val="-14"/>
        </w:rPr>
        <w:t>品干燥后， 剔除大的有机残体以及树叶、根系、昆虫、石块等物体，</w:t>
      </w:r>
      <w:r>
        <w:rPr>
          <w:spacing w:val="49"/>
        </w:rPr>
        <w:t xml:space="preserve"> </w:t>
      </w:r>
      <w:r>
        <w:rPr>
          <w:spacing w:val="-14"/>
        </w:rPr>
        <w:t xml:space="preserve">研磨， </w:t>
      </w:r>
      <w:r>
        <w:rPr>
          <w:spacing w:val="-15"/>
        </w:rPr>
        <w:t>全部</w:t>
      </w:r>
    </w:p>
    <w:p>
      <w:pPr>
        <w:pStyle w:val="BodyText"/>
        <w:spacing w:before="1" w:line="219" w:lineRule="auto"/>
        <w:ind w:left="123"/>
      </w:pPr>
      <w:r>
        <w:rPr>
          <w:spacing w:val="-11"/>
        </w:rPr>
        <w:t>过</w:t>
      </w:r>
      <w:r>
        <w:rPr>
          <w:spacing w:val="-45"/>
        </w:rPr>
        <w:t xml:space="preserve"> </w:t>
      </w:r>
      <w:r>
        <w:rPr>
          <w:rFonts w:ascii="Times New Roman" w:eastAsia="Times New Roman" w:hAnsi="Times New Roman" w:cs="Times New Roman"/>
          <w:spacing w:val="-11"/>
        </w:rPr>
        <w:t xml:space="preserve">60  </w:t>
      </w:r>
      <w:r>
        <w:rPr>
          <w:spacing w:val="-11"/>
        </w:rPr>
        <w:t>目过筛。</w:t>
      </w:r>
    </w:p>
    <w:p>
      <w:pPr>
        <w:pStyle w:val="BodyText"/>
        <w:spacing w:before="182" w:line="469" w:lineRule="exact"/>
        <w:ind w:left="600"/>
      </w:pPr>
      <w:r>
        <w:rPr>
          <w:spacing w:val="-6"/>
          <w:position w:val="17"/>
        </w:rPr>
        <w:t>将过筛后的</w:t>
      </w:r>
      <w:r>
        <w:rPr>
          <w:spacing w:val="-19"/>
          <w:position w:val="17"/>
        </w:rPr>
        <w:t xml:space="preserve"> </w:t>
      </w:r>
      <w:r>
        <w:rPr>
          <w:rFonts w:ascii="Times New Roman" w:eastAsia="Times New Roman" w:hAnsi="Times New Roman" w:cs="Times New Roman"/>
          <w:spacing w:val="-6"/>
          <w:position w:val="17"/>
        </w:rPr>
        <w:t>150~200 g</w:t>
      </w:r>
      <w:r>
        <w:rPr>
          <w:rFonts w:ascii="Times New Roman" w:eastAsia="Times New Roman" w:hAnsi="Times New Roman" w:cs="Times New Roman"/>
          <w:spacing w:val="29"/>
          <w:position w:val="17"/>
        </w:rPr>
        <w:t xml:space="preserve"> </w:t>
      </w:r>
      <w:r>
        <w:rPr>
          <w:spacing w:val="-6"/>
          <w:position w:val="17"/>
        </w:rPr>
        <w:t>的土，</w:t>
      </w:r>
      <w:r>
        <w:rPr>
          <w:spacing w:val="-26"/>
          <w:position w:val="17"/>
        </w:rPr>
        <w:t xml:space="preserve"> </w:t>
      </w:r>
      <w:r>
        <w:rPr>
          <w:spacing w:val="-6"/>
          <w:position w:val="17"/>
        </w:rPr>
        <w:t>放置在牛皮纸或其他厚的纸上，使土壤在纸上</w:t>
      </w:r>
    </w:p>
    <w:p>
      <w:pPr>
        <w:pStyle w:val="BodyText"/>
        <w:spacing w:line="212" w:lineRule="auto"/>
        <w:ind w:left="123"/>
      </w:pPr>
      <w:r>
        <w:rPr>
          <w:spacing w:val="-1"/>
        </w:rPr>
        <w:t>来回反复翻动至少</w:t>
      </w:r>
      <w:r>
        <w:rPr>
          <w:spacing w:val="-47"/>
        </w:rPr>
        <w:t xml:space="preserve"> </w:t>
      </w:r>
      <w:r>
        <w:rPr>
          <w:rFonts w:ascii="Times New Roman" w:eastAsia="Times New Roman" w:hAnsi="Times New Roman" w:cs="Times New Roman"/>
          <w:spacing w:val="-1"/>
        </w:rPr>
        <w:t>20</w:t>
      </w:r>
      <w:r>
        <w:rPr>
          <w:rFonts w:ascii="Times New Roman" w:eastAsia="Times New Roman" w:hAnsi="Times New Roman" w:cs="Times New Roman"/>
          <w:spacing w:val="20"/>
          <w:w w:val="101"/>
        </w:rPr>
        <w:t xml:space="preserve"> </w:t>
      </w:r>
      <w:r>
        <w:rPr>
          <w:spacing w:val="-1"/>
        </w:rPr>
        <w:t>次以上，使土壤完全均匀。取其中的</w:t>
      </w:r>
      <w:r>
        <w:rPr>
          <w:spacing w:val="-41"/>
        </w:rPr>
        <w:t xml:space="preserve"> </w:t>
      </w:r>
      <w:r>
        <w:rPr>
          <w:rFonts w:ascii="Times New Roman" w:eastAsia="Times New Roman" w:hAnsi="Times New Roman" w:cs="Times New Roman"/>
          <w:spacing w:val="-1"/>
        </w:rPr>
        <w:t xml:space="preserve">5  g </w:t>
      </w:r>
      <w:r>
        <w:rPr>
          <w:spacing w:val="-1"/>
        </w:rPr>
        <w:t>样品，放置在样</w:t>
      </w:r>
    </w:p>
    <w:p>
      <w:pPr>
        <w:spacing w:line="212" w:lineRule="auto"/>
        <w:sectPr>
          <w:footerReference w:type="default" r:id="rId18"/>
          <w:type w:val="nextPage"/>
          <w:pgSz w:w="11907" w:h="16839"/>
          <w:pgMar w:top="1431" w:right="1685" w:bottom="1355" w:left="1687" w:header="0" w:footer="1197" w:gutter="0"/>
          <w:pgNumType w:start="15"/>
          <w:cols w:space="708"/>
          <w:titlePg w:val="0"/>
        </w:sectPr>
      </w:pPr>
    </w:p>
    <w:p>
      <w:pPr>
        <w:pStyle w:val="BodyText"/>
        <w:spacing w:before="124" w:line="219" w:lineRule="auto"/>
        <w:ind w:left="43"/>
      </w:pPr>
      <w:r>
        <w:rPr>
          <w:spacing w:val="-3"/>
        </w:rPr>
        <w:t>品杯中进行</w:t>
      </w:r>
      <w:r>
        <w:rPr>
          <w:spacing w:val="-56"/>
        </w:rPr>
        <w:t xml:space="preserve"> </w:t>
      </w:r>
      <w:r>
        <w:rPr>
          <w:rFonts w:ascii="Times New Roman" w:eastAsia="Times New Roman" w:hAnsi="Times New Roman" w:cs="Times New Roman"/>
          <w:spacing w:val="-3"/>
        </w:rPr>
        <w:t>FPXRF</w:t>
      </w:r>
      <w:r>
        <w:rPr>
          <w:rFonts w:ascii="Times New Roman" w:eastAsia="Times New Roman" w:hAnsi="Times New Roman" w:cs="Times New Roman"/>
          <w:spacing w:val="28"/>
          <w:w w:val="101"/>
        </w:rPr>
        <w:t xml:space="preserve"> </w:t>
      </w:r>
      <w:r>
        <w:rPr>
          <w:spacing w:val="-3"/>
        </w:rPr>
        <w:t>的测定。剩余的样品，进行实验室内的</w:t>
      </w:r>
      <w:r>
        <w:rPr>
          <w:spacing w:val="-51"/>
        </w:rPr>
        <w:t xml:space="preserve"> </w:t>
      </w:r>
      <w:r>
        <w:rPr>
          <w:rFonts w:ascii="Times New Roman" w:eastAsia="Times New Roman" w:hAnsi="Times New Roman" w:cs="Times New Roman"/>
          <w:spacing w:val="-3"/>
        </w:rPr>
        <w:t xml:space="preserve">ICP </w:t>
      </w:r>
      <w:r>
        <w:rPr>
          <w:spacing w:val="-3"/>
        </w:rPr>
        <w:t>或</w:t>
      </w:r>
      <w:r>
        <w:rPr>
          <w:spacing w:val="-58"/>
        </w:rPr>
        <w:t xml:space="preserve"> </w:t>
      </w:r>
      <w:r>
        <w:rPr>
          <w:rFonts w:ascii="Times New Roman" w:eastAsia="Times New Roman" w:hAnsi="Times New Roman" w:cs="Times New Roman"/>
          <w:spacing w:val="-4"/>
        </w:rPr>
        <w:t>AA</w:t>
      </w:r>
      <w:r>
        <w:rPr>
          <w:rFonts w:ascii="Times New Roman" w:eastAsia="Times New Roman" w:hAnsi="Times New Roman" w:cs="Times New Roman"/>
          <w:spacing w:val="29"/>
        </w:rPr>
        <w:t xml:space="preserve"> </w:t>
      </w:r>
      <w:r>
        <w:rPr>
          <w:spacing w:val="-4"/>
        </w:rPr>
        <w:t>的测定。</w:t>
      </w:r>
    </w:p>
    <w:p>
      <w:pPr>
        <w:pStyle w:val="BodyText"/>
        <w:spacing w:before="183" w:line="468" w:lineRule="exact"/>
        <w:ind w:right="61"/>
        <w:jc w:val="right"/>
      </w:pPr>
      <w:r>
        <w:rPr>
          <w:spacing w:val="-7"/>
          <w:position w:val="17"/>
        </w:rPr>
        <w:t>空白样品， 可以使用干净的石英或二氧化硅。空白样品可以监测是否存在交</w:t>
      </w:r>
    </w:p>
    <w:p>
      <w:pPr>
        <w:pStyle w:val="BodyText"/>
        <w:spacing w:before="1" w:line="218" w:lineRule="auto"/>
        <w:ind w:left="25"/>
      </w:pPr>
      <w:r>
        <w:rPr>
          <w:spacing w:val="-3"/>
        </w:rPr>
        <w:t>叉污染或实验导致的污染或干扰。</w:t>
      </w:r>
    </w:p>
    <w:p>
      <w:pPr>
        <w:pStyle w:val="BodyText"/>
        <w:spacing w:before="183" w:line="360" w:lineRule="auto"/>
        <w:ind w:left="23" w:right="59" w:firstLine="480"/>
      </w:pPr>
      <w:r>
        <w:rPr>
          <w:spacing w:val="-15"/>
        </w:rPr>
        <w:t>方法规定了样品采集、保存和存储， 以及质量控制、校准和标定。方法规定，</w:t>
      </w:r>
      <w:r>
        <w:rPr>
          <w:spacing w:val="4"/>
        </w:rPr>
        <w:t xml:space="preserve"> </w:t>
      </w:r>
      <w:r>
        <w:rPr>
          <w:spacing w:val="-6"/>
        </w:rPr>
        <w:t>每个仪器有自身的校准方法，</w:t>
      </w:r>
      <w:r>
        <w:rPr>
          <w:spacing w:val="-14"/>
        </w:rPr>
        <w:t xml:space="preserve"> </w:t>
      </w:r>
      <w:r>
        <w:rPr>
          <w:spacing w:val="-6"/>
        </w:rPr>
        <w:t>使用本方法时需要根据每个仪器的校准方法进行校</w:t>
      </w:r>
      <w:r>
        <w:t xml:space="preserve"> </w:t>
      </w:r>
      <w:r>
        <w:rPr>
          <w:spacing w:val="-8"/>
        </w:rPr>
        <w:t>准。通常，</w:t>
      </w:r>
      <w:r>
        <w:rPr>
          <w:spacing w:val="53"/>
        </w:rPr>
        <w:t xml:space="preserve"> </w:t>
      </w:r>
      <w:r>
        <w:rPr>
          <w:spacing w:val="-8"/>
        </w:rPr>
        <w:t>使用基本参数校准法、经验校准法和归一化法进行校准。该方法并对</w:t>
      </w:r>
    </w:p>
    <w:p>
      <w:pPr>
        <w:pStyle w:val="BodyText"/>
        <w:spacing w:line="219" w:lineRule="auto"/>
        <w:ind w:left="23"/>
      </w:pPr>
      <w:r>
        <w:rPr>
          <w:spacing w:val="-4"/>
        </w:rPr>
        <w:t>每个校准方法进行了阐述。</w:t>
      </w:r>
    </w:p>
    <w:p>
      <w:pPr>
        <w:pStyle w:val="BodyText"/>
        <w:spacing w:before="183" w:line="360" w:lineRule="auto"/>
        <w:ind w:left="24" w:firstLine="478"/>
        <w:rPr>
          <w:rFonts w:ascii="Times New Roman" w:eastAsia="Times New Roman" w:hAnsi="Times New Roman" w:cs="Times New Roman"/>
        </w:rPr>
      </w:pPr>
      <w:r>
        <w:rPr>
          <w:spacing w:val="-16"/>
        </w:rPr>
        <w:t>对于样品测试过程，</w:t>
      </w:r>
      <w:r>
        <w:rPr>
          <w:spacing w:val="44"/>
        </w:rPr>
        <w:t xml:space="preserve"> </w:t>
      </w:r>
      <w:r>
        <w:rPr>
          <w:spacing w:val="-16"/>
        </w:rPr>
        <w:t>方法规定， 根据每个仪器的使用手册进行使用，</w:t>
      </w:r>
      <w:r>
        <w:rPr>
          <w:spacing w:val="37"/>
        </w:rPr>
        <w:t xml:space="preserve"> </w:t>
      </w:r>
      <w:r>
        <w:rPr>
          <w:spacing w:val="-16"/>
        </w:rPr>
        <w:t>并需进</w:t>
      </w:r>
      <w:r>
        <w:t xml:space="preserve"> </w:t>
      </w:r>
      <w:r>
        <w:rPr>
          <w:spacing w:val="-12"/>
        </w:rPr>
        <w:t>行仪器的预热，</w:t>
      </w:r>
      <w:r>
        <w:rPr>
          <w:spacing w:val="44"/>
        </w:rPr>
        <w:t xml:space="preserve"> </w:t>
      </w:r>
      <w:r>
        <w:rPr>
          <w:spacing w:val="-12"/>
        </w:rPr>
        <w:t>并规定了两种不同的测试模式。对于原位直接检测模式，</w:t>
      </w:r>
      <w:r>
        <w:rPr>
          <w:spacing w:val="31"/>
        </w:rPr>
        <w:t xml:space="preserve"> </w:t>
      </w:r>
      <w:r>
        <w:rPr>
          <w:spacing w:val="-12"/>
        </w:rPr>
        <w:t>在测定</w:t>
      </w:r>
      <w:r>
        <w:t xml:space="preserve"> </w:t>
      </w:r>
      <w:r>
        <w:rPr>
          <w:spacing w:val="-5"/>
        </w:rPr>
        <w:t>前，在土壤测定表面， 剔除大的有机残体以及树叶、根系、昆虫、石块等物体，</w:t>
      </w:r>
      <w:r>
        <w:rPr>
          <w:spacing w:val="14"/>
        </w:rPr>
        <w:t xml:space="preserve"> </w:t>
      </w:r>
      <w:r>
        <w:rPr>
          <w:spacing w:val="-6"/>
        </w:rPr>
        <w:t>并可以使用不锈钢的泥刀，</w:t>
      </w:r>
      <w:r>
        <w:rPr>
          <w:spacing w:val="-15"/>
        </w:rPr>
        <w:t xml:space="preserve"> </w:t>
      </w:r>
      <w:r>
        <w:rPr>
          <w:spacing w:val="-6"/>
        </w:rPr>
        <w:t>使土壤表面尽可能的平整以便于探头可以与测定的表</w:t>
      </w:r>
      <w:r>
        <w:t xml:space="preserve"> </w:t>
      </w:r>
      <w:r>
        <w:rPr>
          <w:spacing w:val="-5"/>
        </w:rPr>
        <w:t>面进行良好的接触。需要注意的是，土壤或者沉积物不能被水饱和。 一般来讲，</w:t>
      </w:r>
      <w:r>
        <w:rPr>
          <w:spacing w:val="14"/>
        </w:rPr>
        <w:t xml:space="preserve"> </w:t>
      </w:r>
      <w:r>
        <w:rPr>
          <w:spacing w:val="-9"/>
        </w:rPr>
        <w:t>土壤水分在</w:t>
      </w:r>
      <w:r>
        <w:rPr>
          <w:spacing w:val="-49"/>
        </w:rPr>
        <w:t xml:space="preserve"> </w:t>
      </w:r>
      <w:r>
        <w:rPr>
          <w:rFonts w:ascii="Times New Roman" w:eastAsia="Times New Roman" w:hAnsi="Times New Roman" w:cs="Times New Roman"/>
          <w:spacing w:val="-9"/>
        </w:rPr>
        <w:t>5%~20%</w:t>
      </w:r>
      <w:r>
        <w:rPr>
          <w:spacing w:val="-9"/>
        </w:rPr>
        <w:t>之间，</w:t>
      </w:r>
      <w:r>
        <w:rPr>
          <w:spacing w:val="-48"/>
        </w:rPr>
        <w:t xml:space="preserve"> </w:t>
      </w:r>
      <w:r>
        <w:rPr>
          <w:spacing w:val="-9"/>
        </w:rPr>
        <w:t>不会影响数据结果</w:t>
      </w:r>
      <w:r>
        <w:rPr>
          <w:spacing w:val="-10"/>
        </w:rPr>
        <w:t>。另一个需要注意的点是，</w:t>
      </w:r>
      <w:r>
        <w:rPr>
          <w:spacing w:val="48"/>
        </w:rPr>
        <w:t xml:space="preserve"> </w:t>
      </w:r>
      <w:r>
        <w:rPr>
          <w:spacing w:val="-10"/>
        </w:rPr>
        <w:t>需要夯</w:t>
      </w:r>
      <w:r>
        <w:t xml:space="preserve"> </w:t>
      </w:r>
      <w:r>
        <w:t>实土壤，以增加土壤密度和紧实度，以便于有良好的重复性</w:t>
      </w:r>
      <w:r>
        <w:rPr>
          <w:spacing w:val="-1"/>
        </w:rPr>
        <w:t xml:space="preserve">和代表性。这对 </w:t>
      </w:r>
      <w:r>
        <w:rPr>
          <w:rFonts w:ascii="Times New Roman" w:eastAsia="Times New Roman" w:hAnsi="Times New Roman" w:cs="Times New Roman"/>
          <w:spacing w:val="-1"/>
        </w:rPr>
        <w:t>Ba</w:t>
      </w:r>
    </w:p>
    <w:p>
      <w:pPr>
        <w:pStyle w:val="BodyText"/>
        <w:spacing w:before="1" w:line="219" w:lineRule="auto"/>
        <w:ind w:left="25"/>
      </w:pPr>
      <w:r>
        <w:rPr>
          <w:spacing w:val="-5"/>
        </w:rPr>
        <w:t>元素的测定尤为重要。</w:t>
      </w:r>
    </w:p>
    <w:p>
      <w:pPr>
        <w:pStyle w:val="BodyText"/>
        <w:spacing w:before="183" w:line="360" w:lineRule="auto"/>
        <w:ind w:left="25" w:right="58" w:firstLine="483"/>
      </w:pPr>
      <w:r>
        <w:rPr>
          <w:spacing w:val="-6"/>
        </w:rPr>
        <w:t>另外一个模式是采集样品放置在样品杯中进行检测，</w:t>
      </w:r>
      <w:r>
        <w:rPr>
          <w:spacing w:val="-27"/>
        </w:rPr>
        <w:t xml:space="preserve"> </w:t>
      </w:r>
      <w:r>
        <w:rPr>
          <w:spacing w:val="-6"/>
        </w:rPr>
        <w:t>该模式测定</w:t>
      </w:r>
      <w:r>
        <w:rPr>
          <w:spacing w:val="-7"/>
        </w:rPr>
        <w:t>的程序与校</w:t>
      </w:r>
      <w:r>
        <w:t xml:space="preserve"> </w:t>
      </w:r>
      <w:r>
        <w:rPr>
          <w:spacing w:val="-9"/>
        </w:rPr>
        <w:t>准样品的过程一致，但土壤的量有所区别，</w:t>
      </w:r>
      <w:r>
        <w:rPr>
          <w:spacing w:val="-41"/>
        </w:rPr>
        <w:t xml:space="preserve"> </w:t>
      </w:r>
      <w:r>
        <w:rPr>
          <w:spacing w:val="-9"/>
        </w:rPr>
        <w:t>如仅需采集</w:t>
      </w:r>
      <w:r>
        <w:rPr>
          <w:rFonts w:ascii="Times New Roman" w:eastAsia="Times New Roman" w:hAnsi="Times New Roman" w:cs="Times New Roman"/>
          <w:spacing w:val="-9"/>
        </w:rPr>
        <w:t xml:space="preserve">20~50 g </w:t>
      </w:r>
      <w:r>
        <w:rPr>
          <w:spacing w:val="-9"/>
        </w:rPr>
        <w:t>的土壤进行烘干，</w:t>
      </w:r>
    </w:p>
    <w:p>
      <w:pPr>
        <w:pStyle w:val="BodyText"/>
        <w:spacing w:line="212" w:lineRule="auto"/>
        <w:ind w:left="26"/>
      </w:pPr>
      <w:r>
        <w:rPr>
          <w:spacing w:val="-4"/>
        </w:rPr>
        <w:t>或者使用</w:t>
      </w:r>
      <w:r>
        <w:rPr>
          <w:spacing w:val="-20"/>
        </w:rPr>
        <w:t xml:space="preserve"> </w:t>
      </w:r>
      <w:r>
        <w:rPr>
          <w:rFonts w:ascii="Times New Roman" w:eastAsia="Times New Roman" w:hAnsi="Times New Roman" w:cs="Times New Roman"/>
          <w:spacing w:val="-4"/>
        </w:rPr>
        <w:t xml:space="preserve">10~20 g </w:t>
      </w:r>
      <w:r>
        <w:rPr>
          <w:spacing w:val="-4"/>
        </w:rPr>
        <w:t>土壤在室温下晾干。</w:t>
      </w:r>
    </w:p>
    <w:p>
      <w:pPr>
        <w:pStyle w:val="BodyText"/>
        <w:spacing w:before="192" w:line="360" w:lineRule="auto"/>
        <w:ind w:left="24" w:right="58" w:firstLine="479"/>
      </w:pPr>
      <w:r>
        <w:rPr>
          <w:spacing w:val="-1"/>
        </w:rPr>
        <w:t xml:space="preserve">标准还提供了不同元素的检测下限、不同 </w:t>
      </w:r>
      <w:r>
        <w:rPr>
          <w:rFonts w:ascii="Times New Roman" w:eastAsia="Times New Roman" w:hAnsi="Times New Roman" w:cs="Times New Roman"/>
          <w:spacing w:val="-1"/>
        </w:rPr>
        <w:t>X</w:t>
      </w:r>
      <w:r>
        <w:rPr>
          <w:rFonts w:ascii="Times New Roman" w:eastAsia="Times New Roman" w:hAnsi="Times New Roman" w:cs="Times New Roman"/>
          <w:spacing w:val="57"/>
          <w:w w:val="101"/>
        </w:rPr>
        <w:t xml:space="preserve"> </w:t>
      </w:r>
      <w:r>
        <w:rPr>
          <w:spacing w:val="-1"/>
        </w:rPr>
        <w:t>射线管的特性、不同仪器</w:t>
      </w:r>
      <w:r>
        <w:rPr>
          <w:spacing w:val="-2"/>
        </w:rPr>
        <w:t>的精</w:t>
      </w:r>
      <w:r>
        <w:t xml:space="preserve"> </w:t>
      </w:r>
      <w:r>
        <w:rPr>
          <w:spacing w:val="-3"/>
        </w:rPr>
        <w:t>密度、不同样品准备方法下的精密度、不同仪器之间的准确度、同一仪器不同标</w:t>
      </w:r>
    </w:p>
    <w:p>
      <w:pPr>
        <w:pStyle w:val="BodyText"/>
        <w:spacing w:before="1" w:line="219" w:lineRule="auto"/>
        <w:ind w:left="25"/>
      </w:pPr>
      <w:r>
        <w:rPr>
          <w:spacing w:val="-3"/>
        </w:rPr>
        <w:t>准物质中不同元素的准确度等资料。</w:t>
      </w:r>
    </w:p>
    <w:p>
      <w:pPr>
        <w:pStyle w:val="BodyText"/>
        <w:spacing w:before="260" w:line="220" w:lineRule="auto"/>
        <w:ind w:left="20"/>
        <w:outlineLvl w:val="0"/>
        <w:rPr>
          <w:rFonts w:ascii="Times New Roman" w:eastAsia="Times New Roman" w:hAnsi="Times New Roman" w:cs="Times New Roman"/>
        </w:rPr>
      </w:pPr>
      <w:r>
        <w:rPr>
          <w:rFonts w:ascii="Times New Roman" w:eastAsia="Times New Roman" w:hAnsi="Times New Roman" w:cs="Times New Roman"/>
          <w:b/>
          <w:bCs/>
          <w:spacing w:val="-1"/>
        </w:rPr>
        <w:t xml:space="preserve">4.2.2  </w:t>
      </w:r>
      <w:r>
        <w:rPr>
          <w:b/>
          <w:bCs/>
          <w:spacing w:val="-1"/>
        </w:rPr>
        <w:t>美国</w:t>
      </w:r>
      <w:r>
        <w:rPr>
          <w:spacing w:val="-49"/>
        </w:rPr>
        <w:t xml:space="preserve"> </w:t>
      </w:r>
      <w:r>
        <w:rPr>
          <w:rFonts w:ascii="Times New Roman" w:eastAsia="Times New Roman" w:hAnsi="Times New Roman" w:cs="Times New Roman"/>
          <w:b/>
          <w:bCs/>
          <w:spacing w:val="-1"/>
        </w:rPr>
        <w:t>ASTM D8064</w:t>
      </w:r>
    </w:p>
    <w:p>
      <w:pPr>
        <w:spacing w:before="298" w:line="407" w:lineRule="auto"/>
        <w:ind w:left="18" w:right="53" w:firstLine="490"/>
        <w:jc w:val="bot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Standard  Test  Method</w:t>
      </w:r>
      <w:r>
        <w:rPr>
          <w:rFonts w:ascii="Times New Roman" w:eastAsia="Times New Roman" w:hAnsi="Times New Roman" w:cs="Times New Roman"/>
          <w:spacing w:val="20"/>
          <w:w w:val="101"/>
          <w:sz w:val="24"/>
          <w:szCs w:val="24"/>
        </w:rPr>
        <w:t xml:space="preserve">  </w:t>
      </w:r>
      <w:r>
        <w:rPr>
          <w:rFonts w:ascii="Times New Roman" w:eastAsia="Times New Roman" w:hAnsi="Times New Roman" w:cs="Times New Roman"/>
          <w:spacing w:val="-1"/>
          <w:sz w:val="24"/>
          <w:szCs w:val="24"/>
        </w:rPr>
        <w:t>for</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1"/>
          <w:sz w:val="24"/>
          <w:szCs w:val="24"/>
        </w:rPr>
        <w:t>Elemental</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1"/>
          <w:sz w:val="24"/>
          <w:szCs w:val="24"/>
        </w:rPr>
        <w:t>Analysis</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1"/>
          <w:sz w:val="24"/>
          <w:szCs w:val="24"/>
        </w:rPr>
        <w:t>of  Soil</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1"/>
          <w:sz w:val="24"/>
          <w:szCs w:val="24"/>
        </w:rPr>
        <w:t>and   Solid  Waste  by</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Monochromatic</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z w:val="24"/>
          <w:szCs w:val="24"/>
        </w:rPr>
        <w:t>Energy</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z w:val="24"/>
          <w:szCs w:val="24"/>
        </w:rPr>
        <w:t>Dispersive</w:t>
      </w:r>
      <w:r>
        <w:rPr>
          <w:rFonts w:ascii="Times New Roman" w:eastAsia="Times New Roman" w:hAnsi="Times New Roman" w:cs="Times New Roman"/>
          <w:spacing w:val="17"/>
          <w:w w:val="101"/>
          <w:sz w:val="24"/>
          <w:szCs w:val="24"/>
        </w:rPr>
        <w:t xml:space="preserve"> </w:t>
      </w:r>
      <w:r>
        <w:rPr>
          <w:rFonts w:ascii="Times New Roman" w:eastAsia="Times New Roman" w:hAnsi="Times New Roman" w:cs="Times New Roman"/>
          <w:sz w:val="24"/>
          <w:szCs w:val="24"/>
        </w:rPr>
        <w:t>X-ray</w:t>
      </w:r>
      <w:r>
        <w:rPr>
          <w:rFonts w:ascii="Times New Roman" w:eastAsia="Times New Roman" w:hAnsi="Times New Roman" w:cs="Times New Roman"/>
          <w:spacing w:val="18"/>
          <w:sz w:val="24"/>
          <w:szCs w:val="24"/>
        </w:rPr>
        <w:t xml:space="preserve"> </w:t>
      </w:r>
      <w:r>
        <w:rPr>
          <w:rFonts w:ascii="Times New Roman" w:eastAsia="Times New Roman" w:hAnsi="Times New Roman" w:cs="Times New Roman"/>
          <w:sz w:val="24"/>
          <w:szCs w:val="24"/>
        </w:rPr>
        <w:t>Fl</w:t>
      </w:r>
      <w:r>
        <w:rPr>
          <w:rFonts w:ascii="Times New Roman" w:eastAsia="Times New Roman" w:hAnsi="Times New Roman" w:cs="Times New Roman"/>
          <w:spacing w:val="-1"/>
          <w:sz w:val="24"/>
          <w:szCs w:val="24"/>
        </w:rPr>
        <w:t>uorescence</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1"/>
          <w:sz w:val="24"/>
          <w:szCs w:val="24"/>
        </w:rPr>
        <w:t>Spectrometry</w:t>
      </w:r>
      <w:r>
        <w:rPr>
          <w:rFonts w:ascii="Times New Roman" w:eastAsia="Times New Roman" w:hAnsi="Times New Roman" w:cs="Times New Roman"/>
          <w:spacing w:val="15"/>
          <w:sz w:val="24"/>
          <w:szCs w:val="24"/>
        </w:rPr>
        <w:t xml:space="preserve"> </w:t>
      </w:r>
      <w:r>
        <w:rPr>
          <w:rFonts w:ascii="Times New Roman" w:eastAsia="Times New Roman" w:hAnsi="Times New Roman" w:cs="Times New Roman"/>
          <w:spacing w:val="-1"/>
          <w:sz w:val="24"/>
          <w:szCs w:val="24"/>
        </w:rPr>
        <w:t>Using</w:t>
      </w:r>
      <w:r>
        <w:rPr>
          <w:rFonts w:ascii="Times New Roman" w:eastAsia="Times New Roman" w:hAnsi="Times New Roman" w:cs="Times New Roman"/>
          <w:spacing w:val="18"/>
          <w:w w:val="101"/>
          <w:sz w:val="24"/>
          <w:szCs w:val="24"/>
        </w:rPr>
        <w:t xml:space="preserve"> </w:t>
      </w:r>
      <w:r>
        <w:rPr>
          <w:rFonts w:ascii="Times New Roman" w:eastAsia="Times New Roman" w:hAnsi="Times New Roman" w:cs="Times New Roman"/>
          <w:spacing w:val="-1"/>
          <w:sz w:val="24"/>
          <w:szCs w:val="24"/>
        </w:rPr>
        <w:t>Multiple</w:t>
      </w:r>
    </w:p>
    <w:p>
      <w:pPr>
        <w:spacing w:before="1" w:line="190" w:lineRule="auto"/>
        <w:ind w:left="18"/>
        <w:rPr>
          <w:rFonts w:ascii="Times New Roman" w:eastAsia="Times New Roman" w:hAnsi="Times New Roman" w:cs="Times New Roman"/>
          <w:sz w:val="24"/>
          <w:szCs w:val="24"/>
        </w:rPr>
        <w:sectPr>
          <w:footerReference w:type="default" r:id="rId19"/>
          <w:pgSz w:w="11907" w:h="16839"/>
          <w:pgMar w:top="1431" w:right="1740" w:bottom="1357" w:left="1785" w:header="0" w:footer="1197" w:gutter="0"/>
          <w:pgNumType w:start="16"/>
          <w:cols w:space="708"/>
        </w:sectPr>
      </w:pPr>
      <w:r>
        <w:rPr>
          <w:rFonts w:ascii="Times New Roman" w:eastAsia="Times New Roman" w:hAnsi="Times New Roman" w:cs="Times New Roman"/>
          <w:sz w:val="24"/>
          <w:szCs w:val="24"/>
        </w:rPr>
        <w:t>Monochromatic Excitation Beams (ASTM D</w:t>
      </w:r>
      <w:r>
        <w:rPr>
          <w:rFonts w:ascii="Times New Roman" w:eastAsia="Times New Roman" w:hAnsi="Times New Roman" w:cs="Times New Roman"/>
          <w:spacing w:val="-1"/>
          <w:sz w:val="24"/>
          <w:szCs w:val="24"/>
        </w:rPr>
        <w:t>8064)</w:t>
      </w:r>
    </w:p>
    <w:p>
      <w:pPr>
        <w:pStyle w:val="BodyText"/>
        <w:spacing w:before="212" w:line="360" w:lineRule="auto"/>
        <w:ind w:left="23" w:right="58" w:firstLine="472"/>
        <w:jc w:val="both"/>
      </w:pPr>
      <w:r>
        <w:rPr>
          <w:rFonts w:ascii="Times New Roman" w:eastAsia="Times New Roman" w:hAnsi="Times New Roman" w:cs="Times New Roman"/>
        </w:rPr>
        <w:t>ASTM</w:t>
      </w:r>
      <w:r>
        <w:rPr>
          <w:rFonts w:ascii="Times New Roman" w:eastAsia="Times New Roman" w:hAnsi="Times New Roman" w:cs="Times New Roman"/>
          <w:spacing w:val="30"/>
          <w:w w:val="101"/>
        </w:rPr>
        <w:t xml:space="preserve"> </w:t>
      </w:r>
      <w:r>
        <w:rPr>
          <w:rFonts w:ascii="Times New Roman" w:eastAsia="Times New Roman" w:hAnsi="Times New Roman" w:cs="Times New Roman"/>
        </w:rPr>
        <w:t xml:space="preserve">D8064 </w:t>
      </w:r>
      <w:r>
        <w:t>于</w:t>
      </w:r>
      <w:r>
        <w:rPr>
          <w:spacing w:val="-55"/>
        </w:rPr>
        <w:t xml:space="preserve"> </w:t>
      </w:r>
      <w:r>
        <w:rPr>
          <w:rFonts w:ascii="Times New Roman" w:eastAsia="Times New Roman" w:hAnsi="Times New Roman" w:cs="Times New Roman"/>
        </w:rPr>
        <w:t xml:space="preserve">2016 </w:t>
      </w:r>
      <w:r>
        <w:t>年正式发布，是采用多个</w:t>
      </w:r>
      <w:r>
        <w:rPr>
          <w:spacing w:val="-1"/>
        </w:rPr>
        <w:t>单色激发光束，通过单色能</w:t>
      </w:r>
      <w:r>
        <w:t xml:space="preserve"> </w:t>
      </w:r>
      <w:r>
        <w:rPr>
          <w:spacing w:val="-1"/>
        </w:rPr>
        <w:t xml:space="preserve">量色散 </w:t>
      </w:r>
      <w:r>
        <w:rPr>
          <w:rFonts w:ascii="Times New Roman" w:eastAsia="Times New Roman" w:hAnsi="Times New Roman" w:cs="Times New Roman"/>
          <w:spacing w:val="-1"/>
        </w:rPr>
        <w:t>X</w:t>
      </w:r>
      <w:r>
        <w:rPr>
          <w:rFonts w:ascii="Times New Roman" w:eastAsia="Times New Roman" w:hAnsi="Times New Roman" w:cs="Times New Roman"/>
          <w:spacing w:val="57"/>
        </w:rPr>
        <w:t xml:space="preserve"> </w:t>
      </w:r>
      <w:r>
        <w:rPr>
          <w:spacing w:val="-1"/>
        </w:rPr>
        <w:t>射线荧光光谱法，分析土壤和固体废物的元素。此测试方法适用于各</w:t>
      </w:r>
      <w:r>
        <w:t xml:space="preserve"> </w:t>
      </w:r>
      <w:r>
        <w:rPr>
          <w:spacing w:val="-1"/>
        </w:rPr>
        <w:t>种土壤基质，用于测定含量在</w:t>
      </w:r>
      <w:r>
        <w:rPr>
          <w:spacing w:val="-31"/>
        </w:rPr>
        <w:t xml:space="preserve"> </w:t>
      </w:r>
      <w:r>
        <w:rPr>
          <w:rFonts w:ascii="Times New Roman" w:eastAsia="Times New Roman" w:hAnsi="Times New Roman" w:cs="Times New Roman"/>
          <w:spacing w:val="-1"/>
        </w:rPr>
        <w:t>1~5 000 mg/kg</w:t>
      </w:r>
      <w:r>
        <w:rPr>
          <w:rFonts w:ascii="Times New Roman" w:eastAsia="Times New Roman" w:hAnsi="Times New Roman" w:cs="Times New Roman"/>
          <w:spacing w:val="16"/>
          <w:w w:val="101"/>
        </w:rPr>
        <w:t xml:space="preserve"> </w:t>
      </w:r>
      <w:r>
        <w:rPr>
          <w:spacing w:val="-1"/>
        </w:rPr>
        <w:t>范围内的</w:t>
      </w:r>
      <w:r>
        <w:rPr>
          <w:spacing w:val="-2"/>
        </w:rPr>
        <w:t>铬、镍、砷、镉、汞和铅</w:t>
      </w:r>
    </w:p>
    <w:p>
      <w:pPr>
        <w:pStyle w:val="BodyText"/>
        <w:spacing w:before="1" w:line="218" w:lineRule="auto"/>
        <w:ind w:left="25"/>
      </w:pPr>
      <w:r>
        <w:rPr>
          <w:spacing w:val="-9"/>
        </w:rPr>
        <w:t>元素，</w:t>
      </w:r>
      <w:r>
        <w:rPr>
          <w:spacing w:val="-18"/>
        </w:rPr>
        <w:t xml:space="preserve"> </w:t>
      </w:r>
      <w:r>
        <w:rPr>
          <w:spacing w:val="-9"/>
        </w:rPr>
        <w:t>如表</w:t>
      </w:r>
      <w:r>
        <w:rPr>
          <w:spacing w:val="-55"/>
        </w:rPr>
        <w:t xml:space="preserve"> </w:t>
      </w:r>
      <w:r>
        <w:rPr>
          <w:rFonts w:ascii="Times New Roman" w:eastAsia="Times New Roman" w:hAnsi="Times New Roman" w:cs="Times New Roman"/>
          <w:spacing w:val="-9"/>
        </w:rPr>
        <w:t xml:space="preserve">2 </w:t>
      </w:r>
      <w:r>
        <w:rPr>
          <w:spacing w:val="-9"/>
        </w:rPr>
        <w:t>所示， 并使用代表性样品进行耐用性研究来确定。各种元素的检出</w:t>
      </w:r>
    </w:p>
    <w:p>
      <w:pPr>
        <w:spacing w:line="218" w:lineRule="auto"/>
        <w:sectPr>
          <w:footerReference w:type="default" r:id="rId20"/>
          <w:type w:val="nextPage"/>
          <w:pgSz w:w="11907" w:h="16839"/>
          <w:pgMar w:top="1431" w:right="1740" w:bottom="1357" w:left="1785" w:header="0" w:footer="1197" w:gutter="0"/>
          <w:pgNumType w:start="17"/>
          <w:cols w:space="708"/>
          <w:titlePg w:val="0"/>
        </w:sectPr>
      </w:pPr>
    </w:p>
    <w:p>
      <w:pPr>
        <w:pStyle w:val="BodyText"/>
        <w:spacing w:before="124" w:line="360" w:lineRule="auto"/>
        <w:ind w:left="124" w:right="108" w:firstLine="14"/>
        <w:rPr>
          <w:rFonts w:ascii="Times New Roman" w:eastAsia="Times New Roman" w:hAnsi="Times New Roman" w:cs="Times New Roman"/>
        </w:rPr>
      </w:pPr>
      <w:r>
        <w:rPr>
          <w:spacing w:val="-4"/>
        </w:rPr>
        <w:t>限</w:t>
      </w:r>
      <w:r>
        <w:rPr>
          <w:rFonts w:ascii="Times New Roman" w:eastAsia="Times New Roman" w:hAnsi="Times New Roman" w:cs="Times New Roman"/>
          <w:spacing w:val="-4"/>
        </w:rPr>
        <w:t>(LOD)</w:t>
      </w:r>
      <w:r>
        <w:rPr>
          <w:spacing w:val="-4"/>
        </w:rPr>
        <w:t>如表</w:t>
      </w:r>
      <w:r>
        <w:rPr>
          <w:spacing w:val="-47"/>
        </w:rPr>
        <w:t xml:space="preserve"> </w:t>
      </w:r>
      <w:r>
        <w:rPr>
          <w:rFonts w:ascii="Times New Roman" w:eastAsia="Times New Roman" w:hAnsi="Times New Roman" w:cs="Times New Roman"/>
          <w:spacing w:val="-4"/>
        </w:rPr>
        <w:t xml:space="preserve">2 </w:t>
      </w:r>
      <w:r>
        <w:rPr>
          <w:spacing w:val="-4"/>
        </w:rPr>
        <w:t>所示。通过测量</w:t>
      </w:r>
      <w:r>
        <w:rPr>
          <w:spacing w:val="-44"/>
        </w:rPr>
        <w:t xml:space="preserve"> </w:t>
      </w:r>
      <w:r>
        <w:rPr>
          <w:rFonts w:ascii="Times New Roman" w:eastAsia="Times New Roman" w:hAnsi="Times New Roman" w:cs="Times New Roman"/>
          <w:spacing w:val="-4"/>
        </w:rPr>
        <w:t>SiO2</w:t>
      </w:r>
      <w:r>
        <w:rPr>
          <w:rFonts w:ascii="Times New Roman" w:eastAsia="Times New Roman" w:hAnsi="Times New Roman" w:cs="Times New Roman"/>
          <w:spacing w:val="17"/>
        </w:rPr>
        <w:t xml:space="preserve"> </w:t>
      </w:r>
      <w:r>
        <w:rPr>
          <w:spacing w:val="-4"/>
        </w:rPr>
        <w:t>空白样品来估计</w:t>
      </w:r>
      <w:r>
        <w:rPr>
          <w:spacing w:val="-53"/>
        </w:rPr>
        <w:t xml:space="preserve"> </w:t>
      </w:r>
      <w:r>
        <w:rPr>
          <w:rFonts w:ascii="Times New Roman" w:eastAsia="Times New Roman" w:hAnsi="Times New Roman" w:cs="Times New Roman"/>
          <w:spacing w:val="-4"/>
        </w:rPr>
        <w:t>LOD</w:t>
      </w:r>
      <w:r>
        <w:rPr>
          <w:rFonts w:ascii="Times New Roman" w:eastAsia="Times New Roman" w:hAnsi="Times New Roman" w:cs="Times New Roman"/>
          <w:spacing w:val="29"/>
        </w:rPr>
        <w:t xml:space="preserve"> </w:t>
      </w:r>
      <w:r>
        <w:rPr>
          <w:spacing w:val="-4"/>
        </w:rPr>
        <w:t>的数值。该测试方法</w:t>
      </w:r>
      <w:r>
        <w:t xml:space="preserve"> </w:t>
      </w:r>
      <w:r>
        <w:t>同样适用于其他元素：锑</w:t>
      </w:r>
      <w:r>
        <w:rPr>
          <w:rFonts w:ascii="Times New Roman" w:eastAsia="Times New Roman" w:hAnsi="Times New Roman" w:cs="Times New Roman"/>
        </w:rPr>
        <w:t>(Sb)</w:t>
      </w:r>
      <w:r>
        <w:t>、铜、硒</w:t>
      </w:r>
      <w:r>
        <w:rPr>
          <w:rFonts w:ascii="Times New Roman" w:eastAsia="Times New Roman" w:hAnsi="Times New Roman" w:cs="Times New Roman"/>
        </w:rPr>
        <w:t>(Se)</w:t>
      </w:r>
      <w:r>
        <w:t>、银</w:t>
      </w:r>
      <w:r>
        <w:rPr>
          <w:rFonts w:ascii="Times New Roman" w:eastAsia="Times New Roman" w:hAnsi="Times New Roman" w:cs="Times New Roman"/>
        </w:rPr>
        <w:t>(Ag)</w:t>
      </w:r>
      <w:r>
        <w:t>、铊</w:t>
      </w:r>
      <w:r>
        <w:rPr>
          <w:rFonts w:ascii="Times New Roman" w:eastAsia="Times New Roman" w:hAnsi="Times New Roman" w:cs="Times New Roman"/>
        </w:rPr>
        <w:t>(Tl)</w:t>
      </w:r>
      <w:r>
        <w:t>、锌</w:t>
      </w:r>
      <w:r>
        <w:rPr>
          <w:rFonts w:ascii="Times New Roman" w:eastAsia="Times New Roman" w:hAnsi="Times New Roman" w:cs="Times New Roman"/>
        </w:rPr>
        <w:t>(Zn)</w:t>
      </w:r>
      <w:r>
        <w:t>、钡</w:t>
      </w:r>
      <w:r>
        <w:rPr>
          <w:rFonts w:ascii="Times New Roman" w:eastAsia="Times New Roman" w:hAnsi="Times New Roman" w:cs="Times New Roman"/>
        </w:rPr>
        <w:t>(Ba)</w:t>
      </w:r>
      <w:r>
        <w:rPr>
          <w:rFonts w:ascii="Times New Roman" w:eastAsia="Times New Roman" w:hAnsi="Times New Roman" w:cs="Times New Roman"/>
          <w:spacing w:val="-16"/>
        </w:rPr>
        <w:t xml:space="preserve"> </w:t>
      </w:r>
      <w:r>
        <w:t xml:space="preserve">、 </w:t>
      </w:r>
      <w:r>
        <w:t>金</w:t>
      </w:r>
      <w:r>
        <w:rPr>
          <w:rFonts w:ascii="Times New Roman" w:eastAsia="Times New Roman" w:hAnsi="Times New Roman" w:cs="Times New Roman"/>
        </w:rPr>
        <w:t>(Au)</w:t>
      </w:r>
      <w:r>
        <w:t>、钴、钒</w:t>
      </w:r>
      <w:r>
        <w:rPr>
          <w:rFonts w:ascii="Times New Roman" w:eastAsia="Times New Roman" w:hAnsi="Times New Roman" w:cs="Times New Roman"/>
        </w:rPr>
        <w:t>(V)</w:t>
      </w:r>
      <w:r>
        <w:t>、铁</w:t>
      </w:r>
      <w:r>
        <w:rPr>
          <w:rFonts w:ascii="Times New Roman" w:eastAsia="Times New Roman" w:hAnsi="Times New Roman" w:cs="Times New Roman"/>
        </w:rPr>
        <w:t>(Fe)</w:t>
      </w:r>
      <w:r>
        <w:t>、锰</w:t>
      </w:r>
      <w:r>
        <w:rPr>
          <w:rFonts w:ascii="Times New Roman" w:eastAsia="Times New Roman" w:hAnsi="Times New Roman" w:cs="Times New Roman"/>
        </w:rPr>
        <w:t>(Mn)</w:t>
      </w:r>
      <w:r>
        <w:t>、钼</w:t>
      </w:r>
      <w:r>
        <w:rPr>
          <w:rFonts w:ascii="Times New Roman" w:eastAsia="Times New Roman" w:hAnsi="Times New Roman" w:cs="Times New Roman"/>
        </w:rPr>
        <w:t>(Mo)</w:t>
      </w:r>
      <w:r>
        <w:t>、钾</w:t>
      </w:r>
      <w:r>
        <w:rPr>
          <w:rFonts w:ascii="Times New Roman" w:eastAsia="Times New Roman" w:hAnsi="Times New Roman" w:cs="Times New Roman"/>
        </w:rPr>
        <w:t>(K)</w:t>
      </w:r>
      <w:r>
        <w:t>、铷</w:t>
      </w:r>
      <w:r>
        <w:rPr>
          <w:rFonts w:ascii="Times New Roman" w:eastAsia="Times New Roman" w:hAnsi="Times New Roman" w:cs="Times New Roman"/>
        </w:rPr>
        <w:t>(Rb)</w:t>
      </w:r>
      <w:r>
        <w:t>、锡</w:t>
      </w:r>
      <w:r>
        <w:rPr>
          <w:rFonts w:ascii="Times New Roman" w:eastAsia="Times New Roman" w:hAnsi="Times New Roman" w:cs="Times New Roman"/>
        </w:rPr>
        <w:t>(Sn)</w:t>
      </w:r>
      <w:r>
        <w:t>、锶</w:t>
      </w:r>
      <w:r>
        <w:rPr>
          <w:rFonts w:ascii="Times New Roman" w:eastAsia="Times New Roman" w:hAnsi="Times New Roman" w:cs="Times New Roman"/>
        </w:rPr>
        <w:t>(Sr)</w:t>
      </w:r>
    </w:p>
    <w:p>
      <w:pPr>
        <w:pStyle w:val="BodyText"/>
        <w:spacing w:line="212" w:lineRule="auto"/>
        <w:ind w:left="123"/>
      </w:pPr>
      <w:r>
        <w:rPr>
          <w:spacing w:val="-3"/>
        </w:rPr>
        <w:t>和钛</w:t>
      </w:r>
      <w:r>
        <w:rPr>
          <w:rFonts w:ascii="Times New Roman" w:eastAsia="Times New Roman" w:hAnsi="Times New Roman" w:cs="Times New Roman"/>
          <w:spacing w:val="-3"/>
        </w:rPr>
        <w:t>(Ti)</w:t>
      </w:r>
      <w:r>
        <w:rPr>
          <w:spacing w:val="-3"/>
        </w:rPr>
        <w:t>。</w:t>
      </w:r>
    </w:p>
    <w:p>
      <w:pPr>
        <w:pStyle w:val="BodyText"/>
        <w:spacing w:before="190" w:line="220" w:lineRule="auto"/>
        <w:ind w:left="3284"/>
      </w:pPr>
      <w:r>
        <w:rPr>
          <w:spacing w:val="-2"/>
        </w:rPr>
        <w:t>表</w:t>
      </w:r>
      <w:r>
        <w:rPr>
          <w:spacing w:val="-45"/>
        </w:rPr>
        <w:t xml:space="preserve"> </w:t>
      </w:r>
      <w:r>
        <w:rPr>
          <w:rFonts w:ascii="Times New Roman" w:eastAsia="Times New Roman" w:hAnsi="Times New Roman" w:cs="Times New Roman"/>
          <w:spacing w:val="-2"/>
        </w:rPr>
        <w:t xml:space="preserve">2  </w:t>
      </w:r>
      <w:r>
        <w:rPr>
          <w:spacing w:val="-2"/>
        </w:rPr>
        <w:t>检出限和检测范围</w:t>
      </w:r>
    </w:p>
    <w:p>
      <w:pPr>
        <w:spacing w:line="67" w:lineRule="exact"/>
      </w:pPr>
    </w:p>
    <w:tbl>
      <w:tblPr>
        <w:tblStyle w:val="TableNormal3"/>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45"/>
        <w:gridCol w:w="2838"/>
        <w:gridCol w:w="2843"/>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2845" w:type="dxa"/>
            <w:vAlign w:val="top"/>
          </w:tcPr>
          <w:p>
            <w:pPr>
              <w:spacing w:before="119" w:line="220" w:lineRule="auto"/>
              <w:ind w:left="598"/>
              <w:rPr>
                <w:rFonts w:ascii="SimSun" w:eastAsia="SimSun" w:hAnsi="SimSun" w:cs="SimSun"/>
                <w:sz w:val="24"/>
                <w:szCs w:val="24"/>
              </w:rPr>
            </w:pPr>
            <w:r>
              <w:rPr>
                <w:rFonts w:ascii="SimSun" w:eastAsia="SimSun" w:hAnsi="SimSun" w:cs="SimSun"/>
                <w:spacing w:val="-3"/>
                <w:sz w:val="24"/>
                <w:szCs w:val="24"/>
              </w:rPr>
              <w:t>元素</w:t>
            </w:r>
          </w:p>
        </w:tc>
        <w:tc>
          <w:tcPr>
            <w:tcW w:w="2838" w:type="dxa"/>
            <w:vAlign w:val="top"/>
          </w:tcPr>
          <w:p>
            <w:pPr>
              <w:pStyle w:val="TableText"/>
              <w:spacing w:before="120" w:line="212" w:lineRule="auto"/>
              <w:ind w:left="594"/>
              <w:rPr>
                <w:rFonts w:ascii="SimSun" w:eastAsia="SimSun" w:hAnsi="SimSun" w:cs="SimSun"/>
              </w:rPr>
            </w:pPr>
            <w:r>
              <w:rPr>
                <w:rFonts w:ascii="SimSun" w:eastAsia="SimSun" w:hAnsi="SimSun" w:cs="SimSun"/>
                <w:spacing w:val="-1"/>
              </w:rPr>
              <w:t>检出限（</w:t>
            </w:r>
            <w:r>
              <w:rPr>
                <w:spacing w:val="-1"/>
              </w:rPr>
              <w:t>mg/kg</w:t>
            </w:r>
            <w:r>
              <w:rPr>
                <w:rFonts w:ascii="SimSun" w:eastAsia="SimSun" w:hAnsi="SimSun" w:cs="SimSun"/>
                <w:spacing w:val="-1"/>
              </w:rPr>
              <w:t>）</w:t>
            </w:r>
          </w:p>
        </w:tc>
        <w:tc>
          <w:tcPr>
            <w:tcW w:w="2843" w:type="dxa"/>
            <w:vAlign w:val="top"/>
          </w:tcPr>
          <w:p>
            <w:pPr>
              <w:pStyle w:val="TableText"/>
              <w:spacing w:before="120" w:line="212" w:lineRule="auto"/>
              <w:ind w:left="595"/>
              <w:rPr>
                <w:rFonts w:ascii="SimSun" w:eastAsia="SimSun" w:hAnsi="SimSun" w:cs="SimSun"/>
              </w:rPr>
            </w:pPr>
            <w:r>
              <w:rPr>
                <w:rFonts w:ascii="SimSun" w:eastAsia="SimSun" w:hAnsi="SimSun" w:cs="SimSun"/>
                <w:spacing w:val="-1"/>
              </w:rPr>
              <w:t>检测范围（</w:t>
            </w:r>
            <w:r>
              <w:rPr>
                <w:spacing w:val="-1"/>
              </w:rPr>
              <w:t>mg/kg</w:t>
            </w:r>
            <w:r>
              <w:rPr>
                <w:rFonts w:ascii="SimSun" w:eastAsia="SimSun" w:hAnsi="SimSun" w:cs="SimSun"/>
                <w:spacing w:val="-1"/>
              </w:rPr>
              <w:t>）</w:t>
            </w:r>
          </w:p>
        </w:tc>
      </w:tr>
      <w:tr>
        <w:tblPrEx>
          <w:tblW w:w="8526" w:type="dxa"/>
          <w:tblInd w:w="2" w:type="dxa"/>
          <w:tblLayout w:type="fixed"/>
        </w:tblPrEx>
        <w:trPr>
          <w:trHeight w:val="472"/>
        </w:trPr>
        <w:tc>
          <w:tcPr>
            <w:tcW w:w="2845" w:type="dxa"/>
            <w:vAlign w:val="top"/>
          </w:tcPr>
          <w:p>
            <w:pPr>
              <w:pStyle w:val="TableText"/>
              <w:spacing w:before="157" w:line="186" w:lineRule="auto"/>
              <w:ind w:left="596"/>
            </w:pPr>
            <w:r>
              <w:rPr>
                <w:spacing w:val="-3"/>
              </w:rPr>
              <w:t>Cr</w:t>
            </w:r>
          </w:p>
        </w:tc>
        <w:tc>
          <w:tcPr>
            <w:tcW w:w="2838" w:type="dxa"/>
            <w:vAlign w:val="top"/>
          </w:tcPr>
          <w:p>
            <w:pPr>
              <w:pStyle w:val="TableText"/>
              <w:spacing w:before="157" w:line="186" w:lineRule="auto"/>
              <w:ind w:left="589"/>
            </w:pPr>
            <w:r>
              <w:rPr>
                <w:spacing w:val="-2"/>
              </w:rPr>
              <w:t>2.3</w:t>
            </w:r>
          </w:p>
        </w:tc>
        <w:tc>
          <w:tcPr>
            <w:tcW w:w="2843" w:type="dxa"/>
            <w:vAlign w:val="top"/>
          </w:tcPr>
          <w:p>
            <w:pPr>
              <w:pStyle w:val="TableText"/>
              <w:spacing w:before="157" w:line="186" w:lineRule="auto"/>
              <w:ind w:left="614"/>
            </w:pPr>
            <w:r>
              <w:rPr>
                <w:spacing w:val="-6"/>
              </w:rPr>
              <w:t>11~500</w:t>
            </w:r>
          </w:p>
        </w:tc>
      </w:tr>
      <w:tr>
        <w:tblPrEx>
          <w:tblW w:w="8526" w:type="dxa"/>
          <w:tblInd w:w="2" w:type="dxa"/>
          <w:tblLayout w:type="fixed"/>
        </w:tblPrEx>
        <w:trPr>
          <w:trHeight w:val="472"/>
        </w:trPr>
        <w:tc>
          <w:tcPr>
            <w:tcW w:w="2845" w:type="dxa"/>
            <w:vAlign w:val="top"/>
          </w:tcPr>
          <w:p>
            <w:pPr>
              <w:pStyle w:val="TableText"/>
              <w:spacing w:before="153" w:line="190" w:lineRule="auto"/>
              <w:ind w:left="584"/>
            </w:pPr>
            <w:r>
              <w:rPr>
                <w:spacing w:val="1"/>
              </w:rPr>
              <w:t>Ni</w:t>
            </w:r>
          </w:p>
        </w:tc>
        <w:tc>
          <w:tcPr>
            <w:tcW w:w="2838" w:type="dxa"/>
            <w:vAlign w:val="top"/>
          </w:tcPr>
          <w:p>
            <w:pPr>
              <w:pStyle w:val="TableText"/>
              <w:spacing w:before="158" w:line="186" w:lineRule="auto"/>
              <w:ind w:left="612"/>
            </w:pPr>
            <w:r>
              <w:rPr>
                <w:spacing w:val="-6"/>
              </w:rPr>
              <w:t>1.1</w:t>
            </w:r>
          </w:p>
        </w:tc>
        <w:tc>
          <w:tcPr>
            <w:tcW w:w="2843" w:type="dxa"/>
            <w:vAlign w:val="top"/>
          </w:tcPr>
          <w:p>
            <w:pPr>
              <w:pStyle w:val="TableText"/>
              <w:spacing w:before="158" w:line="186" w:lineRule="auto"/>
              <w:ind w:left="598"/>
            </w:pPr>
            <w:r>
              <w:rPr>
                <w:spacing w:val="-2"/>
              </w:rPr>
              <w:t>5~500</w:t>
            </w:r>
          </w:p>
        </w:tc>
      </w:tr>
      <w:tr>
        <w:tblPrEx>
          <w:tblW w:w="8526" w:type="dxa"/>
          <w:tblInd w:w="2" w:type="dxa"/>
          <w:tblLayout w:type="fixed"/>
        </w:tblPrEx>
        <w:trPr>
          <w:trHeight w:val="474"/>
        </w:trPr>
        <w:tc>
          <w:tcPr>
            <w:tcW w:w="2845" w:type="dxa"/>
            <w:vAlign w:val="top"/>
          </w:tcPr>
          <w:p>
            <w:pPr>
              <w:pStyle w:val="TableText"/>
              <w:spacing w:before="161" w:line="186" w:lineRule="auto"/>
              <w:ind w:left="589"/>
            </w:pPr>
            <w:r>
              <w:rPr>
                <w:spacing w:val="-1"/>
              </w:rPr>
              <w:t>As</w:t>
            </w:r>
          </w:p>
        </w:tc>
        <w:tc>
          <w:tcPr>
            <w:tcW w:w="2838" w:type="dxa"/>
            <w:vAlign w:val="top"/>
          </w:tcPr>
          <w:p>
            <w:pPr>
              <w:pStyle w:val="TableText"/>
              <w:spacing w:before="161" w:line="186" w:lineRule="auto"/>
              <w:ind w:left="593"/>
            </w:pPr>
            <w:r>
              <w:rPr>
                <w:spacing w:val="-2"/>
              </w:rPr>
              <w:t>0.2</w:t>
            </w:r>
          </w:p>
        </w:tc>
        <w:tc>
          <w:tcPr>
            <w:tcW w:w="2843" w:type="dxa"/>
            <w:vAlign w:val="top"/>
          </w:tcPr>
          <w:p>
            <w:pPr>
              <w:pStyle w:val="TableText"/>
              <w:spacing w:before="161" w:line="186" w:lineRule="auto"/>
              <w:ind w:left="614"/>
            </w:pPr>
            <w:r>
              <w:rPr>
                <w:spacing w:val="-6"/>
              </w:rPr>
              <w:t>11~2000</w:t>
            </w:r>
          </w:p>
        </w:tc>
      </w:tr>
      <w:tr>
        <w:tblPrEx>
          <w:tblW w:w="8526" w:type="dxa"/>
          <w:tblInd w:w="2" w:type="dxa"/>
          <w:tblLayout w:type="fixed"/>
        </w:tblPrEx>
        <w:trPr>
          <w:trHeight w:val="472"/>
        </w:trPr>
        <w:tc>
          <w:tcPr>
            <w:tcW w:w="2845" w:type="dxa"/>
            <w:vAlign w:val="top"/>
          </w:tcPr>
          <w:p>
            <w:pPr>
              <w:pStyle w:val="TableText"/>
              <w:spacing w:before="155" w:line="190" w:lineRule="auto"/>
              <w:ind w:left="596"/>
            </w:pPr>
            <w:r>
              <w:rPr>
                <w:spacing w:val="-3"/>
              </w:rPr>
              <w:t>Cd</w:t>
            </w:r>
          </w:p>
        </w:tc>
        <w:tc>
          <w:tcPr>
            <w:tcW w:w="2838" w:type="dxa"/>
            <w:vAlign w:val="top"/>
          </w:tcPr>
          <w:p>
            <w:pPr>
              <w:pStyle w:val="TableText"/>
              <w:spacing w:before="160" w:line="186" w:lineRule="auto"/>
              <w:ind w:left="593"/>
            </w:pPr>
            <w:r>
              <w:rPr>
                <w:spacing w:val="-2"/>
              </w:rPr>
              <w:t>0.4</w:t>
            </w:r>
          </w:p>
        </w:tc>
        <w:tc>
          <w:tcPr>
            <w:tcW w:w="2843" w:type="dxa"/>
            <w:vAlign w:val="top"/>
          </w:tcPr>
          <w:p>
            <w:pPr>
              <w:pStyle w:val="TableText"/>
              <w:spacing w:before="160" w:line="186" w:lineRule="auto"/>
              <w:ind w:left="591"/>
            </w:pPr>
            <w:r>
              <w:rPr>
                <w:spacing w:val="-1"/>
              </w:rPr>
              <w:t>2~100</w:t>
            </w:r>
          </w:p>
        </w:tc>
      </w:tr>
      <w:tr>
        <w:tblPrEx>
          <w:tblW w:w="8526" w:type="dxa"/>
          <w:tblInd w:w="2" w:type="dxa"/>
          <w:tblLayout w:type="fixed"/>
        </w:tblPrEx>
        <w:trPr>
          <w:trHeight w:val="472"/>
        </w:trPr>
        <w:tc>
          <w:tcPr>
            <w:tcW w:w="2845" w:type="dxa"/>
            <w:vAlign w:val="top"/>
          </w:tcPr>
          <w:p>
            <w:pPr>
              <w:pStyle w:val="TableText"/>
              <w:spacing w:before="156" w:line="190" w:lineRule="auto"/>
              <w:ind w:left="591"/>
            </w:pPr>
            <w:r>
              <w:rPr>
                <w:spacing w:val="-2"/>
              </w:rPr>
              <w:t>Hg</w:t>
            </w:r>
          </w:p>
        </w:tc>
        <w:tc>
          <w:tcPr>
            <w:tcW w:w="2838" w:type="dxa"/>
            <w:vAlign w:val="top"/>
          </w:tcPr>
          <w:p>
            <w:pPr>
              <w:pStyle w:val="TableText"/>
              <w:spacing w:before="160" w:line="186" w:lineRule="auto"/>
              <w:ind w:left="593"/>
            </w:pPr>
            <w:r>
              <w:rPr>
                <w:spacing w:val="-2"/>
              </w:rPr>
              <w:t>0.4</w:t>
            </w:r>
          </w:p>
        </w:tc>
        <w:tc>
          <w:tcPr>
            <w:tcW w:w="2843" w:type="dxa"/>
            <w:vAlign w:val="top"/>
          </w:tcPr>
          <w:p>
            <w:pPr>
              <w:pStyle w:val="TableText"/>
              <w:spacing w:before="160" w:line="186" w:lineRule="auto"/>
              <w:ind w:left="591"/>
            </w:pPr>
            <w:r>
              <w:rPr>
                <w:spacing w:val="-1"/>
              </w:rPr>
              <w:t>2~100</w:t>
            </w:r>
          </w:p>
        </w:tc>
      </w:tr>
      <w:tr>
        <w:tblPrEx>
          <w:tblW w:w="8526" w:type="dxa"/>
          <w:tblInd w:w="2" w:type="dxa"/>
          <w:tblLayout w:type="fixed"/>
        </w:tblPrEx>
        <w:trPr>
          <w:trHeight w:val="476"/>
        </w:trPr>
        <w:tc>
          <w:tcPr>
            <w:tcW w:w="2845" w:type="dxa"/>
            <w:vAlign w:val="top"/>
          </w:tcPr>
          <w:p>
            <w:pPr>
              <w:pStyle w:val="TableText"/>
              <w:spacing w:before="156" w:line="190" w:lineRule="auto"/>
              <w:ind w:left="591"/>
            </w:pPr>
            <w:r>
              <w:rPr>
                <w:spacing w:val="-1"/>
              </w:rPr>
              <w:t>Pb</w:t>
            </w:r>
          </w:p>
        </w:tc>
        <w:tc>
          <w:tcPr>
            <w:tcW w:w="2838" w:type="dxa"/>
            <w:vAlign w:val="top"/>
          </w:tcPr>
          <w:p>
            <w:pPr>
              <w:pStyle w:val="TableText"/>
              <w:spacing w:before="161" w:line="186" w:lineRule="auto"/>
              <w:ind w:left="593"/>
            </w:pPr>
            <w:r>
              <w:rPr>
                <w:spacing w:val="-2"/>
              </w:rPr>
              <w:t>0.6</w:t>
            </w:r>
          </w:p>
        </w:tc>
        <w:tc>
          <w:tcPr>
            <w:tcW w:w="2843" w:type="dxa"/>
            <w:vAlign w:val="top"/>
          </w:tcPr>
          <w:p>
            <w:pPr>
              <w:pStyle w:val="TableText"/>
              <w:spacing w:before="161" w:line="186" w:lineRule="auto"/>
              <w:ind w:left="596"/>
            </w:pPr>
            <w:r>
              <w:rPr>
                <w:spacing w:val="-2"/>
              </w:rPr>
              <w:t>3~5000</w:t>
            </w:r>
          </w:p>
        </w:tc>
      </w:tr>
    </w:tbl>
    <w:p>
      <w:pPr>
        <w:pStyle w:val="BodyText"/>
        <w:spacing w:before="115" w:line="219" w:lineRule="auto"/>
        <w:ind w:left="723"/>
      </w:pPr>
      <w:r>
        <w:rPr>
          <w:spacing w:val="-4"/>
        </w:rPr>
        <w:t>标准详细介绍了此测定方法存在的几种干扰：</w:t>
      </w:r>
    </w:p>
    <w:p>
      <w:pPr>
        <w:pStyle w:val="BodyText"/>
        <w:spacing w:before="184" w:line="360" w:lineRule="auto"/>
        <w:ind w:left="122" w:right="111" w:firstLine="498"/>
        <w:jc w:val="both"/>
      </w:pPr>
      <w:r>
        <w:rPr>
          <w:rFonts w:ascii="Times New Roman" w:eastAsia="Times New Roman" w:hAnsi="Times New Roman" w:cs="Times New Roman"/>
          <w:spacing w:val="-8"/>
        </w:rPr>
        <w:t>1</w:t>
      </w:r>
      <w:r>
        <w:rPr>
          <w:spacing w:val="-8"/>
        </w:rPr>
        <w:t>、光谱干扰——</w:t>
      </w:r>
      <w:r>
        <w:rPr>
          <w:spacing w:val="-70"/>
        </w:rPr>
        <w:t xml:space="preserve"> </w:t>
      </w:r>
      <w:r>
        <w:rPr>
          <w:spacing w:val="-8"/>
        </w:rPr>
        <w:t>由于探测器的能量分辨率有限，</w:t>
      </w:r>
      <w:r>
        <w:rPr>
          <w:spacing w:val="56"/>
        </w:rPr>
        <w:t xml:space="preserve"> </w:t>
      </w:r>
      <w:r>
        <w:rPr>
          <w:rFonts w:ascii="Times New Roman" w:eastAsia="Times New Roman" w:hAnsi="Times New Roman" w:cs="Times New Roman"/>
          <w:spacing w:val="-8"/>
        </w:rPr>
        <w:t>X</w:t>
      </w:r>
      <w:r>
        <w:rPr>
          <w:rFonts w:ascii="Times New Roman" w:eastAsia="Times New Roman" w:hAnsi="Times New Roman" w:cs="Times New Roman"/>
          <w:spacing w:val="42"/>
          <w:w w:val="101"/>
        </w:rPr>
        <w:t xml:space="preserve"> </w:t>
      </w:r>
      <w:r>
        <w:rPr>
          <w:spacing w:val="-8"/>
        </w:rPr>
        <w:t>射线之间的光谱重叠问</w:t>
      </w:r>
      <w:r>
        <w:t xml:space="preserve"> </w:t>
      </w:r>
      <w:r>
        <w:rPr>
          <w:spacing w:val="-2"/>
        </w:rPr>
        <w:t xml:space="preserve">题仍未解决而导致的光谱干扰现象。例如，砷元素的 </w:t>
      </w:r>
      <w:r>
        <w:rPr>
          <w:rFonts w:ascii="Times New Roman" w:eastAsia="Times New Roman" w:hAnsi="Times New Roman" w:cs="Times New Roman"/>
          <w:spacing w:val="-2"/>
        </w:rPr>
        <w:t>Kα</w:t>
      </w:r>
      <w:r>
        <w:rPr>
          <w:rFonts w:ascii="Times New Roman" w:eastAsia="Times New Roman" w:hAnsi="Times New Roman" w:cs="Times New Roman"/>
          <w:spacing w:val="58"/>
          <w:w w:val="101"/>
        </w:rPr>
        <w:t xml:space="preserve"> </w:t>
      </w:r>
      <w:r>
        <w:rPr>
          <w:spacing w:val="-2"/>
        </w:rPr>
        <w:t xml:space="preserve">峰直接与铅元素的 </w:t>
      </w:r>
      <w:r>
        <w:rPr>
          <w:rFonts w:ascii="Times New Roman" w:eastAsia="Times New Roman" w:hAnsi="Times New Roman" w:cs="Times New Roman"/>
          <w:spacing w:val="-2"/>
        </w:rPr>
        <w:t>Lα</w:t>
      </w:r>
      <w:r>
        <w:rPr>
          <w:rFonts w:ascii="Times New Roman" w:eastAsia="Times New Roman" w:hAnsi="Times New Roman" w:cs="Times New Roman"/>
        </w:rPr>
        <w:t xml:space="preserve"> </w:t>
      </w:r>
      <w:r>
        <w:rPr>
          <w:spacing w:val="-1"/>
        </w:rPr>
        <w:t xml:space="preserve">峰交叉重叠。铅元素的 </w:t>
      </w:r>
      <w:r>
        <w:rPr>
          <w:rFonts w:ascii="Times New Roman" w:eastAsia="Times New Roman" w:hAnsi="Times New Roman" w:cs="Times New Roman"/>
          <w:spacing w:val="-1"/>
        </w:rPr>
        <w:t>Lβ</w:t>
      </w:r>
      <w:r>
        <w:rPr>
          <w:rFonts w:ascii="Times New Roman" w:eastAsia="Times New Roman" w:hAnsi="Times New Roman" w:cs="Times New Roman"/>
          <w:spacing w:val="57"/>
        </w:rPr>
        <w:t xml:space="preserve"> </w:t>
      </w:r>
      <w:r>
        <w:rPr>
          <w:spacing w:val="-1"/>
        </w:rPr>
        <w:t>谱线可以说明这种重叠现象，进而通过铅元</w:t>
      </w:r>
      <w:r>
        <w:rPr>
          <w:spacing w:val="-2"/>
        </w:rPr>
        <w:t xml:space="preserve">素的 </w:t>
      </w:r>
      <w:r>
        <w:rPr>
          <w:rFonts w:ascii="Times New Roman" w:eastAsia="Times New Roman" w:hAnsi="Times New Roman" w:cs="Times New Roman"/>
          <w:spacing w:val="-2"/>
        </w:rPr>
        <w:t>Lα</w:t>
      </w:r>
      <w:r>
        <w:rPr>
          <w:rFonts w:ascii="Times New Roman" w:eastAsia="Times New Roman" w:hAnsi="Times New Roman" w:cs="Times New Roman"/>
        </w:rPr>
        <w:t xml:space="preserve"> </w:t>
      </w:r>
      <w:r>
        <w:rPr>
          <w:spacing w:val="-1"/>
        </w:rPr>
        <w:t xml:space="preserve">峰重叠对砷元素的 </w:t>
      </w:r>
      <w:r>
        <w:rPr>
          <w:rFonts w:ascii="Times New Roman" w:eastAsia="Times New Roman" w:hAnsi="Times New Roman" w:cs="Times New Roman"/>
          <w:spacing w:val="-1"/>
        </w:rPr>
        <w:t>K</w:t>
      </w:r>
      <w:r>
        <w:rPr>
          <w:rFonts w:ascii="Times New Roman" w:eastAsia="Times New Roman" w:hAnsi="Times New Roman" w:cs="Times New Roman"/>
          <w:spacing w:val="58"/>
        </w:rPr>
        <w:t xml:space="preserve"> </w:t>
      </w:r>
      <w:r>
        <w:rPr>
          <w:spacing w:val="-1"/>
        </w:rPr>
        <w:t>谱线进行解析。用于特定元素的任何实际谱线应当使得这</w:t>
      </w:r>
    </w:p>
    <w:p>
      <w:pPr>
        <w:pStyle w:val="BodyText"/>
        <w:spacing w:before="1" w:line="219" w:lineRule="auto"/>
        <w:ind w:left="122"/>
      </w:pPr>
      <w:r>
        <w:rPr>
          <w:spacing w:val="-2"/>
        </w:rPr>
        <w:t>种重叠达到最小化</w:t>
      </w:r>
    </w:p>
    <w:p>
      <w:pPr>
        <w:pStyle w:val="BodyText"/>
        <w:spacing w:before="183" w:line="360" w:lineRule="auto"/>
        <w:ind w:left="120" w:right="33" w:firstLine="477"/>
        <w:jc w:val="both"/>
      </w:pPr>
      <w:r>
        <w:rPr>
          <w:rFonts w:ascii="Times New Roman" w:eastAsia="Times New Roman" w:hAnsi="Times New Roman" w:cs="Times New Roman"/>
        </w:rPr>
        <w:t>2</w:t>
      </w:r>
      <w:r>
        <w:t>、基体效应——基体效应，亦称为共存元素效应，该效应在所有元素中</w:t>
      </w:r>
      <w:r>
        <w:rPr>
          <w:spacing w:val="-1"/>
        </w:rPr>
        <w:t xml:space="preserve">普 </w:t>
      </w:r>
      <w:r>
        <w:rPr>
          <w:spacing w:val="-1"/>
        </w:rPr>
        <w:t>遍存在，这是因为在样品中原子会吸收荧光</w:t>
      </w:r>
      <w:r>
        <w:rPr>
          <w:spacing w:val="-48"/>
        </w:rPr>
        <w:t xml:space="preserve"> </w:t>
      </w:r>
      <w:r>
        <w:rPr>
          <w:rFonts w:ascii="Times New Roman" w:eastAsia="Times New Roman" w:hAnsi="Times New Roman" w:cs="Times New Roman"/>
          <w:spacing w:val="-2"/>
        </w:rPr>
        <w:t>X</w:t>
      </w:r>
      <w:r>
        <w:rPr>
          <w:rFonts w:ascii="Times New Roman" w:eastAsia="Times New Roman" w:hAnsi="Times New Roman" w:cs="Times New Roman"/>
          <w:spacing w:val="18"/>
          <w:w w:val="101"/>
        </w:rPr>
        <w:t xml:space="preserve"> </w:t>
      </w:r>
      <w:r>
        <w:rPr>
          <w:spacing w:val="-2"/>
        </w:rPr>
        <w:t>射线（二次</w:t>
      </w:r>
      <w:r>
        <w:rPr>
          <w:spacing w:val="-49"/>
        </w:rPr>
        <w:t xml:space="preserve"> </w:t>
      </w:r>
      <w:r>
        <w:rPr>
          <w:rFonts w:ascii="Times New Roman" w:eastAsia="Times New Roman" w:hAnsi="Times New Roman" w:cs="Times New Roman"/>
          <w:spacing w:val="-2"/>
        </w:rPr>
        <w:t>X</w:t>
      </w:r>
      <w:r>
        <w:rPr>
          <w:rFonts w:ascii="Times New Roman" w:eastAsia="Times New Roman" w:hAnsi="Times New Roman" w:cs="Times New Roman"/>
          <w:spacing w:val="18"/>
          <w:w w:val="101"/>
        </w:rPr>
        <w:t xml:space="preserve"> </w:t>
      </w:r>
      <w:r>
        <w:rPr>
          <w:spacing w:val="-2"/>
        </w:rPr>
        <w:t xml:space="preserve">射线）。这种吸收 </w:t>
      </w:r>
      <w:r>
        <w:rPr>
          <w:spacing w:val="-1"/>
        </w:rPr>
        <w:t>效应降低了元素的视在灵敏度。与此相反，吸收</w:t>
      </w:r>
      <w:r>
        <w:rPr>
          <w:spacing w:val="-12"/>
        </w:rPr>
        <w:t xml:space="preserve"> </w:t>
      </w:r>
      <w:r>
        <w:rPr>
          <w:rFonts w:ascii="Times New Roman" w:eastAsia="Times New Roman" w:hAnsi="Times New Roman" w:cs="Times New Roman"/>
          <w:spacing w:val="-1"/>
        </w:rPr>
        <w:t>X</w:t>
      </w:r>
      <w:r>
        <w:rPr>
          <w:rFonts w:ascii="Times New Roman" w:eastAsia="Times New Roman" w:hAnsi="Times New Roman" w:cs="Times New Roman"/>
          <w:spacing w:val="43"/>
        </w:rPr>
        <w:t xml:space="preserve"> </w:t>
      </w:r>
      <w:r>
        <w:rPr>
          <w:spacing w:val="-1"/>
        </w:rPr>
        <w:t>射线的原子可以发射荧光</w:t>
      </w:r>
      <w:r>
        <w:rPr>
          <w:spacing w:val="-24"/>
        </w:rPr>
        <w:t xml:space="preserve"> </w:t>
      </w:r>
      <w:r>
        <w:rPr>
          <w:rFonts w:ascii="Times New Roman" w:eastAsia="Times New Roman" w:hAnsi="Times New Roman" w:cs="Times New Roman"/>
          <w:spacing w:val="-1"/>
        </w:rPr>
        <w:t>X</w:t>
      </w:r>
      <w:r>
        <w:rPr>
          <w:rFonts w:ascii="Times New Roman" w:eastAsia="Times New Roman" w:hAnsi="Times New Roman" w:cs="Times New Roman"/>
        </w:rPr>
        <w:t xml:space="preserve">  </w:t>
      </w:r>
      <w:r>
        <w:rPr>
          <w:spacing w:val="-1"/>
        </w:rPr>
        <w:t>射线，增加其它元素的视在灵敏度。通过数学方法可以提对基体效应进行补偿。</w:t>
      </w:r>
      <w:r>
        <w:rPr>
          <w:spacing w:val="11"/>
        </w:rPr>
        <w:t xml:space="preserve"> </w:t>
      </w:r>
      <w:r>
        <w:rPr>
          <w:spacing w:val="-4"/>
        </w:rPr>
        <w:t>这通常会用到许多数学校正程序， 包括基于</w:t>
      </w:r>
      <w:r>
        <w:rPr>
          <w:spacing w:val="-5"/>
        </w:rPr>
        <w:t>影响系数算法的全基本参数</w:t>
      </w:r>
      <w:r>
        <w:rPr>
          <w:rFonts w:ascii="Times New Roman" w:eastAsia="Times New Roman" w:hAnsi="Times New Roman" w:cs="Times New Roman"/>
          <w:spacing w:val="-5"/>
        </w:rPr>
        <w:t>(FP)</w:t>
      </w:r>
      <w:r>
        <w:rPr>
          <w:spacing w:val="-5"/>
        </w:rPr>
        <w:t>处理</w:t>
      </w:r>
    </w:p>
    <w:p>
      <w:pPr>
        <w:pStyle w:val="BodyText"/>
        <w:spacing w:before="1" w:line="219" w:lineRule="auto"/>
        <w:ind w:left="123"/>
      </w:pPr>
      <w:r>
        <w:rPr>
          <w:spacing w:val="-7"/>
        </w:rPr>
        <w:t>和数学模型。</w:t>
      </w:r>
    </w:p>
    <w:p>
      <w:pPr>
        <w:pStyle w:val="BodyText"/>
        <w:spacing w:before="182" w:line="360" w:lineRule="auto"/>
        <w:ind w:left="124" w:right="111" w:firstLine="478"/>
        <w:jc w:val="both"/>
        <w:sectPr>
          <w:footerReference w:type="default" r:id="rId21"/>
          <w:pgSz w:w="11907" w:h="16839"/>
          <w:pgMar w:top="1431" w:right="1687" w:bottom="1357" w:left="1687" w:header="0" w:footer="1197" w:gutter="0"/>
          <w:pgNumType w:start="18"/>
          <w:cols w:space="708"/>
        </w:sectPr>
      </w:pPr>
      <w:r>
        <w:rPr>
          <w:rFonts w:ascii="Times New Roman" w:eastAsia="Times New Roman" w:hAnsi="Times New Roman" w:cs="Times New Roman"/>
        </w:rPr>
        <w:t>3</w:t>
      </w:r>
      <w:r>
        <w:t>、物理基体效应——要针对样品的物理特性，如粒径和均匀性。通过在分</w:t>
      </w:r>
      <w:r>
        <w:rPr>
          <w:spacing w:val="9"/>
        </w:rPr>
        <w:t xml:space="preserve"> </w:t>
      </w:r>
      <w:r>
        <w:rPr>
          <w:spacing w:val="-3"/>
        </w:rPr>
        <w:t>析前将样品进行充分混合、研磨并将其筛分成均匀的粒度或在分析期间旋转样品</w:t>
      </w:r>
    </w:p>
    <w:p>
      <w:pPr>
        <w:pStyle w:val="BodyText"/>
        <w:spacing w:before="1" w:line="218" w:lineRule="auto"/>
        <w:ind w:left="149"/>
      </w:pPr>
      <w:r>
        <w:rPr>
          <w:spacing w:val="-2"/>
        </w:rPr>
        <w:t>以增加样品暴露在</w:t>
      </w:r>
      <w:r>
        <w:rPr>
          <w:spacing w:val="-58"/>
        </w:rPr>
        <w:t xml:space="preserve"> </w:t>
      </w:r>
      <w:r>
        <w:rPr>
          <w:rFonts w:ascii="Times New Roman" w:eastAsia="Times New Roman" w:hAnsi="Times New Roman" w:cs="Times New Roman"/>
          <w:spacing w:val="-2"/>
        </w:rPr>
        <w:t xml:space="preserve">X </w:t>
      </w:r>
      <w:r>
        <w:rPr>
          <w:spacing w:val="-2"/>
        </w:rPr>
        <w:t>射线光束路径下的受照射面积，可以显著减小这种</w:t>
      </w:r>
      <w:r>
        <w:rPr>
          <w:spacing w:val="-3"/>
        </w:rPr>
        <w:t>效应。</w:t>
      </w:r>
    </w:p>
    <w:p>
      <w:pPr>
        <w:pStyle w:val="BodyText"/>
        <w:spacing w:before="184" w:line="468" w:lineRule="exact"/>
        <w:ind w:left="596"/>
      </w:pPr>
      <w:r>
        <w:rPr>
          <w:rFonts w:ascii="Times New Roman" w:eastAsia="Times New Roman" w:hAnsi="Times New Roman" w:cs="Times New Roman"/>
          <w:spacing w:val="-2"/>
          <w:position w:val="17"/>
        </w:rPr>
        <w:t>4</w:t>
      </w:r>
      <w:r>
        <w:rPr>
          <w:spacing w:val="-2"/>
          <w:position w:val="17"/>
        </w:rPr>
        <w:t>、湿度效应——含水量超过</w:t>
      </w:r>
      <w:r>
        <w:rPr>
          <w:spacing w:val="-23"/>
          <w:position w:val="17"/>
        </w:rPr>
        <w:t xml:space="preserve"> </w:t>
      </w:r>
      <w:r>
        <w:rPr>
          <w:rFonts w:ascii="Times New Roman" w:eastAsia="Times New Roman" w:hAnsi="Times New Roman" w:cs="Times New Roman"/>
          <w:spacing w:val="-2"/>
          <w:position w:val="17"/>
        </w:rPr>
        <w:t>15%</w:t>
      </w:r>
      <w:r>
        <w:rPr>
          <w:spacing w:val="-2"/>
          <w:position w:val="17"/>
        </w:rPr>
        <w:t>的土壤样品可能会对分析结果造成误差。</w:t>
      </w:r>
    </w:p>
    <w:p>
      <w:pPr>
        <w:pStyle w:val="BodyText"/>
        <w:spacing w:before="1" w:line="218" w:lineRule="auto"/>
        <w:ind w:left="122"/>
      </w:pPr>
      <w:r>
        <w:rPr>
          <w:spacing w:val="-7"/>
        </w:rPr>
        <w:t>含水量高的样品可以在分析之前，</w:t>
      </w:r>
      <w:r>
        <w:rPr>
          <w:spacing w:val="54"/>
        </w:rPr>
        <w:t xml:space="preserve"> </w:t>
      </w:r>
      <w:r>
        <w:rPr>
          <w:spacing w:val="-7"/>
        </w:rPr>
        <w:t>在温度低于</w:t>
      </w:r>
      <w:r>
        <w:rPr>
          <w:spacing w:val="-31"/>
        </w:rPr>
        <w:t xml:space="preserve"> </w:t>
      </w:r>
      <w:r>
        <w:rPr>
          <w:rFonts w:ascii="Times New Roman" w:eastAsia="Times New Roman" w:hAnsi="Times New Roman" w:cs="Times New Roman"/>
          <w:spacing w:val="-7"/>
        </w:rPr>
        <w:t>150℃</w:t>
      </w:r>
      <w:r>
        <w:rPr>
          <w:spacing w:val="-7"/>
        </w:rPr>
        <w:t>的烘箱内充分干燥。如果汞</w:t>
      </w:r>
    </w:p>
    <w:p>
      <w:pPr>
        <w:spacing w:line="218" w:lineRule="auto"/>
        <w:sectPr>
          <w:footerReference w:type="default" r:id="rId22"/>
          <w:type w:val="nextPage"/>
          <w:pgSz w:w="11907" w:h="16839"/>
          <w:pgMar w:top="1431" w:right="1687" w:bottom="1357" w:left="1687" w:header="0" w:footer="1197" w:gutter="0"/>
          <w:pgNumType w:start="19"/>
          <w:cols w:space="708"/>
          <w:titlePg w:val="0"/>
        </w:sectPr>
      </w:pPr>
    </w:p>
    <w:p>
      <w:pPr>
        <w:pStyle w:val="BodyText"/>
        <w:spacing w:before="124" w:line="468" w:lineRule="exact"/>
        <w:ind w:left="27"/>
      </w:pPr>
      <w:r>
        <w:rPr>
          <w:spacing w:val="-6"/>
          <w:position w:val="17"/>
        </w:rPr>
        <w:t>是目标分析物， 则应单独取出样品并在不加热</w:t>
      </w:r>
      <w:r>
        <w:rPr>
          <w:spacing w:val="-7"/>
          <w:position w:val="17"/>
        </w:rPr>
        <w:t>的情况下进行干燥分析。另外一种</w:t>
      </w:r>
    </w:p>
    <w:p>
      <w:pPr>
        <w:pStyle w:val="BodyText"/>
        <w:spacing w:line="212" w:lineRule="auto"/>
        <w:jc w:val="right"/>
      </w:pPr>
      <w:r>
        <w:rPr>
          <w:spacing w:val="-5"/>
        </w:rPr>
        <w:t>方案是采用制造商的自动湿度校正方法， 利用基本参数</w:t>
      </w:r>
      <w:r>
        <w:rPr>
          <w:rFonts w:ascii="Times New Roman" w:eastAsia="Times New Roman" w:hAnsi="Times New Roman" w:cs="Times New Roman"/>
          <w:spacing w:val="-5"/>
        </w:rPr>
        <w:t>(FP</w:t>
      </w:r>
      <w:r>
        <w:rPr>
          <w:rFonts w:ascii="Times New Roman" w:eastAsia="Times New Roman" w:hAnsi="Times New Roman" w:cs="Times New Roman"/>
          <w:spacing w:val="-6"/>
        </w:rPr>
        <w:t>)</w:t>
      </w:r>
      <w:r>
        <w:rPr>
          <w:spacing w:val="-6"/>
        </w:rPr>
        <w:t>建模排除水分的影响。</w:t>
      </w:r>
    </w:p>
    <w:p>
      <w:pPr>
        <w:pStyle w:val="BodyText"/>
        <w:spacing w:before="192" w:line="360" w:lineRule="auto"/>
        <w:ind w:left="22" w:right="204" w:firstLine="504"/>
        <w:jc w:val="both"/>
      </w:pPr>
      <w:r>
        <w:rPr>
          <w:spacing w:val="-21"/>
        </w:rPr>
        <w:t>同样， 方法规定了样品和检测试样准备，</w:t>
      </w:r>
      <w:r>
        <w:rPr>
          <w:spacing w:val="47"/>
        </w:rPr>
        <w:t xml:space="preserve"> </w:t>
      </w:r>
      <w:r>
        <w:rPr>
          <w:spacing w:val="-21"/>
        </w:rPr>
        <w:t>仪器准备， 校准， 具体步骤， 对结</w:t>
      </w:r>
      <w:r>
        <w:t xml:space="preserve"> </w:t>
      </w:r>
      <w:r>
        <w:rPr>
          <w:spacing w:val="-14"/>
        </w:rPr>
        <w:t>果的说明， 结果报告， 精度及误差值，</w:t>
      </w:r>
      <w:r>
        <w:rPr>
          <w:spacing w:val="52"/>
        </w:rPr>
        <w:t xml:space="preserve"> </w:t>
      </w:r>
      <w:r>
        <w:rPr>
          <w:spacing w:val="-14"/>
        </w:rPr>
        <w:t>质量控制等内容。其中样品和检测试验准</w:t>
      </w:r>
      <w:r>
        <w:t xml:space="preserve"> </w:t>
      </w:r>
      <w:r>
        <w:rPr>
          <w:spacing w:val="-3"/>
        </w:rPr>
        <w:t xml:space="preserve">备中，样品测量准备要求： </w:t>
      </w:r>
      <w:r>
        <w:rPr>
          <w:rFonts w:ascii="Times New Roman" w:eastAsia="Times New Roman" w:hAnsi="Times New Roman" w:cs="Times New Roman"/>
          <w:spacing w:val="-3"/>
        </w:rPr>
        <w:t>1</w:t>
      </w:r>
      <w:r>
        <w:rPr>
          <w:spacing w:val="-3"/>
        </w:rPr>
        <w:t>、为了确保样品具有代表性，在采集容器内完全搅</w:t>
      </w:r>
      <w:r>
        <w:t xml:space="preserve"> </w:t>
      </w:r>
      <w:r>
        <w:rPr>
          <w:spacing w:val="-7"/>
        </w:rPr>
        <w:t>拌、混合和研磨样品。打碎大块土壤或固体废物。如果无法混合，</w:t>
      </w:r>
      <w:r>
        <w:rPr>
          <w:spacing w:val="70"/>
        </w:rPr>
        <w:t xml:space="preserve"> </w:t>
      </w:r>
      <w:r>
        <w:rPr>
          <w:spacing w:val="-7"/>
        </w:rPr>
        <w:t>则至少采集</w:t>
      </w:r>
      <w:r>
        <w:rPr>
          <w:spacing w:val="-47"/>
        </w:rPr>
        <w:t xml:space="preserve"> </w:t>
      </w:r>
      <w:r>
        <w:rPr>
          <w:rFonts w:ascii="Times New Roman" w:eastAsia="Times New Roman" w:hAnsi="Times New Roman" w:cs="Times New Roman"/>
          <w:spacing w:val="-7"/>
        </w:rPr>
        <w:t>5</w:t>
      </w:r>
      <w:r>
        <w:rPr>
          <w:rFonts w:ascii="Times New Roman" w:eastAsia="Times New Roman" w:hAnsi="Times New Roman" w:cs="Times New Roman"/>
        </w:rPr>
        <w:t xml:space="preserve"> </w:t>
      </w:r>
      <w:r>
        <w:rPr>
          <w:spacing w:val="-5"/>
        </w:rPr>
        <w:t xml:space="preserve">份样品； </w:t>
      </w:r>
      <w:r>
        <w:rPr>
          <w:rFonts w:ascii="Times New Roman" w:eastAsia="Times New Roman" w:hAnsi="Times New Roman" w:cs="Times New Roman"/>
          <w:spacing w:val="-5"/>
        </w:rPr>
        <w:t>2</w:t>
      </w:r>
      <w:r>
        <w:rPr>
          <w:spacing w:val="-5"/>
        </w:rPr>
        <w:t xml:space="preserve">、如果样品中的含水量超过 </w:t>
      </w:r>
      <w:r>
        <w:rPr>
          <w:rFonts w:ascii="Times New Roman" w:eastAsia="Times New Roman" w:hAnsi="Times New Roman" w:cs="Times New Roman"/>
          <w:spacing w:val="-5"/>
        </w:rPr>
        <w:t>15%</w:t>
      </w:r>
      <w:r>
        <w:rPr>
          <w:spacing w:val="-5"/>
        </w:rPr>
        <w:t>，则应干燥。如果样品成泥泞</w:t>
      </w:r>
      <w:r>
        <w:rPr>
          <w:spacing w:val="-6"/>
        </w:rPr>
        <w:t>状或可</w:t>
      </w:r>
      <w:r>
        <w:t xml:space="preserve"> </w:t>
      </w:r>
      <w:r>
        <w:rPr>
          <w:spacing w:val="-1"/>
        </w:rPr>
        <w:t xml:space="preserve">见水分渗出，说明样品需要干燥。如果无法确定，请使用测试方法 </w:t>
      </w:r>
      <w:r>
        <w:rPr>
          <w:rFonts w:ascii="Times New Roman" w:eastAsia="Times New Roman" w:hAnsi="Times New Roman" w:cs="Times New Roman"/>
          <w:spacing w:val="-1"/>
        </w:rPr>
        <w:t>D4944</w:t>
      </w:r>
      <w:r>
        <w:rPr>
          <w:rFonts w:ascii="Times New Roman" w:eastAsia="Times New Roman" w:hAnsi="Times New Roman" w:cs="Times New Roman"/>
          <w:spacing w:val="62"/>
        </w:rPr>
        <w:t xml:space="preserve"> </w:t>
      </w:r>
      <w:r>
        <w:rPr>
          <w:spacing w:val="-1"/>
        </w:rPr>
        <w:t>或其</w:t>
      </w:r>
      <w:r>
        <w:t xml:space="preserve"> </w:t>
      </w:r>
      <w:r>
        <w:rPr>
          <w:spacing w:val="-13"/>
        </w:rPr>
        <w:t>他方法测定水分含量。  如果需要干燥，</w:t>
      </w:r>
      <w:r>
        <w:rPr>
          <w:spacing w:val="31"/>
        </w:rPr>
        <w:t xml:space="preserve"> </w:t>
      </w:r>
      <w:r>
        <w:rPr>
          <w:spacing w:val="-13"/>
        </w:rPr>
        <w:t>将样品放在干燥容器中。  将干燥容器放</w:t>
      </w:r>
      <w:r>
        <w:t xml:space="preserve"> </w:t>
      </w:r>
      <w:r>
        <w:rPr>
          <w:spacing w:val="-15"/>
        </w:rPr>
        <w:t>在烘箱中烘烤，</w:t>
      </w:r>
      <w:r>
        <w:rPr>
          <w:spacing w:val="41"/>
        </w:rPr>
        <w:t xml:space="preserve"> </w:t>
      </w:r>
      <w:r>
        <w:rPr>
          <w:spacing w:val="-15"/>
        </w:rPr>
        <w:t>直到质量恒定。  样品也可以在现场自然干燥或</w:t>
      </w:r>
      <w:r>
        <w:rPr>
          <w:spacing w:val="-16"/>
        </w:rPr>
        <w:t>太阳晒干；</w:t>
      </w:r>
      <w:r>
        <w:rPr>
          <w:spacing w:val="43"/>
        </w:rPr>
        <w:t xml:space="preserve"> </w:t>
      </w:r>
      <w:r>
        <w:rPr>
          <w:rFonts w:ascii="Times New Roman" w:eastAsia="Times New Roman" w:hAnsi="Times New Roman" w:cs="Times New Roman"/>
          <w:spacing w:val="-16"/>
        </w:rPr>
        <w:t>3</w:t>
      </w:r>
      <w:r>
        <w:rPr>
          <w:spacing w:val="-16"/>
        </w:rPr>
        <w:t>、去</w:t>
      </w:r>
      <w:r>
        <w:t xml:space="preserve"> </w:t>
      </w:r>
      <w:r>
        <w:rPr>
          <w:spacing w:val="-6"/>
        </w:rPr>
        <w:t xml:space="preserve">除不具有代表性的材料，如树枝，树叶，根茎，昆虫， 沥青和岩石。 </w:t>
      </w:r>
      <w:r>
        <w:rPr>
          <w:spacing w:val="-7"/>
        </w:rPr>
        <w:t xml:space="preserve"> 彻底研磨</w:t>
      </w:r>
      <w:r>
        <w:t xml:space="preserve"> </w:t>
      </w:r>
      <w:r>
        <w:rPr>
          <w:spacing w:val="-2"/>
        </w:rPr>
        <w:t>样品，至其能通过</w:t>
      </w:r>
      <w:r>
        <w:rPr>
          <w:spacing w:val="-48"/>
        </w:rPr>
        <w:t xml:space="preserve"> </w:t>
      </w:r>
      <w:r>
        <w:rPr>
          <w:rFonts w:ascii="Times New Roman" w:eastAsia="Times New Roman" w:hAnsi="Times New Roman" w:cs="Times New Roman"/>
          <w:spacing w:val="-2"/>
        </w:rPr>
        <w:t>50</w:t>
      </w:r>
      <w:r>
        <w:rPr>
          <w:rFonts w:ascii="Times New Roman" w:eastAsia="Times New Roman" w:hAnsi="Times New Roman" w:cs="Times New Roman"/>
          <w:spacing w:val="55"/>
        </w:rPr>
        <w:t xml:space="preserve"> </w:t>
      </w:r>
      <w:r>
        <w:rPr>
          <w:spacing w:val="-2"/>
        </w:rPr>
        <w:t>目或更小（</w:t>
      </w:r>
      <w:r>
        <w:rPr>
          <w:rFonts w:ascii="Times New Roman" w:eastAsia="Times New Roman" w:hAnsi="Times New Roman" w:cs="Times New Roman"/>
          <w:spacing w:val="-2"/>
        </w:rPr>
        <w:t xml:space="preserve">&lt;275  μm </w:t>
      </w:r>
      <w:r>
        <w:rPr>
          <w:spacing w:val="-2"/>
        </w:rPr>
        <w:t>粒径）孔径。将足够量样品装入样品</w:t>
      </w:r>
    </w:p>
    <w:p>
      <w:pPr>
        <w:pStyle w:val="BodyText"/>
        <w:spacing w:line="219" w:lineRule="auto"/>
        <w:ind w:left="23"/>
      </w:pPr>
      <w:r>
        <w:rPr>
          <w:spacing w:val="-4"/>
        </w:rPr>
        <w:t>池，并盖上</w:t>
      </w:r>
      <w:r>
        <w:rPr>
          <w:spacing w:val="-49"/>
        </w:rPr>
        <w:t xml:space="preserve"> </w:t>
      </w:r>
      <w:r>
        <w:rPr>
          <w:rFonts w:ascii="Times New Roman" w:eastAsia="Times New Roman" w:hAnsi="Times New Roman" w:cs="Times New Roman"/>
          <w:spacing w:val="-4"/>
        </w:rPr>
        <w:t xml:space="preserve">X </w:t>
      </w:r>
      <w:r>
        <w:rPr>
          <w:spacing w:val="-4"/>
        </w:rPr>
        <w:t>射线薄膜。</w:t>
      </w:r>
    </w:p>
    <w:p>
      <w:pPr>
        <w:pStyle w:val="BodyText"/>
        <w:spacing w:before="182" w:line="219" w:lineRule="auto"/>
        <w:ind w:left="509"/>
      </w:pPr>
      <w:r>
        <w:rPr>
          <w:spacing w:val="-2"/>
        </w:rPr>
        <w:t>另外，标准还规定了单个操作者需要达到的精确度和平均值。</w:t>
      </w:r>
    </w:p>
    <w:p>
      <w:pPr>
        <w:pStyle w:val="BodyText"/>
        <w:spacing w:before="260" w:line="222" w:lineRule="auto"/>
        <w:ind w:left="20"/>
        <w:outlineLvl w:val="0"/>
        <w:rPr>
          <w:rFonts w:ascii="Times New Roman" w:eastAsia="Times New Roman" w:hAnsi="Times New Roman" w:cs="Times New Roman"/>
        </w:rPr>
      </w:pPr>
      <w:r>
        <w:rPr>
          <w:rFonts w:ascii="Times New Roman" w:eastAsia="Times New Roman" w:hAnsi="Times New Roman" w:cs="Times New Roman"/>
          <w:b/>
          <w:bCs/>
          <w:spacing w:val="-3"/>
        </w:rPr>
        <w:t>4.2.3</w:t>
      </w:r>
      <w:r>
        <w:rPr>
          <w:rFonts w:ascii="Times New Roman" w:eastAsia="Times New Roman" w:hAnsi="Times New Roman" w:cs="Times New Roman"/>
          <w:b/>
          <w:bCs/>
          <w:spacing w:val="14"/>
        </w:rPr>
        <w:t xml:space="preserve">  </w:t>
      </w:r>
      <w:r>
        <w:rPr>
          <w:b/>
          <w:bCs/>
          <w:spacing w:val="-3"/>
        </w:rPr>
        <w:t>欧盟</w:t>
      </w:r>
      <w:r>
        <w:rPr>
          <w:spacing w:val="-52"/>
        </w:rPr>
        <w:t xml:space="preserve"> </w:t>
      </w:r>
      <w:r>
        <w:rPr>
          <w:rFonts w:ascii="Times New Roman" w:eastAsia="Times New Roman" w:hAnsi="Times New Roman" w:cs="Times New Roman"/>
          <w:b/>
          <w:bCs/>
          <w:spacing w:val="-3"/>
        </w:rPr>
        <w:t>ISO13196</w:t>
      </w:r>
    </w:p>
    <w:p>
      <w:pPr>
        <w:spacing w:before="297" w:line="430" w:lineRule="exact"/>
        <w:ind w:left="509"/>
        <w:rPr>
          <w:rFonts w:ascii="Times New Roman" w:eastAsia="Times New Roman" w:hAnsi="Times New Roman" w:cs="Times New Roman"/>
          <w:sz w:val="24"/>
          <w:szCs w:val="24"/>
        </w:rPr>
      </w:pPr>
      <w:r>
        <w:rPr>
          <w:rFonts w:ascii="Times New Roman" w:eastAsia="Times New Roman" w:hAnsi="Times New Roman" w:cs="Times New Roman"/>
          <w:spacing w:val="-1"/>
          <w:position w:val="18"/>
          <w:sz w:val="24"/>
          <w:szCs w:val="24"/>
        </w:rPr>
        <w:t>Soil</w:t>
      </w:r>
      <w:r>
        <w:rPr>
          <w:rFonts w:ascii="Times New Roman" w:eastAsia="Times New Roman" w:hAnsi="Times New Roman" w:cs="Times New Roman"/>
          <w:spacing w:val="57"/>
          <w:position w:val="18"/>
          <w:sz w:val="24"/>
          <w:szCs w:val="24"/>
        </w:rPr>
        <w:t xml:space="preserve"> </w:t>
      </w:r>
      <w:r>
        <w:rPr>
          <w:rFonts w:ascii="Times New Roman" w:eastAsia="Times New Roman" w:hAnsi="Times New Roman" w:cs="Times New Roman"/>
          <w:spacing w:val="-1"/>
          <w:position w:val="18"/>
          <w:sz w:val="24"/>
          <w:szCs w:val="24"/>
        </w:rPr>
        <w:t>quality-Screening</w:t>
      </w:r>
      <w:r>
        <w:rPr>
          <w:rFonts w:ascii="Times New Roman" w:eastAsia="Times New Roman" w:hAnsi="Times New Roman" w:cs="Times New Roman"/>
          <w:spacing w:val="57"/>
          <w:position w:val="18"/>
          <w:sz w:val="24"/>
          <w:szCs w:val="24"/>
        </w:rPr>
        <w:t xml:space="preserve"> </w:t>
      </w:r>
      <w:r>
        <w:rPr>
          <w:rFonts w:ascii="Times New Roman" w:eastAsia="Times New Roman" w:hAnsi="Times New Roman" w:cs="Times New Roman"/>
          <w:spacing w:val="-1"/>
          <w:position w:val="18"/>
          <w:sz w:val="24"/>
          <w:szCs w:val="24"/>
        </w:rPr>
        <w:t>soils</w:t>
      </w:r>
      <w:r>
        <w:rPr>
          <w:rFonts w:ascii="Times New Roman" w:eastAsia="Times New Roman" w:hAnsi="Times New Roman" w:cs="Times New Roman"/>
          <w:spacing w:val="57"/>
          <w:w w:val="101"/>
          <w:position w:val="18"/>
          <w:sz w:val="24"/>
          <w:szCs w:val="24"/>
        </w:rPr>
        <w:t xml:space="preserve"> </w:t>
      </w:r>
      <w:r>
        <w:rPr>
          <w:rFonts w:ascii="Times New Roman" w:eastAsia="Times New Roman" w:hAnsi="Times New Roman" w:cs="Times New Roman"/>
          <w:spacing w:val="-1"/>
          <w:position w:val="18"/>
          <w:sz w:val="24"/>
          <w:szCs w:val="24"/>
        </w:rPr>
        <w:t>for</w:t>
      </w:r>
      <w:r>
        <w:rPr>
          <w:rFonts w:ascii="Times New Roman" w:eastAsia="Times New Roman" w:hAnsi="Times New Roman" w:cs="Times New Roman"/>
          <w:spacing w:val="56"/>
          <w:w w:val="101"/>
          <w:position w:val="18"/>
          <w:sz w:val="24"/>
          <w:szCs w:val="24"/>
        </w:rPr>
        <w:t xml:space="preserve"> </w:t>
      </w:r>
      <w:r>
        <w:rPr>
          <w:rFonts w:ascii="Times New Roman" w:eastAsia="Times New Roman" w:hAnsi="Times New Roman" w:cs="Times New Roman"/>
          <w:spacing w:val="-1"/>
          <w:position w:val="18"/>
          <w:sz w:val="24"/>
          <w:szCs w:val="24"/>
        </w:rPr>
        <w:t>selected</w:t>
      </w:r>
      <w:r>
        <w:rPr>
          <w:rFonts w:ascii="Times New Roman" w:eastAsia="Times New Roman" w:hAnsi="Times New Roman" w:cs="Times New Roman"/>
          <w:spacing w:val="55"/>
          <w:w w:val="101"/>
          <w:position w:val="18"/>
          <w:sz w:val="24"/>
          <w:szCs w:val="24"/>
        </w:rPr>
        <w:t xml:space="preserve"> </w:t>
      </w:r>
      <w:r>
        <w:rPr>
          <w:rFonts w:ascii="Times New Roman" w:eastAsia="Times New Roman" w:hAnsi="Times New Roman" w:cs="Times New Roman"/>
          <w:spacing w:val="-1"/>
          <w:position w:val="18"/>
          <w:sz w:val="24"/>
          <w:szCs w:val="24"/>
        </w:rPr>
        <w:t>elements</w:t>
      </w:r>
      <w:r>
        <w:rPr>
          <w:rFonts w:ascii="Times New Roman" w:eastAsia="Times New Roman" w:hAnsi="Times New Roman" w:cs="Times New Roman"/>
          <w:spacing w:val="48"/>
          <w:position w:val="18"/>
          <w:sz w:val="24"/>
          <w:szCs w:val="24"/>
        </w:rPr>
        <w:t xml:space="preserve"> </w:t>
      </w:r>
      <w:r>
        <w:rPr>
          <w:rFonts w:ascii="Times New Roman" w:eastAsia="Times New Roman" w:hAnsi="Times New Roman" w:cs="Times New Roman"/>
          <w:spacing w:val="-1"/>
          <w:position w:val="18"/>
          <w:sz w:val="24"/>
          <w:szCs w:val="24"/>
        </w:rPr>
        <w:t>by</w:t>
      </w:r>
      <w:r>
        <w:rPr>
          <w:rFonts w:ascii="Times New Roman" w:eastAsia="Times New Roman" w:hAnsi="Times New Roman" w:cs="Times New Roman"/>
          <w:spacing w:val="52"/>
          <w:position w:val="18"/>
          <w:sz w:val="24"/>
          <w:szCs w:val="24"/>
        </w:rPr>
        <w:t xml:space="preserve"> </w:t>
      </w:r>
      <w:r>
        <w:rPr>
          <w:rFonts w:ascii="Times New Roman" w:eastAsia="Times New Roman" w:hAnsi="Times New Roman" w:cs="Times New Roman"/>
          <w:spacing w:val="-1"/>
          <w:position w:val="18"/>
          <w:sz w:val="24"/>
          <w:szCs w:val="24"/>
        </w:rPr>
        <w:t>energy</w:t>
      </w:r>
      <w:r>
        <w:rPr>
          <w:rFonts w:ascii="Times New Roman" w:eastAsia="Times New Roman" w:hAnsi="Times New Roman" w:cs="Times New Roman"/>
          <w:spacing w:val="51"/>
          <w:position w:val="18"/>
          <w:sz w:val="24"/>
          <w:szCs w:val="24"/>
        </w:rPr>
        <w:t xml:space="preserve"> </w:t>
      </w:r>
      <w:r>
        <w:rPr>
          <w:rFonts w:ascii="Times New Roman" w:eastAsia="Times New Roman" w:hAnsi="Times New Roman" w:cs="Times New Roman"/>
          <w:spacing w:val="-1"/>
          <w:position w:val="18"/>
          <w:sz w:val="24"/>
          <w:szCs w:val="24"/>
        </w:rPr>
        <w:t>dispersiv</w:t>
      </w:r>
      <w:r>
        <w:rPr>
          <w:rFonts w:ascii="Times New Roman" w:eastAsia="Times New Roman" w:hAnsi="Times New Roman" w:cs="Times New Roman"/>
          <w:spacing w:val="-2"/>
          <w:position w:val="18"/>
          <w:sz w:val="24"/>
          <w:szCs w:val="24"/>
        </w:rPr>
        <w:t>e</w:t>
      </w:r>
      <w:r>
        <w:rPr>
          <w:rFonts w:ascii="Times New Roman" w:eastAsia="Times New Roman" w:hAnsi="Times New Roman" w:cs="Times New Roman"/>
          <w:spacing w:val="48"/>
          <w:w w:val="101"/>
          <w:position w:val="18"/>
          <w:sz w:val="24"/>
          <w:szCs w:val="24"/>
        </w:rPr>
        <w:t xml:space="preserve"> </w:t>
      </w:r>
      <w:r>
        <w:rPr>
          <w:rFonts w:ascii="Times New Roman" w:eastAsia="Times New Roman" w:hAnsi="Times New Roman" w:cs="Times New Roman"/>
          <w:spacing w:val="-2"/>
          <w:position w:val="18"/>
          <w:sz w:val="24"/>
          <w:szCs w:val="24"/>
        </w:rPr>
        <w:t>X-ray</w:t>
      </w:r>
    </w:p>
    <w:p>
      <w:pPr>
        <w:pStyle w:val="BodyText"/>
        <w:spacing w:before="1" w:line="212" w:lineRule="auto"/>
        <w:ind w:left="23"/>
      </w:pPr>
      <w:r>
        <w:rPr>
          <w:rFonts w:ascii="Times New Roman" w:eastAsia="Times New Roman" w:hAnsi="Times New Roman" w:cs="Times New Roman"/>
        </w:rPr>
        <w:t>fluorescence spectrometry using a h</w:t>
      </w:r>
      <w:r>
        <w:rPr>
          <w:rFonts w:ascii="Times New Roman" w:eastAsia="Times New Roman" w:hAnsi="Times New Roman" w:cs="Times New Roman"/>
          <w:spacing w:val="-1"/>
        </w:rPr>
        <w:t xml:space="preserve">andheld or portable instrument  </w:t>
      </w:r>
      <w:r>
        <w:rPr>
          <w:spacing w:val="-1"/>
        </w:rPr>
        <w:t>（</w:t>
      </w:r>
      <w:r>
        <w:rPr>
          <w:rFonts w:ascii="Times New Roman" w:eastAsia="Times New Roman" w:hAnsi="Times New Roman" w:cs="Times New Roman"/>
          <w:spacing w:val="-1"/>
        </w:rPr>
        <w:t>ISO</w:t>
      </w:r>
      <w:r>
        <w:rPr>
          <w:rFonts w:ascii="Times New Roman" w:eastAsia="Times New Roman" w:hAnsi="Times New Roman" w:cs="Times New Roman"/>
          <w:spacing w:val="30"/>
        </w:rPr>
        <w:t xml:space="preserve"> </w:t>
      </w:r>
      <w:r>
        <w:rPr>
          <w:rFonts w:ascii="Times New Roman" w:eastAsia="Times New Roman" w:hAnsi="Times New Roman" w:cs="Times New Roman"/>
          <w:spacing w:val="-1"/>
        </w:rPr>
        <w:t>13196</w:t>
      </w:r>
      <w:r>
        <w:rPr>
          <w:spacing w:val="-1"/>
        </w:rPr>
        <w:t>）</w:t>
      </w:r>
    </w:p>
    <w:p>
      <w:pPr>
        <w:pStyle w:val="BodyText"/>
        <w:spacing w:before="192" w:line="360" w:lineRule="auto"/>
        <w:ind w:left="24" w:right="204" w:firstLine="475"/>
      </w:pPr>
      <w:r>
        <w:rPr>
          <w:rFonts w:ascii="Times New Roman" w:eastAsia="Times New Roman" w:hAnsi="Times New Roman" w:cs="Times New Roman"/>
          <w:spacing w:val="-2"/>
        </w:rPr>
        <w:t>ISO  13196</w:t>
      </w:r>
      <w:r>
        <w:rPr>
          <w:rFonts w:ascii="Times New Roman" w:eastAsia="Times New Roman" w:hAnsi="Times New Roman" w:cs="Times New Roman"/>
          <w:spacing w:val="40"/>
          <w:w w:val="101"/>
        </w:rPr>
        <w:t xml:space="preserve"> </w:t>
      </w:r>
      <w:r>
        <w:rPr>
          <w:spacing w:val="-2"/>
        </w:rPr>
        <w:t>于</w:t>
      </w:r>
      <w:r>
        <w:rPr>
          <w:spacing w:val="-42"/>
        </w:rPr>
        <w:t xml:space="preserve"> </w:t>
      </w:r>
      <w:r>
        <w:rPr>
          <w:rFonts w:ascii="Times New Roman" w:eastAsia="Times New Roman" w:hAnsi="Times New Roman" w:cs="Times New Roman"/>
          <w:spacing w:val="-2"/>
        </w:rPr>
        <w:t>2013</w:t>
      </w:r>
      <w:r>
        <w:rPr>
          <w:rFonts w:ascii="Times New Roman" w:eastAsia="Times New Roman" w:hAnsi="Times New Roman" w:cs="Times New Roman"/>
          <w:spacing w:val="22"/>
        </w:rPr>
        <w:t xml:space="preserve"> </w:t>
      </w:r>
      <w:r>
        <w:rPr>
          <w:spacing w:val="-2"/>
        </w:rPr>
        <w:t>年</w:t>
      </w:r>
      <w:r>
        <w:rPr>
          <w:spacing w:val="-36"/>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27"/>
          <w:w w:val="101"/>
        </w:rPr>
        <w:t xml:space="preserve"> </w:t>
      </w:r>
      <w:r>
        <w:rPr>
          <w:spacing w:val="-2"/>
        </w:rPr>
        <w:t>月发布。标准规定了该方法适用于利用手持或可移</w:t>
      </w:r>
      <w:r>
        <w:t xml:space="preserve"> </w:t>
      </w:r>
      <w:r>
        <w:rPr>
          <w:spacing w:val="-1"/>
        </w:rPr>
        <w:t>动式的能量色散</w:t>
      </w:r>
      <w:r>
        <w:rPr>
          <w:spacing w:val="-29"/>
        </w:rPr>
        <w:t xml:space="preserve"> </w:t>
      </w:r>
      <w:r>
        <w:rPr>
          <w:rFonts w:ascii="Times New Roman" w:eastAsia="Times New Roman" w:hAnsi="Times New Roman" w:cs="Times New Roman"/>
          <w:spacing w:val="-1"/>
        </w:rPr>
        <w:t>XRF</w:t>
      </w:r>
      <w:r>
        <w:rPr>
          <w:rFonts w:ascii="Times New Roman" w:eastAsia="Times New Roman" w:hAnsi="Times New Roman" w:cs="Times New Roman"/>
          <w:spacing w:val="32"/>
          <w:w w:val="101"/>
        </w:rPr>
        <w:t xml:space="preserve"> </w:t>
      </w:r>
      <w:r>
        <w:rPr>
          <w:spacing w:val="-1"/>
        </w:rPr>
        <w:t>光谱仪对特定元素在土壤或类似的材料中的快速筛选。该</w:t>
      </w:r>
      <w:r>
        <w:t xml:space="preserve"> </w:t>
      </w:r>
      <w:r>
        <w:rPr>
          <w:spacing w:val="-6"/>
        </w:rPr>
        <w:t>快速方法可为土壤质量的评价提供原位的定性或半定量的数据，</w:t>
      </w:r>
      <w:r>
        <w:rPr>
          <w:spacing w:val="-15"/>
        </w:rPr>
        <w:t xml:space="preserve"> </w:t>
      </w:r>
      <w:r>
        <w:rPr>
          <w:spacing w:val="-6"/>
        </w:rPr>
        <w:t>为后续的详细采</w:t>
      </w:r>
    </w:p>
    <w:p>
      <w:pPr>
        <w:pStyle w:val="BodyText"/>
        <w:spacing w:before="1" w:line="218" w:lineRule="auto"/>
        <w:ind w:left="22"/>
      </w:pPr>
      <w:r>
        <w:rPr>
          <w:spacing w:val="-6"/>
        </w:rPr>
        <w:t>样提供参考。</w:t>
      </w:r>
    </w:p>
    <w:p>
      <w:pPr>
        <w:pStyle w:val="BodyText"/>
        <w:spacing w:before="184" w:line="360" w:lineRule="auto"/>
        <w:ind w:left="25" w:right="100" w:firstLine="478"/>
      </w:pPr>
      <w:r>
        <w:t>标准指出，对于汞，镉，钴，钼，钒和锑，大部</w:t>
      </w:r>
      <w:r>
        <w:rPr>
          <w:spacing w:val="-1"/>
        </w:rPr>
        <w:t>分仪器的测定下限（</w:t>
      </w:r>
      <w:r>
        <w:rPr>
          <w:rFonts w:ascii="Times New Roman" w:eastAsia="Times New Roman" w:hAnsi="Times New Roman" w:cs="Times New Roman"/>
          <w:spacing w:val="-1"/>
        </w:rPr>
        <w:t>LOQ</w:t>
      </w:r>
      <w:r>
        <w:rPr>
          <w:spacing w:val="-1"/>
        </w:rPr>
        <w:t>）</w:t>
      </w:r>
      <w:r>
        <w:t xml:space="preserve"> </w:t>
      </w:r>
      <w:r>
        <w:rPr>
          <w:spacing w:val="-11"/>
        </w:rPr>
        <w:t>无法满足标准限值的要求， 可能达不到不同国家的要求，</w:t>
      </w:r>
      <w:r>
        <w:rPr>
          <w:spacing w:val="50"/>
        </w:rPr>
        <w:t xml:space="preserve"> </w:t>
      </w:r>
      <w:r>
        <w:rPr>
          <w:spacing w:val="-11"/>
        </w:rPr>
        <w:t>因此可以结合湿化学加</w:t>
      </w:r>
    </w:p>
    <w:p>
      <w:pPr>
        <w:pStyle w:val="BodyText"/>
        <w:spacing w:before="1" w:line="219" w:lineRule="auto"/>
        <w:ind w:left="25"/>
      </w:pPr>
      <w:r>
        <w:rPr>
          <w:spacing w:val="-4"/>
        </w:rPr>
        <w:t>上原子吸收或</w:t>
      </w:r>
      <w:r>
        <w:rPr>
          <w:spacing w:val="-35"/>
        </w:rPr>
        <w:t xml:space="preserve"> </w:t>
      </w:r>
      <w:r>
        <w:rPr>
          <w:rFonts w:ascii="Times New Roman" w:eastAsia="Times New Roman" w:hAnsi="Times New Roman" w:cs="Times New Roman"/>
          <w:spacing w:val="-4"/>
        </w:rPr>
        <w:t>ICP-MS</w:t>
      </w:r>
      <w:r>
        <w:rPr>
          <w:rFonts w:ascii="Times New Roman" w:eastAsia="Times New Roman" w:hAnsi="Times New Roman" w:cs="Times New Roman"/>
          <w:spacing w:val="15"/>
        </w:rPr>
        <w:t xml:space="preserve"> </w:t>
      </w:r>
      <w:r>
        <w:rPr>
          <w:spacing w:val="-4"/>
        </w:rPr>
        <w:t>等方法进行测定。</w:t>
      </w:r>
    </w:p>
    <w:p>
      <w:pPr>
        <w:pStyle w:val="BodyText"/>
        <w:spacing w:before="182" w:line="468" w:lineRule="exact"/>
        <w:ind w:left="504"/>
      </w:pPr>
      <w:r>
        <w:rPr>
          <w:spacing w:val="-1"/>
          <w:position w:val="17"/>
        </w:rPr>
        <w:t>标准的内容包括适用范围、引用的标准、术语和定义、原理、装置、步骤、</w:t>
      </w:r>
    </w:p>
    <w:p>
      <w:pPr>
        <w:pStyle w:val="BodyText"/>
        <w:spacing w:line="218" w:lineRule="auto"/>
        <w:ind w:left="24"/>
        <w:sectPr>
          <w:footerReference w:type="default" r:id="rId23"/>
          <w:pgSz w:w="11907" w:h="16839"/>
          <w:pgMar w:top="1431" w:right="1593" w:bottom="1357" w:left="1785" w:header="0" w:footer="1197" w:gutter="0"/>
          <w:pgNumType w:start="20"/>
          <w:cols w:space="708"/>
        </w:sectPr>
      </w:pPr>
      <w:r>
        <w:rPr>
          <w:spacing w:val="-4"/>
        </w:rPr>
        <w:t>质量控制和报告这八大章节。</w:t>
      </w:r>
    </w:p>
    <w:p>
      <w:pPr>
        <w:pStyle w:val="BodyText"/>
        <w:spacing w:before="185" w:line="360" w:lineRule="auto"/>
        <w:ind w:left="22" w:right="206" w:firstLine="481"/>
      </w:pPr>
      <w:r>
        <w:rPr>
          <w:spacing w:val="-1"/>
        </w:rPr>
        <w:t>便携式</w:t>
      </w:r>
      <w:r>
        <w:rPr>
          <w:spacing w:val="-31"/>
        </w:rPr>
        <w:t xml:space="preserve"> </w:t>
      </w:r>
      <w:r>
        <w:rPr>
          <w:rFonts w:ascii="Times New Roman" w:eastAsia="Times New Roman" w:hAnsi="Times New Roman" w:cs="Times New Roman"/>
          <w:spacing w:val="-1"/>
        </w:rPr>
        <w:t>XRF</w:t>
      </w:r>
      <w:r>
        <w:rPr>
          <w:rFonts w:ascii="Times New Roman" w:eastAsia="Times New Roman" w:hAnsi="Times New Roman" w:cs="Times New Roman"/>
          <w:spacing w:val="31"/>
          <w:w w:val="101"/>
        </w:rPr>
        <w:t xml:space="preserve"> </w:t>
      </w:r>
      <w:r>
        <w:rPr>
          <w:spacing w:val="-1"/>
        </w:rPr>
        <w:t>设备在现场直接分析只能作为定性分析工具，通过一些有限的</w:t>
      </w:r>
      <w:r>
        <w:t xml:space="preserve"> </w:t>
      </w:r>
      <w:r>
        <w:rPr>
          <w:spacing w:val="-9"/>
        </w:rPr>
        <w:t>样品前处理可以得到半定量的结果， 如果需要得到定量的</w:t>
      </w:r>
      <w:r>
        <w:rPr>
          <w:spacing w:val="-10"/>
        </w:rPr>
        <w:t>结果， 则样品需要进行</w:t>
      </w:r>
    </w:p>
    <w:p>
      <w:pPr>
        <w:pStyle w:val="BodyText"/>
        <w:spacing w:before="1" w:line="219" w:lineRule="auto"/>
        <w:ind w:left="25"/>
      </w:pPr>
      <w:r>
        <w:rPr>
          <w:spacing w:val="-5"/>
        </w:rPr>
        <w:t>完整的前处理流程。</w:t>
      </w:r>
    </w:p>
    <w:p>
      <w:pPr>
        <w:spacing w:line="219" w:lineRule="auto"/>
        <w:sectPr>
          <w:footerReference w:type="default" r:id="rId24"/>
          <w:type w:val="nextPage"/>
          <w:pgSz w:w="11907" w:h="16839"/>
          <w:pgMar w:top="1431" w:right="1593" w:bottom="1357" w:left="1785" w:header="0" w:footer="1197" w:gutter="0"/>
          <w:pgNumType w:start="21"/>
          <w:cols w:space="708"/>
          <w:titlePg w:val="0"/>
        </w:sectPr>
      </w:pPr>
    </w:p>
    <w:p>
      <w:pPr>
        <w:pStyle w:val="BodyText"/>
        <w:spacing w:before="124" w:line="360" w:lineRule="auto"/>
        <w:ind w:left="121" w:right="54" w:firstLine="480"/>
        <w:jc w:val="both"/>
      </w:pPr>
      <w:r>
        <w:rPr>
          <w:spacing w:val="-17"/>
        </w:rPr>
        <w:t>值得注意到是，</w:t>
      </w:r>
      <w:r>
        <w:rPr>
          <w:spacing w:val="31"/>
        </w:rPr>
        <w:t xml:space="preserve"> </w:t>
      </w:r>
      <w:r>
        <w:rPr>
          <w:spacing w:val="-17"/>
        </w:rPr>
        <w:t>对于土壤样品的准备，</w:t>
      </w:r>
      <w:r>
        <w:rPr>
          <w:spacing w:val="33"/>
        </w:rPr>
        <w:t xml:space="preserve"> </w:t>
      </w:r>
      <w:r>
        <w:rPr>
          <w:spacing w:val="-17"/>
        </w:rPr>
        <w:t>标准中规</w:t>
      </w:r>
      <w:r>
        <w:rPr>
          <w:spacing w:val="-18"/>
        </w:rPr>
        <w:t>定，</w:t>
      </w:r>
      <w:r>
        <w:rPr>
          <w:spacing w:val="45"/>
        </w:rPr>
        <w:t xml:space="preserve"> </w:t>
      </w:r>
      <w:r>
        <w:rPr>
          <w:spacing w:val="-18"/>
        </w:rPr>
        <w:t>需要采集足够多的样品</w:t>
      </w:r>
      <w:r>
        <w:t xml:space="preserve"> </w:t>
      </w:r>
      <w:r>
        <w:rPr>
          <w:spacing w:val="-8"/>
        </w:rPr>
        <w:t xml:space="preserve">以保证可重复性（如 </w:t>
      </w:r>
      <w:r>
        <w:rPr>
          <w:rFonts w:ascii="Times New Roman" w:eastAsia="Times New Roman" w:hAnsi="Times New Roman" w:cs="Times New Roman"/>
          <w:spacing w:val="-8"/>
        </w:rPr>
        <w:t>10~10000 g</w:t>
      </w:r>
      <w:r>
        <w:rPr>
          <w:spacing w:val="-8"/>
        </w:rPr>
        <w:t>）。采集的样品量较多时，</w:t>
      </w:r>
      <w:r>
        <w:rPr>
          <w:spacing w:val="35"/>
        </w:rPr>
        <w:t xml:space="preserve"> </w:t>
      </w:r>
      <w:r>
        <w:rPr>
          <w:spacing w:val="-8"/>
        </w:rPr>
        <w:t>在测定时需要选取有</w:t>
      </w:r>
      <w:r>
        <w:t xml:space="preserve"> </w:t>
      </w:r>
      <w:r>
        <w:rPr>
          <w:spacing w:val="-1"/>
        </w:rPr>
        <w:t>代表性的测试部分进行测定。在剔除外来物后，用勺子将土</w:t>
      </w:r>
      <w:r>
        <w:rPr>
          <w:spacing w:val="-2"/>
        </w:rPr>
        <w:t>壤压成较小的颗粒，</w:t>
      </w:r>
      <w:r>
        <w:t xml:space="preserve"> </w:t>
      </w:r>
      <w:r>
        <w:rPr>
          <w:spacing w:val="-6"/>
        </w:rPr>
        <w:t>用筛子剔除大于</w:t>
      </w:r>
      <w:r>
        <w:rPr>
          <w:spacing w:val="-45"/>
        </w:rPr>
        <w:t xml:space="preserve"> </w:t>
      </w:r>
      <w:r>
        <w:rPr>
          <w:rFonts w:ascii="Times New Roman" w:eastAsia="Times New Roman" w:hAnsi="Times New Roman" w:cs="Times New Roman"/>
          <w:spacing w:val="-6"/>
        </w:rPr>
        <w:t>2 mm</w:t>
      </w:r>
      <w:r>
        <w:rPr>
          <w:rFonts w:ascii="Times New Roman" w:eastAsia="Times New Roman" w:hAnsi="Times New Roman" w:cs="Times New Roman"/>
          <w:spacing w:val="31"/>
        </w:rPr>
        <w:t xml:space="preserve"> </w:t>
      </w:r>
      <w:r>
        <w:rPr>
          <w:spacing w:val="-6"/>
        </w:rPr>
        <w:t>的部分， 随后用研钵进行研磨。将研磨后的土壤放置在样</w:t>
      </w:r>
      <w:r>
        <w:t xml:space="preserve"> </w:t>
      </w:r>
      <w:r>
        <w:rPr>
          <w:spacing w:val="-14"/>
        </w:rPr>
        <w:t>品杯中， 轻轻敲击， 使其表面平整和自然压实，</w:t>
      </w:r>
      <w:r>
        <w:rPr>
          <w:spacing w:val="58"/>
        </w:rPr>
        <w:t xml:space="preserve"> </w:t>
      </w:r>
      <w:r>
        <w:rPr>
          <w:spacing w:val="-14"/>
        </w:rPr>
        <w:t>因为大的空隙会影</w:t>
      </w:r>
      <w:r>
        <w:rPr>
          <w:spacing w:val="-15"/>
        </w:rPr>
        <w:t>响结果。如果</w:t>
      </w:r>
      <w:r>
        <w:t xml:space="preserve"> </w:t>
      </w:r>
      <w:r>
        <w:rPr>
          <w:spacing w:val="-10"/>
        </w:rPr>
        <w:t>用塑料袋代替样品杯的话，</w:t>
      </w:r>
      <w:r>
        <w:rPr>
          <w:spacing w:val="28"/>
        </w:rPr>
        <w:t xml:space="preserve"> </w:t>
      </w:r>
      <w:r>
        <w:rPr>
          <w:spacing w:val="-10"/>
        </w:rPr>
        <w:t>需要将塑料袋和土壤压实和</w:t>
      </w:r>
      <w:r>
        <w:rPr>
          <w:spacing w:val="-11"/>
        </w:rPr>
        <w:t>贴紧， 并使土壤变成厚度</w:t>
      </w:r>
    </w:p>
    <w:p>
      <w:pPr>
        <w:pStyle w:val="BodyText"/>
        <w:spacing w:line="232" w:lineRule="auto"/>
        <w:ind w:left="125"/>
      </w:pPr>
      <w:r>
        <w:rPr>
          <w:spacing w:val="-3"/>
        </w:rPr>
        <w:t>大于</w:t>
      </w:r>
      <w:r>
        <w:rPr>
          <w:spacing w:val="-49"/>
        </w:rPr>
        <w:t xml:space="preserve"> </w:t>
      </w:r>
      <w:r>
        <w:rPr>
          <w:rFonts w:ascii="Times New Roman" w:eastAsia="Times New Roman" w:hAnsi="Times New Roman" w:cs="Times New Roman"/>
          <w:spacing w:val="-3"/>
        </w:rPr>
        <w:t>5 mm</w:t>
      </w:r>
      <w:r>
        <w:rPr>
          <w:rFonts w:ascii="Times New Roman" w:eastAsia="Times New Roman" w:hAnsi="Times New Roman" w:cs="Times New Roman"/>
          <w:spacing w:val="30"/>
        </w:rPr>
        <w:t xml:space="preserve"> </w:t>
      </w:r>
      <w:r>
        <w:rPr>
          <w:spacing w:val="-3"/>
        </w:rPr>
        <w:t>的片状。如果样品湿度大于</w:t>
      </w:r>
      <w:r>
        <w:rPr>
          <w:spacing w:val="-32"/>
        </w:rPr>
        <w:t xml:space="preserve"> </w:t>
      </w:r>
      <w:r>
        <w:rPr>
          <w:rFonts w:ascii="Times New Roman" w:eastAsia="Times New Roman" w:hAnsi="Times New Roman" w:cs="Times New Roman"/>
          <w:spacing w:val="-3"/>
        </w:rPr>
        <w:t>10%</w:t>
      </w:r>
      <w:r>
        <w:rPr>
          <w:spacing w:val="-3"/>
        </w:rPr>
        <w:t>，</w:t>
      </w:r>
      <w:r>
        <w:rPr>
          <w:spacing w:val="-4"/>
        </w:rPr>
        <w:t>在测定前需要将土壤晾干。</w:t>
      </w:r>
    </w:p>
    <w:p>
      <w:pPr>
        <w:spacing w:line="346" w:lineRule="auto"/>
        <w:rPr>
          <w:rFonts w:ascii="Arial"/>
          <w:sz w:val="21"/>
        </w:rPr>
      </w:pPr>
    </w:p>
    <w:p>
      <w:pPr>
        <w:pStyle w:val="BodyText"/>
        <w:spacing w:before="79" w:line="220" w:lineRule="auto"/>
        <w:ind w:left="120"/>
      </w:pPr>
      <w:r>
        <w:rPr>
          <w:rFonts w:ascii="Times New Roman" w:eastAsia="Times New Roman" w:hAnsi="Times New Roman" w:cs="Times New Roman"/>
          <w:b/>
          <w:bCs/>
          <w:spacing w:val="-6"/>
        </w:rPr>
        <w:t>5</w:t>
      </w:r>
      <w:r>
        <w:rPr>
          <w:rFonts w:ascii="Times New Roman" w:eastAsia="Times New Roman" w:hAnsi="Times New Roman" w:cs="Times New Roman"/>
          <w:b/>
          <w:bCs/>
          <w:spacing w:val="7"/>
        </w:rPr>
        <w:t xml:space="preserve">  </w:t>
      </w:r>
      <w:r>
        <w:rPr>
          <w:b/>
          <w:bCs/>
          <w:spacing w:val="-6"/>
        </w:rPr>
        <w:t>编制原则</w:t>
      </w:r>
    </w:p>
    <w:p>
      <w:pPr>
        <w:spacing w:line="254" w:lineRule="auto"/>
        <w:rPr>
          <w:rFonts w:ascii="Arial"/>
          <w:sz w:val="21"/>
        </w:rPr>
      </w:pPr>
    </w:p>
    <w:p>
      <w:pPr>
        <w:spacing w:line="255" w:lineRule="auto"/>
        <w:rPr>
          <w:rFonts w:ascii="Arial"/>
          <w:sz w:val="21"/>
        </w:rPr>
      </w:pPr>
    </w:p>
    <w:p>
      <w:pPr>
        <w:pStyle w:val="BodyText"/>
        <w:spacing w:before="78" w:line="219" w:lineRule="auto"/>
        <w:ind w:left="543"/>
      </w:pPr>
      <w:r>
        <w:rPr>
          <w:spacing w:val="-3"/>
        </w:rPr>
        <w:t>《土壤重金属现场快速检测技术指南》的制订基本原则：</w:t>
      </w:r>
    </w:p>
    <w:p>
      <w:pPr>
        <w:pStyle w:val="BodyText"/>
        <w:spacing w:before="183" w:line="468" w:lineRule="exact"/>
        <w:ind w:left="603"/>
      </w:pPr>
      <w:r>
        <w:rPr>
          <w:spacing w:val="-7"/>
          <w:position w:val="17"/>
        </w:rPr>
        <w:t>本标准按照</w:t>
      </w:r>
      <w:r>
        <w:rPr>
          <w:spacing w:val="-36"/>
          <w:position w:val="17"/>
        </w:rPr>
        <w:t xml:space="preserve"> </w:t>
      </w:r>
      <w:r>
        <w:rPr>
          <w:rFonts w:ascii="Times New Roman" w:eastAsia="Times New Roman" w:hAnsi="Times New Roman" w:cs="Times New Roman"/>
          <w:spacing w:val="-7"/>
          <w:position w:val="17"/>
        </w:rPr>
        <w:t>GB/T</w:t>
      </w:r>
      <w:r>
        <w:rPr>
          <w:rFonts w:ascii="Times New Roman" w:eastAsia="Times New Roman" w:hAnsi="Times New Roman" w:cs="Times New Roman"/>
          <w:spacing w:val="23"/>
          <w:w w:val="101"/>
          <w:position w:val="17"/>
        </w:rPr>
        <w:t xml:space="preserve"> </w:t>
      </w:r>
      <w:r>
        <w:rPr>
          <w:rFonts w:ascii="Times New Roman" w:eastAsia="Times New Roman" w:hAnsi="Times New Roman" w:cs="Times New Roman"/>
          <w:spacing w:val="-7"/>
          <w:position w:val="17"/>
        </w:rPr>
        <w:t>1.1-2020</w:t>
      </w:r>
      <w:r>
        <w:rPr>
          <w:spacing w:val="-7"/>
          <w:position w:val="17"/>
        </w:rPr>
        <w:t>《标准化工作导则</w:t>
      </w:r>
      <w:r>
        <w:rPr>
          <w:spacing w:val="31"/>
          <w:position w:val="17"/>
        </w:rPr>
        <w:t xml:space="preserve"> </w:t>
      </w:r>
      <w:r>
        <w:rPr>
          <w:spacing w:val="-7"/>
          <w:position w:val="17"/>
        </w:rPr>
        <w:t>第</w:t>
      </w:r>
      <w:r>
        <w:rPr>
          <w:spacing w:val="-32"/>
          <w:position w:val="17"/>
        </w:rPr>
        <w:t xml:space="preserve"> </w:t>
      </w:r>
      <w:r>
        <w:rPr>
          <w:rFonts w:ascii="Times New Roman" w:eastAsia="Times New Roman" w:hAnsi="Times New Roman" w:cs="Times New Roman"/>
          <w:spacing w:val="-7"/>
          <w:position w:val="17"/>
        </w:rPr>
        <w:t xml:space="preserve">1 </w:t>
      </w:r>
      <w:r>
        <w:rPr>
          <w:spacing w:val="-7"/>
          <w:position w:val="17"/>
        </w:rPr>
        <w:t>部分：</w:t>
      </w:r>
      <w:r>
        <w:rPr>
          <w:spacing w:val="-26"/>
          <w:position w:val="17"/>
        </w:rPr>
        <w:t xml:space="preserve"> </w:t>
      </w:r>
      <w:r>
        <w:rPr>
          <w:spacing w:val="-7"/>
          <w:position w:val="17"/>
        </w:rPr>
        <w:t>标准化文件的结构</w:t>
      </w:r>
    </w:p>
    <w:p>
      <w:pPr>
        <w:pStyle w:val="BodyText"/>
        <w:spacing w:line="219" w:lineRule="auto"/>
        <w:ind w:left="123"/>
      </w:pPr>
      <w:r>
        <w:rPr>
          <w:spacing w:val="-5"/>
        </w:rPr>
        <w:t>和起草规则》的要求进行编写；</w:t>
      </w:r>
    </w:p>
    <w:p>
      <w:pPr>
        <w:pStyle w:val="BodyText"/>
        <w:spacing w:before="183" w:line="468" w:lineRule="exact"/>
        <w:ind w:right="29"/>
        <w:jc w:val="right"/>
      </w:pPr>
      <w:r>
        <w:rPr>
          <w:spacing w:val="-10"/>
          <w:position w:val="17"/>
        </w:rPr>
        <w:t>符合相关法律、法规和有关规定，</w:t>
      </w:r>
      <w:r>
        <w:rPr>
          <w:spacing w:val="-41"/>
          <w:position w:val="17"/>
        </w:rPr>
        <w:t xml:space="preserve"> </w:t>
      </w:r>
      <w:r>
        <w:rPr>
          <w:spacing w:val="-10"/>
          <w:position w:val="17"/>
        </w:rPr>
        <w:t>在编制过程中充分考虑技术内容的科学性、</w:t>
      </w:r>
    </w:p>
    <w:p>
      <w:pPr>
        <w:pStyle w:val="BodyText"/>
        <w:spacing w:before="1" w:line="219" w:lineRule="auto"/>
        <w:ind w:left="122"/>
      </w:pPr>
      <w:r>
        <w:rPr>
          <w:spacing w:val="-7"/>
        </w:rPr>
        <w:t>适用性和可操作性；</w:t>
      </w:r>
    </w:p>
    <w:p>
      <w:pPr>
        <w:pStyle w:val="BodyText"/>
        <w:spacing w:before="183" w:line="468" w:lineRule="exact"/>
        <w:ind w:left="605"/>
      </w:pPr>
      <w:r>
        <w:rPr>
          <w:spacing w:val="-6"/>
          <w:position w:val="17"/>
        </w:rPr>
        <w:t>坚持问题导向，</w:t>
      </w:r>
      <w:r>
        <w:rPr>
          <w:spacing w:val="-28"/>
          <w:position w:val="17"/>
        </w:rPr>
        <w:t xml:space="preserve"> </w:t>
      </w:r>
      <w:r>
        <w:rPr>
          <w:spacing w:val="-6"/>
          <w:position w:val="17"/>
        </w:rPr>
        <w:t>充分考虑我国土壤重金属检测以及污染场地重金属持续监测</w:t>
      </w:r>
    </w:p>
    <w:p>
      <w:pPr>
        <w:pStyle w:val="BodyText"/>
        <w:spacing w:line="219" w:lineRule="auto"/>
        <w:ind w:left="124"/>
      </w:pPr>
      <w:r>
        <w:rPr>
          <w:spacing w:val="-2"/>
        </w:rPr>
        <w:t>等方面的现实问题，提出原位快速检测土壤重金属的问题解决思路。</w:t>
      </w:r>
    </w:p>
    <w:p>
      <w:pPr>
        <w:pStyle w:val="BodyText"/>
        <w:spacing w:before="183" w:line="468" w:lineRule="exact"/>
        <w:ind w:left="603"/>
      </w:pPr>
      <w:r>
        <w:rPr>
          <w:spacing w:val="-6"/>
          <w:position w:val="17"/>
        </w:rPr>
        <w:t>土壤重金属检测技术是为土壤环境质量标准服务，</w:t>
      </w:r>
      <w:r>
        <w:rPr>
          <w:spacing w:val="-26"/>
          <w:position w:val="17"/>
        </w:rPr>
        <w:t xml:space="preserve"> </w:t>
      </w:r>
      <w:r>
        <w:rPr>
          <w:spacing w:val="-6"/>
          <w:position w:val="17"/>
        </w:rPr>
        <w:t>检测技术的元素范围和检</w:t>
      </w:r>
    </w:p>
    <w:p>
      <w:pPr>
        <w:pStyle w:val="BodyText"/>
        <w:spacing w:before="1" w:line="219" w:lineRule="auto"/>
        <w:ind w:left="142"/>
      </w:pPr>
      <w:r>
        <w:rPr>
          <w:spacing w:val="-3"/>
        </w:rPr>
        <w:t>出限需适用于环境质量标准。目前国内土壤环境质量标准情况如下：</w:t>
      </w:r>
    </w:p>
    <w:p>
      <w:pPr>
        <w:pStyle w:val="BodyText"/>
        <w:spacing w:before="182" w:line="220" w:lineRule="auto"/>
        <w:ind w:right="3"/>
        <w:jc w:val="right"/>
      </w:pPr>
      <w:r>
        <w:rPr>
          <w:b/>
          <w:bCs/>
          <w:spacing w:val="1"/>
        </w:rPr>
        <w:t>（1）土壤环境质量</w:t>
      </w:r>
      <w:r>
        <w:rPr>
          <w:spacing w:val="1"/>
        </w:rPr>
        <w:t xml:space="preserve"> </w:t>
      </w:r>
      <w:r>
        <w:rPr>
          <w:b/>
          <w:bCs/>
          <w:spacing w:val="1"/>
        </w:rPr>
        <w:t>农用地土壤污染风险管控标准（试行</w:t>
      </w:r>
      <w:r>
        <w:rPr>
          <w:b/>
          <w:bCs/>
          <w:spacing w:val="-10"/>
        </w:rPr>
        <w:t>）（</w:t>
      </w:r>
      <w:r>
        <w:rPr>
          <w:b/>
          <w:bCs/>
        </w:rPr>
        <w:t>GB</w:t>
      </w:r>
      <w:r>
        <w:rPr>
          <w:spacing w:val="1"/>
        </w:rPr>
        <w:t xml:space="preserve"> </w:t>
      </w:r>
      <w:r>
        <w:rPr>
          <w:b/>
          <w:bCs/>
          <w:spacing w:val="1"/>
        </w:rPr>
        <w:t>15618-2018）</w:t>
      </w:r>
    </w:p>
    <w:p>
      <w:pPr>
        <w:pStyle w:val="BodyText"/>
        <w:spacing w:before="183" w:line="360" w:lineRule="auto"/>
        <w:ind w:left="124" w:right="114" w:firstLine="478"/>
      </w:pPr>
      <w:r>
        <w:rPr>
          <w:spacing w:val="-8"/>
        </w:rPr>
        <w:t>标准规定了农用地土壤污染风险筛选值和管制值，</w:t>
      </w:r>
      <w:r>
        <w:rPr>
          <w:spacing w:val="42"/>
        </w:rPr>
        <w:t xml:space="preserve"> </w:t>
      </w:r>
      <w:r>
        <w:rPr>
          <w:spacing w:val="-8"/>
        </w:rPr>
        <w:t>以及监测、实施</w:t>
      </w:r>
      <w:r>
        <w:rPr>
          <w:spacing w:val="-9"/>
        </w:rPr>
        <w:t>和监督要</w:t>
      </w:r>
      <w:r>
        <w:t xml:space="preserve"> </w:t>
      </w:r>
      <w:r>
        <w:rPr>
          <w:spacing w:val="-3"/>
        </w:rPr>
        <w:t>求。适用于耕地土壤污染风险筛查和分类。园地和牧草地可参照执行。标准中分</w:t>
      </w:r>
      <w:r>
        <w:t xml:space="preserve"> </w:t>
      </w:r>
      <w:r>
        <w:rPr>
          <w:spacing w:val="-4"/>
        </w:rPr>
        <w:t>别对</w:t>
      </w:r>
      <w:r>
        <w:rPr>
          <w:spacing w:val="-15"/>
        </w:rPr>
        <w:t xml:space="preserve"> </w:t>
      </w:r>
      <w:r>
        <w:rPr>
          <w:spacing w:val="-4"/>
        </w:rPr>
        <w:t>8</w:t>
      </w:r>
      <w:r>
        <w:rPr>
          <w:spacing w:val="-34"/>
        </w:rPr>
        <w:t xml:space="preserve"> </w:t>
      </w:r>
      <w:r>
        <w:rPr>
          <w:spacing w:val="-4"/>
        </w:rPr>
        <w:t>种重金属，根据</w:t>
      </w:r>
      <w:r>
        <w:rPr>
          <w:spacing w:val="-36"/>
        </w:rPr>
        <w:t xml:space="preserve"> </w:t>
      </w:r>
      <w:r>
        <w:rPr>
          <w:spacing w:val="-4"/>
        </w:rPr>
        <w:t>pH 的不同，规定了风险筛选值（见表</w:t>
      </w:r>
      <w:r>
        <w:rPr>
          <w:spacing w:val="-29"/>
        </w:rPr>
        <w:t xml:space="preserve"> </w:t>
      </w:r>
      <w:r>
        <w:rPr>
          <w:spacing w:val="-4"/>
        </w:rPr>
        <w:t>3）。对镉、汞、</w:t>
      </w:r>
    </w:p>
    <w:p>
      <w:pPr>
        <w:pStyle w:val="BodyText"/>
        <w:spacing w:before="1" w:line="219" w:lineRule="auto"/>
        <w:ind w:left="121"/>
      </w:pPr>
      <w:r>
        <w:rPr>
          <w:spacing w:val="-2"/>
        </w:rPr>
        <w:t>砷、铅、铬，规定了风险管制值（见表</w:t>
      </w:r>
      <w:r>
        <w:rPr>
          <w:spacing w:val="-47"/>
        </w:rPr>
        <w:t xml:space="preserve"> </w:t>
      </w:r>
      <w:r>
        <w:rPr>
          <w:spacing w:val="-2"/>
        </w:rPr>
        <w:t>4）。</w:t>
      </w:r>
    </w:p>
    <w:p>
      <w:pPr>
        <w:pStyle w:val="BodyText"/>
        <w:spacing w:before="304" w:line="219" w:lineRule="auto"/>
        <w:ind w:left="1844"/>
      </w:pPr>
      <w:r>
        <w:rPr>
          <w:spacing w:val="-2"/>
        </w:rPr>
        <w:t>表</w:t>
      </w:r>
      <w:r>
        <w:rPr>
          <w:spacing w:val="-42"/>
        </w:rPr>
        <w:t xml:space="preserve"> </w:t>
      </w:r>
      <w:r>
        <w:rPr>
          <w:spacing w:val="-2"/>
        </w:rPr>
        <w:t>3 农用地土壤污染风险筛选值（基本项目）</w:t>
      </w:r>
    </w:p>
    <w:p>
      <w:pPr>
        <w:pStyle w:val="BodyText"/>
        <w:spacing w:before="186" w:line="212" w:lineRule="auto"/>
        <w:ind w:left="7111"/>
        <w:sectPr>
          <w:footerReference w:type="default" r:id="rId25"/>
          <w:pgSz w:w="11907" w:h="16839"/>
          <w:pgMar w:top="1431" w:right="1685" w:bottom="1357" w:left="1687" w:header="0" w:footer="1197" w:gutter="0"/>
          <w:pgNumType w:start="22"/>
          <w:cols w:space="708"/>
        </w:sectPr>
      </w:pPr>
      <w:r>
        <w:rPr>
          <w:spacing w:val="-15"/>
        </w:rPr>
        <w:t>单位： mg/kg</w:t>
      </w:r>
    </w:p>
    <w:tbl>
      <w:tblPr>
        <w:tblStyle w:val="TableNormal4"/>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8"/>
        <w:gridCol w:w="717"/>
        <w:gridCol w:w="718"/>
        <w:gridCol w:w="1506"/>
        <w:gridCol w:w="1461"/>
        <w:gridCol w:w="1691"/>
        <w:gridCol w:w="1747"/>
      </w:tblGrid>
      <w:tr>
        <w:tblPrEx>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688" w:type="dxa"/>
            <w:vMerge w:val="restart"/>
            <w:tcBorders>
              <w:bottom w:val="nil"/>
            </w:tcBorders>
            <w:textDirection w:val="tbRlV"/>
            <w:vAlign w:val="top"/>
          </w:tcPr>
          <w:p>
            <w:pPr>
              <w:spacing w:before="222" w:line="210" w:lineRule="auto"/>
              <w:ind w:left="244"/>
              <w:rPr>
                <w:rFonts w:ascii="SimSun" w:eastAsia="SimSun" w:hAnsi="SimSun" w:cs="SimSun"/>
                <w:sz w:val="24"/>
                <w:szCs w:val="24"/>
              </w:rPr>
            </w:pPr>
            <w:r>
              <w:rPr>
                <w:rFonts w:ascii="SimSun" w:eastAsia="SimSun" w:hAnsi="SimSun" w:cs="SimSun"/>
                <w:sz w:val="24"/>
                <w:szCs w:val="24"/>
              </w:rPr>
              <w:t>序</w:t>
            </w:r>
            <w:r>
              <w:rPr>
                <w:rFonts w:ascii="SimSun" w:eastAsia="SimSun" w:hAnsi="SimSun" w:cs="SimSun"/>
                <w:spacing w:val="-48"/>
                <w:sz w:val="24"/>
                <w:szCs w:val="24"/>
              </w:rPr>
              <w:t xml:space="preserve"> </w:t>
            </w:r>
            <w:r>
              <w:rPr>
                <w:rFonts w:ascii="SimSun" w:eastAsia="SimSun" w:hAnsi="SimSun" w:cs="SimSun"/>
                <w:sz w:val="24"/>
                <w:szCs w:val="24"/>
              </w:rPr>
              <w:t>号</w:t>
            </w:r>
          </w:p>
        </w:tc>
        <w:tc>
          <w:tcPr>
            <w:tcW w:w="1435" w:type="dxa"/>
            <w:gridSpan w:val="2"/>
            <w:vMerge w:val="restart"/>
            <w:tcBorders>
              <w:bottom w:val="nil"/>
            </w:tcBorders>
            <w:vAlign w:val="top"/>
          </w:tcPr>
          <w:p>
            <w:pPr>
              <w:spacing w:before="247" w:line="237" w:lineRule="auto"/>
              <w:ind w:left="596" w:right="116" w:hanging="472"/>
              <w:rPr>
                <w:rFonts w:ascii="SimSun" w:eastAsia="SimSun" w:hAnsi="SimSun" w:cs="SimSun"/>
                <w:sz w:val="12"/>
                <w:szCs w:val="12"/>
              </w:rPr>
            </w:pPr>
            <w:r>
              <w:rPr>
                <w:rFonts w:ascii="SimSun" w:eastAsia="SimSun" w:hAnsi="SimSun" w:cs="SimSun"/>
                <w:spacing w:val="-3"/>
                <w:sz w:val="24"/>
                <w:szCs w:val="24"/>
              </w:rPr>
              <w:t>污染物项目</w:t>
            </w:r>
            <w:r>
              <w:rPr>
                <w:rFonts w:ascii="SimSun" w:eastAsia="SimSun" w:hAnsi="SimSun" w:cs="SimSun"/>
                <w:spacing w:val="2"/>
                <w:sz w:val="24"/>
                <w:szCs w:val="24"/>
              </w:rPr>
              <w:t xml:space="preserve"> </w:t>
            </w:r>
            <w:r>
              <w:rPr>
                <w:rFonts w:ascii="SimSun" w:eastAsia="SimSun" w:hAnsi="SimSun" w:cs="SimSun"/>
                <w:spacing w:val="-2"/>
                <w:sz w:val="12"/>
                <w:szCs w:val="12"/>
              </w:rPr>
              <w:t>①②</w:t>
            </w:r>
          </w:p>
        </w:tc>
        <w:tc>
          <w:tcPr>
            <w:tcW w:w="6405" w:type="dxa"/>
            <w:gridSpan w:val="4"/>
            <w:vAlign w:val="top"/>
          </w:tcPr>
          <w:p>
            <w:pPr>
              <w:spacing w:before="97" w:line="220" w:lineRule="auto"/>
              <w:ind w:left="2608"/>
              <w:rPr>
                <w:rFonts w:ascii="SimSun" w:eastAsia="SimSun" w:hAnsi="SimSun" w:cs="SimSun"/>
                <w:sz w:val="24"/>
                <w:szCs w:val="24"/>
              </w:rPr>
            </w:pPr>
            <w:r>
              <w:rPr>
                <w:rFonts w:ascii="SimSun" w:eastAsia="SimSun" w:hAnsi="SimSun" w:cs="SimSun"/>
                <w:spacing w:val="-2"/>
                <w:sz w:val="24"/>
                <w:szCs w:val="24"/>
              </w:rPr>
              <w:t>风险筛选值</w:t>
            </w:r>
          </w:p>
        </w:tc>
      </w:tr>
      <w:tr>
        <w:tblPrEx>
          <w:tblW w:w="8528" w:type="dxa"/>
          <w:tblInd w:w="2" w:type="dxa"/>
          <w:tblLayout w:type="fixed"/>
        </w:tblPrEx>
        <w:trPr>
          <w:trHeight w:val="627"/>
        </w:trPr>
        <w:tc>
          <w:tcPr>
            <w:tcW w:w="688" w:type="dxa"/>
            <w:vMerge/>
            <w:tcBorders>
              <w:top w:val="nil"/>
            </w:tcBorders>
            <w:textDirection w:val="tbRlV"/>
            <w:vAlign w:val="top"/>
          </w:tcPr>
          <w:p>
            <w:pPr>
              <w:rPr>
                <w:rFonts w:ascii="Arial"/>
                <w:sz w:val="21"/>
              </w:rPr>
            </w:pPr>
          </w:p>
        </w:tc>
        <w:tc>
          <w:tcPr>
            <w:tcW w:w="1435" w:type="dxa"/>
            <w:gridSpan w:val="2"/>
            <w:vMerge/>
            <w:tcBorders>
              <w:top w:val="nil"/>
            </w:tcBorders>
            <w:vAlign w:val="top"/>
          </w:tcPr>
          <w:p>
            <w:pPr>
              <w:rPr>
                <w:rFonts w:ascii="Arial"/>
                <w:sz w:val="21"/>
              </w:rPr>
            </w:pPr>
          </w:p>
        </w:tc>
        <w:tc>
          <w:tcPr>
            <w:tcW w:w="1506" w:type="dxa"/>
            <w:vAlign w:val="top"/>
          </w:tcPr>
          <w:p>
            <w:pPr>
              <w:spacing w:before="194" w:line="214" w:lineRule="auto"/>
              <w:ind w:left="336"/>
              <w:rPr>
                <w:rFonts w:ascii="SimSun" w:eastAsia="SimSun" w:hAnsi="SimSun" w:cs="SimSun"/>
                <w:sz w:val="24"/>
                <w:szCs w:val="24"/>
              </w:rPr>
            </w:pPr>
            <w:r>
              <w:rPr>
                <w:rFonts w:ascii="SimSun" w:eastAsia="SimSun" w:hAnsi="SimSun" w:cs="SimSun"/>
                <w:spacing w:val="-2"/>
                <w:sz w:val="24"/>
                <w:szCs w:val="24"/>
              </w:rPr>
              <w:t>pH≤5.5</w:t>
            </w:r>
          </w:p>
        </w:tc>
        <w:tc>
          <w:tcPr>
            <w:tcW w:w="1461" w:type="dxa"/>
            <w:vAlign w:val="top"/>
          </w:tcPr>
          <w:p>
            <w:pPr>
              <w:spacing w:before="37" w:line="223" w:lineRule="auto"/>
              <w:ind w:left="558" w:right="188" w:hanging="357"/>
              <w:rPr>
                <w:rFonts w:ascii="SimSun" w:eastAsia="SimSun" w:hAnsi="SimSun" w:cs="SimSun"/>
                <w:sz w:val="24"/>
                <w:szCs w:val="24"/>
              </w:rPr>
            </w:pPr>
            <w:r>
              <w:rPr>
                <w:rFonts w:ascii="SimSun" w:eastAsia="SimSun" w:hAnsi="SimSun" w:cs="SimSun"/>
                <w:spacing w:val="-2"/>
                <w:sz w:val="24"/>
                <w:szCs w:val="24"/>
              </w:rPr>
              <w:t>5.5＜pH≤</w:t>
            </w:r>
            <w:r>
              <w:rPr>
                <w:rFonts w:ascii="SimSun" w:eastAsia="SimSun" w:hAnsi="SimSun" w:cs="SimSun"/>
                <w:sz w:val="24"/>
                <w:szCs w:val="24"/>
              </w:rPr>
              <w:t xml:space="preserve"> </w:t>
            </w:r>
            <w:r>
              <w:rPr>
                <w:rFonts w:ascii="SimSun" w:eastAsia="SimSun" w:hAnsi="SimSun" w:cs="SimSun"/>
                <w:spacing w:val="-3"/>
                <w:sz w:val="24"/>
                <w:szCs w:val="24"/>
              </w:rPr>
              <w:t>6.5</w:t>
            </w:r>
          </w:p>
        </w:tc>
        <w:tc>
          <w:tcPr>
            <w:tcW w:w="1691" w:type="dxa"/>
            <w:vAlign w:val="top"/>
          </w:tcPr>
          <w:p>
            <w:pPr>
              <w:spacing w:before="194" w:line="214" w:lineRule="auto"/>
              <w:ind w:left="134"/>
              <w:rPr>
                <w:rFonts w:ascii="SimSun" w:eastAsia="SimSun" w:hAnsi="SimSun" w:cs="SimSun"/>
                <w:sz w:val="24"/>
                <w:szCs w:val="24"/>
              </w:rPr>
            </w:pPr>
            <w:r>
              <w:rPr>
                <w:rFonts w:ascii="SimSun" w:eastAsia="SimSun" w:hAnsi="SimSun" w:cs="SimSun"/>
                <w:spacing w:val="-2"/>
                <w:sz w:val="24"/>
                <w:szCs w:val="24"/>
              </w:rPr>
              <w:t>6.5&lt; pH≤7.5</w:t>
            </w:r>
          </w:p>
        </w:tc>
        <w:tc>
          <w:tcPr>
            <w:tcW w:w="1747" w:type="dxa"/>
            <w:vAlign w:val="top"/>
          </w:tcPr>
          <w:p>
            <w:pPr>
              <w:spacing w:before="229" w:line="184" w:lineRule="auto"/>
              <w:ind w:left="518"/>
              <w:rPr>
                <w:rFonts w:ascii="SimSun" w:eastAsia="SimSun" w:hAnsi="SimSun" w:cs="SimSun"/>
                <w:sz w:val="24"/>
                <w:szCs w:val="24"/>
              </w:rPr>
            </w:pPr>
            <w:r>
              <w:rPr>
                <w:rFonts w:ascii="SimSun" w:eastAsia="SimSun" w:hAnsi="SimSun" w:cs="SimSun"/>
                <w:spacing w:val="-2"/>
                <w:sz w:val="24"/>
                <w:szCs w:val="24"/>
              </w:rPr>
              <w:t>pH&gt;7.5</w:t>
            </w:r>
          </w:p>
        </w:tc>
      </w:tr>
      <w:tr>
        <w:tblPrEx>
          <w:tblW w:w="8528" w:type="dxa"/>
          <w:tblInd w:w="2" w:type="dxa"/>
          <w:tblLayout w:type="fixed"/>
        </w:tblPrEx>
        <w:trPr>
          <w:trHeight w:val="402"/>
        </w:trPr>
        <w:tc>
          <w:tcPr>
            <w:tcW w:w="688" w:type="dxa"/>
            <w:vMerge w:val="restart"/>
            <w:tcBorders>
              <w:bottom w:val="nil"/>
            </w:tcBorders>
            <w:vAlign w:val="top"/>
          </w:tcPr>
          <w:p>
            <w:pPr>
              <w:spacing w:line="246" w:lineRule="auto"/>
              <w:rPr>
                <w:rFonts w:ascii="Arial"/>
                <w:sz w:val="21"/>
              </w:rPr>
            </w:pPr>
          </w:p>
          <w:p>
            <w:pPr>
              <w:spacing w:before="78" w:line="182" w:lineRule="auto"/>
              <w:ind w:left="307"/>
              <w:rPr>
                <w:rFonts w:ascii="SimSun" w:eastAsia="SimSun" w:hAnsi="SimSun" w:cs="SimSun"/>
                <w:sz w:val="24"/>
                <w:szCs w:val="24"/>
              </w:rPr>
            </w:pPr>
            <w:r>
              <w:rPr>
                <w:rFonts w:ascii="SimSun" w:eastAsia="SimSun" w:hAnsi="SimSun" w:cs="SimSun"/>
                <w:sz w:val="24"/>
                <w:szCs w:val="24"/>
              </w:rPr>
              <w:t>1</w:t>
            </w:r>
          </w:p>
        </w:tc>
        <w:tc>
          <w:tcPr>
            <w:tcW w:w="717" w:type="dxa"/>
            <w:vMerge w:val="restart"/>
            <w:tcBorders>
              <w:bottom w:val="nil"/>
            </w:tcBorders>
            <w:vAlign w:val="top"/>
          </w:tcPr>
          <w:p>
            <w:pPr>
              <w:spacing w:before="287" w:line="222" w:lineRule="auto"/>
              <w:ind w:left="240"/>
              <w:rPr>
                <w:rFonts w:ascii="SimSun" w:eastAsia="SimSun" w:hAnsi="SimSun" w:cs="SimSun"/>
                <w:sz w:val="24"/>
                <w:szCs w:val="24"/>
              </w:rPr>
            </w:pPr>
            <w:r>
              <w:rPr>
                <w:rFonts w:ascii="SimSun" w:eastAsia="SimSun" w:hAnsi="SimSun" w:cs="SimSun"/>
                <w:sz w:val="24"/>
                <w:szCs w:val="24"/>
              </w:rPr>
              <w:t>镉</w:t>
            </w:r>
          </w:p>
        </w:tc>
        <w:tc>
          <w:tcPr>
            <w:tcW w:w="718" w:type="dxa"/>
            <w:vAlign w:val="top"/>
          </w:tcPr>
          <w:p>
            <w:pPr>
              <w:spacing w:before="82" w:line="220" w:lineRule="auto"/>
              <w:ind w:left="128"/>
              <w:rPr>
                <w:rFonts w:ascii="SimSun" w:eastAsia="SimSun" w:hAnsi="SimSun" w:cs="SimSun"/>
                <w:sz w:val="24"/>
                <w:szCs w:val="24"/>
              </w:rPr>
            </w:pPr>
            <w:r>
              <w:rPr>
                <w:rFonts w:ascii="SimSun" w:eastAsia="SimSun" w:hAnsi="SimSun" w:cs="SimSun"/>
                <w:spacing w:val="-4"/>
                <w:sz w:val="24"/>
                <w:szCs w:val="24"/>
              </w:rPr>
              <w:t>水田</w:t>
            </w:r>
          </w:p>
        </w:tc>
        <w:tc>
          <w:tcPr>
            <w:tcW w:w="1506" w:type="dxa"/>
            <w:vAlign w:val="top"/>
          </w:tcPr>
          <w:p>
            <w:pPr>
              <w:spacing w:before="123" w:line="181" w:lineRule="auto"/>
              <w:ind w:left="581"/>
              <w:rPr>
                <w:rFonts w:ascii="SimSun" w:eastAsia="SimSun" w:hAnsi="SimSun" w:cs="SimSun"/>
                <w:sz w:val="24"/>
                <w:szCs w:val="24"/>
              </w:rPr>
            </w:pPr>
            <w:r>
              <w:rPr>
                <w:rFonts w:ascii="SimSun" w:eastAsia="SimSun" w:hAnsi="SimSun" w:cs="SimSun"/>
                <w:spacing w:val="-3"/>
                <w:sz w:val="24"/>
                <w:szCs w:val="24"/>
              </w:rPr>
              <w:t>0.3</w:t>
            </w:r>
          </w:p>
        </w:tc>
        <w:tc>
          <w:tcPr>
            <w:tcW w:w="1461" w:type="dxa"/>
            <w:vAlign w:val="top"/>
          </w:tcPr>
          <w:p>
            <w:pPr>
              <w:spacing w:before="123" w:line="181" w:lineRule="auto"/>
              <w:ind w:left="558"/>
              <w:rPr>
                <w:rFonts w:ascii="SimSun" w:eastAsia="SimSun" w:hAnsi="SimSun" w:cs="SimSun"/>
                <w:sz w:val="24"/>
                <w:szCs w:val="24"/>
              </w:rPr>
            </w:pPr>
            <w:r>
              <w:rPr>
                <w:rFonts w:ascii="SimSun" w:eastAsia="SimSun" w:hAnsi="SimSun" w:cs="SimSun"/>
                <w:spacing w:val="-3"/>
                <w:sz w:val="24"/>
                <w:szCs w:val="24"/>
              </w:rPr>
              <w:t>0.4</w:t>
            </w:r>
          </w:p>
        </w:tc>
        <w:tc>
          <w:tcPr>
            <w:tcW w:w="1691" w:type="dxa"/>
            <w:vAlign w:val="top"/>
          </w:tcPr>
          <w:p>
            <w:pPr>
              <w:spacing w:before="123" w:line="181" w:lineRule="auto"/>
              <w:ind w:left="674"/>
              <w:rPr>
                <w:rFonts w:ascii="SimSun" w:eastAsia="SimSun" w:hAnsi="SimSun" w:cs="SimSun"/>
                <w:sz w:val="24"/>
                <w:szCs w:val="24"/>
              </w:rPr>
            </w:pPr>
            <w:r>
              <w:rPr>
                <w:rFonts w:ascii="SimSun" w:eastAsia="SimSun" w:hAnsi="SimSun" w:cs="SimSun"/>
                <w:spacing w:val="-3"/>
                <w:sz w:val="24"/>
                <w:szCs w:val="24"/>
              </w:rPr>
              <w:t>0.6</w:t>
            </w:r>
          </w:p>
        </w:tc>
        <w:tc>
          <w:tcPr>
            <w:tcW w:w="1747" w:type="dxa"/>
            <w:vAlign w:val="top"/>
          </w:tcPr>
          <w:p>
            <w:pPr>
              <w:spacing w:before="123" w:line="181" w:lineRule="auto"/>
              <w:ind w:left="702"/>
              <w:rPr>
                <w:rFonts w:ascii="SimSun" w:eastAsia="SimSun" w:hAnsi="SimSun" w:cs="SimSun"/>
                <w:sz w:val="24"/>
                <w:szCs w:val="24"/>
              </w:rPr>
            </w:pPr>
            <w:r>
              <w:rPr>
                <w:rFonts w:ascii="SimSun" w:eastAsia="SimSun" w:hAnsi="SimSun" w:cs="SimSun"/>
                <w:spacing w:val="-3"/>
                <w:sz w:val="24"/>
                <w:szCs w:val="24"/>
              </w:rPr>
              <w:t>0.8</w:t>
            </w:r>
          </w:p>
        </w:tc>
      </w:tr>
      <w:tr>
        <w:tblPrEx>
          <w:tblW w:w="8528" w:type="dxa"/>
          <w:tblInd w:w="2" w:type="dxa"/>
          <w:tblLayout w:type="fixed"/>
        </w:tblPrEx>
        <w:trPr>
          <w:trHeight w:val="407"/>
        </w:trPr>
        <w:tc>
          <w:tcPr>
            <w:tcW w:w="688" w:type="dxa"/>
            <w:vMerge/>
            <w:tcBorders>
              <w:top w:val="nil"/>
            </w:tcBorders>
            <w:vAlign w:val="top"/>
          </w:tcPr>
          <w:p>
            <w:pPr>
              <w:rPr>
                <w:rFonts w:ascii="Arial"/>
                <w:sz w:val="21"/>
              </w:rPr>
            </w:pPr>
          </w:p>
        </w:tc>
        <w:tc>
          <w:tcPr>
            <w:tcW w:w="717" w:type="dxa"/>
            <w:vMerge/>
            <w:tcBorders>
              <w:top w:val="nil"/>
            </w:tcBorders>
            <w:vAlign w:val="top"/>
          </w:tcPr>
          <w:p>
            <w:pPr>
              <w:rPr>
                <w:rFonts w:ascii="Arial"/>
                <w:sz w:val="21"/>
              </w:rPr>
            </w:pPr>
          </w:p>
        </w:tc>
        <w:tc>
          <w:tcPr>
            <w:tcW w:w="718" w:type="dxa"/>
            <w:vAlign w:val="top"/>
          </w:tcPr>
          <w:p>
            <w:pPr>
              <w:spacing w:before="83" w:line="220" w:lineRule="auto"/>
              <w:ind w:left="126"/>
              <w:rPr>
                <w:rFonts w:ascii="SimSun" w:eastAsia="SimSun" w:hAnsi="SimSun" w:cs="SimSun"/>
                <w:sz w:val="24"/>
                <w:szCs w:val="24"/>
              </w:rPr>
            </w:pPr>
            <w:r>
              <w:rPr>
                <w:rFonts w:ascii="SimSun" w:eastAsia="SimSun" w:hAnsi="SimSun" w:cs="SimSun"/>
                <w:spacing w:val="-3"/>
                <w:sz w:val="24"/>
                <w:szCs w:val="24"/>
              </w:rPr>
              <w:t>其他</w:t>
            </w:r>
          </w:p>
        </w:tc>
        <w:tc>
          <w:tcPr>
            <w:tcW w:w="1506" w:type="dxa"/>
            <w:vAlign w:val="top"/>
          </w:tcPr>
          <w:p>
            <w:pPr>
              <w:spacing w:before="124" w:line="181" w:lineRule="auto"/>
              <w:ind w:left="581"/>
              <w:rPr>
                <w:rFonts w:ascii="SimSun" w:eastAsia="SimSun" w:hAnsi="SimSun" w:cs="SimSun"/>
                <w:sz w:val="24"/>
                <w:szCs w:val="24"/>
              </w:rPr>
            </w:pPr>
            <w:r>
              <w:rPr>
                <w:rFonts w:ascii="SimSun" w:eastAsia="SimSun" w:hAnsi="SimSun" w:cs="SimSun"/>
                <w:spacing w:val="-3"/>
                <w:sz w:val="24"/>
                <w:szCs w:val="24"/>
              </w:rPr>
              <w:t>0.3</w:t>
            </w:r>
          </w:p>
        </w:tc>
        <w:tc>
          <w:tcPr>
            <w:tcW w:w="1461" w:type="dxa"/>
            <w:vAlign w:val="top"/>
          </w:tcPr>
          <w:p>
            <w:pPr>
              <w:spacing w:before="124" w:line="181" w:lineRule="auto"/>
              <w:ind w:left="558"/>
              <w:rPr>
                <w:rFonts w:ascii="SimSun" w:eastAsia="SimSun" w:hAnsi="SimSun" w:cs="SimSun"/>
                <w:sz w:val="24"/>
                <w:szCs w:val="24"/>
              </w:rPr>
            </w:pPr>
            <w:r>
              <w:rPr>
                <w:rFonts w:ascii="SimSun" w:eastAsia="SimSun" w:hAnsi="SimSun" w:cs="SimSun"/>
                <w:spacing w:val="-3"/>
                <w:sz w:val="24"/>
                <w:szCs w:val="24"/>
              </w:rPr>
              <w:t>0.3</w:t>
            </w:r>
          </w:p>
        </w:tc>
        <w:tc>
          <w:tcPr>
            <w:tcW w:w="1691" w:type="dxa"/>
            <w:vAlign w:val="top"/>
          </w:tcPr>
          <w:p>
            <w:pPr>
              <w:spacing w:before="124" w:line="181" w:lineRule="auto"/>
              <w:ind w:left="674"/>
              <w:rPr>
                <w:rFonts w:ascii="SimSun" w:eastAsia="SimSun" w:hAnsi="SimSun" w:cs="SimSun"/>
                <w:sz w:val="24"/>
                <w:szCs w:val="24"/>
              </w:rPr>
            </w:pPr>
            <w:r>
              <w:rPr>
                <w:rFonts w:ascii="SimSun" w:eastAsia="SimSun" w:hAnsi="SimSun" w:cs="SimSun"/>
                <w:spacing w:val="-3"/>
                <w:sz w:val="24"/>
                <w:szCs w:val="24"/>
              </w:rPr>
              <w:t>0.3</w:t>
            </w:r>
          </w:p>
        </w:tc>
        <w:tc>
          <w:tcPr>
            <w:tcW w:w="1747" w:type="dxa"/>
            <w:vAlign w:val="top"/>
          </w:tcPr>
          <w:p>
            <w:pPr>
              <w:spacing w:before="124" w:line="181" w:lineRule="auto"/>
              <w:ind w:left="702"/>
              <w:rPr>
                <w:rFonts w:ascii="SimSun" w:eastAsia="SimSun" w:hAnsi="SimSun" w:cs="SimSun"/>
                <w:sz w:val="24"/>
                <w:szCs w:val="24"/>
              </w:rPr>
            </w:pPr>
            <w:r>
              <w:rPr>
                <w:rFonts w:ascii="SimSun" w:eastAsia="SimSun" w:hAnsi="SimSun" w:cs="SimSun"/>
                <w:spacing w:val="-3"/>
                <w:sz w:val="24"/>
                <w:szCs w:val="24"/>
              </w:rPr>
              <w:t>0.6</w:t>
            </w:r>
          </w:p>
        </w:tc>
      </w:tr>
    </w:tbl>
    <w:p>
      <w:pPr>
        <w:spacing w:line="214" w:lineRule="exact"/>
        <w:rPr>
          <w:rFonts w:ascii="Arial"/>
          <w:sz w:val="18"/>
        </w:rPr>
      </w:pPr>
    </w:p>
    <w:p>
      <w:pPr>
        <w:spacing w:line="214" w:lineRule="exact"/>
        <w:rPr>
          <w:rFonts w:ascii="Arial" w:eastAsia="Arial" w:hAnsi="Arial" w:cs="Arial"/>
          <w:sz w:val="18"/>
          <w:szCs w:val="18"/>
        </w:rPr>
        <w:sectPr>
          <w:footerReference w:type="default" r:id="rId26"/>
          <w:type w:val="nextPage"/>
          <w:pgSz w:w="11907" w:h="16839"/>
          <w:pgMar w:top="1431" w:right="1685" w:bottom="1357" w:left="1687" w:header="0" w:footer="1197" w:gutter="0"/>
          <w:pgNumType w:start="23"/>
          <w:cols w:space="708"/>
          <w:titlePg w:val="0"/>
        </w:sectPr>
      </w:pPr>
    </w:p>
    <w:p>
      <w:pPr>
        <w:spacing w:line="91" w:lineRule="auto"/>
        <w:rPr>
          <w:rFonts w:ascii="Arial"/>
          <w:sz w:val="2"/>
        </w:rPr>
      </w:pPr>
    </w:p>
    <w:tbl>
      <w:tblPr>
        <w:tblStyle w:val="TableNormal5"/>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8"/>
        <w:gridCol w:w="717"/>
        <w:gridCol w:w="718"/>
        <w:gridCol w:w="1506"/>
        <w:gridCol w:w="1461"/>
        <w:gridCol w:w="1691"/>
        <w:gridCol w:w="1747"/>
      </w:tblGrid>
      <w:tr>
        <w:tblPrEx>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688" w:type="dxa"/>
            <w:vMerge w:val="restart"/>
            <w:tcBorders>
              <w:bottom w:val="nil"/>
            </w:tcBorders>
            <w:textDirection w:val="tbRlV"/>
            <w:vAlign w:val="top"/>
          </w:tcPr>
          <w:p>
            <w:pPr>
              <w:spacing w:before="222" w:line="210" w:lineRule="auto"/>
              <w:ind w:left="245"/>
              <w:rPr>
                <w:rFonts w:ascii="SimSun" w:eastAsia="SimSun" w:hAnsi="SimSun" w:cs="SimSun"/>
                <w:sz w:val="24"/>
                <w:szCs w:val="24"/>
              </w:rPr>
            </w:pPr>
            <w:r>
              <w:rPr>
                <w:rFonts w:ascii="SimSun" w:eastAsia="SimSun" w:hAnsi="SimSun" w:cs="SimSun"/>
                <w:spacing w:val="35"/>
                <w:sz w:val="24"/>
                <w:szCs w:val="24"/>
              </w:rPr>
              <w:t>序号</w:t>
            </w:r>
          </w:p>
        </w:tc>
        <w:tc>
          <w:tcPr>
            <w:tcW w:w="1435" w:type="dxa"/>
            <w:gridSpan w:val="2"/>
            <w:vMerge w:val="restart"/>
            <w:tcBorders>
              <w:bottom w:val="nil"/>
            </w:tcBorders>
            <w:vAlign w:val="top"/>
          </w:tcPr>
          <w:p>
            <w:pPr>
              <w:spacing w:before="246" w:line="239" w:lineRule="auto"/>
              <w:ind w:left="596" w:right="116" w:hanging="472"/>
              <w:rPr>
                <w:rFonts w:ascii="SimSun" w:eastAsia="SimSun" w:hAnsi="SimSun" w:cs="SimSun"/>
                <w:sz w:val="12"/>
                <w:szCs w:val="12"/>
              </w:rPr>
            </w:pPr>
            <w:r>
              <w:rPr>
                <w:rFonts w:ascii="SimSun" w:eastAsia="SimSun" w:hAnsi="SimSun" w:cs="SimSun"/>
                <w:spacing w:val="-3"/>
                <w:sz w:val="24"/>
                <w:szCs w:val="24"/>
              </w:rPr>
              <w:t>污染物项目</w:t>
            </w:r>
            <w:r>
              <w:rPr>
                <w:rFonts w:ascii="SimSun" w:eastAsia="SimSun" w:hAnsi="SimSun" w:cs="SimSun"/>
                <w:spacing w:val="2"/>
                <w:sz w:val="24"/>
                <w:szCs w:val="24"/>
              </w:rPr>
              <w:t xml:space="preserve"> </w:t>
            </w:r>
            <w:r>
              <w:rPr>
                <w:rFonts w:ascii="SimSun" w:eastAsia="SimSun" w:hAnsi="SimSun" w:cs="SimSun"/>
                <w:spacing w:val="-2"/>
                <w:sz w:val="12"/>
                <w:szCs w:val="12"/>
              </w:rPr>
              <w:t>①②</w:t>
            </w:r>
          </w:p>
        </w:tc>
        <w:tc>
          <w:tcPr>
            <w:tcW w:w="6405" w:type="dxa"/>
            <w:gridSpan w:val="4"/>
            <w:vAlign w:val="top"/>
          </w:tcPr>
          <w:p>
            <w:pPr>
              <w:spacing w:before="100" w:line="220" w:lineRule="auto"/>
              <w:ind w:left="2608"/>
              <w:rPr>
                <w:rFonts w:ascii="SimSun" w:eastAsia="SimSun" w:hAnsi="SimSun" w:cs="SimSun"/>
                <w:sz w:val="24"/>
                <w:szCs w:val="24"/>
              </w:rPr>
            </w:pPr>
            <w:r>
              <w:rPr>
                <w:rFonts w:ascii="SimSun" w:eastAsia="SimSun" w:hAnsi="SimSun" w:cs="SimSun"/>
                <w:spacing w:val="-2"/>
                <w:sz w:val="24"/>
                <w:szCs w:val="24"/>
              </w:rPr>
              <w:t>风险筛选值</w:t>
            </w:r>
          </w:p>
        </w:tc>
      </w:tr>
      <w:tr>
        <w:tblPrEx>
          <w:tblW w:w="8528" w:type="dxa"/>
          <w:tblInd w:w="2" w:type="dxa"/>
          <w:tblLayout w:type="fixed"/>
        </w:tblPrEx>
        <w:trPr>
          <w:trHeight w:val="628"/>
        </w:trPr>
        <w:tc>
          <w:tcPr>
            <w:tcW w:w="688" w:type="dxa"/>
            <w:vMerge/>
            <w:tcBorders>
              <w:top w:val="nil"/>
            </w:tcBorders>
            <w:textDirection w:val="tbRlV"/>
            <w:vAlign w:val="top"/>
          </w:tcPr>
          <w:p>
            <w:pPr>
              <w:rPr>
                <w:rFonts w:ascii="Arial"/>
                <w:sz w:val="21"/>
              </w:rPr>
            </w:pPr>
          </w:p>
        </w:tc>
        <w:tc>
          <w:tcPr>
            <w:tcW w:w="1435" w:type="dxa"/>
            <w:gridSpan w:val="2"/>
            <w:vMerge/>
            <w:tcBorders>
              <w:top w:val="nil"/>
            </w:tcBorders>
            <w:vAlign w:val="top"/>
          </w:tcPr>
          <w:p>
            <w:pPr>
              <w:rPr>
                <w:rFonts w:ascii="Arial"/>
                <w:sz w:val="21"/>
              </w:rPr>
            </w:pPr>
          </w:p>
        </w:tc>
        <w:tc>
          <w:tcPr>
            <w:tcW w:w="1506" w:type="dxa"/>
            <w:vAlign w:val="top"/>
          </w:tcPr>
          <w:p>
            <w:pPr>
              <w:spacing w:before="192" w:line="214" w:lineRule="auto"/>
              <w:ind w:left="336"/>
              <w:rPr>
                <w:rFonts w:ascii="SimSun" w:eastAsia="SimSun" w:hAnsi="SimSun" w:cs="SimSun"/>
                <w:sz w:val="24"/>
                <w:szCs w:val="24"/>
              </w:rPr>
            </w:pPr>
            <w:r>
              <w:rPr>
                <w:rFonts w:ascii="SimSun" w:eastAsia="SimSun" w:hAnsi="SimSun" w:cs="SimSun"/>
                <w:spacing w:val="-2"/>
                <w:sz w:val="24"/>
                <w:szCs w:val="24"/>
              </w:rPr>
              <w:t>pH≤5.5</w:t>
            </w:r>
          </w:p>
        </w:tc>
        <w:tc>
          <w:tcPr>
            <w:tcW w:w="1461" w:type="dxa"/>
            <w:vAlign w:val="top"/>
          </w:tcPr>
          <w:p>
            <w:pPr>
              <w:spacing w:before="35" w:line="224" w:lineRule="auto"/>
              <w:ind w:left="558" w:right="188" w:hanging="357"/>
              <w:rPr>
                <w:rFonts w:ascii="SimSun" w:eastAsia="SimSun" w:hAnsi="SimSun" w:cs="SimSun"/>
                <w:sz w:val="24"/>
                <w:szCs w:val="24"/>
              </w:rPr>
            </w:pPr>
            <w:r>
              <w:rPr>
                <w:rFonts w:ascii="SimSun" w:eastAsia="SimSun" w:hAnsi="SimSun" w:cs="SimSun"/>
                <w:spacing w:val="-2"/>
                <w:sz w:val="24"/>
                <w:szCs w:val="24"/>
              </w:rPr>
              <w:t>5.5＜pH≤</w:t>
            </w:r>
            <w:r>
              <w:rPr>
                <w:rFonts w:ascii="SimSun" w:eastAsia="SimSun" w:hAnsi="SimSun" w:cs="SimSun"/>
                <w:sz w:val="24"/>
                <w:szCs w:val="24"/>
              </w:rPr>
              <w:t xml:space="preserve"> </w:t>
            </w:r>
            <w:r>
              <w:rPr>
                <w:rFonts w:ascii="SimSun" w:eastAsia="SimSun" w:hAnsi="SimSun" w:cs="SimSun"/>
                <w:spacing w:val="-3"/>
                <w:sz w:val="24"/>
                <w:szCs w:val="24"/>
              </w:rPr>
              <w:t>6.5</w:t>
            </w:r>
          </w:p>
        </w:tc>
        <w:tc>
          <w:tcPr>
            <w:tcW w:w="1691" w:type="dxa"/>
            <w:vAlign w:val="top"/>
          </w:tcPr>
          <w:p>
            <w:pPr>
              <w:spacing w:before="192" w:line="214" w:lineRule="auto"/>
              <w:ind w:left="134"/>
              <w:rPr>
                <w:rFonts w:ascii="SimSun" w:eastAsia="SimSun" w:hAnsi="SimSun" w:cs="SimSun"/>
                <w:sz w:val="24"/>
                <w:szCs w:val="24"/>
              </w:rPr>
            </w:pPr>
            <w:r>
              <w:rPr>
                <w:rFonts w:ascii="SimSun" w:eastAsia="SimSun" w:hAnsi="SimSun" w:cs="SimSun"/>
                <w:spacing w:val="-2"/>
                <w:sz w:val="24"/>
                <w:szCs w:val="24"/>
              </w:rPr>
              <w:t>6.5&lt; pH≤7.5</w:t>
            </w:r>
          </w:p>
        </w:tc>
        <w:tc>
          <w:tcPr>
            <w:tcW w:w="1747" w:type="dxa"/>
            <w:vAlign w:val="top"/>
          </w:tcPr>
          <w:p>
            <w:pPr>
              <w:spacing w:before="228" w:line="184" w:lineRule="auto"/>
              <w:ind w:left="518"/>
              <w:rPr>
                <w:rFonts w:ascii="SimSun" w:eastAsia="SimSun" w:hAnsi="SimSun" w:cs="SimSun"/>
                <w:sz w:val="24"/>
                <w:szCs w:val="24"/>
              </w:rPr>
            </w:pPr>
            <w:r>
              <w:rPr>
                <w:rFonts w:ascii="SimSun" w:eastAsia="SimSun" w:hAnsi="SimSun" w:cs="SimSun"/>
                <w:spacing w:val="-2"/>
                <w:sz w:val="24"/>
                <w:szCs w:val="24"/>
              </w:rPr>
              <w:t>pH&gt;7.5</w:t>
            </w:r>
          </w:p>
        </w:tc>
      </w:tr>
      <w:tr>
        <w:tblPrEx>
          <w:tblW w:w="8528" w:type="dxa"/>
          <w:tblInd w:w="2" w:type="dxa"/>
          <w:tblLayout w:type="fixed"/>
        </w:tblPrEx>
        <w:trPr>
          <w:trHeight w:val="400"/>
        </w:trPr>
        <w:tc>
          <w:tcPr>
            <w:tcW w:w="688" w:type="dxa"/>
            <w:vMerge w:val="restart"/>
            <w:tcBorders>
              <w:bottom w:val="nil"/>
            </w:tcBorders>
            <w:vAlign w:val="top"/>
          </w:tcPr>
          <w:p>
            <w:pPr>
              <w:spacing w:line="242" w:lineRule="auto"/>
              <w:rPr>
                <w:rFonts w:ascii="Arial"/>
                <w:sz w:val="21"/>
              </w:rPr>
            </w:pPr>
          </w:p>
          <w:p>
            <w:pPr>
              <w:spacing w:before="78" w:line="181" w:lineRule="auto"/>
              <w:ind w:left="292"/>
              <w:rPr>
                <w:rFonts w:ascii="SimSun" w:eastAsia="SimSun" w:hAnsi="SimSun" w:cs="SimSun"/>
                <w:sz w:val="24"/>
                <w:szCs w:val="24"/>
              </w:rPr>
            </w:pPr>
            <w:r>
              <w:rPr>
                <w:rFonts w:ascii="SimSun" w:eastAsia="SimSun" w:hAnsi="SimSun" w:cs="SimSun"/>
                <w:sz w:val="24"/>
                <w:szCs w:val="24"/>
              </w:rPr>
              <w:t>2</w:t>
            </w:r>
          </w:p>
        </w:tc>
        <w:tc>
          <w:tcPr>
            <w:tcW w:w="717" w:type="dxa"/>
            <w:vMerge w:val="restart"/>
            <w:tcBorders>
              <w:bottom w:val="nil"/>
            </w:tcBorders>
            <w:vAlign w:val="top"/>
          </w:tcPr>
          <w:p>
            <w:pPr>
              <w:spacing w:before="281" w:line="220" w:lineRule="auto"/>
              <w:ind w:left="243"/>
              <w:rPr>
                <w:rFonts w:ascii="SimSun" w:eastAsia="SimSun" w:hAnsi="SimSun" w:cs="SimSun"/>
                <w:sz w:val="24"/>
                <w:szCs w:val="24"/>
              </w:rPr>
            </w:pPr>
            <w:r>
              <w:rPr>
                <w:rFonts w:ascii="SimSun" w:eastAsia="SimSun" w:hAnsi="SimSun" w:cs="SimSun"/>
                <w:sz w:val="24"/>
                <w:szCs w:val="24"/>
              </w:rPr>
              <w:t>汞</w:t>
            </w:r>
          </w:p>
        </w:tc>
        <w:tc>
          <w:tcPr>
            <w:tcW w:w="718" w:type="dxa"/>
            <w:vAlign w:val="top"/>
          </w:tcPr>
          <w:p>
            <w:pPr>
              <w:spacing w:before="79" w:line="220" w:lineRule="auto"/>
              <w:ind w:left="128"/>
              <w:rPr>
                <w:rFonts w:ascii="SimSun" w:eastAsia="SimSun" w:hAnsi="SimSun" w:cs="SimSun"/>
                <w:sz w:val="24"/>
                <w:szCs w:val="24"/>
              </w:rPr>
            </w:pPr>
            <w:r>
              <w:rPr>
                <w:rFonts w:ascii="SimSun" w:eastAsia="SimSun" w:hAnsi="SimSun" w:cs="SimSun"/>
                <w:spacing w:val="-4"/>
                <w:sz w:val="24"/>
                <w:szCs w:val="24"/>
              </w:rPr>
              <w:t>水田</w:t>
            </w:r>
          </w:p>
        </w:tc>
        <w:tc>
          <w:tcPr>
            <w:tcW w:w="1506" w:type="dxa"/>
            <w:vAlign w:val="top"/>
          </w:tcPr>
          <w:p>
            <w:pPr>
              <w:spacing w:before="120" w:line="181" w:lineRule="auto"/>
              <w:ind w:left="581"/>
              <w:rPr>
                <w:rFonts w:ascii="SimSun" w:eastAsia="SimSun" w:hAnsi="SimSun" w:cs="SimSun"/>
                <w:sz w:val="24"/>
                <w:szCs w:val="24"/>
              </w:rPr>
            </w:pPr>
            <w:r>
              <w:rPr>
                <w:rFonts w:ascii="SimSun" w:eastAsia="SimSun" w:hAnsi="SimSun" w:cs="SimSun"/>
                <w:spacing w:val="-3"/>
                <w:sz w:val="24"/>
                <w:szCs w:val="24"/>
              </w:rPr>
              <w:t>0.5</w:t>
            </w:r>
          </w:p>
        </w:tc>
        <w:tc>
          <w:tcPr>
            <w:tcW w:w="1461" w:type="dxa"/>
            <w:vAlign w:val="top"/>
          </w:tcPr>
          <w:p>
            <w:pPr>
              <w:spacing w:before="120" w:line="181" w:lineRule="auto"/>
              <w:ind w:left="558"/>
              <w:rPr>
                <w:rFonts w:ascii="SimSun" w:eastAsia="SimSun" w:hAnsi="SimSun" w:cs="SimSun"/>
                <w:sz w:val="24"/>
                <w:szCs w:val="24"/>
              </w:rPr>
            </w:pPr>
            <w:r>
              <w:rPr>
                <w:rFonts w:ascii="SimSun" w:eastAsia="SimSun" w:hAnsi="SimSun" w:cs="SimSun"/>
                <w:spacing w:val="-3"/>
                <w:sz w:val="24"/>
                <w:szCs w:val="24"/>
              </w:rPr>
              <w:t>0.5</w:t>
            </w:r>
          </w:p>
        </w:tc>
        <w:tc>
          <w:tcPr>
            <w:tcW w:w="1691" w:type="dxa"/>
            <w:vAlign w:val="top"/>
          </w:tcPr>
          <w:p>
            <w:pPr>
              <w:spacing w:before="120" w:line="181" w:lineRule="auto"/>
              <w:ind w:left="674"/>
              <w:rPr>
                <w:rFonts w:ascii="SimSun" w:eastAsia="SimSun" w:hAnsi="SimSun" w:cs="SimSun"/>
                <w:sz w:val="24"/>
                <w:szCs w:val="24"/>
              </w:rPr>
            </w:pPr>
            <w:r>
              <w:rPr>
                <w:rFonts w:ascii="SimSun" w:eastAsia="SimSun" w:hAnsi="SimSun" w:cs="SimSun"/>
                <w:spacing w:val="-3"/>
                <w:sz w:val="24"/>
                <w:szCs w:val="24"/>
              </w:rPr>
              <w:t>0.6</w:t>
            </w:r>
          </w:p>
        </w:tc>
        <w:tc>
          <w:tcPr>
            <w:tcW w:w="1747" w:type="dxa"/>
            <w:vAlign w:val="top"/>
          </w:tcPr>
          <w:p>
            <w:pPr>
              <w:spacing w:before="119" w:line="182" w:lineRule="auto"/>
              <w:ind w:left="718"/>
              <w:rPr>
                <w:rFonts w:ascii="SimSun" w:eastAsia="SimSun" w:hAnsi="SimSun" w:cs="SimSun"/>
                <w:sz w:val="24"/>
                <w:szCs w:val="24"/>
              </w:rPr>
            </w:pPr>
            <w:r>
              <w:rPr>
                <w:rFonts w:ascii="SimSun" w:eastAsia="SimSun" w:hAnsi="SimSun" w:cs="SimSun"/>
                <w:spacing w:val="-7"/>
                <w:sz w:val="24"/>
                <w:szCs w:val="24"/>
              </w:rPr>
              <w:t>1.0</w:t>
            </w:r>
          </w:p>
        </w:tc>
      </w:tr>
      <w:tr>
        <w:tblPrEx>
          <w:tblW w:w="8528" w:type="dxa"/>
          <w:tblInd w:w="2" w:type="dxa"/>
          <w:tblLayout w:type="fixed"/>
        </w:tblPrEx>
        <w:trPr>
          <w:trHeight w:val="403"/>
        </w:trPr>
        <w:tc>
          <w:tcPr>
            <w:tcW w:w="688" w:type="dxa"/>
            <w:vMerge/>
            <w:tcBorders>
              <w:top w:val="nil"/>
            </w:tcBorders>
            <w:vAlign w:val="top"/>
          </w:tcPr>
          <w:p>
            <w:pPr>
              <w:rPr>
                <w:rFonts w:ascii="Arial"/>
                <w:sz w:val="21"/>
              </w:rPr>
            </w:pPr>
          </w:p>
        </w:tc>
        <w:tc>
          <w:tcPr>
            <w:tcW w:w="717" w:type="dxa"/>
            <w:vMerge/>
            <w:tcBorders>
              <w:top w:val="nil"/>
            </w:tcBorders>
            <w:vAlign w:val="top"/>
          </w:tcPr>
          <w:p>
            <w:pPr>
              <w:rPr>
                <w:rFonts w:ascii="Arial"/>
                <w:sz w:val="21"/>
              </w:rPr>
            </w:pPr>
          </w:p>
        </w:tc>
        <w:tc>
          <w:tcPr>
            <w:tcW w:w="718" w:type="dxa"/>
            <w:vAlign w:val="top"/>
          </w:tcPr>
          <w:p>
            <w:pPr>
              <w:spacing w:before="80" w:line="220" w:lineRule="auto"/>
              <w:ind w:left="126"/>
              <w:rPr>
                <w:rFonts w:ascii="SimSun" w:eastAsia="SimSun" w:hAnsi="SimSun" w:cs="SimSun"/>
                <w:sz w:val="24"/>
                <w:szCs w:val="24"/>
              </w:rPr>
            </w:pPr>
            <w:r>
              <w:rPr>
                <w:rFonts w:ascii="SimSun" w:eastAsia="SimSun" w:hAnsi="SimSun" w:cs="SimSun"/>
                <w:spacing w:val="-3"/>
                <w:sz w:val="24"/>
                <w:szCs w:val="24"/>
              </w:rPr>
              <w:t>其他</w:t>
            </w:r>
          </w:p>
        </w:tc>
        <w:tc>
          <w:tcPr>
            <w:tcW w:w="1506" w:type="dxa"/>
            <w:vAlign w:val="top"/>
          </w:tcPr>
          <w:p>
            <w:pPr>
              <w:spacing w:before="119" w:line="182" w:lineRule="auto"/>
              <w:ind w:left="597"/>
              <w:rPr>
                <w:rFonts w:ascii="SimSun" w:eastAsia="SimSun" w:hAnsi="SimSun" w:cs="SimSun"/>
                <w:sz w:val="24"/>
                <w:szCs w:val="24"/>
              </w:rPr>
            </w:pPr>
            <w:r>
              <w:rPr>
                <w:rFonts w:ascii="SimSun" w:eastAsia="SimSun" w:hAnsi="SimSun" w:cs="SimSun"/>
                <w:spacing w:val="-7"/>
                <w:sz w:val="24"/>
                <w:szCs w:val="24"/>
              </w:rPr>
              <w:t>1.3</w:t>
            </w:r>
          </w:p>
        </w:tc>
        <w:tc>
          <w:tcPr>
            <w:tcW w:w="1461" w:type="dxa"/>
            <w:vAlign w:val="top"/>
          </w:tcPr>
          <w:p>
            <w:pPr>
              <w:spacing w:before="119" w:line="182" w:lineRule="auto"/>
              <w:ind w:left="574"/>
              <w:rPr>
                <w:rFonts w:ascii="SimSun" w:eastAsia="SimSun" w:hAnsi="SimSun" w:cs="SimSun"/>
                <w:sz w:val="24"/>
                <w:szCs w:val="24"/>
              </w:rPr>
            </w:pPr>
            <w:r>
              <w:rPr>
                <w:rFonts w:ascii="SimSun" w:eastAsia="SimSun" w:hAnsi="SimSun" w:cs="SimSun"/>
                <w:spacing w:val="-7"/>
                <w:sz w:val="24"/>
                <w:szCs w:val="24"/>
              </w:rPr>
              <w:t>1.8</w:t>
            </w:r>
          </w:p>
        </w:tc>
        <w:tc>
          <w:tcPr>
            <w:tcW w:w="1691" w:type="dxa"/>
            <w:vAlign w:val="top"/>
          </w:tcPr>
          <w:p>
            <w:pPr>
              <w:spacing w:before="121" w:line="181" w:lineRule="auto"/>
              <w:ind w:left="675"/>
              <w:rPr>
                <w:rFonts w:ascii="SimSun" w:eastAsia="SimSun" w:hAnsi="SimSun" w:cs="SimSun"/>
                <w:sz w:val="24"/>
                <w:szCs w:val="24"/>
              </w:rPr>
            </w:pPr>
            <w:r>
              <w:rPr>
                <w:rFonts w:ascii="SimSun" w:eastAsia="SimSun" w:hAnsi="SimSun" w:cs="SimSun"/>
                <w:spacing w:val="-3"/>
                <w:sz w:val="24"/>
                <w:szCs w:val="24"/>
              </w:rPr>
              <w:t>2.4</w:t>
            </w:r>
          </w:p>
        </w:tc>
        <w:tc>
          <w:tcPr>
            <w:tcW w:w="1747" w:type="dxa"/>
            <w:vAlign w:val="top"/>
          </w:tcPr>
          <w:p>
            <w:pPr>
              <w:spacing w:before="121" w:line="181" w:lineRule="auto"/>
              <w:ind w:left="705"/>
              <w:rPr>
                <w:rFonts w:ascii="SimSun" w:eastAsia="SimSun" w:hAnsi="SimSun" w:cs="SimSun"/>
                <w:sz w:val="24"/>
                <w:szCs w:val="24"/>
              </w:rPr>
            </w:pPr>
            <w:r>
              <w:rPr>
                <w:rFonts w:ascii="SimSun" w:eastAsia="SimSun" w:hAnsi="SimSun" w:cs="SimSun"/>
                <w:spacing w:val="-4"/>
                <w:sz w:val="24"/>
                <w:szCs w:val="24"/>
              </w:rPr>
              <w:t>3.4</w:t>
            </w:r>
          </w:p>
        </w:tc>
      </w:tr>
      <w:tr>
        <w:tblPrEx>
          <w:tblW w:w="8528" w:type="dxa"/>
          <w:tblInd w:w="2" w:type="dxa"/>
          <w:tblLayout w:type="fixed"/>
        </w:tblPrEx>
        <w:trPr>
          <w:trHeight w:val="402"/>
        </w:trPr>
        <w:tc>
          <w:tcPr>
            <w:tcW w:w="688" w:type="dxa"/>
            <w:vMerge w:val="restart"/>
            <w:tcBorders>
              <w:bottom w:val="nil"/>
            </w:tcBorders>
            <w:vAlign w:val="top"/>
          </w:tcPr>
          <w:p>
            <w:pPr>
              <w:spacing w:line="245" w:lineRule="auto"/>
              <w:rPr>
                <w:rFonts w:ascii="Arial"/>
                <w:sz w:val="21"/>
              </w:rPr>
            </w:pPr>
          </w:p>
          <w:p>
            <w:pPr>
              <w:spacing w:before="78" w:line="181" w:lineRule="auto"/>
              <w:ind w:left="294"/>
              <w:rPr>
                <w:rFonts w:ascii="SimSun" w:eastAsia="SimSun" w:hAnsi="SimSun" w:cs="SimSun"/>
                <w:sz w:val="24"/>
                <w:szCs w:val="24"/>
              </w:rPr>
            </w:pPr>
            <w:r>
              <w:rPr>
                <w:rFonts w:ascii="SimSun" w:eastAsia="SimSun" w:hAnsi="SimSun" w:cs="SimSun"/>
                <w:sz w:val="24"/>
                <w:szCs w:val="24"/>
              </w:rPr>
              <w:t>3</w:t>
            </w:r>
          </w:p>
        </w:tc>
        <w:tc>
          <w:tcPr>
            <w:tcW w:w="717" w:type="dxa"/>
            <w:vMerge w:val="restart"/>
            <w:tcBorders>
              <w:bottom w:val="nil"/>
            </w:tcBorders>
            <w:vAlign w:val="top"/>
          </w:tcPr>
          <w:p>
            <w:pPr>
              <w:spacing w:before="284" w:line="220" w:lineRule="auto"/>
              <w:ind w:left="241"/>
              <w:rPr>
                <w:rFonts w:ascii="SimSun" w:eastAsia="SimSun" w:hAnsi="SimSun" w:cs="SimSun"/>
                <w:sz w:val="24"/>
                <w:szCs w:val="24"/>
              </w:rPr>
            </w:pPr>
            <w:r>
              <w:rPr>
                <w:rFonts w:ascii="SimSun" w:eastAsia="SimSun" w:hAnsi="SimSun" w:cs="SimSun"/>
                <w:sz w:val="24"/>
                <w:szCs w:val="24"/>
              </w:rPr>
              <w:t>砷</w:t>
            </w:r>
          </w:p>
        </w:tc>
        <w:tc>
          <w:tcPr>
            <w:tcW w:w="718" w:type="dxa"/>
            <w:vAlign w:val="top"/>
          </w:tcPr>
          <w:p>
            <w:pPr>
              <w:spacing w:before="80" w:line="220" w:lineRule="auto"/>
              <w:ind w:left="128"/>
              <w:rPr>
                <w:rFonts w:ascii="SimSun" w:eastAsia="SimSun" w:hAnsi="SimSun" w:cs="SimSun"/>
                <w:sz w:val="24"/>
                <w:szCs w:val="24"/>
              </w:rPr>
            </w:pPr>
            <w:r>
              <w:rPr>
                <w:rFonts w:ascii="SimSun" w:eastAsia="SimSun" w:hAnsi="SimSun" w:cs="SimSun"/>
                <w:spacing w:val="-4"/>
                <w:sz w:val="24"/>
                <w:szCs w:val="24"/>
              </w:rPr>
              <w:t>水田</w:t>
            </w:r>
          </w:p>
        </w:tc>
        <w:tc>
          <w:tcPr>
            <w:tcW w:w="1506" w:type="dxa"/>
            <w:vAlign w:val="top"/>
          </w:tcPr>
          <w:p>
            <w:pPr>
              <w:spacing w:before="78" w:line="181" w:lineRule="auto"/>
              <w:ind w:left="644"/>
              <w:rPr>
                <w:rFonts w:ascii="SimSun" w:eastAsia="SimSun" w:hAnsi="SimSun" w:cs="SimSun"/>
                <w:sz w:val="24"/>
                <w:szCs w:val="24"/>
              </w:rPr>
            </w:pPr>
            <w:r>
              <w:rPr>
                <w:rFonts w:ascii="SimSun" w:eastAsia="SimSun" w:hAnsi="SimSun" w:cs="SimSun"/>
                <w:spacing w:val="-4"/>
                <w:sz w:val="24"/>
                <w:szCs w:val="24"/>
              </w:rPr>
              <w:t>30</w:t>
            </w:r>
          </w:p>
        </w:tc>
        <w:tc>
          <w:tcPr>
            <w:tcW w:w="1461" w:type="dxa"/>
            <w:vAlign w:val="top"/>
          </w:tcPr>
          <w:p>
            <w:pPr>
              <w:spacing w:before="78" w:line="181" w:lineRule="auto"/>
              <w:ind w:left="621"/>
              <w:rPr>
                <w:rFonts w:ascii="SimSun" w:eastAsia="SimSun" w:hAnsi="SimSun" w:cs="SimSun"/>
                <w:sz w:val="24"/>
                <w:szCs w:val="24"/>
              </w:rPr>
            </w:pPr>
            <w:r>
              <w:rPr>
                <w:rFonts w:ascii="SimSun" w:eastAsia="SimSun" w:hAnsi="SimSun" w:cs="SimSun"/>
                <w:spacing w:val="-4"/>
                <w:sz w:val="24"/>
                <w:szCs w:val="24"/>
              </w:rPr>
              <w:t>30</w:t>
            </w:r>
          </w:p>
        </w:tc>
        <w:tc>
          <w:tcPr>
            <w:tcW w:w="1691" w:type="dxa"/>
            <w:vAlign w:val="top"/>
          </w:tcPr>
          <w:p>
            <w:pPr>
              <w:spacing w:before="121" w:line="181" w:lineRule="auto"/>
              <w:ind w:left="735"/>
              <w:rPr>
                <w:rFonts w:ascii="SimSun" w:eastAsia="SimSun" w:hAnsi="SimSun" w:cs="SimSun"/>
                <w:sz w:val="24"/>
                <w:szCs w:val="24"/>
              </w:rPr>
            </w:pPr>
            <w:r>
              <w:rPr>
                <w:rFonts w:ascii="SimSun" w:eastAsia="SimSun" w:hAnsi="SimSun" w:cs="SimSun"/>
                <w:spacing w:val="-4"/>
                <w:sz w:val="24"/>
                <w:szCs w:val="24"/>
              </w:rPr>
              <w:t>25</w:t>
            </w:r>
          </w:p>
        </w:tc>
        <w:tc>
          <w:tcPr>
            <w:tcW w:w="1747" w:type="dxa"/>
            <w:vAlign w:val="top"/>
          </w:tcPr>
          <w:p>
            <w:pPr>
              <w:spacing w:before="121" w:line="181" w:lineRule="auto"/>
              <w:ind w:left="763"/>
              <w:rPr>
                <w:rFonts w:ascii="SimSun" w:eastAsia="SimSun" w:hAnsi="SimSun" w:cs="SimSun"/>
                <w:sz w:val="24"/>
                <w:szCs w:val="24"/>
              </w:rPr>
            </w:pPr>
            <w:r>
              <w:rPr>
                <w:rFonts w:ascii="SimSun" w:eastAsia="SimSun" w:hAnsi="SimSun" w:cs="SimSun"/>
                <w:spacing w:val="-4"/>
                <w:sz w:val="24"/>
                <w:szCs w:val="24"/>
              </w:rPr>
              <w:t>20</w:t>
            </w:r>
          </w:p>
        </w:tc>
      </w:tr>
      <w:tr>
        <w:tblPrEx>
          <w:tblW w:w="8528" w:type="dxa"/>
          <w:tblInd w:w="2" w:type="dxa"/>
          <w:tblLayout w:type="fixed"/>
        </w:tblPrEx>
        <w:trPr>
          <w:trHeight w:val="400"/>
        </w:trPr>
        <w:tc>
          <w:tcPr>
            <w:tcW w:w="688" w:type="dxa"/>
            <w:vMerge/>
            <w:tcBorders>
              <w:top w:val="nil"/>
            </w:tcBorders>
            <w:vAlign w:val="top"/>
          </w:tcPr>
          <w:p>
            <w:pPr>
              <w:rPr>
                <w:rFonts w:ascii="Arial"/>
                <w:sz w:val="21"/>
              </w:rPr>
            </w:pPr>
          </w:p>
        </w:tc>
        <w:tc>
          <w:tcPr>
            <w:tcW w:w="717" w:type="dxa"/>
            <w:vMerge/>
            <w:tcBorders>
              <w:top w:val="nil"/>
            </w:tcBorders>
            <w:vAlign w:val="top"/>
          </w:tcPr>
          <w:p>
            <w:pPr>
              <w:rPr>
                <w:rFonts w:ascii="Arial"/>
                <w:sz w:val="21"/>
              </w:rPr>
            </w:pPr>
          </w:p>
        </w:tc>
        <w:tc>
          <w:tcPr>
            <w:tcW w:w="718" w:type="dxa"/>
            <w:vAlign w:val="top"/>
          </w:tcPr>
          <w:p>
            <w:pPr>
              <w:spacing w:before="79" w:line="220" w:lineRule="auto"/>
              <w:ind w:left="126"/>
              <w:rPr>
                <w:rFonts w:ascii="SimSun" w:eastAsia="SimSun" w:hAnsi="SimSun" w:cs="SimSun"/>
                <w:sz w:val="24"/>
                <w:szCs w:val="24"/>
              </w:rPr>
            </w:pPr>
            <w:r>
              <w:rPr>
                <w:rFonts w:ascii="SimSun" w:eastAsia="SimSun" w:hAnsi="SimSun" w:cs="SimSun"/>
                <w:spacing w:val="-3"/>
                <w:sz w:val="24"/>
                <w:szCs w:val="24"/>
              </w:rPr>
              <w:t>其他</w:t>
            </w:r>
          </w:p>
        </w:tc>
        <w:tc>
          <w:tcPr>
            <w:tcW w:w="1506" w:type="dxa"/>
            <w:vAlign w:val="top"/>
          </w:tcPr>
          <w:p>
            <w:pPr>
              <w:spacing w:before="79" w:line="181" w:lineRule="auto"/>
              <w:ind w:left="638"/>
              <w:rPr>
                <w:rFonts w:ascii="SimSun" w:eastAsia="SimSun" w:hAnsi="SimSun" w:cs="SimSun"/>
                <w:sz w:val="24"/>
                <w:szCs w:val="24"/>
              </w:rPr>
            </w:pPr>
            <w:r>
              <w:rPr>
                <w:rFonts w:ascii="SimSun" w:eastAsia="SimSun" w:hAnsi="SimSun" w:cs="SimSun"/>
                <w:spacing w:val="-3"/>
                <w:sz w:val="24"/>
                <w:szCs w:val="24"/>
              </w:rPr>
              <w:t>40</w:t>
            </w:r>
          </w:p>
        </w:tc>
        <w:tc>
          <w:tcPr>
            <w:tcW w:w="1461" w:type="dxa"/>
            <w:vAlign w:val="top"/>
          </w:tcPr>
          <w:p>
            <w:pPr>
              <w:spacing w:before="79" w:line="181" w:lineRule="auto"/>
              <w:ind w:left="615"/>
              <w:rPr>
                <w:rFonts w:ascii="SimSun" w:eastAsia="SimSun" w:hAnsi="SimSun" w:cs="SimSun"/>
                <w:sz w:val="24"/>
                <w:szCs w:val="24"/>
              </w:rPr>
            </w:pPr>
            <w:r>
              <w:rPr>
                <w:rFonts w:ascii="SimSun" w:eastAsia="SimSun" w:hAnsi="SimSun" w:cs="SimSun"/>
                <w:spacing w:val="-3"/>
                <w:sz w:val="24"/>
                <w:szCs w:val="24"/>
              </w:rPr>
              <w:t>40</w:t>
            </w:r>
          </w:p>
        </w:tc>
        <w:tc>
          <w:tcPr>
            <w:tcW w:w="1691" w:type="dxa"/>
            <w:vAlign w:val="top"/>
          </w:tcPr>
          <w:p>
            <w:pPr>
              <w:spacing w:before="119" w:line="181" w:lineRule="auto"/>
              <w:ind w:left="737"/>
              <w:rPr>
                <w:rFonts w:ascii="SimSun" w:eastAsia="SimSun" w:hAnsi="SimSun" w:cs="SimSun"/>
                <w:sz w:val="24"/>
                <w:szCs w:val="24"/>
              </w:rPr>
            </w:pPr>
            <w:r>
              <w:rPr>
                <w:rFonts w:ascii="SimSun" w:eastAsia="SimSun" w:hAnsi="SimSun" w:cs="SimSun"/>
                <w:spacing w:val="-4"/>
                <w:sz w:val="24"/>
                <w:szCs w:val="24"/>
              </w:rPr>
              <w:t>30</w:t>
            </w:r>
          </w:p>
        </w:tc>
        <w:tc>
          <w:tcPr>
            <w:tcW w:w="1747" w:type="dxa"/>
            <w:vAlign w:val="top"/>
          </w:tcPr>
          <w:p>
            <w:pPr>
              <w:spacing w:before="119" w:line="181" w:lineRule="auto"/>
              <w:ind w:left="763"/>
              <w:rPr>
                <w:rFonts w:ascii="SimSun" w:eastAsia="SimSun" w:hAnsi="SimSun" w:cs="SimSun"/>
                <w:sz w:val="24"/>
                <w:szCs w:val="24"/>
              </w:rPr>
            </w:pPr>
            <w:r>
              <w:rPr>
                <w:rFonts w:ascii="SimSun" w:eastAsia="SimSun" w:hAnsi="SimSun" w:cs="SimSun"/>
                <w:spacing w:val="-4"/>
                <w:sz w:val="24"/>
                <w:szCs w:val="24"/>
              </w:rPr>
              <w:t>25</w:t>
            </w:r>
          </w:p>
        </w:tc>
      </w:tr>
      <w:tr>
        <w:tblPrEx>
          <w:tblW w:w="8528" w:type="dxa"/>
          <w:tblInd w:w="2" w:type="dxa"/>
          <w:tblLayout w:type="fixed"/>
        </w:tblPrEx>
        <w:trPr>
          <w:trHeight w:val="403"/>
        </w:trPr>
        <w:tc>
          <w:tcPr>
            <w:tcW w:w="688" w:type="dxa"/>
            <w:vMerge w:val="restart"/>
            <w:tcBorders>
              <w:bottom w:val="nil"/>
            </w:tcBorders>
            <w:vAlign w:val="top"/>
          </w:tcPr>
          <w:p>
            <w:pPr>
              <w:spacing w:line="247" w:lineRule="auto"/>
              <w:rPr>
                <w:rFonts w:ascii="Arial"/>
                <w:sz w:val="21"/>
              </w:rPr>
            </w:pPr>
          </w:p>
          <w:p>
            <w:pPr>
              <w:spacing w:before="78" w:line="181" w:lineRule="auto"/>
              <w:ind w:left="288"/>
              <w:rPr>
                <w:rFonts w:ascii="SimSun" w:eastAsia="SimSun" w:hAnsi="SimSun" w:cs="SimSun"/>
                <w:sz w:val="24"/>
                <w:szCs w:val="24"/>
              </w:rPr>
            </w:pPr>
            <w:r>
              <w:rPr>
                <w:rFonts w:ascii="SimSun" w:eastAsia="SimSun" w:hAnsi="SimSun" w:cs="SimSun"/>
                <w:sz w:val="24"/>
                <w:szCs w:val="24"/>
              </w:rPr>
              <w:t>4</w:t>
            </w:r>
          </w:p>
        </w:tc>
        <w:tc>
          <w:tcPr>
            <w:tcW w:w="717" w:type="dxa"/>
            <w:vMerge w:val="restart"/>
            <w:tcBorders>
              <w:bottom w:val="nil"/>
            </w:tcBorders>
            <w:vAlign w:val="top"/>
          </w:tcPr>
          <w:p>
            <w:pPr>
              <w:spacing w:before="286" w:line="224" w:lineRule="auto"/>
              <w:ind w:left="242"/>
              <w:rPr>
                <w:rFonts w:ascii="SimSun" w:eastAsia="SimSun" w:hAnsi="SimSun" w:cs="SimSun"/>
                <w:sz w:val="24"/>
                <w:szCs w:val="24"/>
              </w:rPr>
            </w:pPr>
            <w:r>
              <w:rPr>
                <w:rFonts w:ascii="SimSun" w:eastAsia="SimSun" w:hAnsi="SimSun" w:cs="SimSun"/>
                <w:sz w:val="24"/>
                <w:szCs w:val="24"/>
              </w:rPr>
              <w:t>铅</w:t>
            </w:r>
          </w:p>
        </w:tc>
        <w:tc>
          <w:tcPr>
            <w:tcW w:w="718" w:type="dxa"/>
            <w:vAlign w:val="top"/>
          </w:tcPr>
          <w:p>
            <w:pPr>
              <w:spacing w:before="81" w:line="220" w:lineRule="auto"/>
              <w:ind w:left="128"/>
              <w:rPr>
                <w:rFonts w:ascii="SimSun" w:eastAsia="SimSun" w:hAnsi="SimSun" w:cs="SimSun"/>
                <w:sz w:val="24"/>
                <w:szCs w:val="24"/>
              </w:rPr>
            </w:pPr>
            <w:r>
              <w:rPr>
                <w:rFonts w:ascii="SimSun" w:eastAsia="SimSun" w:hAnsi="SimSun" w:cs="SimSun"/>
                <w:spacing w:val="-4"/>
                <w:sz w:val="24"/>
                <w:szCs w:val="24"/>
              </w:rPr>
              <w:t>水田</w:t>
            </w:r>
          </w:p>
        </w:tc>
        <w:tc>
          <w:tcPr>
            <w:tcW w:w="1506" w:type="dxa"/>
            <w:vAlign w:val="top"/>
          </w:tcPr>
          <w:p>
            <w:pPr>
              <w:spacing w:before="122" w:line="181" w:lineRule="auto"/>
              <w:ind w:left="640"/>
              <w:rPr>
                <w:rFonts w:ascii="SimSun" w:eastAsia="SimSun" w:hAnsi="SimSun" w:cs="SimSun"/>
                <w:sz w:val="24"/>
                <w:szCs w:val="24"/>
              </w:rPr>
            </w:pPr>
            <w:r>
              <w:rPr>
                <w:rFonts w:ascii="SimSun" w:eastAsia="SimSun" w:hAnsi="SimSun" w:cs="SimSun"/>
                <w:spacing w:val="-3"/>
                <w:sz w:val="24"/>
                <w:szCs w:val="24"/>
              </w:rPr>
              <w:t>80</w:t>
            </w:r>
          </w:p>
        </w:tc>
        <w:tc>
          <w:tcPr>
            <w:tcW w:w="1461" w:type="dxa"/>
            <w:vAlign w:val="top"/>
          </w:tcPr>
          <w:p>
            <w:pPr>
              <w:spacing w:before="121" w:line="182" w:lineRule="auto"/>
              <w:ind w:left="574"/>
              <w:rPr>
                <w:rFonts w:ascii="SimSun" w:eastAsia="SimSun" w:hAnsi="SimSun" w:cs="SimSun"/>
                <w:sz w:val="24"/>
                <w:szCs w:val="24"/>
              </w:rPr>
            </w:pPr>
            <w:r>
              <w:rPr>
                <w:rFonts w:ascii="SimSun" w:eastAsia="SimSun" w:hAnsi="SimSun" w:cs="SimSun"/>
                <w:spacing w:val="-7"/>
                <w:sz w:val="24"/>
                <w:szCs w:val="24"/>
              </w:rPr>
              <w:t>100</w:t>
            </w:r>
          </w:p>
        </w:tc>
        <w:tc>
          <w:tcPr>
            <w:tcW w:w="1691" w:type="dxa"/>
            <w:vAlign w:val="top"/>
          </w:tcPr>
          <w:p>
            <w:pPr>
              <w:spacing w:before="121" w:line="182" w:lineRule="auto"/>
              <w:ind w:left="690"/>
              <w:rPr>
                <w:rFonts w:ascii="SimSun" w:eastAsia="SimSun" w:hAnsi="SimSun" w:cs="SimSun"/>
                <w:sz w:val="24"/>
                <w:szCs w:val="24"/>
              </w:rPr>
            </w:pPr>
            <w:r>
              <w:rPr>
                <w:rFonts w:ascii="SimSun" w:eastAsia="SimSun" w:hAnsi="SimSun" w:cs="SimSun"/>
                <w:spacing w:val="-7"/>
                <w:sz w:val="24"/>
                <w:szCs w:val="24"/>
              </w:rPr>
              <w:t>140</w:t>
            </w:r>
          </w:p>
        </w:tc>
        <w:tc>
          <w:tcPr>
            <w:tcW w:w="1747" w:type="dxa"/>
            <w:vAlign w:val="top"/>
          </w:tcPr>
          <w:p>
            <w:pPr>
              <w:spacing w:before="122" w:line="181" w:lineRule="auto"/>
              <w:ind w:left="703"/>
              <w:rPr>
                <w:rFonts w:ascii="SimSun" w:eastAsia="SimSun" w:hAnsi="SimSun" w:cs="SimSun"/>
                <w:sz w:val="24"/>
                <w:szCs w:val="24"/>
              </w:rPr>
            </w:pPr>
            <w:r>
              <w:rPr>
                <w:rFonts w:ascii="SimSun" w:eastAsia="SimSun" w:hAnsi="SimSun" w:cs="SimSun"/>
                <w:spacing w:val="-3"/>
                <w:sz w:val="24"/>
                <w:szCs w:val="24"/>
              </w:rPr>
              <w:t>240</w:t>
            </w:r>
          </w:p>
        </w:tc>
      </w:tr>
      <w:tr>
        <w:tblPrEx>
          <w:tblW w:w="8528" w:type="dxa"/>
          <w:tblInd w:w="2" w:type="dxa"/>
          <w:tblLayout w:type="fixed"/>
        </w:tblPrEx>
        <w:trPr>
          <w:trHeight w:val="401"/>
        </w:trPr>
        <w:tc>
          <w:tcPr>
            <w:tcW w:w="688" w:type="dxa"/>
            <w:vMerge/>
            <w:tcBorders>
              <w:top w:val="nil"/>
            </w:tcBorders>
            <w:vAlign w:val="top"/>
          </w:tcPr>
          <w:p>
            <w:pPr>
              <w:rPr>
                <w:rFonts w:ascii="Arial"/>
                <w:sz w:val="21"/>
              </w:rPr>
            </w:pPr>
          </w:p>
        </w:tc>
        <w:tc>
          <w:tcPr>
            <w:tcW w:w="717" w:type="dxa"/>
            <w:vMerge/>
            <w:tcBorders>
              <w:top w:val="nil"/>
            </w:tcBorders>
            <w:vAlign w:val="top"/>
          </w:tcPr>
          <w:p>
            <w:pPr>
              <w:rPr>
                <w:rFonts w:ascii="Arial"/>
                <w:sz w:val="21"/>
              </w:rPr>
            </w:pPr>
          </w:p>
        </w:tc>
        <w:tc>
          <w:tcPr>
            <w:tcW w:w="718" w:type="dxa"/>
            <w:vAlign w:val="top"/>
          </w:tcPr>
          <w:p>
            <w:pPr>
              <w:spacing w:before="83" w:line="220" w:lineRule="auto"/>
              <w:ind w:left="126"/>
              <w:rPr>
                <w:rFonts w:ascii="SimSun" w:eastAsia="SimSun" w:hAnsi="SimSun" w:cs="SimSun"/>
                <w:sz w:val="24"/>
                <w:szCs w:val="24"/>
              </w:rPr>
            </w:pPr>
            <w:r>
              <w:rPr>
                <w:rFonts w:ascii="SimSun" w:eastAsia="SimSun" w:hAnsi="SimSun" w:cs="SimSun"/>
                <w:spacing w:val="-3"/>
                <w:sz w:val="24"/>
                <w:szCs w:val="24"/>
              </w:rPr>
              <w:t>其他</w:t>
            </w:r>
          </w:p>
        </w:tc>
        <w:tc>
          <w:tcPr>
            <w:tcW w:w="1506" w:type="dxa"/>
            <w:vAlign w:val="top"/>
          </w:tcPr>
          <w:p>
            <w:pPr>
              <w:spacing w:before="123" w:line="181" w:lineRule="auto"/>
              <w:ind w:left="645"/>
              <w:rPr>
                <w:rFonts w:ascii="SimSun" w:eastAsia="SimSun" w:hAnsi="SimSun" w:cs="SimSun"/>
                <w:sz w:val="24"/>
                <w:szCs w:val="24"/>
              </w:rPr>
            </w:pPr>
            <w:r>
              <w:rPr>
                <w:rFonts w:ascii="SimSun" w:eastAsia="SimSun" w:hAnsi="SimSun" w:cs="SimSun"/>
                <w:spacing w:val="-4"/>
                <w:sz w:val="24"/>
                <w:szCs w:val="24"/>
              </w:rPr>
              <w:t>70</w:t>
            </w:r>
          </w:p>
        </w:tc>
        <w:tc>
          <w:tcPr>
            <w:tcW w:w="1461" w:type="dxa"/>
            <w:vAlign w:val="top"/>
          </w:tcPr>
          <w:p>
            <w:pPr>
              <w:spacing w:before="123" w:line="181" w:lineRule="auto"/>
              <w:ind w:left="617"/>
              <w:rPr>
                <w:rFonts w:ascii="SimSun" w:eastAsia="SimSun" w:hAnsi="SimSun" w:cs="SimSun"/>
                <w:sz w:val="24"/>
                <w:szCs w:val="24"/>
              </w:rPr>
            </w:pPr>
            <w:r>
              <w:rPr>
                <w:rFonts w:ascii="SimSun" w:eastAsia="SimSun" w:hAnsi="SimSun" w:cs="SimSun"/>
                <w:spacing w:val="-3"/>
                <w:sz w:val="24"/>
                <w:szCs w:val="24"/>
              </w:rPr>
              <w:t>90</w:t>
            </w:r>
          </w:p>
        </w:tc>
        <w:tc>
          <w:tcPr>
            <w:tcW w:w="1691" w:type="dxa"/>
            <w:vAlign w:val="top"/>
          </w:tcPr>
          <w:p>
            <w:pPr>
              <w:spacing w:before="122" w:line="182" w:lineRule="auto"/>
              <w:ind w:left="690"/>
              <w:rPr>
                <w:rFonts w:ascii="SimSun" w:eastAsia="SimSun" w:hAnsi="SimSun" w:cs="SimSun"/>
                <w:sz w:val="24"/>
                <w:szCs w:val="24"/>
              </w:rPr>
            </w:pPr>
            <w:r>
              <w:rPr>
                <w:rFonts w:ascii="SimSun" w:eastAsia="SimSun" w:hAnsi="SimSun" w:cs="SimSun"/>
                <w:spacing w:val="-7"/>
                <w:sz w:val="24"/>
                <w:szCs w:val="24"/>
              </w:rPr>
              <w:t>120</w:t>
            </w:r>
          </w:p>
        </w:tc>
        <w:tc>
          <w:tcPr>
            <w:tcW w:w="1747" w:type="dxa"/>
            <w:vAlign w:val="top"/>
          </w:tcPr>
          <w:p>
            <w:pPr>
              <w:spacing w:before="122" w:line="182" w:lineRule="auto"/>
              <w:ind w:left="718"/>
              <w:rPr>
                <w:rFonts w:ascii="SimSun" w:eastAsia="SimSun" w:hAnsi="SimSun" w:cs="SimSun"/>
                <w:sz w:val="24"/>
                <w:szCs w:val="24"/>
              </w:rPr>
            </w:pPr>
            <w:r>
              <w:rPr>
                <w:rFonts w:ascii="SimSun" w:eastAsia="SimSun" w:hAnsi="SimSun" w:cs="SimSun"/>
                <w:spacing w:val="-7"/>
                <w:sz w:val="24"/>
                <w:szCs w:val="24"/>
              </w:rPr>
              <w:t>170</w:t>
            </w:r>
          </w:p>
        </w:tc>
      </w:tr>
      <w:tr>
        <w:tblPrEx>
          <w:tblW w:w="8528" w:type="dxa"/>
          <w:tblInd w:w="2" w:type="dxa"/>
          <w:tblLayout w:type="fixed"/>
        </w:tblPrEx>
        <w:trPr>
          <w:trHeight w:val="403"/>
        </w:trPr>
        <w:tc>
          <w:tcPr>
            <w:tcW w:w="688" w:type="dxa"/>
            <w:vMerge w:val="restart"/>
            <w:tcBorders>
              <w:bottom w:val="nil"/>
            </w:tcBorders>
            <w:vAlign w:val="top"/>
          </w:tcPr>
          <w:p>
            <w:pPr>
              <w:spacing w:line="248" w:lineRule="auto"/>
              <w:rPr>
                <w:rFonts w:ascii="Arial"/>
                <w:sz w:val="21"/>
              </w:rPr>
            </w:pPr>
          </w:p>
          <w:p>
            <w:pPr>
              <w:spacing w:before="78" w:line="180" w:lineRule="auto"/>
              <w:ind w:left="294"/>
              <w:rPr>
                <w:rFonts w:ascii="SimSun" w:eastAsia="SimSun" w:hAnsi="SimSun" w:cs="SimSun"/>
                <w:sz w:val="24"/>
                <w:szCs w:val="24"/>
              </w:rPr>
            </w:pPr>
            <w:r>
              <w:rPr>
                <w:rFonts w:ascii="SimSun" w:eastAsia="SimSun" w:hAnsi="SimSun" w:cs="SimSun"/>
                <w:sz w:val="24"/>
                <w:szCs w:val="24"/>
              </w:rPr>
              <w:t>5</w:t>
            </w:r>
          </w:p>
        </w:tc>
        <w:tc>
          <w:tcPr>
            <w:tcW w:w="717" w:type="dxa"/>
            <w:vMerge w:val="restart"/>
            <w:tcBorders>
              <w:bottom w:val="nil"/>
            </w:tcBorders>
            <w:vAlign w:val="top"/>
          </w:tcPr>
          <w:p>
            <w:pPr>
              <w:spacing w:before="286" w:line="222" w:lineRule="auto"/>
              <w:ind w:left="241"/>
              <w:rPr>
                <w:rFonts w:ascii="SimSun" w:eastAsia="SimSun" w:hAnsi="SimSun" w:cs="SimSun"/>
                <w:sz w:val="24"/>
                <w:szCs w:val="24"/>
              </w:rPr>
            </w:pPr>
            <w:r>
              <w:rPr>
                <w:rFonts w:ascii="SimSun" w:eastAsia="SimSun" w:hAnsi="SimSun" w:cs="SimSun"/>
                <w:sz w:val="24"/>
                <w:szCs w:val="24"/>
              </w:rPr>
              <w:t>铬</w:t>
            </w:r>
          </w:p>
        </w:tc>
        <w:tc>
          <w:tcPr>
            <w:tcW w:w="718" w:type="dxa"/>
            <w:vAlign w:val="top"/>
          </w:tcPr>
          <w:p>
            <w:pPr>
              <w:spacing w:before="81" w:line="220" w:lineRule="auto"/>
              <w:ind w:left="128"/>
              <w:rPr>
                <w:rFonts w:ascii="SimSun" w:eastAsia="SimSun" w:hAnsi="SimSun" w:cs="SimSun"/>
                <w:sz w:val="24"/>
                <w:szCs w:val="24"/>
              </w:rPr>
            </w:pPr>
            <w:r>
              <w:rPr>
                <w:rFonts w:ascii="SimSun" w:eastAsia="SimSun" w:hAnsi="SimSun" w:cs="SimSun"/>
                <w:spacing w:val="-4"/>
                <w:sz w:val="24"/>
                <w:szCs w:val="24"/>
              </w:rPr>
              <w:t>水田</w:t>
            </w:r>
          </w:p>
        </w:tc>
        <w:tc>
          <w:tcPr>
            <w:tcW w:w="1506" w:type="dxa"/>
            <w:vAlign w:val="top"/>
          </w:tcPr>
          <w:p>
            <w:pPr>
              <w:spacing w:before="123" w:line="181" w:lineRule="auto"/>
              <w:ind w:left="582"/>
              <w:rPr>
                <w:rFonts w:ascii="SimSun" w:eastAsia="SimSun" w:hAnsi="SimSun" w:cs="SimSun"/>
                <w:sz w:val="24"/>
                <w:szCs w:val="24"/>
              </w:rPr>
            </w:pPr>
            <w:r>
              <w:rPr>
                <w:rFonts w:ascii="SimSun" w:eastAsia="SimSun" w:hAnsi="SimSun" w:cs="SimSun"/>
                <w:spacing w:val="-3"/>
                <w:sz w:val="24"/>
                <w:szCs w:val="24"/>
              </w:rPr>
              <w:t>250</w:t>
            </w:r>
          </w:p>
        </w:tc>
        <w:tc>
          <w:tcPr>
            <w:tcW w:w="1461" w:type="dxa"/>
            <w:vAlign w:val="top"/>
          </w:tcPr>
          <w:p>
            <w:pPr>
              <w:spacing w:before="123" w:line="181" w:lineRule="auto"/>
              <w:ind w:left="559"/>
              <w:rPr>
                <w:rFonts w:ascii="SimSun" w:eastAsia="SimSun" w:hAnsi="SimSun" w:cs="SimSun"/>
                <w:sz w:val="24"/>
                <w:szCs w:val="24"/>
              </w:rPr>
            </w:pPr>
            <w:r>
              <w:rPr>
                <w:rFonts w:ascii="SimSun" w:eastAsia="SimSun" w:hAnsi="SimSun" w:cs="SimSun"/>
                <w:spacing w:val="-3"/>
                <w:sz w:val="24"/>
                <w:szCs w:val="24"/>
              </w:rPr>
              <w:t>250</w:t>
            </w:r>
          </w:p>
        </w:tc>
        <w:tc>
          <w:tcPr>
            <w:tcW w:w="1691" w:type="dxa"/>
            <w:vAlign w:val="top"/>
          </w:tcPr>
          <w:p>
            <w:pPr>
              <w:spacing w:before="123" w:line="181" w:lineRule="auto"/>
              <w:ind w:left="677"/>
              <w:rPr>
                <w:rFonts w:ascii="SimSun" w:eastAsia="SimSun" w:hAnsi="SimSun" w:cs="SimSun"/>
                <w:sz w:val="24"/>
                <w:szCs w:val="24"/>
              </w:rPr>
            </w:pPr>
            <w:r>
              <w:rPr>
                <w:rFonts w:ascii="SimSun" w:eastAsia="SimSun" w:hAnsi="SimSun" w:cs="SimSun"/>
                <w:spacing w:val="-4"/>
                <w:sz w:val="24"/>
                <w:szCs w:val="24"/>
              </w:rPr>
              <w:t>300</w:t>
            </w:r>
          </w:p>
        </w:tc>
        <w:tc>
          <w:tcPr>
            <w:tcW w:w="1747" w:type="dxa"/>
            <w:vAlign w:val="top"/>
          </w:tcPr>
          <w:p>
            <w:pPr>
              <w:spacing w:before="123" w:line="181" w:lineRule="auto"/>
              <w:ind w:left="705"/>
              <w:rPr>
                <w:rFonts w:ascii="SimSun" w:eastAsia="SimSun" w:hAnsi="SimSun" w:cs="SimSun"/>
                <w:sz w:val="24"/>
                <w:szCs w:val="24"/>
              </w:rPr>
            </w:pPr>
            <w:r>
              <w:rPr>
                <w:rFonts w:ascii="SimSun" w:eastAsia="SimSun" w:hAnsi="SimSun" w:cs="SimSun"/>
                <w:spacing w:val="-4"/>
                <w:sz w:val="24"/>
                <w:szCs w:val="24"/>
              </w:rPr>
              <w:t>350</w:t>
            </w:r>
          </w:p>
        </w:tc>
      </w:tr>
      <w:tr>
        <w:tblPrEx>
          <w:tblW w:w="8528" w:type="dxa"/>
          <w:tblInd w:w="2" w:type="dxa"/>
          <w:tblLayout w:type="fixed"/>
        </w:tblPrEx>
        <w:trPr>
          <w:trHeight w:val="400"/>
        </w:trPr>
        <w:tc>
          <w:tcPr>
            <w:tcW w:w="688" w:type="dxa"/>
            <w:vMerge/>
            <w:tcBorders>
              <w:top w:val="nil"/>
            </w:tcBorders>
            <w:vAlign w:val="top"/>
          </w:tcPr>
          <w:p>
            <w:pPr>
              <w:rPr>
                <w:rFonts w:ascii="Arial"/>
                <w:sz w:val="21"/>
              </w:rPr>
            </w:pPr>
          </w:p>
        </w:tc>
        <w:tc>
          <w:tcPr>
            <w:tcW w:w="717" w:type="dxa"/>
            <w:vMerge/>
            <w:tcBorders>
              <w:top w:val="nil"/>
            </w:tcBorders>
            <w:vAlign w:val="top"/>
          </w:tcPr>
          <w:p>
            <w:pPr>
              <w:rPr>
                <w:rFonts w:ascii="Arial"/>
                <w:sz w:val="21"/>
              </w:rPr>
            </w:pPr>
          </w:p>
        </w:tc>
        <w:tc>
          <w:tcPr>
            <w:tcW w:w="718" w:type="dxa"/>
            <w:vAlign w:val="top"/>
          </w:tcPr>
          <w:p>
            <w:pPr>
              <w:spacing w:before="82" w:line="220" w:lineRule="auto"/>
              <w:ind w:left="126"/>
              <w:rPr>
                <w:rFonts w:ascii="SimSun" w:eastAsia="SimSun" w:hAnsi="SimSun" w:cs="SimSun"/>
                <w:sz w:val="24"/>
                <w:szCs w:val="24"/>
              </w:rPr>
            </w:pPr>
            <w:r>
              <w:rPr>
                <w:rFonts w:ascii="SimSun" w:eastAsia="SimSun" w:hAnsi="SimSun" w:cs="SimSun"/>
                <w:spacing w:val="-3"/>
                <w:sz w:val="24"/>
                <w:szCs w:val="24"/>
              </w:rPr>
              <w:t>其他</w:t>
            </w:r>
          </w:p>
        </w:tc>
        <w:tc>
          <w:tcPr>
            <w:tcW w:w="1506" w:type="dxa"/>
            <w:vAlign w:val="top"/>
          </w:tcPr>
          <w:p>
            <w:pPr>
              <w:spacing w:before="121" w:line="182" w:lineRule="auto"/>
              <w:ind w:left="597"/>
              <w:rPr>
                <w:rFonts w:ascii="SimSun" w:eastAsia="SimSun" w:hAnsi="SimSun" w:cs="SimSun"/>
                <w:sz w:val="24"/>
                <w:szCs w:val="24"/>
              </w:rPr>
            </w:pPr>
            <w:r>
              <w:rPr>
                <w:rFonts w:ascii="SimSun" w:eastAsia="SimSun" w:hAnsi="SimSun" w:cs="SimSun"/>
                <w:spacing w:val="-7"/>
                <w:sz w:val="24"/>
                <w:szCs w:val="24"/>
              </w:rPr>
              <w:t>150</w:t>
            </w:r>
          </w:p>
        </w:tc>
        <w:tc>
          <w:tcPr>
            <w:tcW w:w="1461" w:type="dxa"/>
            <w:vAlign w:val="top"/>
          </w:tcPr>
          <w:p>
            <w:pPr>
              <w:spacing w:before="121" w:line="182" w:lineRule="auto"/>
              <w:ind w:left="574"/>
              <w:rPr>
                <w:rFonts w:ascii="SimSun" w:eastAsia="SimSun" w:hAnsi="SimSun" w:cs="SimSun"/>
                <w:sz w:val="24"/>
                <w:szCs w:val="24"/>
              </w:rPr>
            </w:pPr>
            <w:r>
              <w:rPr>
                <w:rFonts w:ascii="SimSun" w:eastAsia="SimSun" w:hAnsi="SimSun" w:cs="SimSun"/>
                <w:spacing w:val="-7"/>
                <w:sz w:val="24"/>
                <w:szCs w:val="24"/>
              </w:rPr>
              <w:t>150</w:t>
            </w:r>
          </w:p>
        </w:tc>
        <w:tc>
          <w:tcPr>
            <w:tcW w:w="1691" w:type="dxa"/>
            <w:vAlign w:val="top"/>
          </w:tcPr>
          <w:p>
            <w:pPr>
              <w:spacing w:before="123" w:line="181" w:lineRule="auto"/>
              <w:ind w:left="675"/>
              <w:rPr>
                <w:rFonts w:ascii="SimSun" w:eastAsia="SimSun" w:hAnsi="SimSun" w:cs="SimSun"/>
                <w:sz w:val="24"/>
                <w:szCs w:val="24"/>
              </w:rPr>
            </w:pPr>
            <w:r>
              <w:rPr>
                <w:rFonts w:ascii="SimSun" w:eastAsia="SimSun" w:hAnsi="SimSun" w:cs="SimSun"/>
                <w:spacing w:val="-3"/>
                <w:sz w:val="24"/>
                <w:szCs w:val="24"/>
              </w:rPr>
              <w:t>200</w:t>
            </w:r>
          </w:p>
        </w:tc>
        <w:tc>
          <w:tcPr>
            <w:tcW w:w="1747" w:type="dxa"/>
            <w:vAlign w:val="top"/>
          </w:tcPr>
          <w:p>
            <w:pPr>
              <w:spacing w:before="123" w:line="181" w:lineRule="auto"/>
              <w:ind w:left="703"/>
              <w:rPr>
                <w:rFonts w:ascii="SimSun" w:eastAsia="SimSun" w:hAnsi="SimSun" w:cs="SimSun"/>
                <w:sz w:val="24"/>
                <w:szCs w:val="24"/>
              </w:rPr>
            </w:pPr>
            <w:r>
              <w:rPr>
                <w:rFonts w:ascii="SimSun" w:eastAsia="SimSun" w:hAnsi="SimSun" w:cs="SimSun"/>
                <w:spacing w:val="-3"/>
                <w:sz w:val="24"/>
                <w:szCs w:val="24"/>
              </w:rPr>
              <w:t>250</w:t>
            </w:r>
          </w:p>
        </w:tc>
      </w:tr>
      <w:tr>
        <w:tblPrEx>
          <w:tblW w:w="8528" w:type="dxa"/>
          <w:tblInd w:w="2" w:type="dxa"/>
          <w:tblLayout w:type="fixed"/>
        </w:tblPrEx>
        <w:trPr>
          <w:trHeight w:val="403"/>
        </w:trPr>
        <w:tc>
          <w:tcPr>
            <w:tcW w:w="688" w:type="dxa"/>
            <w:vMerge w:val="restart"/>
            <w:tcBorders>
              <w:bottom w:val="nil"/>
            </w:tcBorders>
            <w:vAlign w:val="top"/>
          </w:tcPr>
          <w:p>
            <w:pPr>
              <w:spacing w:line="248" w:lineRule="auto"/>
              <w:rPr>
                <w:rFonts w:ascii="Arial"/>
                <w:sz w:val="21"/>
              </w:rPr>
            </w:pPr>
          </w:p>
          <w:p>
            <w:pPr>
              <w:spacing w:before="78" w:line="181" w:lineRule="auto"/>
              <w:ind w:left="291"/>
              <w:rPr>
                <w:rFonts w:ascii="SimSun" w:eastAsia="SimSun" w:hAnsi="SimSun" w:cs="SimSun"/>
                <w:sz w:val="24"/>
                <w:szCs w:val="24"/>
              </w:rPr>
            </w:pPr>
            <w:r>
              <w:rPr>
                <w:rFonts w:ascii="SimSun" w:eastAsia="SimSun" w:hAnsi="SimSun" w:cs="SimSun"/>
                <w:sz w:val="24"/>
                <w:szCs w:val="24"/>
              </w:rPr>
              <w:t>6</w:t>
            </w:r>
          </w:p>
        </w:tc>
        <w:tc>
          <w:tcPr>
            <w:tcW w:w="717" w:type="dxa"/>
            <w:vMerge w:val="restart"/>
            <w:tcBorders>
              <w:bottom w:val="nil"/>
            </w:tcBorders>
            <w:vAlign w:val="top"/>
          </w:tcPr>
          <w:p>
            <w:pPr>
              <w:spacing w:before="286" w:line="221" w:lineRule="auto"/>
              <w:ind w:left="242"/>
              <w:rPr>
                <w:rFonts w:ascii="SimSun" w:eastAsia="SimSun" w:hAnsi="SimSun" w:cs="SimSun"/>
                <w:sz w:val="24"/>
                <w:szCs w:val="24"/>
              </w:rPr>
            </w:pPr>
            <w:r>
              <w:rPr>
                <w:rFonts w:ascii="SimSun" w:eastAsia="SimSun" w:hAnsi="SimSun" w:cs="SimSun"/>
                <w:sz w:val="24"/>
                <w:szCs w:val="24"/>
              </w:rPr>
              <w:t>铜</w:t>
            </w:r>
          </w:p>
        </w:tc>
        <w:tc>
          <w:tcPr>
            <w:tcW w:w="718" w:type="dxa"/>
            <w:vAlign w:val="top"/>
          </w:tcPr>
          <w:p>
            <w:pPr>
              <w:spacing w:before="83" w:line="220" w:lineRule="auto"/>
              <w:ind w:left="130"/>
              <w:rPr>
                <w:rFonts w:ascii="SimSun" w:eastAsia="SimSun" w:hAnsi="SimSun" w:cs="SimSun"/>
                <w:sz w:val="24"/>
                <w:szCs w:val="24"/>
              </w:rPr>
            </w:pPr>
            <w:r>
              <w:rPr>
                <w:rFonts w:ascii="SimSun" w:eastAsia="SimSun" w:hAnsi="SimSun" w:cs="SimSun"/>
                <w:spacing w:val="-4"/>
                <w:sz w:val="24"/>
                <w:szCs w:val="24"/>
              </w:rPr>
              <w:t>果园</w:t>
            </w:r>
          </w:p>
        </w:tc>
        <w:tc>
          <w:tcPr>
            <w:tcW w:w="1506" w:type="dxa"/>
            <w:vAlign w:val="top"/>
          </w:tcPr>
          <w:p>
            <w:pPr>
              <w:spacing w:before="122" w:line="182" w:lineRule="auto"/>
              <w:ind w:left="597"/>
              <w:rPr>
                <w:rFonts w:ascii="SimSun" w:eastAsia="SimSun" w:hAnsi="SimSun" w:cs="SimSun"/>
                <w:sz w:val="24"/>
                <w:szCs w:val="24"/>
              </w:rPr>
            </w:pPr>
            <w:r>
              <w:rPr>
                <w:rFonts w:ascii="SimSun" w:eastAsia="SimSun" w:hAnsi="SimSun" w:cs="SimSun"/>
                <w:spacing w:val="-7"/>
                <w:sz w:val="24"/>
                <w:szCs w:val="24"/>
              </w:rPr>
              <w:t>150</w:t>
            </w:r>
          </w:p>
        </w:tc>
        <w:tc>
          <w:tcPr>
            <w:tcW w:w="1461" w:type="dxa"/>
            <w:vAlign w:val="top"/>
          </w:tcPr>
          <w:p>
            <w:pPr>
              <w:spacing w:before="122" w:line="182" w:lineRule="auto"/>
              <w:ind w:left="574"/>
              <w:rPr>
                <w:rFonts w:ascii="SimSun" w:eastAsia="SimSun" w:hAnsi="SimSun" w:cs="SimSun"/>
                <w:sz w:val="24"/>
                <w:szCs w:val="24"/>
              </w:rPr>
            </w:pPr>
            <w:r>
              <w:rPr>
                <w:rFonts w:ascii="SimSun" w:eastAsia="SimSun" w:hAnsi="SimSun" w:cs="SimSun"/>
                <w:spacing w:val="-7"/>
                <w:sz w:val="24"/>
                <w:szCs w:val="24"/>
              </w:rPr>
              <w:t>150</w:t>
            </w:r>
          </w:p>
        </w:tc>
        <w:tc>
          <w:tcPr>
            <w:tcW w:w="1691" w:type="dxa"/>
            <w:vAlign w:val="top"/>
          </w:tcPr>
          <w:p>
            <w:pPr>
              <w:spacing w:before="123" w:line="181" w:lineRule="auto"/>
              <w:ind w:left="675"/>
              <w:rPr>
                <w:rFonts w:ascii="SimSun" w:eastAsia="SimSun" w:hAnsi="SimSun" w:cs="SimSun"/>
                <w:sz w:val="24"/>
                <w:szCs w:val="24"/>
              </w:rPr>
            </w:pPr>
            <w:r>
              <w:rPr>
                <w:rFonts w:ascii="SimSun" w:eastAsia="SimSun" w:hAnsi="SimSun" w:cs="SimSun"/>
                <w:spacing w:val="-3"/>
                <w:sz w:val="24"/>
                <w:szCs w:val="24"/>
              </w:rPr>
              <w:t>200</w:t>
            </w:r>
          </w:p>
        </w:tc>
        <w:tc>
          <w:tcPr>
            <w:tcW w:w="1747" w:type="dxa"/>
            <w:vAlign w:val="top"/>
          </w:tcPr>
          <w:p>
            <w:pPr>
              <w:spacing w:before="123" w:line="181" w:lineRule="auto"/>
              <w:ind w:left="703"/>
              <w:rPr>
                <w:rFonts w:ascii="SimSun" w:eastAsia="SimSun" w:hAnsi="SimSun" w:cs="SimSun"/>
                <w:sz w:val="24"/>
                <w:szCs w:val="24"/>
              </w:rPr>
            </w:pPr>
            <w:r>
              <w:rPr>
                <w:rFonts w:ascii="SimSun" w:eastAsia="SimSun" w:hAnsi="SimSun" w:cs="SimSun"/>
                <w:spacing w:val="-3"/>
                <w:sz w:val="24"/>
                <w:szCs w:val="24"/>
              </w:rPr>
              <w:t>200</w:t>
            </w:r>
          </w:p>
        </w:tc>
      </w:tr>
      <w:tr>
        <w:tblPrEx>
          <w:tblW w:w="8528" w:type="dxa"/>
          <w:tblInd w:w="2" w:type="dxa"/>
          <w:tblLayout w:type="fixed"/>
        </w:tblPrEx>
        <w:trPr>
          <w:trHeight w:val="402"/>
        </w:trPr>
        <w:tc>
          <w:tcPr>
            <w:tcW w:w="688" w:type="dxa"/>
            <w:vMerge/>
            <w:tcBorders>
              <w:top w:val="nil"/>
            </w:tcBorders>
            <w:vAlign w:val="top"/>
          </w:tcPr>
          <w:p>
            <w:pPr>
              <w:rPr>
                <w:rFonts w:ascii="Arial"/>
                <w:sz w:val="21"/>
              </w:rPr>
            </w:pPr>
          </w:p>
        </w:tc>
        <w:tc>
          <w:tcPr>
            <w:tcW w:w="717" w:type="dxa"/>
            <w:vMerge/>
            <w:tcBorders>
              <w:top w:val="nil"/>
            </w:tcBorders>
            <w:vAlign w:val="top"/>
          </w:tcPr>
          <w:p>
            <w:pPr>
              <w:rPr>
                <w:rFonts w:ascii="Arial"/>
                <w:sz w:val="21"/>
              </w:rPr>
            </w:pPr>
          </w:p>
        </w:tc>
        <w:tc>
          <w:tcPr>
            <w:tcW w:w="718" w:type="dxa"/>
            <w:vAlign w:val="top"/>
          </w:tcPr>
          <w:p>
            <w:pPr>
              <w:spacing w:before="83" w:line="220" w:lineRule="auto"/>
              <w:ind w:left="126"/>
              <w:rPr>
                <w:rFonts w:ascii="SimSun" w:eastAsia="SimSun" w:hAnsi="SimSun" w:cs="SimSun"/>
                <w:sz w:val="24"/>
                <w:szCs w:val="24"/>
              </w:rPr>
            </w:pPr>
            <w:r>
              <w:rPr>
                <w:rFonts w:ascii="SimSun" w:eastAsia="SimSun" w:hAnsi="SimSun" w:cs="SimSun"/>
                <w:spacing w:val="-3"/>
                <w:sz w:val="24"/>
                <w:szCs w:val="24"/>
              </w:rPr>
              <w:t>其他</w:t>
            </w:r>
          </w:p>
        </w:tc>
        <w:tc>
          <w:tcPr>
            <w:tcW w:w="1506" w:type="dxa"/>
            <w:vAlign w:val="top"/>
          </w:tcPr>
          <w:p>
            <w:pPr>
              <w:spacing w:before="123" w:line="181" w:lineRule="auto"/>
              <w:ind w:left="644"/>
              <w:rPr>
                <w:rFonts w:ascii="SimSun" w:eastAsia="SimSun" w:hAnsi="SimSun" w:cs="SimSun"/>
                <w:sz w:val="24"/>
                <w:szCs w:val="24"/>
              </w:rPr>
            </w:pPr>
            <w:r>
              <w:rPr>
                <w:rFonts w:ascii="SimSun" w:eastAsia="SimSun" w:hAnsi="SimSun" w:cs="SimSun"/>
                <w:spacing w:val="-4"/>
                <w:sz w:val="24"/>
                <w:szCs w:val="24"/>
              </w:rPr>
              <w:t>50</w:t>
            </w:r>
          </w:p>
        </w:tc>
        <w:tc>
          <w:tcPr>
            <w:tcW w:w="1461" w:type="dxa"/>
            <w:vAlign w:val="top"/>
          </w:tcPr>
          <w:p>
            <w:pPr>
              <w:spacing w:before="123" w:line="181" w:lineRule="auto"/>
              <w:ind w:left="621"/>
              <w:rPr>
                <w:rFonts w:ascii="SimSun" w:eastAsia="SimSun" w:hAnsi="SimSun" w:cs="SimSun"/>
                <w:sz w:val="24"/>
                <w:szCs w:val="24"/>
              </w:rPr>
            </w:pPr>
            <w:r>
              <w:rPr>
                <w:rFonts w:ascii="SimSun" w:eastAsia="SimSun" w:hAnsi="SimSun" w:cs="SimSun"/>
                <w:spacing w:val="-4"/>
                <w:sz w:val="24"/>
                <w:szCs w:val="24"/>
              </w:rPr>
              <w:t>50</w:t>
            </w:r>
          </w:p>
        </w:tc>
        <w:tc>
          <w:tcPr>
            <w:tcW w:w="1691" w:type="dxa"/>
            <w:vAlign w:val="top"/>
          </w:tcPr>
          <w:p>
            <w:pPr>
              <w:spacing w:before="122" w:line="182" w:lineRule="auto"/>
              <w:ind w:left="690"/>
              <w:rPr>
                <w:rFonts w:ascii="SimSun" w:eastAsia="SimSun" w:hAnsi="SimSun" w:cs="SimSun"/>
                <w:sz w:val="24"/>
                <w:szCs w:val="24"/>
              </w:rPr>
            </w:pPr>
            <w:r>
              <w:rPr>
                <w:rFonts w:ascii="SimSun" w:eastAsia="SimSun" w:hAnsi="SimSun" w:cs="SimSun"/>
                <w:spacing w:val="-7"/>
                <w:sz w:val="24"/>
                <w:szCs w:val="24"/>
              </w:rPr>
              <w:t>100</w:t>
            </w:r>
          </w:p>
        </w:tc>
        <w:tc>
          <w:tcPr>
            <w:tcW w:w="1747" w:type="dxa"/>
            <w:vAlign w:val="top"/>
          </w:tcPr>
          <w:p>
            <w:pPr>
              <w:spacing w:before="122" w:line="182" w:lineRule="auto"/>
              <w:ind w:left="718"/>
              <w:rPr>
                <w:rFonts w:ascii="SimSun" w:eastAsia="SimSun" w:hAnsi="SimSun" w:cs="SimSun"/>
                <w:sz w:val="24"/>
                <w:szCs w:val="24"/>
              </w:rPr>
            </w:pPr>
            <w:r>
              <w:rPr>
                <w:rFonts w:ascii="SimSun" w:eastAsia="SimSun" w:hAnsi="SimSun" w:cs="SimSun"/>
                <w:spacing w:val="-7"/>
                <w:sz w:val="24"/>
                <w:szCs w:val="24"/>
              </w:rPr>
              <w:t>100</w:t>
            </w:r>
          </w:p>
        </w:tc>
      </w:tr>
      <w:tr>
        <w:tblPrEx>
          <w:tblW w:w="8528" w:type="dxa"/>
          <w:tblInd w:w="2" w:type="dxa"/>
          <w:tblLayout w:type="fixed"/>
        </w:tblPrEx>
        <w:trPr>
          <w:trHeight w:val="400"/>
        </w:trPr>
        <w:tc>
          <w:tcPr>
            <w:tcW w:w="688" w:type="dxa"/>
            <w:vAlign w:val="top"/>
          </w:tcPr>
          <w:p>
            <w:pPr>
              <w:spacing w:before="123" w:line="180" w:lineRule="auto"/>
              <w:ind w:left="295"/>
              <w:rPr>
                <w:rFonts w:ascii="SimSun" w:eastAsia="SimSun" w:hAnsi="SimSun" w:cs="SimSun"/>
                <w:sz w:val="24"/>
                <w:szCs w:val="24"/>
              </w:rPr>
            </w:pPr>
            <w:r>
              <w:rPr>
                <w:rFonts w:ascii="SimSun" w:eastAsia="SimSun" w:hAnsi="SimSun" w:cs="SimSun"/>
                <w:sz w:val="24"/>
                <w:szCs w:val="24"/>
              </w:rPr>
              <w:t>7</w:t>
            </w:r>
          </w:p>
        </w:tc>
        <w:tc>
          <w:tcPr>
            <w:tcW w:w="1435" w:type="dxa"/>
            <w:gridSpan w:val="2"/>
            <w:vAlign w:val="top"/>
          </w:tcPr>
          <w:p>
            <w:pPr>
              <w:spacing w:before="81" w:line="220" w:lineRule="auto"/>
              <w:ind w:left="601"/>
              <w:rPr>
                <w:rFonts w:ascii="SimSun" w:eastAsia="SimSun" w:hAnsi="SimSun" w:cs="SimSun"/>
                <w:sz w:val="24"/>
                <w:szCs w:val="24"/>
              </w:rPr>
            </w:pPr>
            <w:r>
              <w:rPr>
                <w:rFonts w:ascii="SimSun" w:eastAsia="SimSun" w:hAnsi="SimSun" w:cs="SimSun"/>
                <w:sz w:val="24"/>
                <w:szCs w:val="24"/>
              </w:rPr>
              <w:t>镍</w:t>
            </w:r>
          </w:p>
        </w:tc>
        <w:tc>
          <w:tcPr>
            <w:tcW w:w="1506" w:type="dxa"/>
            <w:vAlign w:val="top"/>
          </w:tcPr>
          <w:p>
            <w:pPr>
              <w:spacing w:before="122" w:line="181" w:lineRule="auto"/>
              <w:ind w:left="641"/>
              <w:rPr>
                <w:rFonts w:ascii="SimSun" w:eastAsia="SimSun" w:hAnsi="SimSun" w:cs="SimSun"/>
                <w:sz w:val="24"/>
                <w:szCs w:val="24"/>
              </w:rPr>
            </w:pPr>
            <w:r>
              <w:rPr>
                <w:rFonts w:ascii="SimSun" w:eastAsia="SimSun" w:hAnsi="SimSun" w:cs="SimSun"/>
                <w:spacing w:val="-3"/>
                <w:sz w:val="24"/>
                <w:szCs w:val="24"/>
              </w:rPr>
              <w:t>60</w:t>
            </w:r>
          </w:p>
        </w:tc>
        <w:tc>
          <w:tcPr>
            <w:tcW w:w="1461" w:type="dxa"/>
            <w:vAlign w:val="top"/>
          </w:tcPr>
          <w:p>
            <w:pPr>
              <w:spacing w:before="122" w:line="181" w:lineRule="auto"/>
              <w:ind w:left="622"/>
              <w:rPr>
                <w:rFonts w:ascii="SimSun" w:eastAsia="SimSun" w:hAnsi="SimSun" w:cs="SimSun"/>
                <w:sz w:val="24"/>
                <w:szCs w:val="24"/>
              </w:rPr>
            </w:pPr>
            <w:r>
              <w:rPr>
                <w:rFonts w:ascii="SimSun" w:eastAsia="SimSun" w:hAnsi="SimSun" w:cs="SimSun"/>
                <w:spacing w:val="-4"/>
                <w:sz w:val="24"/>
                <w:szCs w:val="24"/>
              </w:rPr>
              <w:t>70</w:t>
            </w:r>
          </w:p>
        </w:tc>
        <w:tc>
          <w:tcPr>
            <w:tcW w:w="1691" w:type="dxa"/>
            <w:vAlign w:val="top"/>
          </w:tcPr>
          <w:p>
            <w:pPr>
              <w:spacing w:before="120" w:line="182" w:lineRule="auto"/>
              <w:ind w:left="690"/>
              <w:rPr>
                <w:rFonts w:ascii="SimSun" w:eastAsia="SimSun" w:hAnsi="SimSun" w:cs="SimSun"/>
                <w:sz w:val="24"/>
                <w:szCs w:val="24"/>
              </w:rPr>
            </w:pPr>
            <w:r>
              <w:rPr>
                <w:rFonts w:ascii="SimSun" w:eastAsia="SimSun" w:hAnsi="SimSun" w:cs="SimSun"/>
                <w:spacing w:val="-7"/>
                <w:sz w:val="24"/>
                <w:szCs w:val="24"/>
              </w:rPr>
              <w:t>100</w:t>
            </w:r>
          </w:p>
        </w:tc>
        <w:tc>
          <w:tcPr>
            <w:tcW w:w="1747" w:type="dxa"/>
            <w:vAlign w:val="top"/>
          </w:tcPr>
          <w:p>
            <w:pPr>
              <w:spacing w:before="120" w:line="182" w:lineRule="auto"/>
              <w:ind w:left="718"/>
              <w:rPr>
                <w:rFonts w:ascii="SimSun" w:eastAsia="SimSun" w:hAnsi="SimSun" w:cs="SimSun"/>
                <w:sz w:val="24"/>
                <w:szCs w:val="24"/>
              </w:rPr>
            </w:pPr>
            <w:r>
              <w:rPr>
                <w:rFonts w:ascii="SimSun" w:eastAsia="SimSun" w:hAnsi="SimSun" w:cs="SimSun"/>
                <w:spacing w:val="-7"/>
                <w:sz w:val="24"/>
                <w:szCs w:val="24"/>
              </w:rPr>
              <w:t>190</w:t>
            </w:r>
          </w:p>
        </w:tc>
      </w:tr>
      <w:tr>
        <w:tblPrEx>
          <w:tblW w:w="8528" w:type="dxa"/>
          <w:tblInd w:w="2" w:type="dxa"/>
          <w:tblLayout w:type="fixed"/>
        </w:tblPrEx>
        <w:trPr>
          <w:trHeight w:val="403"/>
        </w:trPr>
        <w:tc>
          <w:tcPr>
            <w:tcW w:w="688" w:type="dxa"/>
            <w:vAlign w:val="top"/>
          </w:tcPr>
          <w:p>
            <w:pPr>
              <w:spacing w:before="125" w:line="181" w:lineRule="auto"/>
              <w:ind w:left="290"/>
              <w:rPr>
                <w:rFonts w:ascii="SimSun" w:eastAsia="SimSun" w:hAnsi="SimSun" w:cs="SimSun"/>
                <w:sz w:val="24"/>
                <w:szCs w:val="24"/>
              </w:rPr>
            </w:pPr>
            <w:r>
              <w:rPr>
                <w:rFonts w:ascii="SimSun" w:eastAsia="SimSun" w:hAnsi="SimSun" w:cs="SimSun"/>
                <w:sz w:val="24"/>
                <w:szCs w:val="24"/>
              </w:rPr>
              <w:t>8</w:t>
            </w:r>
          </w:p>
        </w:tc>
        <w:tc>
          <w:tcPr>
            <w:tcW w:w="1435" w:type="dxa"/>
            <w:gridSpan w:val="2"/>
            <w:vAlign w:val="top"/>
          </w:tcPr>
          <w:p>
            <w:pPr>
              <w:spacing w:before="84" w:line="220" w:lineRule="auto"/>
              <w:ind w:left="601"/>
              <w:rPr>
                <w:rFonts w:ascii="SimSun" w:eastAsia="SimSun" w:hAnsi="SimSun" w:cs="SimSun"/>
                <w:sz w:val="24"/>
                <w:szCs w:val="24"/>
              </w:rPr>
            </w:pPr>
            <w:r>
              <w:rPr>
                <w:rFonts w:ascii="SimSun" w:eastAsia="SimSun" w:hAnsi="SimSun" w:cs="SimSun"/>
                <w:sz w:val="24"/>
                <w:szCs w:val="24"/>
              </w:rPr>
              <w:t>锌</w:t>
            </w:r>
          </w:p>
        </w:tc>
        <w:tc>
          <w:tcPr>
            <w:tcW w:w="1506" w:type="dxa"/>
            <w:vAlign w:val="top"/>
          </w:tcPr>
          <w:p>
            <w:pPr>
              <w:spacing w:before="82" w:line="181" w:lineRule="auto"/>
              <w:ind w:left="582"/>
              <w:rPr>
                <w:rFonts w:ascii="SimSun" w:eastAsia="SimSun" w:hAnsi="SimSun" w:cs="SimSun"/>
                <w:sz w:val="24"/>
                <w:szCs w:val="24"/>
              </w:rPr>
            </w:pPr>
            <w:r>
              <w:rPr>
                <w:rFonts w:ascii="SimSun" w:eastAsia="SimSun" w:hAnsi="SimSun" w:cs="SimSun"/>
                <w:spacing w:val="-3"/>
                <w:sz w:val="24"/>
                <w:szCs w:val="24"/>
              </w:rPr>
              <w:t>200</w:t>
            </w:r>
          </w:p>
        </w:tc>
        <w:tc>
          <w:tcPr>
            <w:tcW w:w="1461" w:type="dxa"/>
            <w:vAlign w:val="top"/>
          </w:tcPr>
          <w:p>
            <w:pPr>
              <w:spacing w:before="82" w:line="181" w:lineRule="auto"/>
              <w:ind w:left="559"/>
              <w:rPr>
                <w:rFonts w:ascii="SimSun" w:eastAsia="SimSun" w:hAnsi="SimSun" w:cs="SimSun"/>
                <w:sz w:val="24"/>
                <w:szCs w:val="24"/>
              </w:rPr>
            </w:pPr>
            <w:r>
              <w:rPr>
                <w:rFonts w:ascii="SimSun" w:eastAsia="SimSun" w:hAnsi="SimSun" w:cs="SimSun"/>
                <w:spacing w:val="-3"/>
                <w:sz w:val="24"/>
                <w:szCs w:val="24"/>
              </w:rPr>
              <w:t>200</w:t>
            </w:r>
          </w:p>
        </w:tc>
        <w:tc>
          <w:tcPr>
            <w:tcW w:w="1691" w:type="dxa"/>
            <w:vAlign w:val="top"/>
          </w:tcPr>
          <w:p>
            <w:pPr>
              <w:spacing w:before="82" w:line="181" w:lineRule="auto"/>
              <w:ind w:left="675"/>
              <w:rPr>
                <w:rFonts w:ascii="SimSun" w:eastAsia="SimSun" w:hAnsi="SimSun" w:cs="SimSun"/>
                <w:sz w:val="24"/>
                <w:szCs w:val="24"/>
              </w:rPr>
            </w:pPr>
            <w:r>
              <w:rPr>
                <w:rFonts w:ascii="SimSun" w:eastAsia="SimSun" w:hAnsi="SimSun" w:cs="SimSun"/>
                <w:spacing w:val="-3"/>
                <w:sz w:val="24"/>
                <w:szCs w:val="24"/>
              </w:rPr>
              <w:t>250</w:t>
            </w:r>
          </w:p>
        </w:tc>
        <w:tc>
          <w:tcPr>
            <w:tcW w:w="1747" w:type="dxa"/>
            <w:vAlign w:val="top"/>
          </w:tcPr>
          <w:p>
            <w:pPr>
              <w:spacing w:before="125" w:line="181" w:lineRule="auto"/>
              <w:ind w:left="705"/>
              <w:rPr>
                <w:rFonts w:ascii="SimSun" w:eastAsia="SimSun" w:hAnsi="SimSun" w:cs="SimSun"/>
                <w:sz w:val="24"/>
                <w:szCs w:val="24"/>
              </w:rPr>
            </w:pPr>
            <w:r>
              <w:rPr>
                <w:rFonts w:ascii="SimSun" w:eastAsia="SimSun" w:hAnsi="SimSun" w:cs="SimSun"/>
                <w:spacing w:val="-4"/>
                <w:sz w:val="24"/>
                <w:szCs w:val="24"/>
              </w:rPr>
              <w:t>300</w:t>
            </w:r>
          </w:p>
        </w:tc>
      </w:tr>
      <w:tr>
        <w:tblPrEx>
          <w:tblW w:w="8528" w:type="dxa"/>
          <w:tblInd w:w="2" w:type="dxa"/>
          <w:tblLayout w:type="fixed"/>
        </w:tblPrEx>
        <w:trPr>
          <w:trHeight w:val="489"/>
        </w:trPr>
        <w:tc>
          <w:tcPr>
            <w:tcW w:w="8528" w:type="dxa"/>
            <w:gridSpan w:val="7"/>
            <w:vAlign w:val="top"/>
          </w:tcPr>
          <w:p>
            <w:pPr>
              <w:spacing w:line="177" w:lineRule="auto"/>
              <w:ind w:left="116"/>
              <w:rPr>
                <w:rFonts w:ascii="SimSun" w:eastAsia="SimSun" w:hAnsi="SimSun" w:cs="SimSun"/>
                <w:sz w:val="24"/>
                <w:szCs w:val="24"/>
              </w:rPr>
            </w:pPr>
            <w:r>
              <w:rPr>
                <w:rFonts w:ascii="SimSun" w:eastAsia="SimSun" w:hAnsi="SimSun" w:cs="SimSun"/>
                <w:spacing w:val="-5"/>
                <w:sz w:val="21"/>
                <w:szCs w:val="21"/>
              </w:rPr>
              <w:t>注：</w:t>
            </w:r>
            <w:r>
              <w:rPr>
                <w:rFonts w:ascii="SimSun" w:eastAsia="SimSun" w:hAnsi="SimSun" w:cs="SimSun"/>
                <w:spacing w:val="86"/>
                <w:sz w:val="21"/>
                <w:szCs w:val="21"/>
              </w:rPr>
              <w:t xml:space="preserve"> </w:t>
            </w:r>
            <w:r>
              <w:rPr>
                <w:rFonts w:ascii="SimSun" w:eastAsia="SimSun" w:hAnsi="SimSun" w:cs="SimSun"/>
                <w:spacing w:val="-5"/>
                <w:sz w:val="24"/>
                <w:szCs w:val="24"/>
              </w:rPr>
              <w:t>①重金属和类金属砷均按元素总量计。</w:t>
            </w:r>
          </w:p>
          <w:p>
            <w:pPr>
              <w:spacing w:line="190" w:lineRule="auto"/>
              <w:ind w:left="595"/>
              <w:rPr>
                <w:rFonts w:ascii="SimSun" w:eastAsia="SimSun" w:hAnsi="SimSun" w:cs="SimSun"/>
                <w:sz w:val="24"/>
                <w:szCs w:val="24"/>
              </w:rPr>
            </w:pPr>
            <w:r>
              <w:rPr>
                <w:rFonts w:ascii="SimSun" w:eastAsia="SimSun" w:hAnsi="SimSun" w:cs="SimSun"/>
                <w:spacing w:val="-2"/>
                <w:sz w:val="24"/>
                <w:szCs w:val="24"/>
              </w:rPr>
              <w:t>②对于水旱轮作地，采用其中较严格的风险筛选值。</w:t>
            </w:r>
          </w:p>
        </w:tc>
      </w:tr>
    </w:tbl>
    <w:p>
      <w:pPr>
        <w:spacing w:line="258" w:lineRule="auto"/>
        <w:rPr>
          <w:rFonts w:ascii="Arial"/>
          <w:sz w:val="21"/>
        </w:rPr>
      </w:pPr>
    </w:p>
    <w:p>
      <w:pPr>
        <w:spacing w:line="258" w:lineRule="auto"/>
        <w:rPr>
          <w:rFonts w:ascii="Arial"/>
          <w:sz w:val="21"/>
        </w:rPr>
      </w:pPr>
    </w:p>
    <w:p>
      <w:pPr>
        <w:pStyle w:val="BodyText"/>
        <w:spacing w:before="78" w:line="220" w:lineRule="auto"/>
        <w:ind w:left="2564"/>
      </w:pPr>
      <w:r>
        <w:rPr>
          <w:spacing w:val="-2"/>
        </w:rPr>
        <w:t>表</w:t>
      </w:r>
      <w:r>
        <w:rPr>
          <w:spacing w:val="-39"/>
        </w:rPr>
        <w:t xml:space="preserve"> </w:t>
      </w:r>
      <w:r>
        <w:rPr>
          <w:spacing w:val="-2"/>
        </w:rPr>
        <w:t>4 农用地土壤污染风险管制值</w:t>
      </w:r>
    </w:p>
    <w:p>
      <w:pPr>
        <w:pStyle w:val="BodyText"/>
        <w:spacing w:before="185" w:line="212" w:lineRule="auto"/>
        <w:ind w:left="7111"/>
      </w:pPr>
      <w:r>
        <w:rPr>
          <w:spacing w:val="-15"/>
        </w:rPr>
        <w:t>单位： mg/kg</w:t>
      </w:r>
    </w:p>
    <w:tbl>
      <w:tblPr>
        <w:tblStyle w:val="TableNormal5"/>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1386"/>
        <w:gridCol w:w="1634"/>
        <w:gridCol w:w="1632"/>
        <w:gridCol w:w="1633"/>
        <w:gridCol w:w="1639"/>
      </w:tblGrid>
      <w:tr>
        <w:tblPrEx>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604" w:type="dxa"/>
            <w:vMerge w:val="restart"/>
            <w:tcBorders>
              <w:bottom w:val="nil"/>
            </w:tcBorders>
            <w:textDirection w:val="tbRlV"/>
            <w:vAlign w:val="top"/>
          </w:tcPr>
          <w:p>
            <w:pPr>
              <w:spacing w:before="179" w:line="210" w:lineRule="auto"/>
              <w:ind w:left="132"/>
              <w:rPr>
                <w:rFonts w:ascii="SimSun" w:eastAsia="SimSun" w:hAnsi="SimSun" w:cs="SimSun"/>
                <w:sz w:val="24"/>
                <w:szCs w:val="24"/>
              </w:rPr>
            </w:pPr>
            <w:r>
              <w:rPr>
                <w:rFonts w:ascii="SimSun" w:eastAsia="SimSun" w:hAnsi="SimSun" w:cs="SimSun"/>
                <w:sz w:val="24"/>
                <w:szCs w:val="24"/>
              </w:rPr>
              <w:t>序</w:t>
            </w:r>
            <w:r>
              <w:rPr>
                <w:rFonts w:ascii="SimSun" w:eastAsia="SimSun" w:hAnsi="SimSun" w:cs="SimSun"/>
                <w:spacing w:val="-48"/>
                <w:sz w:val="24"/>
                <w:szCs w:val="24"/>
              </w:rPr>
              <w:t xml:space="preserve"> </w:t>
            </w:r>
            <w:r>
              <w:rPr>
                <w:rFonts w:ascii="SimSun" w:eastAsia="SimSun" w:hAnsi="SimSun" w:cs="SimSun"/>
                <w:sz w:val="24"/>
                <w:szCs w:val="24"/>
              </w:rPr>
              <w:t>号</w:t>
            </w:r>
          </w:p>
        </w:tc>
        <w:tc>
          <w:tcPr>
            <w:tcW w:w="1386" w:type="dxa"/>
            <w:vMerge w:val="restart"/>
            <w:tcBorders>
              <w:bottom w:val="nil"/>
            </w:tcBorders>
            <w:vAlign w:val="top"/>
          </w:tcPr>
          <w:p>
            <w:pPr>
              <w:spacing w:before="135" w:line="241" w:lineRule="auto"/>
              <w:ind w:left="623" w:right="211" w:hanging="403"/>
              <w:rPr>
                <w:rFonts w:ascii="SimSun" w:eastAsia="SimSun" w:hAnsi="SimSun" w:cs="SimSun"/>
                <w:sz w:val="24"/>
                <w:szCs w:val="24"/>
              </w:rPr>
            </w:pPr>
            <w:r>
              <w:rPr>
                <w:rFonts w:ascii="SimSun" w:eastAsia="SimSun" w:hAnsi="SimSun" w:cs="SimSun"/>
                <w:spacing w:val="-3"/>
                <w:sz w:val="24"/>
                <w:szCs w:val="24"/>
              </w:rPr>
              <w:t>污染物项</w:t>
            </w:r>
            <w:r>
              <w:rPr>
                <w:rFonts w:ascii="SimSun" w:eastAsia="SimSun" w:hAnsi="SimSun" w:cs="SimSun"/>
                <w:sz w:val="24"/>
                <w:szCs w:val="24"/>
              </w:rPr>
              <w:t xml:space="preserve"> </w:t>
            </w:r>
            <w:r>
              <w:rPr>
                <w:rFonts w:ascii="SimSun" w:eastAsia="SimSun" w:hAnsi="SimSun" w:cs="SimSun"/>
                <w:sz w:val="24"/>
                <w:szCs w:val="24"/>
              </w:rPr>
              <w:t>目</w:t>
            </w:r>
          </w:p>
        </w:tc>
        <w:tc>
          <w:tcPr>
            <w:tcW w:w="6538" w:type="dxa"/>
            <w:gridSpan w:val="4"/>
            <w:vAlign w:val="top"/>
          </w:tcPr>
          <w:p>
            <w:pPr>
              <w:spacing w:before="71" w:line="220" w:lineRule="auto"/>
              <w:ind w:left="2674"/>
              <w:rPr>
                <w:rFonts w:ascii="SimSun" w:eastAsia="SimSun" w:hAnsi="SimSun" w:cs="SimSun"/>
                <w:sz w:val="24"/>
                <w:szCs w:val="24"/>
              </w:rPr>
            </w:pPr>
            <w:r>
              <w:rPr>
                <w:rFonts w:ascii="SimSun" w:eastAsia="SimSun" w:hAnsi="SimSun" w:cs="SimSun"/>
                <w:spacing w:val="-2"/>
                <w:sz w:val="24"/>
                <w:szCs w:val="24"/>
              </w:rPr>
              <w:t>风险管制值</w:t>
            </w:r>
          </w:p>
        </w:tc>
      </w:tr>
      <w:tr>
        <w:tblPrEx>
          <w:tblW w:w="8528" w:type="dxa"/>
          <w:tblInd w:w="2" w:type="dxa"/>
          <w:tblLayout w:type="fixed"/>
        </w:tblPrEx>
        <w:trPr>
          <w:trHeight w:val="400"/>
        </w:trPr>
        <w:tc>
          <w:tcPr>
            <w:tcW w:w="604" w:type="dxa"/>
            <w:vMerge/>
            <w:tcBorders>
              <w:top w:val="nil"/>
            </w:tcBorders>
            <w:textDirection w:val="tbRlV"/>
            <w:vAlign w:val="top"/>
          </w:tcPr>
          <w:p>
            <w:pPr>
              <w:rPr>
                <w:rFonts w:ascii="Arial"/>
                <w:sz w:val="21"/>
              </w:rPr>
            </w:pPr>
          </w:p>
        </w:tc>
        <w:tc>
          <w:tcPr>
            <w:tcW w:w="1386" w:type="dxa"/>
            <w:vMerge/>
            <w:tcBorders>
              <w:top w:val="nil"/>
            </w:tcBorders>
            <w:vAlign w:val="top"/>
          </w:tcPr>
          <w:p>
            <w:pPr>
              <w:rPr>
                <w:rFonts w:ascii="Arial"/>
                <w:sz w:val="21"/>
              </w:rPr>
            </w:pPr>
          </w:p>
        </w:tc>
        <w:tc>
          <w:tcPr>
            <w:tcW w:w="1634" w:type="dxa"/>
            <w:vAlign w:val="top"/>
          </w:tcPr>
          <w:p>
            <w:pPr>
              <w:spacing w:before="37" w:line="214" w:lineRule="auto"/>
              <w:ind w:left="400"/>
              <w:rPr>
                <w:rFonts w:ascii="SimSun" w:eastAsia="SimSun" w:hAnsi="SimSun" w:cs="SimSun"/>
                <w:sz w:val="24"/>
                <w:szCs w:val="24"/>
              </w:rPr>
            </w:pPr>
            <w:r>
              <w:rPr>
                <w:rFonts w:ascii="SimSun" w:eastAsia="SimSun" w:hAnsi="SimSun" w:cs="SimSun"/>
                <w:spacing w:val="-2"/>
                <w:sz w:val="24"/>
                <w:szCs w:val="24"/>
              </w:rPr>
              <w:t>pH≤5.5</w:t>
            </w:r>
          </w:p>
        </w:tc>
        <w:tc>
          <w:tcPr>
            <w:tcW w:w="1632" w:type="dxa"/>
            <w:vAlign w:val="top"/>
          </w:tcPr>
          <w:p>
            <w:pPr>
              <w:spacing w:before="80" w:line="214" w:lineRule="auto"/>
              <w:ind w:left="168"/>
              <w:rPr>
                <w:rFonts w:ascii="SimSun" w:eastAsia="SimSun" w:hAnsi="SimSun" w:cs="SimSun"/>
                <w:sz w:val="24"/>
                <w:szCs w:val="24"/>
              </w:rPr>
            </w:pPr>
            <w:r>
              <w:rPr>
                <w:rFonts w:ascii="SimSun" w:eastAsia="SimSun" w:hAnsi="SimSun" w:cs="SimSun"/>
                <w:spacing w:val="-2"/>
                <w:sz w:val="24"/>
                <w:szCs w:val="24"/>
              </w:rPr>
              <w:t>5.5&lt;pH≤6.5</w:t>
            </w:r>
          </w:p>
        </w:tc>
        <w:tc>
          <w:tcPr>
            <w:tcW w:w="1633" w:type="dxa"/>
            <w:vAlign w:val="top"/>
          </w:tcPr>
          <w:p>
            <w:pPr>
              <w:spacing w:before="80" w:line="214" w:lineRule="auto"/>
              <w:ind w:left="117"/>
              <w:rPr>
                <w:rFonts w:ascii="SimSun" w:eastAsia="SimSun" w:hAnsi="SimSun" w:cs="SimSun"/>
                <w:sz w:val="24"/>
                <w:szCs w:val="24"/>
              </w:rPr>
            </w:pPr>
            <w:r>
              <w:rPr>
                <w:rFonts w:ascii="SimSun" w:eastAsia="SimSun" w:hAnsi="SimSun" w:cs="SimSun"/>
                <w:spacing w:val="-2"/>
                <w:sz w:val="24"/>
                <w:szCs w:val="24"/>
              </w:rPr>
              <w:t>6.5&lt;</w:t>
            </w:r>
            <w:r>
              <w:rPr>
                <w:rFonts w:ascii="SimSun" w:eastAsia="SimSun" w:hAnsi="SimSun" w:cs="SimSun"/>
                <w:spacing w:val="-17"/>
                <w:sz w:val="24"/>
                <w:szCs w:val="24"/>
              </w:rPr>
              <w:t xml:space="preserve"> </w:t>
            </w:r>
            <w:r>
              <w:rPr>
                <w:rFonts w:ascii="SimSun" w:eastAsia="SimSun" w:hAnsi="SimSun" w:cs="SimSun"/>
                <w:spacing w:val="-2"/>
                <w:sz w:val="24"/>
                <w:szCs w:val="24"/>
              </w:rPr>
              <w:t>pH≤7.5</w:t>
            </w:r>
          </w:p>
        </w:tc>
        <w:tc>
          <w:tcPr>
            <w:tcW w:w="1639" w:type="dxa"/>
            <w:vAlign w:val="top"/>
          </w:tcPr>
          <w:p>
            <w:pPr>
              <w:spacing w:before="116" w:line="184" w:lineRule="auto"/>
              <w:ind w:left="462"/>
              <w:rPr>
                <w:rFonts w:ascii="SimSun" w:eastAsia="SimSun" w:hAnsi="SimSun" w:cs="SimSun"/>
                <w:sz w:val="24"/>
                <w:szCs w:val="24"/>
              </w:rPr>
            </w:pPr>
            <w:r>
              <w:rPr>
                <w:rFonts w:ascii="SimSun" w:eastAsia="SimSun" w:hAnsi="SimSun" w:cs="SimSun"/>
                <w:spacing w:val="-2"/>
                <w:sz w:val="24"/>
                <w:szCs w:val="24"/>
              </w:rPr>
              <w:t>pH&gt;7.5</w:t>
            </w:r>
          </w:p>
        </w:tc>
      </w:tr>
      <w:tr>
        <w:tblPrEx>
          <w:tblW w:w="8528" w:type="dxa"/>
          <w:tblInd w:w="2" w:type="dxa"/>
          <w:tblLayout w:type="fixed"/>
        </w:tblPrEx>
        <w:trPr>
          <w:trHeight w:val="402"/>
        </w:trPr>
        <w:tc>
          <w:tcPr>
            <w:tcW w:w="604" w:type="dxa"/>
            <w:vAlign w:val="top"/>
          </w:tcPr>
          <w:p>
            <w:pPr>
              <w:spacing w:before="119" w:line="182" w:lineRule="auto"/>
              <w:ind w:left="266"/>
              <w:rPr>
                <w:rFonts w:ascii="SimSun" w:eastAsia="SimSun" w:hAnsi="SimSun" w:cs="SimSun"/>
                <w:sz w:val="24"/>
                <w:szCs w:val="24"/>
              </w:rPr>
            </w:pPr>
            <w:r>
              <w:rPr>
                <w:rFonts w:ascii="SimSun" w:eastAsia="SimSun" w:hAnsi="SimSun" w:cs="SimSun"/>
                <w:sz w:val="24"/>
                <w:szCs w:val="24"/>
              </w:rPr>
              <w:t>1</w:t>
            </w:r>
          </w:p>
        </w:tc>
        <w:tc>
          <w:tcPr>
            <w:tcW w:w="1386" w:type="dxa"/>
            <w:vAlign w:val="top"/>
          </w:tcPr>
          <w:p>
            <w:pPr>
              <w:spacing w:before="81" w:line="222" w:lineRule="auto"/>
              <w:ind w:left="636"/>
              <w:rPr>
                <w:rFonts w:ascii="SimSun" w:eastAsia="SimSun" w:hAnsi="SimSun" w:cs="SimSun"/>
                <w:sz w:val="24"/>
                <w:szCs w:val="24"/>
              </w:rPr>
            </w:pPr>
            <w:r>
              <w:rPr>
                <w:rFonts w:ascii="SimSun" w:eastAsia="SimSun" w:hAnsi="SimSun" w:cs="SimSun"/>
                <w:sz w:val="24"/>
                <w:szCs w:val="24"/>
              </w:rPr>
              <w:t>镉</w:t>
            </w:r>
          </w:p>
        </w:tc>
        <w:tc>
          <w:tcPr>
            <w:tcW w:w="1634" w:type="dxa"/>
            <w:vAlign w:val="top"/>
          </w:tcPr>
          <w:p>
            <w:pPr>
              <w:spacing w:before="119" w:line="182" w:lineRule="auto"/>
              <w:ind w:left="660"/>
              <w:rPr>
                <w:rFonts w:ascii="SimSun" w:eastAsia="SimSun" w:hAnsi="SimSun" w:cs="SimSun"/>
                <w:sz w:val="24"/>
                <w:szCs w:val="24"/>
              </w:rPr>
            </w:pPr>
            <w:r>
              <w:rPr>
                <w:rFonts w:ascii="SimSun" w:eastAsia="SimSun" w:hAnsi="SimSun" w:cs="SimSun"/>
                <w:spacing w:val="-7"/>
                <w:sz w:val="24"/>
                <w:szCs w:val="24"/>
              </w:rPr>
              <w:t>1.5</w:t>
            </w:r>
          </w:p>
        </w:tc>
        <w:tc>
          <w:tcPr>
            <w:tcW w:w="1632" w:type="dxa"/>
            <w:vAlign w:val="top"/>
          </w:tcPr>
          <w:p>
            <w:pPr>
              <w:spacing w:before="121" w:line="181" w:lineRule="auto"/>
              <w:ind w:left="646"/>
              <w:rPr>
                <w:rFonts w:ascii="SimSun" w:eastAsia="SimSun" w:hAnsi="SimSun" w:cs="SimSun"/>
                <w:sz w:val="24"/>
                <w:szCs w:val="24"/>
              </w:rPr>
            </w:pPr>
            <w:r>
              <w:rPr>
                <w:rFonts w:ascii="SimSun" w:eastAsia="SimSun" w:hAnsi="SimSun" w:cs="SimSun"/>
                <w:spacing w:val="-3"/>
                <w:sz w:val="24"/>
                <w:szCs w:val="24"/>
              </w:rPr>
              <w:t>2.0</w:t>
            </w:r>
          </w:p>
        </w:tc>
        <w:tc>
          <w:tcPr>
            <w:tcW w:w="1633" w:type="dxa"/>
            <w:vAlign w:val="top"/>
          </w:tcPr>
          <w:p>
            <w:pPr>
              <w:spacing w:before="121" w:line="181" w:lineRule="auto"/>
              <w:ind w:left="648"/>
              <w:rPr>
                <w:rFonts w:ascii="SimSun" w:eastAsia="SimSun" w:hAnsi="SimSun" w:cs="SimSun"/>
                <w:sz w:val="24"/>
                <w:szCs w:val="24"/>
              </w:rPr>
            </w:pPr>
            <w:r>
              <w:rPr>
                <w:rFonts w:ascii="SimSun" w:eastAsia="SimSun" w:hAnsi="SimSun" w:cs="SimSun"/>
                <w:spacing w:val="-4"/>
                <w:sz w:val="24"/>
                <w:szCs w:val="24"/>
              </w:rPr>
              <w:t>3.0</w:t>
            </w:r>
          </w:p>
        </w:tc>
        <w:tc>
          <w:tcPr>
            <w:tcW w:w="1639" w:type="dxa"/>
            <w:vAlign w:val="top"/>
          </w:tcPr>
          <w:p>
            <w:pPr>
              <w:spacing w:before="121" w:line="181" w:lineRule="auto"/>
              <w:ind w:left="644"/>
              <w:rPr>
                <w:rFonts w:ascii="SimSun" w:eastAsia="SimSun" w:hAnsi="SimSun" w:cs="SimSun"/>
                <w:sz w:val="24"/>
                <w:szCs w:val="24"/>
              </w:rPr>
            </w:pPr>
            <w:r>
              <w:rPr>
                <w:rFonts w:ascii="SimSun" w:eastAsia="SimSun" w:hAnsi="SimSun" w:cs="SimSun"/>
                <w:spacing w:val="-2"/>
                <w:sz w:val="24"/>
                <w:szCs w:val="24"/>
              </w:rPr>
              <w:t>4.0</w:t>
            </w:r>
          </w:p>
        </w:tc>
      </w:tr>
      <w:tr>
        <w:tblPrEx>
          <w:tblW w:w="8528" w:type="dxa"/>
          <w:tblInd w:w="2" w:type="dxa"/>
          <w:tblLayout w:type="fixed"/>
        </w:tblPrEx>
        <w:trPr>
          <w:trHeight w:val="400"/>
        </w:trPr>
        <w:tc>
          <w:tcPr>
            <w:tcW w:w="604" w:type="dxa"/>
            <w:vAlign w:val="top"/>
          </w:tcPr>
          <w:p>
            <w:pPr>
              <w:spacing w:before="122" w:line="181" w:lineRule="auto"/>
              <w:ind w:left="252"/>
              <w:rPr>
                <w:rFonts w:ascii="SimSun" w:eastAsia="SimSun" w:hAnsi="SimSun" w:cs="SimSun"/>
                <w:sz w:val="24"/>
                <w:szCs w:val="24"/>
              </w:rPr>
            </w:pPr>
            <w:r>
              <w:rPr>
                <w:rFonts w:ascii="SimSun" w:eastAsia="SimSun" w:hAnsi="SimSun" w:cs="SimSun"/>
                <w:sz w:val="24"/>
                <w:szCs w:val="24"/>
              </w:rPr>
              <w:t>2</w:t>
            </w:r>
          </w:p>
        </w:tc>
        <w:tc>
          <w:tcPr>
            <w:tcW w:w="1386" w:type="dxa"/>
            <w:vAlign w:val="top"/>
          </w:tcPr>
          <w:p>
            <w:pPr>
              <w:spacing w:before="81" w:line="220" w:lineRule="auto"/>
              <w:ind w:left="639"/>
              <w:rPr>
                <w:rFonts w:ascii="SimSun" w:eastAsia="SimSun" w:hAnsi="SimSun" w:cs="SimSun"/>
                <w:sz w:val="24"/>
                <w:szCs w:val="24"/>
              </w:rPr>
            </w:pPr>
            <w:r>
              <w:rPr>
                <w:rFonts w:ascii="SimSun" w:eastAsia="SimSun" w:hAnsi="SimSun" w:cs="SimSun"/>
                <w:sz w:val="24"/>
                <w:szCs w:val="24"/>
              </w:rPr>
              <w:t>汞</w:t>
            </w:r>
          </w:p>
        </w:tc>
        <w:tc>
          <w:tcPr>
            <w:tcW w:w="1634" w:type="dxa"/>
            <w:vAlign w:val="top"/>
          </w:tcPr>
          <w:p>
            <w:pPr>
              <w:spacing w:before="122" w:line="181" w:lineRule="auto"/>
              <w:ind w:left="645"/>
              <w:rPr>
                <w:rFonts w:ascii="SimSun" w:eastAsia="SimSun" w:hAnsi="SimSun" w:cs="SimSun"/>
                <w:sz w:val="24"/>
                <w:szCs w:val="24"/>
              </w:rPr>
            </w:pPr>
            <w:r>
              <w:rPr>
                <w:rFonts w:ascii="SimSun" w:eastAsia="SimSun" w:hAnsi="SimSun" w:cs="SimSun"/>
                <w:spacing w:val="-3"/>
                <w:sz w:val="24"/>
                <w:szCs w:val="24"/>
              </w:rPr>
              <w:t>2.0</w:t>
            </w:r>
          </w:p>
        </w:tc>
        <w:tc>
          <w:tcPr>
            <w:tcW w:w="1632" w:type="dxa"/>
            <w:vAlign w:val="top"/>
          </w:tcPr>
          <w:p>
            <w:pPr>
              <w:spacing w:before="122" w:line="181" w:lineRule="auto"/>
              <w:ind w:left="646"/>
              <w:rPr>
                <w:rFonts w:ascii="SimSun" w:eastAsia="SimSun" w:hAnsi="SimSun" w:cs="SimSun"/>
                <w:sz w:val="24"/>
                <w:szCs w:val="24"/>
              </w:rPr>
            </w:pPr>
            <w:r>
              <w:rPr>
                <w:rFonts w:ascii="SimSun" w:eastAsia="SimSun" w:hAnsi="SimSun" w:cs="SimSun"/>
                <w:spacing w:val="-3"/>
                <w:sz w:val="24"/>
                <w:szCs w:val="24"/>
              </w:rPr>
              <w:t>2.5</w:t>
            </w:r>
          </w:p>
        </w:tc>
        <w:tc>
          <w:tcPr>
            <w:tcW w:w="1633" w:type="dxa"/>
            <w:vAlign w:val="top"/>
          </w:tcPr>
          <w:p>
            <w:pPr>
              <w:spacing w:before="122" w:line="181" w:lineRule="auto"/>
              <w:ind w:left="642"/>
              <w:rPr>
                <w:rFonts w:ascii="SimSun" w:eastAsia="SimSun" w:hAnsi="SimSun" w:cs="SimSun"/>
                <w:sz w:val="24"/>
                <w:szCs w:val="24"/>
              </w:rPr>
            </w:pPr>
            <w:r>
              <w:rPr>
                <w:rFonts w:ascii="SimSun" w:eastAsia="SimSun" w:hAnsi="SimSun" w:cs="SimSun"/>
                <w:spacing w:val="-2"/>
                <w:sz w:val="24"/>
                <w:szCs w:val="24"/>
              </w:rPr>
              <w:t>4.0</w:t>
            </w:r>
          </w:p>
        </w:tc>
        <w:tc>
          <w:tcPr>
            <w:tcW w:w="1639" w:type="dxa"/>
            <w:vAlign w:val="top"/>
          </w:tcPr>
          <w:p>
            <w:pPr>
              <w:spacing w:before="122" w:line="181" w:lineRule="auto"/>
              <w:ind w:left="647"/>
              <w:rPr>
                <w:rFonts w:ascii="SimSun" w:eastAsia="SimSun" w:hAnsi="SimSun" w:cs="SimSun"/>
                <w:sz w:val="24"/>
                <w:szCs w:val="24"/>
              </w:rPr>
            </w:pPr>
            <w:r>
              <w:rPr>
                <w:rFonts w:ascii="SimSun" w:eastAsia="SimSun" w:hAnsi="SimSun" w:cs="SimSun"/>
                <w:spacing w:val="-3"/>
                <w:sz w:val="24"/>
                <w:szCs w:val="24"/>
              </w:rPr>
              <w:t>6.0</w:t>
            </w:r>
          </w:p>
        </w:tc>
      </w:tr>
      <w:tr>
        <w:tblPrEx>
          <w:tblW w:w="8528" w:type="dxa"/>
          <w:tblInd w:w="2" w:type="dxa"/>
          <w:tblLayout w:type="fixed"/>
        </w:tblPrEx>
        <w:trPr>
          <w:trHeight w:val="402"/>
        </w:trPr>
        <w:tc>
          <w:tcPr>
            <w:tcW w:w="604" w:type="dxa"/>
            <w:vAlign w:val="top"/>
          </w:tcPr>
          <w:p>
            <w:pPr>
              <w:spacing w:before="122" w:line="181" w:lineRule="auto"/>
              <w:ind w:left="253"/>
              <w:rPr>
                <w:rFonts w:ascii="SimSun" w:eastAsia="SimSun" w:hAnsi="SimSun" w:cs="SimSun"/>
                <w:sz w:val="24"/>
                <w:szCs w:val="24"/>
              </w:rPr>
            </w:pPr>
            <w:r>
              <w:rPr>
                <w:rFonts w:ascii="SimSun" w:eastAsia="SimSun" w:hAnsi="SimSun" w:cs="SimSun"/>
                <w:sz w:val="24"/>
                <w:szCs w:val="24"/>
              </w:rPr>
              <w:t>3</w:t>
            </w:r>
          </w:p>
        </w:tc>
        <w:tc>
          <w:tcPr>
            <w:tcW w:w="1386" w:type="dxa"/>
            <w:vAlign w:val="top"/>
          </w:tcPr>
          <w:p>
            <w:pPr>
              <w:spacing w:before="82" w:line="220" w:lineRule="auto"/>
              <w:ind w:left="637"/>
              <w:rPr>
                <w:rFonts w:ascii="SimSun" w:eastAsia="SimSun" w:hAnsi="SimSun" w:cs="SimSun"/>
                <w:sz w:val="24"/>
                <w:szCs w:val="24"/>
              </w:rPr>
            </w:pPr>
            <w:r>
              <w:rPr>
                <w:rFonts w:ascii="SimSun" w:eastAsia="SimSun" w:hAnsi="SimSun" w:cs="SimSun"/>
                <w:sz w:val="24"/>
                <w:szCs w:val="24"/>
              </w:rPr>
              <w:t>砷</w:t>
            </w:r>
          </w:p>
        </w:tc>
        <w:tc>
          <w:tcPr>
            <w:tcW w:w="1634" w:type="dxa"/>
            <w:vAlign w:val="top"/>
          </w:tcPr>
          <w:p>
            <w:pPr>
              <w:spacing w:before="122" w:line="181" w:lineRule="auto"/>
              <w:ind w:left="645"/>
              <w:rPr>
                <w:rFonts w:ascii="SimSun" w:eastAsia="SimSun" w:hAnsi="SimSun" w:cs="SimSun"/>
                <w:sz w:val="24"/>
                <w:szCs w:val="24"/>
              </w:rPr>
            </w:pPr>
            <w:r>
              <w:rPr>
                <w:rFonts w:ascii="SimSun" w:eastAsia="SimSun" w:hAnsi="SimSun" w:cs="SimSun"/>
                <w:spacing w:val="-3"/>
                <w:sz w:val="24"/>
                <w:szCs w:val="24"/>
              </w:rPr>
              <w:t>200</w:t>
            </w:r>
          </w:p>
        </w:tc>
        <w:tc>
          <w:tcPr>
            <w:tcW w:w="1632" w:type="dxa"/>
            <w:vAlign w:val="top"/>
          </w:tcPr>
          <w:p>
            <w:pPr>
              <w:spacing w:before="121" w:line="182" w:lineRule="auto"/>
              <w:ind w:left="661"/>
              <w:rPr>
                <w:rFonts w:ascii="SimSun" w:eastAsia="SimSun" w:hAnsi="SimSun" w:cs="SimSun"/>
                <w:sz w:val="24"/>
                <w:szCs w:val="24"/>
              </w:rPr>
            </w:pPr>
            <w:r>
              <w:rPr>
                <w:rFonts w:ascii="SimSun" w:eastAsia="SimSun" w:hAnsi="SimSun" w:cs="SimSun"/>
                <w:spacing w:val="-7"/>
                <w:sz w:val="24"/>
                <w:szCs w:val="24"/>
              </w:rPr>
              <w:t>150</w:t>
            </w:r>
          </w:p>
        </w:tc>
        <w:tc>
          <w:tcPr>
            <w:tcW w:w="1633" w:type="dxa"/>
            <w:vAlign w:val="top"/>
          </w:tcPr>
          <w:p>
            <w:pPr>
              <w:spacing w:before="121" w:line="182" w:lineRule="auto"/>
              <w:ind w:left="661"/>
              <w:rPr>
                <w:rFonts w:ascii="SimSun" w:eastAsia="SimSun" w:hAnsi="SimSun" w:cs="SimSun"/>
                <w:sz w:val="24"/>
                <w:szCs w:val="24"/>
              </w:rPr>
            </w:pPr>
            <w:r>
              <w:rPr>
                <w:rFonts w:ascii="SimSun" w:eastAsia="SimSun" w:hAnsi="SimSun" w:cs="SimSun"/>
                <w:spacing w:val="-7"/>
                <w:sz w:val="24"/>
                <w:szCs w:val="24"/>
              </w:rPr>
              <w:t>120</w:t>
            </w:r>
          </w:p>
        </w:tc>
        <w:tc>
          <w:tcPr>
            <w:tcW w:w="1639" w:type="dxa"/>
            <w:vAlign w:val="top"/>
          </w:tcPr>
          <w:p>
            <w:pPr>
              <w:spacing w:before="121" w:line="182" w:lineRule="auto"/>
              <w:ind w:left="663"/>
              <w:rPr>
                <w:rFonts w:ascii="SimSun" w:eastAsia="SimSun" w:hAnsi="SimSun" w:cs="SimSun"/>
                <w:sz w:val="24"/>
                <w:szCs w:val="24"/>
              </w:rPr>
            </w:pPr>
            <w:r>
              <w:rPr>
                <w:rFonts w:ascii="SimSun" w:eastAsia="SimSun" w:hAnsi="SimSun" w:cs="SimSun"/>
                <w:spacing w:val="-7"/>
                <w:sz w:val="24"/>
                <w:szCs w:val="24"/>
              </w:rPr>
              <w:t>100</w:t>
            </w:r>
          </w:p>
        </w:tc>
      </w:tr>
      <w:tr>
        <w:tblPrEx>
          <w:tblW w:w="8528" w:type="dxa"/>
          <w:tblInd w:w="2" w:type="dxa"/>
          <w:tblLayout w:type="fixed"/>
        </w:tblPrEx>
        <w:trPr>
          <w:trHeight w:val="403"/>
        </w:trPr>
        <w:tc>
          <w:tcPr>
            <w:tcW w:w="604" w:type="dxa"/>
            <w:vAlign w:val="top"/>
          </w:tcPr>
          <w:p>
            <w:pPr>
              <w:spacing w:before="124" w:line="181" w:lineRule="auto"/>
              <w:ind w:left="248"/>
              <w:rPr>
                <w:rFonts w:ascii="SimSun" w:eastAsia="SimSun" w:hAnsi="SimSun" w:cs="SimSun"/>
                <w:sz w:val="24"/>
                <w:szCs w:val="24"/>
              </w:rPr>
            </w:pPr>
            <w:r>
              <w:rPr>
                <w:rFonts w:ascii="SimSun" w:eastAsia="SimSun" w:hAnsi="SimSun" w:cs="SimSun"/>
                <w:sz w:val="24"/>
                <w:szCs w:val="24"/>
              </w:rPr>
              <w:t>4</w:t>
            </w:r>
          </w:p>
        </w:tc>
        <w:tc>
          <w:tcPr>
            <w:tcW w:w="1386" w:type="dxa"/>
            <w:vAlign w:val="top"/>
          </w:tcPr>
          <w:p>
            <w:pPr>
              <w:spacing w:before="83" w:line="224" w:lineRule="auto"/>
              <w:ind w:left="638"/>
              <w:rPr>
                <w:rFonts w:ascii="SimSun" w:eastAsia="SimSun" w:hAnsi="SimSun" w:cs="SimSun"/>
                <w:sz w:val="24"/>
                <w:szCs w:val="24"/>
              </w:rPr>
            </w:pPr>
            <w:r>
              <w:rPr>
                <w:rFonts w:ascii="SimSun" w:eastAsia="SimSun" w:hAnsi="SimSun" w:cs="SimSun"/>
                <w:sz w:val="24"/>
                <w:szCs w:val="24"/>
              </w:rPr>
              <w:t>铅</w:t>
            </w:r>
          </w:p>
        </w:tc>
        <w:tc>
          <w:tcPr>
            <w:tcW w:w="1634" w:type="dxa"/>
            <w:vAlign w:val="top"/>
          </w:tcPr>
          <w:p>
            <w:pPr>
              <w:spacing w:before="124" w:line="181" w:lineRule="auto"/>
              <w:ind w:left="641"/>
              <w:rPr>
                <w:rFonts w:ascii="SimSun" w:eastAsia="SimSun" w:hAnsi="SimSun" w:cs="SimSun"/>
                <w:sz w:val="24"/>
                <w:szCs w:val="24"/>
              </w:rPr>
            </w:pPr>
            <w:r>
              <w:rPr>
                <w:rFonts w:ascii="SimSun" w:eastAsia="SimSun" w:hAnsi="SimSun" w:cs="SimSun"/>
                <w:spacing w:val="-2"/>
                <w:sz w:val="24"/>
                <w:szCs w:val="24"/>
              </w:rPr>
              <w:t>400</w:t>
            </w:r>
          </w:p>
        </w:tc>
        <w:tc>
          <w:tcPr>
            <w:tcW w:w="1632" w:type="dxa"/>
            <w:vAlign w:val="top"/>
          </w:tcPr>
          <w:p>
            <w:pPr>
              <w:spacing w:before="124" w:line="181" w:lineRule="auto"/>
              <w:ind w:left="648"/>
              <w:rPr>
                <w:rFonts w:ascii="SimSun" w:eastAsia="SimSun" w:hAnsi="SimSun" w:cs="SimSun"/>
                <w:sz w:val="24"/>
                <w:szCs w:val="24"/>
              </w:rPr>
            </w:pPr>
            <w:r>
              <w:rPr>
                <w:rFonts w:ascii="SimSun" w:eastAsia="SimSun" w:hAnsi="SimSun" w:cs="SimSun"/>
                <w:spacing w:val="-4"/>
                <w:sz w:val="24"/>
                <w:szCs w:val="24"/>
              </w:rPr>
              <w:t>500</w:t>
            </w:r>
          </w:p>
        </w:tc>
        <w:tc>
          <w:tcPr>
            <w:tcW w:w="1633" w:type="dxa"/>
            <w:vAlign w:val="top"/>
          </w:tcPr>
          <w:p>
            <w:pPr>
              <w:spacing w:before="124" w:line="181" w:lineRule="auto"/>
              <w:ind w:left="649"/>
              <w:rPr>
                <w:rFonts w:ascii="SimSun" w:eastAsia="SimSun" w:hAnsi="SimSun" w:cs="SimSun"/>
                <w:sz w:val="24"/>
                <w:szCs w:val="24"/>
              </w:rPr>
            </w:pPr>
            <w:r>
              <w:rPr>
                <w:rFonts w:ascii="SimSun" w:eastAsia="SimSun" w:hAnsi="SimSun" w:cs="SimSun"/>
                <w:spacing w:val="-4"/>
                <w:sz w:val="24"/>
                <w:szCs w:val="24"/>
              </w:rPr>
              <w:t>700</w:t>
            </w:r>
          </w:p>
        </w:tc>
        <w:tc>
          <w:tcPr>
            <w:tcW w:w="1639" w:type="dxa"/>
            <w:vAlign w:val="top"/>
          </w:tcPr>
          <w:p>
            <w:pPr>
              <w:spacing w:before="123" w:line="182" w:lineRule="auto"/>
              <w:ind w:left="603"/>
              <w:rPr>
                <w:rFonts w:ascii="SimSun" w:eastAsia="SimSun" w:hAnsi="SimSun" w:cs="SimSun"/>
                <w:sz w:val="24"/>
                <w:szCs w:val="24"/>
              </w:rPr>
            </w:pPr>
            <w:r>
              <w:rPr>
                <w:rFonts w:ascii="SimSun" w:eastAsia="SimSun" w:hAnsi="SimSun" w:cs="SimSun"/>
                <w:spacing w:val="-6"/>
                <w:sz w:val="24"/>
                <w:szCs w:val="24"/>
              </w:rPr>
              <w:t>1000</w:t>
            </w:r>
          </w:p>
        </w:tc>
      </w:tr>
    </w:tbl>
    <w:p>
      <w:pPr>
        <w:sectPr>
          <w:footerReference w:type="default" r:id="rId27"/>
          <w:pgSz w:w="11907" w:h="16839"/>
          <w:pgMar w:top="1431" w:right="1685" w:bottom="1357" w:left="1687" w:header="0" w:footer="1197" w:gutter="0"/>
          <w:pgNumType w:start="24"/>
          <w:cols w:space="708"/>
        </w:sectPr>
      </w:pPr>
    </w:p>
    <w:tbl>
      <w:tblPr>
        <w:tblStyle w:val="TableNormal6"/>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1386"/>
        <w:gridCol w:w="1634"/>
        <w:gridCol w:w="1632"/>
        <w:gridCol w:w="1633"/>
        <w:gridCol w:w="1639"/>
      </w:tblGrid>
      <w:tr>
        <w:tblPrEx>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604" w:type="dxa"/>
            <w:vAlign w:val="top"/>
          </w:tcPr>
          <w:p>
            <w:pPr>
              <w:spacing w:before="123" w:line="180" w:lineRule="auto"/>
              <w:ind w:left="253"/>
              <w:rPr>
                <w:rFonts w:ascii="SimSun" w:eastAsia="SimSun" w:hAnsi="SimSun" w:cs="SimSun"/>
                <w:sz w:val="24"/>
                <w:szCs w:val="24"/>
              </w:rPr>
            </w:pPr>
            <w:r>
              <w:rPr>
                <w:rFonts w:ascii="SimSun" w:eastAsia="SimSun" w:hAnsi="SimSun" w:cs="SimSun"/>
                <w:sz w:val="24"/>
                <w:szCs w:val="24"/>
              </w:rPr>
              <w:t>5</w:t>
            </w:r>
          </w:p>
        </w:tc>
        <w:tc>
          <w:tcPr>
            <w:tcW w:w="1386" w:type="dxa"/>
            <w:vAlign w:val="top"/>
          </w:tcPr>
          <w:p>
            <w:pPr>
              <w:spacing w:before="81" w:line="222" w:lineRule="auto"/>
              <w:ind w:left="637"/>
              <w:rPr>
                <w:rFonts w:ascii="SimSun" w:eastAsia="SimSun" w:hAnsi="SimSun" w:cs="SimSun"/>
                <w:sz w:val="24"/>
                <w:szCs w:val="24"/>
              </w:rPr>
            </w:pPr>
            <w:r>
              <w:rPr>
                <w:rFonts w:ascii="SimSun" w:eastAsia="SimSun" w:hAnsi="SimSun" w:cs="SimSun"/>
                <w:sz w:val="24"/>
                <w:szCs w:val="24"/>
              </w:rPr>
              <w:t>铬</w:t>
            </w:r>
          </w:p>
        </w:tc>
        <w:tc>
          <w:tcPr>
            <w:tcW w:w="1634" w:type="dxa"/>
            <w:vAlign w:val="top"/>
          </w:tcPr>
          <w:p>
            <w:pPr>
              <w:spacing w:before="122" w:line="181" w:lineRule="auto"/>
              <w:ind w:left="643"/>
              <w:rPr>
                <w:rFonts w:ascii="SimSun" w:eastAsia="SimSun" w:hAnsi="SimSun" w:cs="SimSun"/>
                <w:sz w:val="24"/>
                <w:szCs w:val="24"/>
              </w:rPr>
            </w:pPr>
            <w:r>
              <w:rPr>
                <w:rFonts w:ascii="SimSun" w:eastAsia="SimSun" w:hAnsi="SimSun" w:cs="SimSun"/>
                <w:spacing w:val="-3"/>
                <w:sz w:val="24"/>
                <w:szCs w:val="24"/>
              </w:rPr>
              <w:t>800</w:t>
            </w:r>
          </w:p>
        </w:tc>
        <w:tc>
          <w:tcPr>
            <w:tcW w:w="1632" w:type="dxa"/>
            <w:vAlign w:val="top"/>
          </w:tcPr>
          <w:p>
            <w:pPr>
              <w:spacing w:before="122" w:line="181" w:lineRule="auto"/>
              <w:ind w:left="644"/>
              <w:rPr>
                <w:rFonts w:ascii="SimSun" w:eastAsia="SimSun" w:hAnsi="SimSun" w:cs="SimSun"/>
                <w:sz w:val="24"/>
                <w:szCs w:val="24"/>
              </w:rPr>
            </w:pPr>
            <w:r>
              <w:rPr>
                <w:rFonts w:ascii="SimSun" w:eastAsia="SimSun" w:hAnsi="SimSun" w:cs="SimSun"/>
                <w:spacing w:val="-3"/>
                <w:sz w:val="24"/>
                <w:szCs w:val="24"/>
              </w:rPr>
              <w:t>850</w:t>
            </w:r>
          </w:p>
        </w:tc>
        <w:tc>
          <w:tcPr>
            <w:tcW w:w="1633" w:type="dxa"/>
            <w:vAlign w:val="top"/>
          </w:tcPr>
          <w:p>
            <w:pPr>
              <w:spacing w:before="120" w:line="182" w:lineRule="auto"/>
              <w:ind w:left="601"/>
              <w:rPr>
                <w:rFonts w:ascii="SimSun" w:eastAsia="SimSun" w:hAnsi="SimSun" w:cs="SimSun"/>
                <w:sz w:val="24"/>
                <w:szCs w:val="24"/>
              </w:rPr>
            </w:pPr>
            <w:r>
              <w:rPr>
                <w:rFonts w:ascii="SimSun" w:eastAsia="SimSun" w:hAnsi="SimSun" w:cs="SimSun"/>
                <w:spacing w:val="-6"/>
                <w:sz w:val="24"/>
                <w:szCs w:val="24"/>
              </w:rPr>
              <w:t>1000</w:t>
            </w:r>
          </w:p>
        </w:tc>
        <w:tc>
          <w:tcPr>
            <w:tcW w:w="1639" w:type="dxa"/>
            <w:vAlign w:val="top"/>
          </w:tcPr>
          <w:p>
            <w:pPr>
              <w:spacing w:before="120" w:line="182" w:lineRule="auto"/>
              <w:ind w:left="603"/>
              <w:rPr>
                <w:rFonts w:ascii="SimSun" w:eastAsia="SimSun" w:hAnsi="SimSun" w:cs="SimSun"/>
                <w:sz w:val="24"/>
                <w:szCs w:val="24"/>
              </w:rPr>
            </w:pPr>
            <w:r>
              <w:rPr>
                <w:rFonts w:ascii="SimSun" w:eastAsia="SimSun" w:hAnsi="SimSun" w:cs="SimSun"/>
                <w:spacing w:val="-6"/>
                <w:sz w:val="24"/>
                <w:szCs w:val="24"/>
              </w:rPr>
              <w:t>1300</w:t>
            </w:r>
          </w:p>
        </w:tc>
      </w:tr>
    </w:tbl>
    <w:p>
      <w:pPr>
        <w:spacing w:line="394" w:lineRule="auto"/>
        <w:rPr>
          <w:rFonts w:ascii="Arial"/>
          <w:sz w:val="21"/>
        </w:rPr>
      </w:pPr>
    </w:p>
    <w:p>
      <w:pPr>
        <w:pStyle w:val="BodyText"/>
        <w:spacing w:before="78" w:line="220" w:lineRule="auto"/>
        <w:ind w:left="128"/>
      </w:pPr>
      <w:r>
        <w:rPr>
          <w:b/>
          <w:bCs/>
          <w:spacing w:val="-4"/>
        </w:rPr>
        <w:t>（2）土壤环境质量</w:t>
      </w:r>
      <w:r>
        <w:rPr>
          <w:spacing w:val="-4"/>
        </w:rPr>
        <w:t xml:space="preserve"> </w:t>
      </w:r>
      <w:r>
        <w:rPr>
          <w:b/>
          <w:bCs/>
          <w:spacing w:val="-4"/>
        </w:rPr>
        <w:t>建设用地土壤污染风险管控标准（试行</w:t>
      </w:r>
      <w:r>
        <w:rPr>
          <w:b/>
          <w:bCs/>
          <w:spacing w:val="-64"/>
        </w:rPr>
        <w:t>）（</w:t>
      </w:r>
      <w:r>
        <w:rPr>
          <w:b/>
          <w:bCs/>
          <w:spacing w:val="-4"/>
        </w:rPr>
        <w:t>GB</w:t>
      </w:r>
      <w:r>
        <w:rPr>
          <w:spacing w:val="-45"/>
        </w:rPr>
        <w:t xml:space="preserve"> </w:t>
      </w:r>
      <w:r>
        <w:rPr>
          <w:b/>
          <w:bCs/>
          <w:spacing w:val="-4"/>
        </w:rPr>
        <w:t>36600-2018）</w:t>
      </w:r>
    </w:p>
    <w:p>
      <w:pPr>
        <w:pStyle w:val="BodyText"/>
        <w:spacing w:before="182" w:line="360" w:lineRule="auto"/>
        <w:ind w:left="123" w:right="114" w:firstLine="479"/>
        <w:jc w:val="both"/>
      </w:pPr>
      <w:r>
        <w:rPr>
          <w:spacing w:val="-7"/>
        </w:rPr>
        <w:t>标准规定了保护人体健康的建设用地土壤污染风险筛选值和管制值， 以及监</w:t>
      </w:r>
      <w:r>
        <w:rPr>
          <w:spacing w:val="13"/>
        </w:rPr>
        <w:t xml:space="preserve"> </w:t>
      </w:r>
      <w:r>
        <w:rPr>
          <w:spacing w:val="-3"/>
        </w:rPr>
        <w:t>测、实施与监督要求。标准适用于建设用地土壤污染风险筛查和风险管制。标准</w:t>
      </w:r>
    </w:p>
    <w:p>
      <w:pPr>
        <w:pStyle w:val="BodyText"/>
        <w:spacing w:before="1" w:line="218" w:lineRule="auto"/>
        <w:jc w:val="right"/>
      </w:pPr>
      <w:r>
        <w:rPr>
          <w:spacing w:val="-1"/>
        </w:rPr>
        <w:t>共规定了</w:t>
      </w:r>
      <w:r>
        <w:rPr>
          <w:spacing w:val="-43"/>
        </w:rPr>
        <w:t xml:space="preserve"> </w:t>
      </w:r>
      <w:r>
        <w:rPr>
          <w:spacing w:val="-1"/>
        </w:rPr>
        <w:t>7</w:t>
      </w:r>
      <w:r>
        <w:rPr>
          <w:spacing w:val="-48"/>
        </w:rPr>
        <w:t xml:space="preserve"> </w:t>
      </w:r>
      <w:r>
        <w:rPr>
          <w:spacing w:val="-1"/>
        </w:rPr>
        <w:t>种基本项目和</w:t>
      </w:r>
      <w:r>
        <w:rPr>
          <w:spacing w:val="-43"/>
        </w:rPr>
        <w:t xml:space="preserve"> </w:t>
      </w:r>
      <w:r>
        <w:rPr>
          <w:spacing w:val="-1"/>
        </w:rPr>
        <w:t>3</w:t>
      </w:r>
      <w:r>
        <w:rPr>
          <w:spacing w:val="-48"/>
        </w:rPr>
        <w:t xml:space="preserve"> </w:t>
      </w:r>
      <w:r>
        <w:rPr>
          <w:spacing w:val="-1"/>
        </w:rPr>
        <w:t>种其他项目重金属的风险筛选值和管控值，见表</w:t>
      </w:r>
      <w:r>
        <w:rPr>
          <w:spacing w:val="-43"/>
        </w:rPr>
        <w:t xml:space="preserve"> </w:t>
      </w:r>
      <w:r>
        <w:rPr>
          <w:spacing w:val="-2"/>
        </w:rPr>
        <w:t>5。</w:t>
      </w:r>
    </w:p>
    <w:p>
      <w:pPr>
        <w:pStyle w:val="BodyText"/>
        <w:spacing w:before="260" w:line="220" w:lineRule="auto"/>
        <w:ind w:left="2233"/>
      </w:pPr>
      <w:r>
        <w:rPr>
          <w:spacing w:val="-2"/>
        </w:rPr>
        <w:t>表</w:t>
      </w:r>
      <w:r>
        <w:rPr>
          <w:spacing w:val="-43"/>
        </w:rPr>
        <w:t xml:space="preserve"> </w:t>
      </w:r>
      <w:r>
        <w:rPr>
          <w:spacing w:val="-2"/>
        </w:rPr>
        <w:t>5</w:t>
      </w:r>
      <w:r>
        <w:rPr>
          <w:spacing w:val="-48"/>
        </w:rPr>
        <w:t xml:space="preserve"> </w:t>
      </w:r>
      <w:r>
        <w:rPr>
          <w:spacing w:val="-2"/>
        </w:rPr>
        <w:t>建设用地土壤污染风险筛选值和管制值</w:t>
      </w:r>
    </w:p>
    <w:p>
      <w:pPr>
        <w:pStyle w:val="BodyText"/>
        <w:spacing w:before="26" w:line="214" w:lineRule="auto"/>
        <w:ind w:left="7111"/>
      </w:pPr>
      <w:r>
        <w:rPr>
          <w:spacing w:val="-15"/>
        </w:rPr>
        <w:t>单位： mg/kg</w:t>
      </w:r>
    </w:p>
    <w:p>
      <w:pPr>
        <w:spacing w:line="214" w:lineRule="auto"/>
        <w:sectPr>
          <w:footerReference w:type="default" r:id="rId28"/>
          <w:type w:val="nextPage"/>
          <w:pgSz w:w="11907" w:h="16839"/>
          <w:pgMar w:top="1431" w:right="1685" w:bottom="1357" w:left="1687" w:header="0" w:footer="1197" w:gutter="0"/>
          <w:pgNumType w:start="25"/>
          <w:cols w:space="708"/>
          <w:titlePg w:val="0"/>
        </w:sectPr>
      </w:pPr>
    </w:p>
    <w:p>
      <w:pPr>
        <w:spacing w:line="91" w:lineRule="auto"/>
        <w:rPr>
          <w:rFonts w:ascii="Arial"/>
          <w:sz w:val="2"/>
        </w:rPr>
      </w:pPr>
    </w:p>
    <w:tbl>
      <w:tblPr>
        <w:tblStyle w:val="TableNormal7"/>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44"/>
        <w:gridCol w:w="2075"/>
        <w:gridCol w:w="1363"/>
        <w:gridCol w:w="1058"/>
        <w:gridCol w:w="1060"/>
        <w:gridCol w:w="1008"/>
        <w:gridCol w:w="1118"/>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6"/>
        </w:trPr>
        <w:tc>
          <w:tcPr>
            <w:tcW w:w="844" w:type="dxa"/>
            <w:vMerge w:val="restart"/>
            <w:tcBorders>
              <w:bottom w:val="nil"/>
            </w:tcBorders>
            <w:vAlign w:val="top"/>
          </w:tcPr>
          <w:p>
            <w:pPr>
              <w:spacing w:line="340" w:lineRule="auto"/>
              <w:rPr>
                <w:rFonts w:ascii="Arial"/>
                <w:sz w:val="21"/>
              </w:rPr>
            </w:pPr>
          </w:p>
          <w:p>
            <w:pPr>
              <w:spacing w:before="78" w:line="221" w:lineRule="auto"/>
              <w:ind w:left="188"/>
              <w:rPr>
                <w:rFonts w:ascii="SimSun" w:eastAsia="SimSun" w:hAnsi="SimSun" w:cs="SimSun"/>
                <w:sz w:val="24"/>
                <w:szCs w:val="24"/>
              </w:rPr>
            </w:pPr>
            <w:r>
              <w:rPr>
                <w:rFonts w:ascii="SimSun" w:eastAsia="SimSun" w:hAnsi="SimSun" w:cs="SimSun"/>
                <w:spacing w:val="-3"/>
                <w:sz w:val="24"/>
                <w:szCs w:val="24"/>
              </w:rPr>
              <w:t>序号</w:t>
            </w:r>
          </w:p>
        </w:tc>
        <w:tc>
          <w:tcPr>
            <w:tcW w:w="2075" w:type="dxa"/>
            <w:vMerge w:val="restart"/>
            <w:tcBorders>
              <w:bottom w:val="nil"/>
            </w:tcBorders>
            <w:vAlign w:val="top"/>
          </w:tcPr>
          <w:p>
            <w:pPr>
              <w:spacing w:line="340" w:lineRule="auto"/>
              <w:rPr>
                <w:rFonts w:ascii="Arial"/>
                <w:sz w:val="21"/>
              </w:rPr>
            </w:pPr>
          </w:p>
          <w:p>
            <w:pPr>
              <w:spacing w:before="78" w:line="220" w:lineRule="auto"/>
              <w:ind w:left="443"/>
              <w:rPr>
                <w:rFonts w:ascii="SimSun" w:eastAsia="SimSun" w:hAnsi="SimSun" w:cs="SimSun"/>
                <w:sz w:val="24"/>
                <w:szCs w:val="24"/>
              </w:rPr>
            </w:pPr>
            <w:r>
              <w:rPr>
                <w:rFonts w:ascii="SimSun" w:eastAsia="SimSun" w:hAnsi="SimSun" w:cs="SimSun"/>
                <w:spacing w:val="-2"/>
                <w:sz w:val="24"/>
                <w:szCs w:val="24"/>
              </w:rPr>
              <w:t>污染物项目</w:t>
            </w:r>
          </w:p>
        </w:tc>
        <w:tc>
          <w:tcPr>
            <w:tcW w:w="1363" w:type="dxa"/>
            <w:vMerge w:val="restart"/>
            <w:tcBorders>
              <w:bottom w:val="nil"/>
            </w:tcBorders>
            <w:vAlign w:val="top"/>
          </w:tcPr>
          <w:p>
            <w:pPr>
              <w:spacing w:line="339" w:lineRule="auto"/>
              <w:rPr>
                <w:rFonts w:ascii="Arial"/>
                <w:sz w:val="21"/>
              </w:rPr>
            </w:pPr>
          </w:p>
          <w:p>
            <w:pPr>
              <w:spacing w:before="78" w:line="220" w:lineRule="auto"/>
              <w:ind w:left="237"/>
              <w:rPr>
                <w:rFonts w:ascii="SimSun" w:eastAsia="SimSun" w:hAnsi="SimSun" w:cs="SimSun"/>
                <w:sz w:val="24"/>
                <w:szCs w:val="24"/>
              </w:rPr>
            </w:pPr>
            <w:r>
              <w:rPr>
                <w:rFonts w:ascii="SimSun" w:eastAsia="SimSun" w:hAnsi="SimSun" w:cs="SimSun"/>
                <w:spacing w:val="-3"/>
                <w:sz w:val="24"/>
                <w:szCs w:val="24"/>
              </w:rPr>
              <w:t>CAS</w:t>
            </w:r>
            <w:r>
              <w:rPr>
                <w:rFonts w:ascii="SimSun" w:eastAsia="SimSun" w:hAnsi="SimSun" w:cs="SimSun"/>
                <w:spacing w:val="-48"/>
                <w:sz w:val="24"/>
                <w:szCs w:val="24"/>
              </w:rPr>
              <w:t xml:space="preserve"> </w:t>
            </w:r>
            <w:r>
              <w:rPr>
                <w:rFonts w:ascii="SimSun" w:eastAsia="SimSun" w:hAnsi="SimSun" w:cs="SimSun"/>
                <w:spacing w:val="-3"/>
                <w:sz w:val="24"/>
                <w:szCs w:val="24"/>
              </w:rPr>
              <w:t>编号</w:t>
            </w:r>
          </w:p>
        </w:tc>
        <w:tc>
          <w:tcPr>
            <w:tcW w:w="2118" w:type="dxa"/>
            <w:gridSpan w:val="2"/>
            <w:vAlign w:val="top"/>
          </w:tcPr>
          <w:p>
            <w:pPr>
              <w:spacing w:before="103" w:line="220" w:lineRule="auto"/>
              <w:ind w:left="707"/>
              <w:rPr>
                <w:rFonts w:ascii="SimSun" w:eastAsia="SimSun" w:hAnsi="SimSun" w:cs="SimSun"/>
                <w:sz w:val="24"/>
                <w:szCs w:val="24"/>
              </w:rPr>
            </w:pPr>
            <w:r>
              <w:rPr>
                <w:rFonts w:ascii="SimSun" w:eastAsia="SimSun" w:hAnsi="SimSun" w:cs="SimSun"/>
                <w:spacing w:val="-3"/>
                <w:sz w:val="24"/>
                <w:szCs w:val="24"/>
              </w:rPr>
              <w:t>筛选值</w:t>
            </w:r>
          </w:p>
        </w:tc>
        <w:tc>
          <w:tcPr>
            <w:tcW w:w="2126" w:type="dxa"/>
            <w:gridSpan w:val="2"/>
            <w:vAlign w:val="top"/>
          </w:tcPr>
          <w:p>
            <w:pPr>
              <w:spacing w:before="103" w:line="220" w:lineRule="auto"/>
              <w:ind w:left="715"/>
              <w:rPr>
                <w:rFonts w:ascii="SimSun" w:eastAsia="SimSun" w:hAnsi="SimSun" w:cs="SimSun"/>
                <w:sz w:val="24"/>
                <w:szCs w:val="24"/>
              </w:rPr>
            </w:pPr>
            <w:r>
              <w:rPr>
                <w:rFonts w:ascii="SimSun" w:eastAsia="SimSun" w:hAnsi="SimSun" w:cs="SimSun"/>
                <w:spacing w:val="-4"/>
                <w:sz w:val="24"/>
                <w:szCs w:val="24"/>
              </w:rPr>
              <w:t>管制值</w:t>
            </w:r>
          </w:p>
        </w:tc>
      </w:tr>
      <w:tr>
        <w:tblPrEx>
          <w:tblW w:w="8526" w:type="dxa"/>
          <w:tblInd w:w="2" w:type="dxa"/>
          <w:tblLayout w:type="fixed"/>
        </w:tblPrEx>
        <w:trPr>
          <w:trHeight w:val="628"/>
        </w:trPr>
        <w:tc>
          <w:tcPr>
            <w:tcW w:w="844" w:type="dxa"/>
            <w:vMerge/>
            <w:tcBorders>
              <w:top w:val="nil"/>
            </w:tcBorders>
            <w:vAlign w:val="top"/>
          </w:tcPr>
          <w:p>
            <w:pPr>
              <w:rPr>
                <w:rFonts w:ascii="Arial"/>
                <w:sz w:val="21"/>
              </w:rPr>
            </w:pPr>
          </w:p>
        </w:tc>
        <w:tc>
          <w:tcPr>
            <w:tcW w:w="2075" w:type="dxa"/>
            <w:vMerge/>
            <w:tcBorders>
              <w:top w:val="nil"/>
            </w:tcBorders>
            <w:vAlign w:val="top"/>
          </w:tcPr>
          <w:p>
            <w:pPr>
              <w:rPr>
                <w:rFonts w:ascii="Arial"/>
                <w:sz w:val="21"/>
              </w:rPr>
            </w:pPr>
          </w:p>
        </w:tc>
        <w:tc>
          <w:tcPr>
            <w:tcW w:w="1363" w:type="dxa"/>
            <w:vMerge/>
            <w:tcBorders>
              <w:top w:val="nil"/>
            </w:tcBorders>
            <w:vAlign w:val="top"/>
          </w:tcPr>
          <w:p>
            <w:pPr>
              <w:rPr>
                <w:rFonts w:ascii="Arial"/>
                <w:sz w:val="21"/>
              </w:rPr>
            </w:pPr>
          </w:p>
        </w:tc>
        <w:tc>
          <w:tcPr>
            <w:tcW w:w="1058" w:type="dxa"/>
            <w:vAlign w:val="top"/>
          </w:tcPr>
          <w:p>
            <w:pPr>
              <w:spacing w:before="35" w:line="224" w:lineRule="auto"/>
              <w:ind w:left="296" w:right="167" w:hanging="122"/>
              <w:rPr>
                <w:rFonts w:ascii="SimSun" w:eastAsia="SimSun" w:hAnsi="SimSun" w:cs="SimSun"/>
                <w:sz w:val="24"/>
                <w:szCs w:val="24"/>
              </w:rPr>
            </w:pPr>
            <w:r>
              <w:rPr>
                <w:rFonts w:ascii="SimSun" w:eastAsia="SimSun" w:hAnsi="SimSun" w:cs="SimSun"/>
                <w:spacing w:val="-4"/>
                <w:sz w:val="24"/>
                <w:szCs w:val="24"/>
              </w:rPr>
              <w:t>第一类</w:t>
            </w:r>
            <w:r>
              <w:rPr>
                <w:rFonts w:ascii="SimSun" w:eastAsia="SimSun" w:hAnsi="SimSun" w:cs="SimSun"/>
                <w:spacing w:val="1"/>
                <w:sz w:val="24"/>
                <w:szCs w:val="24"/>
              </w:rPr>
              <w:t xml:space="preserve"> </w:t>
            </w:r>
            <w:r>
              <w:rPr>
                <w:rFonts w:ascii="SimSun" w:eastAsia="SimSun" w:hAnsi="SimSun" w:cs="SimSun"/>
                <w:spacing w:val="-3"/>
                <w:sz w:val="24"/>
                <w:szCs w:val="24"/>
              </w:rPr>
              <w:t>用地</w:t>
            </w:r>
          </w:p>
        </w:tc>
        <w:tc>
          <w:tcPr>
            <w:tcW w:w="1060" w:type="dxa"/>
            <w:vAlign w:val="top"/>
          </w:tcPr>
          <w:p>
            <w:pPr>
              <w:spacing w:before="35" w:line="224" w:lineRule="auto"/>
              <w:ind w:left="299" w:right="166" w:hanging="121"/>
              <w:rPr>
                <w:rFonts w:ascii="SimSun" w:eastAsia="SimSun" w:hAnsi="SimSun" w:cs="SimSun"/>
                <w:sz w:val="24"/>
                <w:szCs w:val="24"/>
              </w:rPr>
            </w:pPr>
            <w:r>
              <w:rPr>
                <w:rFonts w:ascii="SimSun" w:eastAsia="SimSun" w:hAnsi="SimSun" w:cs="SimSun"/>
                <w:spacing w:val="-4"/>
                <w:sz w:val="24"/>
                <w:szCs w:val="24"/>
              </w:rPr>
              <w:t>第二类</w:t>
            </w:r>
            <w:r>
              <w:rPr>
                <w:rFonts w:ascii="SimSun" w:eastAsia="SimSun" w:hAnsi="SimSun" w:cs="SimSun"/>
                <w:spacing w:val="1"/>
                <w:sz w:val="24"/>
                <w:szCs w:val="24"/>
              </w:rPr>
              <w:t xml:space="preserve"> </w:t>
            </w:r>
            <w:r>
              <w:rPr>
                <w:rFonts w:ascii="SimSun" w:eastAsia="SimSun" w:hAnsi="SimSun" w:cs="SimSun"/>
                <w:spacing w:val="-3"/>
                <w:sz w:val="24"/>
                <w:szCs w:val="24"/>
              </w:rPr>
              <w:t>用地</w:t>
            </w:r>
          </w:p>
        </w:tc>
        <w:tc>
          <w:tcPr>
            <w:tcW w:w="1008" w:type="dxa"/>
            <w:vAlign w:val="top"/>
          </w:tcPr>
          <w:p>
            <w:pPr>
              <w:spacing w:before="35" w:line="224" w:lineRule="auto"/>
              <w:ind w:left="273" w:right="139" w:hanging="121"/>
              <w:rPr>
                <w:rFonts w:ascii="SimSun" w:eastAsia="SimSun" w:hAnsi="SimSun" w:cs="SimSun"/>
                <w:sz w:val="24"/>
                <w:szCs w:val="24"/>
              </w:rPr>
            </w:pPr>
            <w:r>
              <w:rPr>
                <w:rFonts w:ascii="SimSun" w:eastAsia="SimSun" w:hAnsi="SimSun" w:cs="SimSun"/>
                <w:spacing w:val="-4"/>
                <w:sz w:val="24"/>
                <w:szCs w:val="24"/>
              </w:rPr>
              <w:t>第一类</w:t>
            </w:r>
            <w:r>
              <w:rPr>
                <w:rFonts w:ascii="SimSun" w:eastAsia="SimSun" w:hAnsi="SimSun" w:cs="SimSun"/>
                <w:spacing w:val="1"/>
                <w:sz w:val="24"/>
                <w:szCs w:val="24"/>
              </w:rPr>
              <w:t xml:space="preserve"> </w:t>
            </w:r>
            <w:r>
              <w:rPr>
                <w:rFonts w:ascii="SimSun" w:eastAsia="SimSun" w:hAnsi="SimSun" w:cs="SimSun"/>
                <w:spacing w:val="-3"/>
                <w:sz w:val="24"/>
                <w:szCs w:val="24"/>
              </w:rPr>
              <w:t>用地</w:t>
            </w:r>
          </w:p>
        </w:tc>
        <w:tc>
          <w:tcPr>
            <w:tcW w:w="1118" w:type="dxa"/>
            <w:vAlign w:val="top"/>
          </w:tcPr>
          <w:p>
            <w:pPr>
              <w:spacing w:before="35" w:line="224" w:lineRule="auto"/>
              <w:ind w:left="326" w:right="196" w:hanging="121"/>
              <w:rPr>
                <w:rFonts w:ascii="SimSun" w:eastAsia="SimSun" w:hAnsi="SimSun" w:cs="SimSun"/>
                <w:sz w:val="24"/>
                <w:szCs w:val="24"/>
              </w:rPr>
            </w:pPr>
            <w:r>
              <w:rPr>
                <w:rFonts w:ascii="SimSun" w:eastAsia="SimSun" w:hAnsi="SimSun" w:cs="SimSun"/>
                <w:spacing w:val="-4"/>
                <w:sz w:val="24"/>
                <w:szCs w:val="24"/>
              </w:rPr>
              <w:t>第二类</w:t>
            </w:r>
            <w:r>
              <w:rPr>
                <w:rFonts w:ascii="SimSun" w:eastAsia="SimSun" w:hAnsi="SimSun" w:cs="SimSun"/>
                <w:spacing w:val="1"/>
                <w:sz w:val="24"/>
                <w:szCs w:val="24"/>
              </w:rPr>
              <w:t xml:space="preserve"> </w:t>
            </w:r>
            <w:r>
              <w:rPr>
                <w:rFonts w:ascii="SimSun" w:eastAsia="SimSun" w:hAnsi="SimSun" w:cs="SimSun"/>
                <w:spacing w:val="-3"/>
                <w:sz w:val="24"/>
                <w:szCs w:val="24"/>
              </w:rPr>
              <w:t>用地</w:t>
            </w:r>
          </w:p>
        </w:tc>
      </w:tr>
      <w:tr>
        <w:tblPrEx>
          <w:tblW w:w="8526" w:type="dxa"/>
          <w:tblInd w:w="2" w:type="dxa"/>
          <w:tblLayout w:type="fixed"/>
        </w:tblPrEx>
        <w:trPr>
          <w:trHeight w:val="403"/>
        </w:trPr>
        <w:tc>
          <w:tcPr>
            <w:tcW w:w="8526" w:type="dxa"/>
            <w:gridSpan w:val="7"/>
            <w:vAlign w:val="top"/>
          </w:tcPr>
          <w:p>
            <w:pPr>
              <w:spacing w:before="80" w:line="219" w:lineRule="auto"/>
              <w:ind w:left="118"/>
              <w:rPr>
                <w:rFonts w:ascii="SimSun" w:eastAsia="SimSun" w:hAnsi="SimSun" w:cs="SimSun"/>
                <w:sz w:val="24"/>
                <w:szCs w:val="24"/>
              </w:rPr>
            </w:pPr>
            <w:r>
              <w:rPr>
                <w:rFonts w:ascii="SimSun" w:eastAsia="SimSun" w:hAnsi="SimSun" w:cs="SimSun"/>
                <w:spacing w:val="-2"/>
                <w:sz w:val="24"/>
                <w:szCs w:val="24"/>
              </w:rPr>
              <w:t>重金属和无机物（基本项目）</w:t>
            </w:r>
          </w:p>
        </w:tc>
      </w:tr>
      <w:tr>
        <w:tblPrEx>
          <w:tblW w:w="8526" w:type="dxa"/>
          <w:tblInd w:w="2" w:type="dxa"/>
          <w:tblLayout w:type="fixed"/>
        </w:tblPrEx>
        <w:trPr>
          <w:trHeight w:val="400"/>
        </w:trPr>
        <w:tc>
          <w:tcPr>
            <w:tcW w:w="844" w:type="dxa"/>
            <w:vAlign w:val="top"/>
          </w:tcPr>
          <w:p>
            <w:pPr>
              <w:spacing w:before="117" w:line="182" w:lineRule="auto"/>
              <w:ind w:left="386"/>
              <w:rPr>
                <w:rFonts w:ascii="SimSun" w:eastAsia="SimSun" w:hAnsi="SimSun" w:cs="SimSun"/>
                <w:sz w:val="24"/>
                <w:szCs w:val="24"/>
              </w:rPr>
            </w:pPr>
            <w:r>
              <w:rPr>
                <w:rFonts w:ascii="SimSun" w:eastAsia="SimSun" w:hAnsi="SimSun" w:cs="SimSun"/>
                <w:sz w:val="24"/>
                <w:szCs w:val="24"/>
              </w:rPr>
              <w:t>1</w:t>
            </w:r>
          </w:p>
        </w:tc>
        <w:tc>
          <w:tcPr>
            <w:tcW w:w="2075" w:type="dxa"/>
            <w:vAlign w:val="top"/>
          </w:tcPr>
          <w:p>
            <w:pPr>
              <w:spacing w:before="78" w:line="220" w:lineRule="auto"/>
              <w:ind w:left="112"/>
              <w:rPr>
                <w:rFonts w:ascii="SimSun" w:eastAsia="SimSun" w:hAnsi="SimSun" w:cs="SimSun"/>
                <w:sz w:val="24"/>
                <w:szCs w:val="24"/>
              </w:rPr>
            </w:pPr>
            <w:r>
              <w:rPr>
                <w:rFonts w:ascii="SimSun" w:eastAsia="SimSun" w:hAnsi="SimSun" w:cs="SimSun"/>
                <w:sz w:val="24"/>
                <w:szCs w:val="24"/>
              </w:rPr>
              <w:t>砷</w:t>
            </w:r>
          </w:p>
        </w:tc>
        <w:tc>
          <w:tcPr>
            <w:tcW w:w="1363" w:type="dxa"/>
            <w:vAlign w:val="top"/>
          </w:tcPr>
          <w:p>
            <w:pPr>
              <w:spacing w:before="118" w:line="181" w:lineRule="auto"/>
              <w:ind w:left="154"/>
              <w:rPr>
                <w:rFonts w:ascii="SimSun" w:eastAsia="SimSun" w:hAnsi="SimSun" w:cs="SimSun"/>
                <w:sz w:val="24"/>
                <w:szCs w:val="24"/>
              </w:rPr>
            </w:pPr>
            <w:r>
              <w:rPr>
                <w:rFonts w:ascii="SimSun" w:eastAsia="SimSun" w:hAnsi="SimSun" w:cs="SimSun"/>
                <w:spacing w:val="-2"/>
                <w:sz w:val="24"/>
                <w:szCs w:val="24"/>
              </w:rPr>
              <w:t>7440-38-2</w:t>
            </w:r>
          </w:p>
        </w:tc>
        <w:tc>
          <w:tcPr>
            <w:tcW w:w="1058" w:type="dxa"/>
            <w:vAlign w:val="top"/>
          </w:tcPr>
          <w:p>
            <w:pPr>
              <w:spacing w:before="61" w:line="225" w:lineRule="auto"/>
              <w:ind w:left="358"/>
              <w:rPr>
                <w:rFonts w:ascii="SimSun" w:eastAsia="SimSun" w:hAnsi="SimSun" w:cs="SimSun"/>
                <w:sz w:val="12"/>
                <w:szCs w:val="12"/>
              </w:rPr>
            </w:pPr>
            <w:r>
              <w:rPr>
                <w:rFonts w:ascii="SimSun" w:eastAsia="SimSun" w:hAnsi="SimSun" w:cs="SimSun"/>
                <w:spacing w:val="-5"/>
                <w:position w:val="-2"/>
                <w:sz w:val="24"/>
                <w:szCs w:val="24"/>
              </w:rPr>
              <w:t>20</w:t>
            </w:r>
            <w:r>
              <w:rPr>
                <w:rFonts w:ascii="SimSun" w:eastAsia="SimSun" w:hAnsi="SimSun" w:cs="SimSun"/>
                <w:spacing w:val="-5"/>
                <w:position w:val="9"/>
                <w:sz w:val="12"/>
                <w:szCs w:val="12"/>
              </w:rPr>
              <w:t>①</w:t>
            </w:r>
          </w:p>
        </w:tc>
        <w:tc>
          <w:tcPr>
            <w:tcW w:w="1060" w:type="dxa"/>
            <w:vAlign w:val="top"/>
          </w:tcPr>
          <w:p>
            <w:pPr>
              <w:spacing w:before="61" w:line="225" w:lineRule="auto"/>
              <w:ind w:left="360"/>
              <w:rPr>
                <w:rFonts w:ascii="SimSun" w:eastAsia="SimSun" w:hAnsi="SimSun" w:cs="SimSun"/>
                <w:sz w:val="12"/>
                <w:szCs w:val="12"/>
              </w:rPr>
            </w:pPr>
            <w:r>
              <w:rPr>
                <w:rFonts w:ascii="SimSun" w:eastAsia="SimSun" w:hAnsi="SimSun" w:cs="SimSun"/>
                <w:spacing w:val="-4"/>
                <w:position w:val="-2"/>
                <w:sz w:val="24"/>
                <w:szCs w:val="24"/>
              </w:rPr>
              <w:t>60</w:t>
            </w:r>
            <w:r>
              <w:rPr>
                <w:rFonts w:ascii="SimSun" w:eastAsia="SimSun" w:hAnsi="SimSun" w:cs="SimSun"/>
                <w:spacing w:val="-4"/>
                <w:position w:val="9"/>
                <w:sz w:val="12"/>
                <w:szCs w:val="12"/>
              </w:rPr>
              <w:t>①</w:t>
            </w:r>
          </w:p>
        </w:tc>
        <w:tc>
          <w:tcPr>
            <w:tcW w:w="1008" w:type="dxa"/>
            <w:vAlign w:val="top"/>
          </w:tcPr>
          <w:p>
            <w:pPr>
              <w:spacing w:before="117" w:line="182" w:lineRule="auto"/>
              <w:ind w:left="350"/>
              <w:rPr>
                <w:rFonts w:ascii="SimSun" w:eastAsia="SimSun" w:hAnsi="SimSun" w:cs="SimSun"/>
                <w:sz w:val="24"/>
                <w:szCs w:val="24"/>
              </w:rPr>
            </w:pPr>
            <w:r>
              <w:rPr>
                <w:rFonts w:ascii="SimSun" w:eastAsia="SimSun" w:hAnsi="SimSun" w:cs="SimSun"/>
                <w:spacing w:val="-7"/>
                <w:sz w:val="24"/>
                <w:szCs w:val="24"/>
              </w:rPr>
              <w:t>120</w:t>
            </w:r>
          </w:p>
        </w:tc>
        <w:tc>
          <w:tcPr>
            <w:tcW w:w="1118" w:type="dxa"/>
            <w:vAlign w:val="top"/>
          </w:tcPr>
          <w:p>
            <w:pPr>
              <w:spacing w:before="117" w:line="182" w:lineRule="auto"/>
              <w:ind w:left="403"/>
              <w:rPr>
                <w:rFonts w:ascii="SimSun" w:eastAsia="SimSun" w:hAnsi="SimSun" w:cs="SimSun"/>
                <w:sz w:val="24"/>
                <w:szCs w:val="24"/>
              </w:rPr>
            </w:pPr>
            <w:r>
              <w:rPr>
                <w:rFonts w:ascii="SimSun" w:eastAsia="SimSun" w:hAnsi="SimSun" w:cs="SimSun"/>
                <w:spacing w:val="-7"/>
                <w:sz w:val="24"/>
                <w:szCs w:val="24"/>
              </w:rPr>
              <w:t>140</w:t>
            </w:r>
          </w:p>
        </w:tc>
      </w:tr>
      <w:tr>
        <w:tblPrEx>
          <w:tblW w:w="8526" w:type="dxa"/>
          <w:tblInd w:w="2" w:type="dxa"/>
          <w:tblLayout w:type="fixed"/>
        </w:tblPrEx>
        <w:trPr>
          <w:trHeight w:val="403"/>
        </w:trPr>
        <w:tc>
          <w:tcPr>
            <w:tcW w:w="844" w:type="dxa"/>
            <w:vAlign w:val="top"/>
          </w:tcPr>
          <w:p>
            <w:pPr>
              <w:spacing w:before="121" w:line="181" w:lineRule="auto"/>
              <w:ind w:left="371"/>
              <w:rPr>
                <w:rFonts w:ascii="SimSun" w:eastAsia="SimSun" w:hAnsi="SimSun" w:cs="SimSun"/>
                <w:sz w:val="24"/>
                <w:szCs w:val="24"/>
              </w:rPr>
            </w:pPr>
            <w:r>
              <w:rPr>
                <w:rFonts w:ascii="SimSun" w:eastAsia="SimSun" w:hAnsi="SimSun" w:cs="SimSun"/>
                <w:sz w:val="24"/>
                <w:szCs w:val="24"/>
              </w:rPr>
              <w:t>2</w:t>
            </w:r>
          </w:p>
        </w:tc>
        <w:tc>
          <w:tcPr>
            <w:tcW w:w="2075" w:type="dxa"/>
            <w:vAlign w:val="top"/>
          </w:tcPr>
          <w:p>
            <w:pPr>
              <w:spacing w:before="81" w:line="222" w:lineRule="auto"/>
              <w:ind w:left="111"/>
              <w:rPr>
                <w:rFonts w:ascii="SimSun" w:eastAsia="SimSun" w:hAnsi="SimSun" w:cs="SimSun"/>
                <w:sz w:val="24"/>
                <w:szCs w:val="24"/>
              </w:rPr>
            </w:pPr>
            <w:r>
              <w:rPr>
                <w:rFonts w:ascii="SimSun" w:eastAsia="SimSun" w:hAnsi="SimSun" w:cs="SimSun"/>
                <w:sz w:val="24"/>
                <w:szCs w:val="24"/>
              </w:rPr>
              <w:t>镉</w:t>
            </w:r>
          </w:p>
        </w:tc>
        <w:tc>
          <w:tcPr>
            <w:tcW w:w="1363" w:type="dxa"/>
            <w:vAlign w:val="top"/>
          </w:tcPr>
          <w:p>
            <w:pPr>
              <w:spacing w:before="121" w:line="181" w:lineRule="auto"/>
              <w:ind w:left="154"/>
              <w:rPr>
                <w:rFonts w:ascii="SimSun" w:eastAsia="SimSun" w:hAnsi="SimSun" w:cs="SimSun"/>
                <w:sz w:val="24"/>
                <w:szCs w:val="24"/>
              </w:rPr>
            </w:pPr>
            <w:r>
              <w:rPr>
                <w:rFonts w:ascii="SimSun" w:eastAsia="SimSun" w:hAnsi="SimSun" w:cs="SimSun"/>
                <w:spacing w:val="-2"/>
                <w:sz w:val="24"/>
                <w:szCs w:val="24"/>
              </w:rPr>
              <w:t>7440-43-9</w:t>
            </w:r>
          </w:p>
        </w:tc>
        <w:tc>
          <w:tcPr>
            <w:tcW w:w="1058" w:type="dxa"/>
            <w:vAlign w:val="top"/>
          </w:tcPr>
          <w:p>
            <w:pPr>
              <w:spacing w:before="121" w:line="181" w:lineRule="auto"/>
              <w:ind w:left="418"/>
              <w:rPr>
                <w:rFonts w:ascii="SimSun" w:eastAsia="SimSun" w:hAnsi="SimSun" w:cs="SimSun"/>
                <w:sz w:val="24"/>
                <w:szCs w:val="24"/>
              </w:rPr>
            </w:pPr>
            <w:r>
              <w:rPr>
                <w:rFonts w:ascii="SimSun" w:eastAsia="SimSun" w:hAnsi="SimSun" w:cs="SimSun"/>
                <w:spacing w:val="-4"/>
                <w:sz w:val="24"/>
                <w:szCs w:val="24"/>
              </w:rPr>
              <w:t>20</w:t>
            </w:r>
          </w:p>
        </w:tc>
        <w:tc>
          <w:tcPr>
            <w:tcW w:w="1060" w:type="dxa"/>
            <w:vAlign w:val="top"/>
          </w:tcPr>
          <w:p>
            <w:pPr>
              <w:spacing w:before="121" w:line="181" w:lineRule="auto"/>
              <w:ind w:left="420"/>
              <w:rPr>
                <w:rFonts w:ascii="SimSun" w:eastAsia="SimSun" w:hAnsi="SimSun" w:cs="SimSun"/>
                <w:sz w:val="24"/>
                <w:szCs w:val="24"/>
              </w:rPr>
            </w:pPr>
            <w:r>
              <w:rPr>
                <w:rFonts w:ascii="SimSun" w:eastAsia="SimSun" w:hAnsi="SimSun" w:cs="SimSun"/>
                <w:spacing w:val="-3"/>
                <w:sz w:val="24"/>
                <w:szCs w:val="24"/>
              </w:rPr>
              <w:t>65</w:t>
            </w:r>
          </w:p>
        </w:tc>
        <w:tc>
          <w:tcPr>
            <w:tcW w:w="1008" w:type="dxa"/>
            <w:vAlign w:val="top"/>
          </w:tcPr>
          <w:p>
            <w:pPr>
              <w:spacing w:before="121" w:line="181" w:lineRule="auto"/>
              <w:ind w:left="391"/>
              <w:rPr>
                <w:rFonts w:ascii="SimSun" w:eastAsia="SimSun" w:hAnsi="SimSun" w:cs="SimSun"/>
                <w:sz w:val="24"/>
                <w:szCs w:val="24"/>
              </w:rPr>
            </w:pPr>
            <w:r>
              <w:rPr>
                <w:rFonts w:ascii="SimSun" w:eastAsia="SimSun" w:hAnsi="SimSun" w:cs="SimSun"/>
                <w:spacing w:val="-3"/>
                <w:sz w:val="24"/>
                <w:szCs w:val="24"/>
              </w:rPr>
              <w:t>47</w:t>
            </w:r>
          </w:p>
        </w:tc>
        <w:tc>
          <w:tcPr>
            <w:tcW w:w="1118" w:type="dxa"/>
            <w:vAlign w:val="top"/>
          </w:tcPr>
          <w:p>
            <w:pPr>
              <w:spacing w:before="120" w:line="182" w:lineRule="auto"/>
              <w:ind w:left="403"/>
              <w:rPr>
                <w:rFonts w:ascii="SimSun" w:eastAsia="SimSun" w:hAnsi="SimSun" w:cs="SimSun"/>
                <w:sz w:val="24"/>
                <w:szCs w:val="24"/>
              </w:rPr>
            </w:pPr>
            <w:r>
              <w:rPr>
                <w:rFonts w:ascii="SimSun" w:eastAsia="SimSun" w:hAnsi="SimSun" w:cs="SimSun"/>
                <w:spacing w:val="-7"/>
                <w:sz w:val="24"/>
                <w:szCs w:val="24"/>
              </w:rPr>
              <w:t>172</w:t>
            </w:r>
          </w:p>
        </w:tc>
      </w:tr>
      <w:tr>
        <w:tblPrEx>
          <w:tblW w:w="8526" w:type="dxa"/>
          <w:tblInd w:w="2" w:type="dxa"/>
          <w:tblLayout w:type="fixed"/>
        </w:tblPrEx>
        <w:trPr>
          <w:trHeight w:val="628"/>
        </w:trPr>
        <w:tc>
          <w:tcPr>
            <w:tcW w:w="844" w:type="dxa"/>
            <w:vAlign w:val="top"/>
          </w:tcPr>
          <w:p>
            <w:pPr>
              <w:spacing w:before="234" w:line="181" w:lineRule="auto"/>
              <w:ind w:left="373"/>
              <w:rPr>
                <w:rFonts w:ascii="SimSun" w:eastAsia="SimSun" w:hAnsi="SimSun" w:cs="SimSun"/>
                <w:sz w:val="24"/>
                <w:szCs w:val="24"/>
              </w:rPr>
            </w:pPr>
            <w:r>
              <w:rPr>
                <w:rFonts w:ascii="SimSun" w:eastAsia="SimSun" w:hAnsi="SimSun" w:cs="SimSun"/>
                <w:sz w:val="24"/>
                <w:szCs w:val="24"/>
              </w:rPr>
              <w:t>3</w:t>
            </w:r>
          </w:p>
        </w:tc>
        <w:tc>
          <w:tcPr>
            <w:tcW w:w="2075" w:type="dxa"/>
            <w:vAlign w:val="top"/>
          </w:tcPr>
          <w:p>
            <w:pPr>
              <w:spacing w:before="193" w:line="218" w:lineRule="auto"/>
              <w:ind w:left="112"/>
              <w:rPr>
                <w:rFonts w:ascii="SimSun" w:eastAsia="SimSun" w:hAnsi="SimSun" w:cs="SimSun"/>
                <w:sz w:val="24"/>
                <w:szCs w:val="24"/>
              </w:rPr>
            </w:pPr>
            <w:r>
              <w:rPr>
                <w:rFonts w:ascii="SimSun" w:eastAsia="SimSun" w:hAnsi="SimSun" w:cs="SimSun"/>
                <w:spacing w:val="-4"/>
                <w:sz w:val="24"/>
                <w:szCs w:val="24"/>
              </w:rPr>
              <w:t>铬（六价）</w:t>
            </w:r>
          </w:p>
        </w:tc>
        <w:tc>
          <w:tcPr>
            <w:tcW w:w="1363" w:type="dxa"/>
            <w:vAlign w:val="top"/>
          </w:tcPr>
          <w:p>
            <w:pPr>
              <w:spacing w:before="77" w:line="182" w:lineRule="auto"/>
              <w:ind w:left="166"/>
              <w:rPr>
                <w:rFonts w:ascii="SimSun" w:eastAsia="SimSun" w:hAnsi="SimSun" w:cs="SimSun"/>
                <w:sz w:val="24"/>
                <w:szCs w:val="24"/>
              </w:rPr>
            </w:pPr>
            <w:r>
              <w:rPr>
                <w:rFonts w:ascii="SimSun" w:eastAsia="SimSun" w:hAnsi="SimSun" w:cs="SimSun"/>
                <w:spacing w:val="-4"/>
                <w:sz w:val="24"/>
                <w:szCs w:val="24"/>
              </w:rPr>
              <w:t>18540-29-</w:t>
            </w:r>
          </w:p>
          <w:p>
            <w:pPr>
              <w:spacing w:before="76" w:line="175" w:lineRule="auto"/>
              <w:ind w:left="629"/>
              <w:rPr>
                <w:rFonts w:ascii="SimSun" w:eastAsia="SimSun" w:hAnsi="SimSun" w:cs="SimSun"/>
                <w:sz w:val="24"/>
                <w:szCs w:val="24"/>
              </w:rPr>
            </w:pPr>
            <w:r>
              <w:rPr>
                <w:rFonts w:ascii="SimSun" w:eastAsia="SimSun" w:hAnsi="SimSun" w:cs="SimSun"/>
                <w:sz w:val="24"/>
                <w:szCs w:val="24"/>
              </w:rPr>
              <w:t>9</w:t>
            </w:r>
          </w:p>
        </w:tc>
        <w:tc>
          <w:tcPr>
            <w:tcW w:w="1058" w:type="dxa"/>
            <w:vAlign w:val="top"/>
          </w:tcPr>
          <w:p>
            <w:pPr>
              <w:spacing w:before="234" w:line="181" w:lineRule="auto"/>
              <w:ind w:left="360"/>
              <w:rPr>
                <w:rFonts w:ascii="SimSun" w:eastAsia="SimSun" w:hAnsi="SimSun" w:cs="SimSun"/>
                <w:sz w:val="24"/>
                <w:szCs w:val="24"/>
              </w:rPr>
            </w:pPr>
            <w:r>
              <w:rPr>
                <w:rFonts w:ascii="SimSun" w:eastAsia="SimSun" w:hAnsi="SimSun" w:cs="SimSun"/>
                <w:spacing w:val="-4"/>
                <w:sz w:val="24"/>
                <w:szCs w:val="24"/>
              </w:rPr>
              <w:t>3.0</w:t>
            </w:r>
          </w:p>
        </w:tc>
        <w:tc>
          <w:tcPr>
            <w:tcW w:w="1060" w:type="dxa"/>
            <w:vAlign w:val="top"/>
          </w:tcPr>
          <w:p>
            <w:pPr>
              <w:spacing w:before="235" w:line="180" w:lineRule="auto"/>
              <w:ind w:left="362"/>
              <w:rPr>
                <w:rFonts w:ascii="SimSun" w:eastAsia="SimSun" w:hAnsi="SimSun" w:cs="SimSun"/>
                <w:sz w:val="24"/>
                <w:szCs w:val="24"/>
              </w:rPr>
            </w:pPr>
            <w:r>
              <w:rPr>
                <w:rFonts w:ascii="SimSun" w:eastAsia="SimSun" w:hAnsi="SimSun" w:cs="SimSun"/>
                <w:spacing w:val="-4"/>
                <w:sz w:val="24"/>
                <w:szCs w:val="24"/>
              </w:rPr>
              <w:t>5.7</w:t>
            </w:r>
          </w:p>
        </w:tc>
        <w:tc>
          <w:tcPr>
            <w:tcW w:w="1008" w:type="dxa"/>
            <w:vAlign w:val="top"/>
          </w:tcPr>
          <w:p>
            <w:pPr>
              <w:spacing w:before="234" w:line="181" w:lineRule="auto"/>
              <w:ind w:left="397"/>
              <w:rPr>
                <w:rFonts w:ascii="SimSun" w:eastAsia="SimSun" w:hAnsi="SimSun" w:cs="SimSun"/>
                <w:sz w:val="24"/>
                <w:szCs w:val="24"/>
              </w:rPr>
            </w:pPr>
            <w:r>
              <w:rPr>
                <w:rFonts w:ascii="SimSun" w:eastAsia="SimSun" w:hAnsi="SimSun" w:cs="SimSun"/>
                <w:spacing w:val="-4"/>
                <w:sz w:val="24"/>
                <w:szCs w:val="24"/>
              </w:rPr>
              <w:t>30</w:t>
            </w:r>
          </w:p>
        </w:tc>
        <w:tc>
          <w:tcPr>
            <w:tcW w:w="1118" w:type="dxa"/>
            <w:vAlign w:val="top"/>
          </w:tcPr>
          <w:p>
            <w:pPr>
              <w:spacing w:before="234" w:line="181" w:lineRule="auto"/>
              <w:ind w:left="451"/>
              <w:rPr>
                <w:rFonts w:ascii="SimSun" w:eastAsia="SimSun" w:hAnsi="SimSun" w:cs="SimSun"/>
                <w:sz w:val="24"/>
                <w:szCs w:val="24"/>
              </w:rPr>
            </w:pPr>
            <w:r>
              <w:rPr>
                <w:rFonts w:ascii="SimSun" w:eastAsia="SimSun" w:hAnsi="SimSun" w:cs="SimSun"/>
                <w:spacing w:val="-4"/>
                <w:sz w:val="24"/>
                <w:szCs w:val="24"/>
              </w:rPr>
              <w:t>78</w:t>
            </w:r>
          </w:p>
        </w:tc>
      </w:tr>
      <w:tr>
        <w:tblPrEx>
          <w:tblW w:w="8526" w:type="dxa"/>
          <w:tblInd w:w="2" w:type="dxa"/>
          <w:tblLayout w:type="fixed"/>
        </w:tblPrEx>
        <w:trPr>
          <w:trHeight w:val="400"/>
        </w:trPr>
        <w:tc>
          <w:tcPr>
            <w:tcW w:w="844" w:type="dxa"/>
            <w:vAlign w:val="top"/>
          </w:tcPr>
          <w:p>
            <w:pPr>
              <w:spacing w:before="122" w:line="181" w:lineRule="auto"/>
              <w:ind w:left="368"/>
              <w:rPr>
                <w:rFonts w:ascii="SimSun" w:eastAsia="SimSun" w:hAnsi="SimSun" w:cs="SimSun"/>
                <w:sz w:val="24"/>
                <w:szCs w:val="24"/>
              </w:rPr>
            </w:pPr>
            <w:r>
              <w:rPr>
                <w:rFonts w:ascii="SimSun" w:eastAsia="SimSun" w:hAnsi="SimSun" w:cs="SimSun"/>
                <w:sz w:val="24"/>
                <w:szCs w:val="24"/>
              </w:rPr>
              <w:t>4</w:t>
            </w:r>
          </w:p>
        </w:tc>
        <w:tc>
          <w:tcPr>
            <w:tcW w:w="2075" w:type="dxa"/>
            <w:vAlign w:val="top"/>
          </w:tcPr>
          <w:p>
            <w:pPr>
              <w:spacing w:before="81" w:line="221" w:lineRule="auto"/>
              <w:ind w:left="113"/>
              <w:rPr>
                <w:rFonts w:ascii="SimSun" w:eastAsia="SimSun" w:hAnsi="SimSun" w:cs="SimSun"/>
                <w:sz w:val="24"/>
                <w:szCs w:val="24"/>
              </w:rPr>
            </w:pPr>
            <w:r>
              <w:rPr>
                <w:rFonts w:ascii="SimSun" w:eastAsia="SimSun" w:hAnsi="SimSun" w:cs="SimSun"/>
                <w:sz w:val="24"/>
                <w:szCs w:val="24"/>
              </w:rPr>
              <w:t>铜</w:t>
            </w:r>
          </w:p>
        </w:tc>
        <w:tc>
          <w:tcPr>
            <w:tcW w:w="1363" w:type="dxa"/>
            <w:vAlign w:val="top"/>
          </w:tcPr>
          <w:p>
            <w:pPr>
              <w:spacing w:before="122" w:line="181" w:lineRule="auto"/>
              <w:ind w:left="154"/>
              <w:rPr>
                <w:rFonts w:ascii="SimSun" w:eastAsia="SimSun" w:hAnsi="SimSun" w:cs="SimSun"/>
                <w:sz w:val="24"/>
                <w:szCs w:val="24"/>
              </w:rPr>
            </w:pPr>
            <w:r>
              <w:rPr>
                <w:rFonts w:ascii="SimSun" w:eastAsia="SimSun" w:hAnsi="SimSun" w:cs="SimSun"/>
                <w:spacing w:val="-2"/>
                <w:sz w:val="24"/>
                <w:szCs w:val="24"/>
              </w:rPr>
              <w:t>7440-50-8</w:t>
            </w:r>
          </w:p>
        </w:tc>
        <w:tc>
          <w:tcPr>
            <w:tcW w:w="1058" w:type="dxa"/>
            <w:vAlign w:val="top"/>
          </w:tcPr>
          <w:p>
            <w:pPr>
              <w:spacing w:before="122" w:line="181" w:lineRule="auto"/>
              <w:ind w:left="298"/>
              <w:rPr>
                <w:rFonts w:ascii="SimSun" w:eastAsia="SimSun" w:hAnsi="SimSun" w:cs="SimSun"/>
                <w:sz w:val="24"/>
                <w:szCs w:val="24"/>
              </w:rPr>
            </w:pPr>
            <w:r>
              <w:rPr>
                <w:rFonts w:ascii="SimSun" w:eastAsia="SimSun" w:hAnsi="SimSun" w:cs="SimSun"/>
                <w:spacing w:val="-3"/>
                <w:sz w:val="24"/>
                <w:szCs w:val="24"/>
              </w:rPr>
              <w:t>2000</w:t>
            </w:r>
          </w:p>
        </w:tc>
        <w:tc>
          <w:tcPr>
            <w:tcW w:w="1060" w:type="dxa"/>
            <w:vAlign w:val="top"/>
          </w:tcPr>
          <w:p>
            <w:pPr>
              <w:spacing w:before="120" w:line="182" w:lineRule="auto"/>
              <w:ind w:left="255"/>
              <w:rPr>
                <w:rFonts w:ascii="SimSun" w:eastAsia="SimSun" w:hAnsi="SimSun" w:cs="SimSun"/>
                <w:sz w:val="24"/>
                <w:szCs w:val="24"/>
              </w:rPr>
            </w:pPr>
            <w:r>
              <w:rPr>
                <w:rFonts w:ascii="SimSun" w:eastAsia="SimSun" w:hAnsi="SimSun" w:cs="SimSun"/>
                <w:spacing w:val="-5"/>
                <w:sz w:val="24"/>
                <w:szCs w:val="24"/>
              </w:rPr>
              <w:t>18000</w:t>
            </w:r>
          </w:p>
        </w:tc>
        <w:tc>
          <w:tcPr>
            <w:tcW w:w="1008" w:type="dxa"/>
            <w:vAlign w:val="top"/>
          </w:tcPr>
          <w:p>
            <w:pPr>
              <w:spacing w:before="122" w:line="181" w:lineRule="auto"/>
              <w:ind w:left="273"/>
              <w:rPr>
                <w:rFonts w:ascii="SimSun" w:eastAsia="SimSun" w:hAnsi="SimSun" w:cs="SimSun"/>
                <w:sz w:val="24"/>
                <w:szCs w:val="24"/>
              </w:rPr>
            </w:pPr>
            <w:r>
              <w:rPr>
                <w:rFonts w:ascii="SimSun" w:eastAsia="SimSun" w:hAnsi="SimSun" w:cs="SimSun"/>
                <w:spacing w:val="-2"/>
                <w:sz w:val="24"/>
                <w:szCs w:val="24"/>
              </w:rPr>
              <w:t>8000</w:t>
            </w:r>
          </w:p>
        </w:tc>
        <w:tc>
          <w:tcPr>
            <w:tcW w:w="1118" w:type="dxa"/>
            <w:vAlign w:val="top"/>
          </w:tcPr>
          <w:p>
            <w:pPr>
              <w:spacing w:before="122" w:line="181" w:lineRule="auto"/>
              <w:ind w:left="270"/>
              <w:rPr>
                <w:rFonts w:ascii="SimSun" w:eastAsia="SimSun" w:hAnsi="SimSun" w:cs="SimSun"/>
                <w:sz w:val="24"/>
                <w:szCs w:val="24"/>
              </w:rPr>
            </w:pPr>
            <w:r>
              <w:rPr>
                <w:rFonts w:ascii="SimSun" w:eastAsia="SimSun" w:hAnsi="SimSun" w:cs="SimSun"/>
                <w:spacing w:val="-3"/>
                <w:sz w:val="24"/>
                <w:szCs w:val="24"/>
              </w:rPr>
              <w:t>36000</w:t>
            </w:r>
          </w:p>
        </w:tc>
      </w:tr>
      <w:tr>
        <w:tblPrEx>
          <w:tblW w:w="8526" w:type="dxa"/>
          <w:tblInd w:w="2" w:type="dxa"/>
          <w:tblLayout w:type="fixed"/>
        </w:tblPrEx>
        <w:trPr>
          <w:trHeight w:val="403"/>
        </w:trPr>
        <w:tc>
          <w:tcPr>
            <w:tcW w:w="844" w:type="dxa"/>
            <w:vAlign w:val="top"/>
          </w:tcPr>
          <w:p>
            <w:pPr>
              <w:spacing w:before="124" w:line="180" w:lineRule="auto"/>
              <w:ind w:left="373"/>
              <w:rPr>
                <w:rFonts w:ascii="SimSun" w:eastAsia="SimSun" w:hAnsi="SimSun" w:cs="SimSun"/>
                <w:sz w:val="24"/>
                <w:szCs w:val="24"/>
              </w:rPr>
            </w:pPr>
            <w:r>
              <w:rPr>
                <w:rFonts w:ascii="SimSun" w:eastAsia="SimSun" w:hAnsi="SimSun" w:cs="SimSun"/>
                <w:sz w:val="24"/>
                <w:szCs w:val="24"/>
              </w:rPr>
              <w:t>5</w:t>
            </w:r>
          </w:p>
        </w:tc>
        <w:tc>
          <w:tcPr>
            <w:tcW w:w="2075" w:type="dxa"/>
            <w:vAlign w:val="top"/>
          </w:tcPr>
          <w:p>
            <w:pPr>
              <w:spacing w:before="82" w:line="224" w:lineRule="auto"/>
              <w:ind w:left="113"/>
              <w:rPr>
                <w:rFonts w:ascii="SimSun" w:eastAsia="SimSun" w:hAnsi="SimSun" w:cs="SimSun"/>
                <w:sz w:val="24"/>
                <w:szCs w:val="24"/>
              </w:rPr>
            </w:pPr>
            <w:r>
              <w:rPr>
                <w:rFonts w:ascii="SimSun" w:eastAsia="SimSun" w:hAnsi="SimSun" w:cs="SimSun"/>
                <w:sz w:val="24"/>
                <w:szCs w:val="24"/>
              </w:rPr>
              <w:t>铅</w:t>
            </w:r>
          </w:p>
        </w:tc>
        <w:tc>
          <w:tcPr>
            <w:tcW w:w="1363" w:type="dxa"/>
            <w:vAlign w:val="top"/>
          </w:tcPr>
          <w:p>
            <w:pPr>
              <w:spacing w:before="122" w:line="182" w:lineRule="auto"/>
              <w:ind w:left="154"/>
              <w:rPr>
                <w:rFonts w:ascii="SimSun" w:eastAsia="SimSun" w:hAnsi="SimSun" w:cs="SimSun"/>
                <w:sz w:val="24"/>
                <w:szCs w:val="24"/>
              </w:rPr>
            </w:pPr>
            <w:r>
              <w:rPr>
                <w:rFonts w:ascii="SimSun" w:eastAsia="SimSun" w:hAnsi="SimSun" w:cs="SimSun"/>
                <w:spacing w:val="1"/>
                <w:sz w:val="24"/>
                <w:szCs w:val="24"/>
              </w:rPr>
              <w:t>7439-92-1</w:t>
            </w:r>
          </w:p>
        </w:tc>
        <w:tc>
          <w:tcPr>
            <w:tcW w:w="1058" w:type="dxa"/>
            <w:vAlign w:val="top"/>
          </w:tcPr>
          <w:p>
            <w:pPr>
              <w:spacing w:before="123" w:line="181" w:lineRule="auto"/>
              <w:ind w:left="354"/>
              <w:rPr>
                <w:rFonts w:ascii="SimSun" w:eastAsia="SimSun" w:hAnsi="SimSun" w:cs="SimSun"/>
                <w:sz w:val="24"/>
                <w:szCs w:val="24"/>
              </w:rPr>
            </w:pPr>
            <w:r>
              <w:rPr>
                <w:rFonts w:ascii="SimSun" w:eastAsia="SimSun" w:hAnsi="SimSun" w:cs="SimSun"/>
                <w:spacing w:val="-2"/>
                <w:sz w:val="24"/>
                <w:szCs w:val="24"/>
              </w:rPr>
              <w:t>400</w:t>
            </w:r>
          </w:p>
        </w:tc>
        <w:tc>
          <w:tcPr>
            <w:tcW w:w="1060" w:type="dxa"/>
            <w:vAlign w:val="top"/>
          </w:tcPr>
          <w:p>
            <w:pPr>
              <w:spacing w:before="123" w:line="181" w:lineRule="auto"/>
              <w:ind w:left="359"/>
              <w:rPr>
                <w:rFonts w:ascii="SimSun" w:eastAsia="SimSun" w:hAnsi="SimSun" w:cs="SimSun"/>
                <w:sz w:val="24"/>
                <w:szCs w:val="24"/>
              </w:rPr>
            </w:pPr>
            <w:r>
              <w:rPr>
                <w:rFonts w:ascii="SimSun" w:eastAsia="SimSun" w:hAnsi="SimSun" w:cs="SimSun"/>
                <w:spacing w:val="-3"/>
                <w:sz w:val="24"/>
                <w:szCs w:val="24"/>
              </w:rPr>
              <w:t>800</w:t>
            </w:r>
          </w:p>
        </w:tc>
        <w:tc>
          <w:tcPr>
            <w:tcW w:w="1008" w:type="dxa"/>
            <w:vAlign w:val="top"/>
          </w:tcPr>
          <w:p>
            <w:pPr>
              <w:spacing w:before="123" w:line="181" w:lineRule="auto"/>
              <w:ind w:left="333"/>
              <w:rPr>
                <w:rFonts w:ascii="SimSun" w:eastAsia="SimSun" w:hAnsi="SimSun" w:cs="SimSun"/>
                <w:sz w:val="24"/>
                <w:szCs w:val="24"/>
              </w:rPr>
            </w:pPr>
            <w:r>
              <w:rPr>
                <w:rFonts w:ascii="SimSun" w:eastAsia="SimSun" w:hAnsi="SimSun" w:cs="SimSun"/>
                <w:spacing w:val="-3"/>
                <w:sz w:val="24"/>
                <w:szCs w:val="24"/>
              </w:rPr>
              <w:t>800</w:t>
            </w:r>
          </w:p>
        </w:tc>
        <w:tc>
          <w:tcPr>
            <w:tcW w:w="1118" w:type="dxa"/>
            <w:vAlign w:val="top"/>
          </w:tcPr>
          <w:p>
            <w:pPr>
              <w:spacing w:before="123" w:line="181" w:lineRule="auto"/>
              <w:ind w:left="328"/>
              <w:rPr>
                <w:rFonts w:ascii="SimSun" w:eastAsia="SimSun" w:hAnsi="SimSun" w:cs="SimSun"/>
                <w:sz w:val="24"/>
                <w:szCs w:val="24"/>
              </w:rPr>
            </w:pPr>
            <w:r>
              <w:rPr>
                <w:rFonts w:ascii="SimSun" w:eastAsia="SimSun" w:hAnsi="SimSun" w:cs="SimSun"/>
                <w:spacing w:val="-3"/>
                <w:sz w:val="24"/>
                <w:szCs w:val="24"/>
              </w:rPr>
              <w:t>2500</w:t>
            </w:r>
          </w:p>
        </w:tc>
      </w:tr>
      <w:tr>
        <w:tblPrEx>
          <w:tblW w:w="8526" w:type="dxa"/>
          <w:tblInd w:w="2" w:type="dxa"/>
          <w:tblLayout w:type="fixed"/>
        </w:tblPrEx>
        <w:trPr>
          <w:trHeight w:val="403"/>
        </w:trPr>
        <w:tc>
          <w:tcPr>
            <w:tcW w:w="844" w:type="dxa"/>
            <w:vAlign w:val="top"/>
          </w:tcPr>
          <w:p>
            <w:pPr>
              <w:spacing w:before="123" w:line="181" w:lineRule="auto"/>
              <w:ind w:left="370"/>
              <w:rPr>
                <w:rFonts w:ascii="SimSun" w:eastAsia="SimSun" w:hAnsi="SimSun" w:cs="SimSun"/>
                <w:sz w:val="24"/>
                <w:szCs w:val="24"/>
              </w:rPr>
            </w:pPr>
            <w:r>
              <w:rPr>
                <w:rFonts w:ascii="SimSun" w:eastAsia="SimSun" w:hAnsi="SimSun" w:cs="SimSun"/>
                <w:sz w:val="24"/>
                <w:szCs w:val="24"/>
              </w:rPr>
              <w:t>6</w:t>
            </w:r>
          </w:p>
        </w:tc>
        <w:tc>
          <w:tcPr>
            <w:tcW w:w="2075" w:type="dxa"/>
            <w:vAlign w:val="top"/>
          </w:tcPr>
          <w:p>
            <w:pPr>
              <w:spacing w:before="83" w:line="220" w:lineRule="auto"/>
              <w:ind w:left="114"/>
              <w:rPr>
                <w:rFonts w:ascii="SimSun" w:eastAsia="SimSun" w:hAnsi="SimSun" w:cs="SimSun"/>
                <w:sz w:val="24"/>
                <w:szCs w:val="24"/>
              </w:rPr>
            </w:pPr>
            <w:r>
              <w:rPr>
                <w:rFonts w:ascii="SimSun" w:eastAsia="SimSun" w:hAnsi="SimSun" w:cs="SimSun"/>
                <w:sz w:val="24"/>
                <w:szCs w:val="24"/>
              </w:rPr>
              <w:t>汞</w:t>
            </w:r>
          </w:p>
        </w:tc>
        <w:tc>
          <w:tcPr>
            <w:tcW w:w="1363" w:type="dxa"/>
            <w:vAlign w:val="top"/>
          </w:tcPr>
          <w:p>
            <w:pPr>
              <w:spacing w:before="123" w:line="181" w:lineRule="auto"/>
              <w:ind w:left="154"/>
              <w:rPr>
                <w:rFonts w:ascii="SimSun" w:eastAsia="SimSun" w:hAnsi="SimSun" w:cs="SimSun"/>
                <w:sz w:val="24"/>
                <w:szCs w:val="24"/>
              </w:rPr>
            </w:pPr>
            <w:r>
              <w:rPr>
                <w:rFonts w:ascii="SimSun" w:eastAsia="SimSun" w:hAnsi="SimSun" w:cs="SimSun"/>
                <w:spacing w:val="-2"/>
                <w:sz w:val="24"/>
                <w:szCs w:val="24"/>
              </w:rPr>
              <w:t>7439-97-6</w:t>
            </w:r>
          </w:p>
        </w:tc>
        <w:tc>
          <w:tcPr>
            <w:tcW w:w="1058" w:type="dxa"/>
            <w:vAlign w:val="top"/>
          </w:tcPr>
          <w:p>
            <w:pPr>
              <w:spacing w:before="123" w:line="181" w:lineRule="auto"/>
              <w:ind w:left="476"/>
              <w:rPr>
                <w:rFonts w:ascii="SimSun" w:eastAsia="SimSun" w:hAnsi="SimSun" w:cs="SimSun"/>
                <w:sz w:val="24"/>
                <w:szCs w:val="24"/>
              </w:rPr>
            </w:pPr>
            <w:r>
              <w:rPr>
                <w:rFonts w:ascii="SimSun" w:eastAsia="SimSun" w:hAnsi="SimSun" w:cs="SimSun"/>
                <w:sz w:val="24"/>
                <w:szCs w:val="24"/>
              </w:rPr>
              <w:t>8</w:t>
            </w:r>
          </w:p>
        </w:tc>
        <w:tc>
          <w:tcPr>
            <w:tcW w:w="1060" w:type="dxa"/>
            <w:vAlign w:val="top"/>
          </w:tcPr>
          <w:p>
            <w:pPr>
              <w:spacing w:before="123" w:line="181" w:lineRule="auto"/>
              <w:ind w:left="422"/>
              <w:rPr>
                <w:rFonts w:ascii="SimSun" w:eastAsia="SimSun" w:hAnsi="SimSun" w:cs="SimSun"/>
                <w:sz w:val="24"/>
                <w:szCs w:val="24"/>
              </w:rPr>
            </w:pPr>
            <w:r>
              <w:rPr>
                <w:rFonts w:ascii="SimSun" w:eastAsia="SimSun" w:hAnsi="SimSun" w:cs="SimSun"/>
                <w:spacing w:val="-4"/>
                <w:sz w:val="24"/>
                <w:szCs w:val="24"/>
              </w:rPr>
              <w:t>38</w:t>
            </w:r>
          </w:p>
        </w:tc>
        <w:tc>
          <w:tcPr>
            <w:tcW w:w="1008" w:type="dxa"/>
            <w:vAlign w:val="top"/>
          </w:tcPr>
          <w:p>
            <w:pPr>
              <w:spacing w:before="123" w:line="181" w:lineRule="auto"/>
              <w:ind w:left="397"/>
              <w:rPr>
                <w:rFonts w:ascii="SimSun" w:eastAsia="SimSun" w:hAnsi="SimSun" w:cs="SimSun"/>
                <w:sz w:val="24"/>
                <w:szCs w:val="24"/>
              </w:rPr>
            </w:pPr>
            <w:r>
              <w:rPr>
                <w:rFonts w:ascii="SimSun" w:eastAsia="SimSun" w:hAnsi="SimSun" w:cs="SimSun"/>
                <w:spacing w:val="-4"/>
                <w:sz w:val="24"/>
                <w:szCs w:val="24"/>
              </w:rPr>
              <w:t>33</w:t>
            </w:r>
          </w:p>
        </w:tc>
        <w:tc>
          <w:tcPr>
            <w:tcW w:w="1118" w:type="dxa"/>
            <w:vAlign w:val="top"/>
          </w:tcPr>
          <w:p>
            <w:pPr>
              <w:spacing w:before="123" w:line="181" w:lineRule="auto"/>
              <w:ind w:left="446"/>
              <w:rPr>
                <w:rFonts w:ascii="SimSun" w:eastAsia="SimSun" w:hAnsi="SimSun" w:cs="SimSun"/>
                <w:sz w:val="24"/>
                <w:szCs w:val="24"/>
              </w:rPr>
            </w:pPr>
            <w:r>
              <w:rPr>
                <w:rFonts w:ascii="SimSun" w:eastAsia="SimSun" w:hAnsi="SimSun" w:cs="SimSun"/>
                <w:spacing w:val="-3"/>
                <w:sz w:val="24"/>
                <w:szCs w:val="24"/>
              </w:rPr>
              <w:t>82</w:t>
            </w:r>
          </w:p>
        </w:tc>
      </w:tr>
      <w:tr>
        <w:tblPrEx>
          <w:tblW w:w="8526" w:type="dxa"/>
          <w:tblInd w:w="2" w:type="dxa"/>
          <w:tblLayout w:type="fixed"/>
        </w:tblPrEx>
        <w:trPr>
          <w:trHeight w:val="400"/>
        </w:trPr>
        <w:tc>
          <w:tcPr>
            <w:tcW w:w="844" w:type="dxa"/>
            <w:vAlign w:val="top"/>
          </w:tcPr>
          <w:p>
            <w:pPr>
              <w:spacing w:before="124" w:line="180" w:lineRule="auto"/>
              <w:ind w:left="374"/>
              <w:rPr>
                <w:rFonts w:ascii="SimSun" w:eastAsia="SimSun" w:hAnsi="SimSun" w:cs="SimSun"/>
                <w:sz w:val="24"/>
                <w:szCs w:val="24"/>
              </w:rPr>
            </w:pPr>
            <w:r>
              <w:rPr>
                <w:rFonts w:ascii="SimSun" w:eastAsia="SimSun" w:hAnsi="SimSun" w:cs="SimSun"/>
                <w:sz w:val="24"/>
                <w:szCs w:val="24"/>
              </w:rPr>
              <w:t>7</w:t>
            </w:r>
          </w:p>
        </w:tc>
        <w:tc>
          <w:tcPr>
            <w:tcW w:w="2075" w:type="dxa"/>
            <w:vAlign w:val="top"/>
          </w:tcPr>
          <w:p>
            <w:pPr>
              <w:spacing w:before="83" w:line="220" w:lineRule="auto"/>
              <w:ind w:left="112"/>
              <w:rPr>
                <w:rFonts w:ascii="SimSun" w:eastAsia="SimSun" w:hAnsi="SimSun" w:cs="SimSun"/>
                <w:sz w:val="24"/>
                <w:szCs w:val="24"/>
              </w:rPr>
            </w:pPr>
            <w:r>
              <w:rPr>
                <w:rFonts w:ascii="SimSun" w:eastAsia="SimSun" w:hAnsi="SimSun" w:cs="SimSun"/>
                <w:sz w:val="24"/>
                <w:szCs w:val="24"/>
              </w:rPr>
              <w:t>镍</w:t>
            </w:r>
          </w:p>
        </w:tc>
        <w:tc>
          <w:tcPr>
            <w:tcW w:w="1363" w:type="dxa"/>
            <w:vAlign w:val="top"/>
          </w:tcPr>
          <w:p>
            <w:pPr>
              <w:spacing w:before="123" w:line="181" w:lineRule="auto"/>
              <w:ind w:left="154"/>
              <w:rPr>
                <w:rFonts w:ascii="SimSun" w:eastAsia="SimSun" w:hAnsi="SimSun" w:cs="SimSun"/>
                <w:sz w:val="24"/>
                <w:szCs w:val="24"/>
              </w:rPr>
            </w:pPr>
            <w:r>
              <w:rPr>
                <w:rFonts w:ascii="SimSun" w:eastAsia="SimSun" w:hAnsi="SimSun" w:cs="SimSun"/>
                <w:spacing w:val="-2"/>
                <w:sz w:val="24"/>
                <w:szCs w:val="24"/>
              </w:rPr>
              <w:t>7440-02-0</w:t>
            </w:r>
          </w:p>
        </w:tc>
        <w:tc>
          <w:tcPr>
            <w:tcW w:w="1058" w:type="dxa"/>
            <w:vAlign w:val="top"/>
          </w:tcPr>
          <w:p>
            <w:pPr>
              <w:spacing w:before="122" w:line="182" w:lineRule="auto"/>
              <w:ind w:left="373"/>
              <w:rPr>
                <w:rFonts w:ascii="SimSun" w:eastAsia="SimSun" w:hAnsi="SimSun" w:cs="SimSun"/>
                <w:sz w:val="24"/>
                <w:szCs w:val="24"/>
              </w:rPr>
            </w:pPr>
            <w:r>
              <w:rPr>
                <w:rFonts w:ascii="SimSun" w:eastAsia="SimSun" w:hAnsi="SimSun" w:cs="SimSun"/>
                <w:spacing w:val="-7"/>
                <w:sz w:val="24"/>
                <w:szCs w:val="24"/>
              </w:rPr>
              <w:t>150</w:t>
            </w:r>
          </w:p>
        </w:tc>
        <w:tc>
          <w:tcPr>
            <w:tcW w:w="1060" w:type="dxa"/>
            <w:vAlign w:val="top"/>
          </w:tcPr>
          <w:p>
            <w:pPr>
              <w:spacing w:before="123" w:line="181" w:lineRule="auto"/>
              <w:ind w:left="359"/>
              <w:rPr>
                <w:rFonts w:ascii="SimSun" w:eastAsia="SimSun" w:hAnsi="SimSun" w:cs="SimSun"/>
                <w:sz w:val="24"/>
                <w:szCs w:val="24"/>
              </w:rPr>
            </w:pPr>
            <w:r>
              <w:rPr>
                <w:rFonts w:ascii="SimSun" w:eastAsia="SimSun" w:hAnsi="SimSun" w:cs="SimSun"/>
                <w:spacing w:val="-3"/>
                <w:sz w:val="24"/>
                <w:szCs w:val="24"/>
              </w:rPr>
              <w:t>900</w:t>
            </w:r>
          </w:p>
        </w:tc>
        <w:tc>
          <w:tcPr>
            <w:tcW w:w="1008" w:type="dxa"/>
            <w:vAlign w:val="top"/>
          </w:tcPr>
          <w:p>
            <w:pPr>
              <w:spacing w:before="123" w:line="181" w:lineRule="auto"/>
              <w:ind w:left="334"/>
              <w:rPr>
                <w:rFonts w:ascii="SimSun" w:eastAsia="SimSun" w:hAnsi="SimSun" w:cs="SimSun"/>
                <w:sz w:val="24"/>
                <w:szCs w:val="24"/>
              </w:rPr>
            </w:pPr>
            <w:r>
              <w:rPr>
                <w:rFonts w:ascii="SimSun" w:eastAsia="SimSun" w:hAnsi="SimSun" w:cs="SimSun"/>
                <w:spacing w:val="-3"/>
                <w:sz w:val="24"/>
                <w:szCs w:val="24"/>
              </w:rPr>
              <w:t>600</w:t>
            </w:r>
          </w:p>
        </w:tc>
        <w:tc>
          <w:tcPr>
            <w:tcW w:w="1118" w:type="dxa"/>
            <w:vAlign w:val="top"/>
          </w:tcPr>
          <w:p>
            <w:pPr>
              <w:spacing w:before="123" w:line="181" w:lineRule="auto"/>
              <w:ind w:left="328"/>
              <w:rPr>
                <w:rFonts w:ascii="SimSun" w:eastAsia="SimSun" w:hAnsi="SimSun" w:cs="SimSun"/>
                <w:sz w:val="24"/>
                <w:szCs w:val="24"/>
              </w:rPr>
            </w:pPr>
            <w:r>
              <w:rPr>
                <w:rFonts w:ascii="SimSun" w:eastAsia="SimSun" w:hAnsi="SimSun" w:cs="SimSun"/>
                <w:spacing w:val="-3"/>
                <w:sz w:val="24"/>
                <w:szCs w:val="24"/>
              </w:rPr>
              <w:t>2000</w:t>
            </w:r>
          </w:p>
        </w:tc>
      </w:tr>
      <w:tr>
        <w:tblPrEx>
          <w:tblW w:w="8526" w:type="dxa"/>
          <w:tblInd w:w="2" w:type="dxa"/>
          <w:tblLayout w:type="fixed"/>
        </w:tblPrEx>
        <w:trPr>
          <w:trHeight w:val="403"/>
        </w:trPr>
        <w:tc>
          <w:tcPr>
            <w:tcW w:w="8526" w:type="dxa"/>
            <w:gridSpan w:val="7"/>
            <w:vAlign w:val="top"/>
          </w:tcPr>
          <w:p>
            <w:pPr>
              <w:spacing w:before="83" w:line="219" w:lineRule="auto"/>
              <w:ind w:left="118"/>
              <w:rPr>
                <w:rFonts w:ascii="SimSun" w:eastAsia="SimSun" w:hAnsi="SimSun" w:cs="SimSun"/>
                <w:sz w:val="24"/>
                <w:szCs w:val="24"/>
              </w:rPr>
            </w:pPr>
            <w:r>
              <w:rPr>
                <w:rFonts w:ascii="SimSun" w:eastAsia="SimSun" w:hAnsi="SimSun" w:cs="SimSun"/>
                <w:spacing w:val="-2"/>
                <w:sz w:val="24"/>
                <w:szCs w:val="24"/>
              </w:rPr>
              <w:t>重金属和无机物（其他项目）</w:t>
            </w:r>
          </w:p>
        </w:tc>
      </w:tr>
      <w:tr>
        <w:tblPrEx>
          <w:tblW w:w="8526" w:type="dxa"/>
          <w:tblInd w:w="2" w:type="dxa"/>
          <w:tblLayout w:type="fixed"/>
        </w:tblPrEx>
        <w:trPr>
          <w:trHeight w:val="400"/>
        </w:trPr>
        <w:tc>
          <w:tcPr>
            <w:tcW w:w="844" w:type="dxa"/>
            <w:vAlign w:val="top"/>
          </w:tcPr>
          <w:p>
            <w:pPr>
              <w:spacing w:before="122" w:line="182" w:lineRule="auto"/>
              <w:ind w:left="386"/>
              <w:rPr>
                <w:rFonts w:ascii="SimSun" w:eastAsia="SimSun" w:hAnsi="SimSun" w:cs="SimSun"/>
                <w:sz w:val="24"/>
                <w:szCs w:val="24"/>
              </w:rPr>
            </w:pPr>
            <w:r>
              <w:rPr>
                <w:rFonts w:ascii="SimSun" w:eastAsia="SimSun" w:hAnsi="SimSun" w:cs="SimSun"/>
                <w:sz w:val="24"/>
                <w:szCs w:val="24"/>
              </w:rPr>
              <w:t>1</w:t>
            </w:r>
          </w:p>
        </w:tc>
        <w:tc>
          <w:tcPr>
            <w:tcW w:w="2075" w:type="dxa"/>
            <w:vAlign w:val="top"/>
          </w:tcPr>
          <w:p>
            <w:pPr>
              <w:spacing w:before="83" w:line="220" w:lineRule="auto"/>
              <w:ind w:left="112"/>
              <w:rPr>
                <w:rFonts w:ascii="SimSun" w:eastAsia="SimSun" w:hAnsi="SimSun" w:cs="SimSun"/>
                <w:sz w:val="24"/>
                <w:szCs w:val="24"/>
              </w:rPr>
            </w:pPr>
            <w:r>
              <w:rPr>
                <w:rFonts w:ascii="SimSun" w:eastAsia="SimSun" w:hAnsi="SimSun" w:cs="SimSun"/>
                <w:sz w:val="24"/>
                <w:szCs w:val="24"/>
              </w:rPr>
              <w:t>锑</w:t>
            </w:r>
          </w:p>
        </w:tc>
        <w:tc>
          <w:tcPr>
            <w:tcW w:w="1363" w:type="dxa"/>
            <w:vAlign w:val="top"/>
          </w:tcPr>
          <w:p>
            <w:pPr>
              <w:spacing w:before="124" w:line="181" w:lineRule="auto"/>
              <w:ind w:left="154"/>
              <w:rPr>
                <w:rFonts w:ascii="SimSun" w:eastAsia="SimSun" w:hAnsi="SimSun" w:cs="SimSun"/>
                <w:sz w:val="24"/>
                <w:szCs w:val="24"/>
              </w:rPr>
            </w:pPr>
            <w:r>
              <w:rPr>
                <w:rFonts w:ascii="SimSun" w:eastAsia="SimSun" w:hAnsi="SimSun" w:cs="SimSun"/>
                <w:spacing w:val="-2"/>
                <w:sz w:val="24"/>
                <w:szCs w:val="24"/>
              </w:rPr>
              <w:t>7440-36-0</w:t>
            </w:r>
          </w:p>
        </w:tc>
        <w:tc>
          <w:tcPr>
            <w:tcW w:w="1058" w:type="dxa"/>
            <w:vAlign w:val="top"/>
          </w:tcPr>
          <w:p>
            <w:pPr>
              <w:spacing w:before="124" w:line="181" w:lineRule="auto"/>
              <w:ind w:left="418"/>
              <w:rPr>
                <w:rFonts w:ascii="SimSun" w:eastAsia="SimSun" w:hAnsi="SimSun" w:cs="SimSun"/>
                <w:sz w:val="24"/>
                <w:szCs w:val="24"/>
              </w:rPr>
            </w:pPr>
            <w:r>
              <w:rPr>
                <w:rFonts w:ascii="SimSun" w:eastAsia="SimSun" w:hAnsi="SimSun" w:cs="SimSun"/>
                <w:spacing w:val="-4"/>
                <w:sz w:val="24"/>
                <w:szCs w:val="24"/>
              </w:rPr>
              <w:t>20</w:t>
            </w:r>
          </w:p>
        </w:tc>
        <w:tc>
          <w:tcPr>
            <w:tcW w:w="1060" w:type="dxa"/>
            <w:vAlign w:val="top"/>
          </w:tcPr>
          <w:p>
            <w:pPr>
              <w:spacing w:before="122" w:line="182" w:lineRule="auto"/>
              <w:ind w:left="375"/>
              <w:rPr>
                <w:rFonts w:ascii="SimSun" w:eastAsia="SimSun" w:hAnsi="SimSun" w:cs="SimSun"/>
                <w:sz w:val="24"/>
                <w:szCs w:val="24"/>
              </w:rPr>
            </w:pPr>
            <w:r>
              <w:rPr>
                <w:rFonts w:ascii="SimSun" w:eastAsia="SimSun" w:hAnsi="SimSun" w:cs="SimSun"/>
                <w:spacing w:val="-7"/>
                <w:sz w:val="24"/>
                <w:szCs w:val="24"/>
              </w:rPr>
              <w:t>180</w:t>
            </w:r>
          </w:p>
        </w:tc>
        <w:tc>
          <w:tcPr>
            <w:tcW w:w="1008" w:type="dxa"/>
            <w:vAlign w:val="top"/>
          </w:tcPr>
          <w:p>
            <w:pPr>
              <w:spacing w:before="124" w:line="181" w:lineRule="auto"/>
              <w:ind w:left="391"/>
              <w:rPr>
                <w:rFonts w:ascii="SimSun" w:eastAsia="SimSun" w:hAnsi="SimSun" w:cs="SimSun"/>
                <w:sz w:val="24"/>
                <w:szCs w:val="24"/>
              </w:rPr>
            </w:pPr>
            <w:r>
              <w:rPr>
                <w:rFonts w:ascii="SimSun" w:eastAsia="SimSun" w:hAnsi="SimSun" w:cs="SimSun"/>
                <w:spacing w:val="-3"/>
                <w:sz w:val="24"/>
                <w:szCs w:val="24"/>
              </w:rPr>
              <w:t>40</w:t>
            </w:r>
          </w:p>
        </w:tc>
        <w:tc>
          <w:tcPr>
            <w:tcW w:w="1118" w:type="dxa"/>
            <w:vAlign w:val="top"/>
          </w:tcPr>
          <w:p>
            <w:pPr>
              <w:spacing w:before="124" w:line="181" w:lineRule="auto"/>
              <w:ind w:left="390"/>
              <w:rPr>
                <w:rFonts w:ascii="SimSun" w:eastAsia="SimSun" w:hAnsi="SimSun" w:cs="SimSun"/>
                <w:sz w:val="24"/>
                <w:szCs w:val="24"/>
              </w:rPr>
            </w:pPr>
            <w:r>
              <w:rPr>
                <w:rFonts w:ascii="SimSun" w:eastAsia="SimSun" w:hAnsi="SimSun" w:cs="SimSun"/>
                <w:spacing w:val="-4"/>
                <w:sz w:val="24"/>
                <w:szCs w:val="24"/>
              </w:rPr>
              <w:t>360</w:t>
            </w:r>
          </w:p>
        </w:tc>
      </w:tr>
      <w:tr>
        <w:tblPrEx>
          <w:tblW w:w="8526" w:type="dxa"/>
          <w:tblInd w:w="2" w:type="dxa"/>
          <w:tblLayout w:type="fixed"/>
        </w:tblPrEx>
        <w:trPr>
          <w:trHeight w:val="403"/>
        </w:trPr>
        <w:tc>
          <w:tcPr>
            <w:tcW w:w="844" w:type="dxa"/>
            <w:vAlign w:val="top"/>
          </w:tcPr>
          <w:p>
            <w:pPr>
              <w:spacing w:before="124" w:line="181" w:lineRule="auto"/>
              <w:ind w:left="371"/>
              <w:rPr>
                <w:rFonts w:ascii="SimSun" w:eastAsia="SimSun" w:hAnsi="SimSun" w:cs="SimSun"/>
                <w:sz w:val="24"/>
                <w:szCs w:val="24"/>
              </w:rPr>
            </w:pPr>
            <w:r>
              <w:rPr>
                <w:rFonts w:ascii="SimSun" w:eastAsia="SimSun" w:hAnsi="SimSun" w:cs="SimSun"/>
                <w:sz w:val="24"/>
                <w:szCs w:val="24"/>
              </w:rPr>
              <w:t>2</w:t>
            </w:r>
          </w:p>
        </w:tc>
        <w:tc>
          <w:tcPr>
            <w:tcW w:w="2075" w:type="dxa"/>
            <w:vAlign w:val="top"/>
          </w:tcPr>
          <w:p>
            <w:pPr>
              <w:spacing w:before="84" w:line="220" w:lineRule="auto"/>
              <w:ind w:left="112"/>
              <w:rPr>
                <w:rFonts w:ascii="SimSun" w:eastAsia="SimSun" w:hAnsi="SimSun" w:cs="SimSun"/>
                <w:sz w:val="24"/>
                <w:szCs w:val="24"/>
              </w:rPr>
            </w:pPr>
            <w:r>
              <w:rPr>
                <w:rFonts w:ascii="SimSun" w:eastAsia="SimSun" w:hAnsi="SimSun" w:cs="SimSun"/>
                <w:sz w:val="24"/>
                <w:szCs w:val="24"/>
              </w:rPr>
              <w:t>铍</w:t>
            </w:r>
          </w:p>
        </w:tc>
        <w:tc>
          <w:tcPr>
            <w:tcW w:w="1363" w:type="dxa"/>
            <w:vAlign w:val="top"/>
          </w:tcPr>
          <w:p>
            <w:pPr>
              <w:spacing w:before="123" w:line="182" w:lineRule="auto"/>
              <w:ind w:left="154"/>
              <w:rPr>
                <w:rFonts w:ascii="SimSun" w:eastAsia="SimSun" w:hAnsi="SimSun" w:cs="SimSun"/>
                <w:sz w:val="24"/>
                <w:szCs w:val="24"/>
              </w:rPr>
            </w:pPr>
            <w:r>
              <w:rPr>
                <w:rFonts w:ascii="SimSun" w:eastAsia="SimSun" w:hAnsi="SimSun" w:cs="SimSun"/>
                <w:sz w:val="24"/>
                <w:szCs w:val="24"/>
              </w:rPr>
              <w:t>7440-41-7</w:t>
            </w:r>
          </w:p>
        </w:tc>
        <w:tc>
          <w:tcPr>
            <w:tcW w:w="1058" w:type="dxa"/>
            <w:vAlign w:val="top"/>
          </w:tcPr>
          <w:p>
            <w:pPr>
              <w:spacing w:before="123" w:line="182" w:lineRule="auto"/>
              <w:ind w:left="433"/>
              <w:rPr>
                <w:rFonts w:ascii="SimSun" w:eastAsia="SimSun" w:hAnsi="SimSun" w:cs="SimSun"/>
                <w:sz w:val="24"/>
                <w:szCs w:val="24"/>
              </w:rPr>
            </w:pPr>
            <w:r>
              <w:rPr>
                <w:rFonts w:ascii="SimSun" w:eastAsia="SimSun" w:hAnsi="SimSun" w:cs="SimSun"/>
                <w:spacing w:val="-7"/>
                <w:sz w:val="24"/>
                <w:szCs w:val="24"/>
              </w:rPr>
              <w:t>15</w:t>
            </w:r>
          </w:p>
        </w:tc>
        <w:tc>
          <w:tcPr>
            <w:tcW w:w="1060" w:type="dxa"/>
            <w:vAlign w:val="top"/>
          </w:tcPr>
          <w:p>
            <w:pPr>
              <w:spacing w:before="124" w:line="181" w:lineRule="auto"/>
              <w:ind w:left="420"/>
              <w:rPr>
                <w:rFonts w:ascii="SimSun" w:eastAsia="SimSun" w:hAnsi="SimSun" w:cs="SimSun"/>
                <w:sz w:val="24"/>
                <w:szCs w:val="24"/>
              </w:rPr>
            </w:pPr>
            <w:r>
              <w:rPr>
                <w:rFonts w:ascii="SimSun" w:eastAsia="SimSun" w:hAnsi="SimSun" w:cs="SimSun"/>
                <w:spacing w:val="-4"/>
                <w:sz w:val="24"/>
                <w:szCs w:val="24"/>
              </w:rPr>
              <w:t>29</w:t>
            </w:r>
          </w:p>
        </w:tc>
        <w:tc>
          <w:tcPr>
            <w:tcW w:w="1008" w:type="dxa"/>
            <w:vAlign w:val="top"/>
          </w:tcPr>
          <w:p>
            <w:pPr>
              <w:spacing w:before="124" w:line="181" w:lineRule="auto"/>
              <w:ind w:left="393"/>
              <w:rPr>
                <w:rFonts w:ascii="SimSun" w:eastAsia="SimSun" w:hAnsi="SimSun" w:cs="SimSun"/>
                <w:sz w:val="24"/>
                <w:szCs w:val="24"/>
              </w:rPr>
            </w:pPr>
            <w:r>
              <w:rPr>
                <w:rFonts w:ascii="SimSun" w:eastAsia="SimSun" w:hAnsi="SimSun" w:cs="SimSun"/>
                <w:spacing w:val="-3"/>
                <w:sz w:val="24"/>
                <w:szCs w:val="24"/>
              </w:rPr>
              <w:t>98</w:t>
            </w:r>
          </w:p>
        </w:tc>
        <w:tc>
          <w:tcPr>
            <w:tcW w:w="1118" w:type="dxa"/>
            <w:vAlign w:val="top"/>
          </w:tcPr>
          <w:p>
            <w:pPr>
              <w:spacing w:before="124" w:line="181" w:lineRule="auto"/>
              <w:ind w:left="388"/>
              <w:rPr>
                <w:rFonts w:ascii="SimSun" w:eastAsia="SimSun" w:hAnsi="SimSun" w:cs="SimSun"/>
                <w:sz w:val="24"/>
                <w:szCs w:val="24"/>
              </w:rPr>
            </w:pPr>
            <w:r>
              <w:rPr>
                <w:rFonts w:ascii="SimSun" w:eastAsia="SimSun" w:hAnsi="SimSun" w:cs="SimSun"/>
                <w:spacing w:val="-3"/>
                <w:sz w:val="24"/>
                <w:szCs w:val="24"/>
              </w:rPr>
              <w:t>290</w:t>
            </w:r>
          </w:p>
        </w:tc>
      </w:tr>
      <w:tr>
        <w:tblPrEx>
          <w:tblW w:w="8526" w:type="dxa"/>
          <w:tblInd w:w="2" w:type="dxa"/>
          <w:tblLayout w:type="fixed"/>
        </w:tblPrEx>
        <w:trPr>
          <w:trHeight w:val="407"/>
        </w:trPr>
        <w:tc>
          <w:tcPr>
            <w:tcW w:w="844" w:type="dxa"/>
            <w:vAlign w:val="top"/>
          </w:tcPr>
          <w:p>
            <w:pPr>
              <w:spacing w:before="124" w:line="181" w:lineRule="auto"/>
              <w:ind w:left="373"/>
              <w:rPr>
                <w:rFonts w:ascii="SimSun" w:eastAsia="SimSun" w:hAnsi="SimSun" w:cs="SimSun"/>
                <w:sz w:val="24"/>
                <w:szCs w:val="24"/>
              </w:rPr>
            </w:pPr>
            <w:r>
              <w:rPr>
                <w:rFonts w:ascii="SimSun" w:eastAsia="SimSun" w:hAnsi="SimSun" w:cs="SimSun"/>
                <w:sz w:val="24"/>
                <w:szCs w:val="24"/>
              </w:rPr>
              <w:t>3</w:t>
            </w:r>
          </w:p>
        </w:tc>
        <w:tc>
          <w:tcPr>
            <w:tcW w:w="2075" w:type="dxa"/>
            <w:vAlign w:val="top"/>
          </w:tcPr>
          <w:p>
            <w:pPr>
              <w:spacing w:before="83" w:line="222" w:lineRule="auto"/>
              <w:ind w:left="113"/>
              <w:rPr>
                <w:rFonts w:ascii="SimSun" w:eastAsia="SimSun" w:hAnsi="SimSun" w:cs="SimSun"/>
                <w:sz w:val="24"/>
                <w:szCs w:val="24"/>
              </w:rPr>
            </w:pPr>
            <w:r>
              <w:rPr>
                <w:rFonts w:ascii="SimSun" w:eastAsia="SimSun" w:hAnsi="SimSun" w:cs="SimSun"/>
                <w:sz w:val="24"/>
                <w:szCs w:val="24"/>
              </w:rPr>
              <w:t>钴</w:t>
            </w:r>
          </w:p>
        </w:tc>
        <w:tc>
          <w:tcPr>
            <w:tcW w:w="1363" w:type="dxa"/>
            <w:vAlign w:val="top"/>
          </w:tcPr>
          <w:p>
            <w:pPr>
              <w:spacing w:before="124" w:line="181" w:lineRule="auto"/>
              <w:ind w:left="154"/>
              <w:rPr>
                <w:rFonts w:ascii="SimSun" w:eastAsia="SimSun" w:hAnsi="SimSun" w:cs="SimSun"/>
                <w:sz w:val="24"/>
                <w:szCs w:val="24"/>
              </w:rPr>
            </w:pPr>
            <w:r>
              <w:rPr>
                <w:rFonts w:ascii="SimSun" w:eastAsia="SimSun" w:hAnsi="SimSun" w:cs="SimSun"/>
                <w:spacing w:val="-2"/>
                <w:sz w:val="24"/>
                <w:szCs w:val="24"/>
              </w:rPr>
              <w:t>7440-48-4</w:t>
            </w:r>
          </w:p>
        </w:tc>
        <w:tc>
          <w:tcPr>
            <w:tcW w:w="1058" w:type="dxa"/>
            <w:vAlign w:val="top"/>
          </w:tcPr>
          <w:p>
            <w:pPr>
              <w:spacing w:before="67" w:line="225" w:lineRule="auto"/>
              <w:ind w:left="358"/>
              <w:rPr>
                <w:rFonts w:ascii="SimSun" w:eastAsia="SimSun" w:hAnsi="SimSun" w:cs="SimSun"/>
                <w:sz w:val="12"/>
                <w:szCs w:val="12"/>
              </w:rPr>
            </w:pPr>
            <w:r>
              <w:rPr>
                <w:rFonts w:ascii="SimSun" w:eastAsia="SimSun" w:hAnsi="SimSun" w:cs="SimSun"/>
                <w:spacing w:val="-5"/>
                <w:position w:val="-2"/>
                <w:sz w:val="24"/>
                <w:szCs w:val="24"/>
              </w:rPr>
              <w:t>20</w:t>
            </w:r>
            <w:r>
              <w:rPr>
                <w:rFonts w:ascii="SimSun" w:eastAsia="SimSun" w:hAnsi="SimSun" w:cs="SimSun"/>
                <w:spacing w:val="-5"/>
                <w:position w:val="9"/>
                <w:sz w:val="12"/>
                <w:szCs w:val="12"/>
              </w:rPr>
              <w:t>①</w:t>
            </w:r>
          </w:p>
        </w:tc>
        <w:tc>
          <w:tcPr>
            <w:tcW w:w="1060" w:type="dxa"/>
            <w:vAlign w:val="top"/>
          </w:tcPr>
          <w:p>
            <w:pPr>
              <w:spacing w:before="67" w:line="225" w:lineRule="auto"/>
              <w:ind w:left="363"/>
              <w:rPr>
                <w:rFonts w:ascii="SimSun" w:eastAsia="SimSun" w:hAnsi="SimSun" w:cs="SimSun"/>
                <w:sz w:val="12"/>
                <w:szCs w:val="12"/>
              </w:rPr>
            </w:pPr>
            <w:r>
              <w:rPr>
                <w:rFonts w:ascii="SimSun" w:eastAsia="SimSun" w:hAnsi="SimSun" w:cs="SimSun"/>
                <w:spacing w:val="-6"/>
                <w:position w:val="-2"/>
                <w:sz w:val="24"/>
                <w:szCs w:val="24"/>
              </w:rPr>
              <w:t>70</w:t>
            </w:r>
            <w:r>
              <w:rPr>
                <w:rFonts w:ascii="SimSun" w:eastAsia="SimSun" w:hAnsi="SimSun" w:cs="SimSun"/>
                <w:spacing w:val="-6"/>
                <w:position w:val="9"/>
                <w:sz w:val="12"/>
                <w:szCs w:val="12"/>
              </w:rPr>
              <w:t>①</w:t>
            </w:r>
          </w:p>
        </w:tc>
        <w:tc>
          <w:tcPr>
            <w:tcW w:w="1008" w:type="dxa"/>
            <w:vAlign w:val="top"/>
          </w:tcPr>
          <w:p>
            <w:pPr>
              <w:spacing w:before="123" w:line="182" w:lineRule="auto"/>
              <w:ind w:left="350"/>
              <w:rPr>
                <w:rFonts w:ascii="SimSun" w:eastAsia="SimSun" w:hAnsi="SimSun" w:cs="SimSun"/>
                <w:sz w:val="24"/>
                <w:szCs w:val="24"/>
              </w:rPr>
            </w:pPr>
            <w:r>
              <w:rPr>
                <w:rFonts w:ascii="SimSun" w:eastAsia="SimSun" w:hAnsi="SimSun" w:cs="SimSun"/>
                <w:spacing w:val="-7"/>
                <w:sz w:val="24"/>
                <w:szCs w:val="24"/>
              </w:rPr>
              <w:t>190</w:t>
            </w:r>
          </w:p>
        </w:tc>
        <w:tc>
          <w:tcPr>
            <w:tcW w:w="1118" w:type="dxa"/>
            <w:vAlign w:val="top"/>
          </w:tcPr>
          <w:p>
            <w:pPr>
              <w:spacing w:before="124" w:line="181" w:lineRule="auto"/>
              <w:ind w:left="390"/>
              <w:rPr>
                <w:rFonts w:ascii="SimSun" w:eastAsia="SimSun" w:hAnsi="SimSun" w:cs="SimSun"/>
                <w:sz w:val="24"/>
                <w:szCs w:val="24"/>
              </w:rPr>
            </w:pPr>
            <w:r>
              <w:rPr>
                <w:rFonts w:ascii="SimSun" w:eastAsia="SimSun" w:hAnsi="SimSun" w:cs="SimSun"/>
                <w:spacing w:val="-4"/>
                <w:sz w:val="24"/>
                <w:szCs w:val="24"/>
              </w:rPr>
              <w:t>350</w:t>
            </w:r>
          </w:p>
        </w:tc>
      </w:tr>
    </w:tbl>
    <w:p>
      <w:pPr>
        <w:rPr>
          <w:rFonts w:ascii="Arial"/>
          <w:sz w:val="21"/>
        </w:rPr>
      </w:pPr>
    </w:p>
    <w:p>
      <w:pPr>
        <w:rPr>
          <w:rFonts w:ascii="Arial" w:eastAsia="Arial" w:hAnsi="Arial" w:cs="Arial"/>
          <w:sz w:val="21"/>
          <w:szCs w:val="21"/>
        </w:rPr>
        <w:sectPr>
          <w:footerReference w:type="default" r:id="rId29"/>
          <w:pgSz w:w="11907" w:h="16839"/>
          <w:pgMar w:top="1431" w:right="1687" w:bottom="1357" w:left="1687" w:header="0" w:footer="1197" w:gutter="0"/>
          <w:pgNumType w:start="26"/>
          <w:cols w:space="708"/>
        </w:sectPr>
      </w:pPr>
    </w:p>
    <w:p>
      <w:pPr>
        <w:pStyle w:val="BodyText"/>
        <w:spacing w:before="47" w:line="220" w:lineRule="auto"/>
        <w:ind w:left="23"/>
      </w:pPr>
      <w:r>
        <mc:AlternateContent>
          <mc:Choice Requires="wps">
            <w:drawing>
              <wp:anchor distT="0" distB="0" distL="0" distR="0" simplePos="0" relativeHeight="251659264" behindDoc="1" locked="0" layoutInCell="0" allowOverlap="1">
                <wp:simplePos x="0" y="0"/>
                <wp:positionH relativeFrom="page">
                  <wp:posOffset>1708150</wp:posOffset>
                </wp:positionH>
                <wp:positionV relativeFrom="page">
                  <wp:posOffset>3092767</wp:posOffset>
                </wp:positionV>
                <wp:extent cx="4450715" cy="9525"/>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1708150" y="3092767"/>
                          <a:ext cx="4450715" cy="952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350.45pt;height:0.75pt;margin-top:243.52pt;margin-left:134.5pt;mso-position-horizontal-relative:page;mso-position-vertical-relative:page;mso-wrap-distance-bottom:0;mso-wrap-distance-left:0;mso-wrap-distance-right:0;mso-wrap-distance-top:0;position:absolute;v-text-anchor:top;z-index:-251658240" o:allowincell="f" fillcolor="black" stroked="f"/>
            </w:pict>
          </mc:Fallback>
        </mc:AlternateContent>
      </w:r>
      <w:r>
        <w:pict>
          <v:rect id="_x0000_s1026" style="width:291.15pt;height:0.75pt;margin-top:414.52pt;margin-left:160.6pt;mso-position-horizontal-relative:page;mso-position-vertical-relative:page;position:absolute;z-index:251689984" o:allowincell="f" filled="t" fillcolor="black" stroked="f"/>
        </w:pict>
      </w:r>
      <w:r>
        <w:pict>
          <v:rect id="_x0000_s1027" style="width:291.9pt;height:1.1pt;margin-top:484.78pt;margin-left:160.22pt;mso-position-horizontal-relative:page;mso-position-vertical-relative:page;position:absolute;z-index:251688960" o:allowincell="f" filled="t" fillcolor="black" stroked="f"/>
        </w:pict>
      </w:r>
      <w:r>
        <w:pict>
          <v:rect id="_x0000_s1028" style="width:1.7pt;height:79.75pt;margin-top:396.25pt;margin-left:497.22pt;mso-position-horizontal-relative:page;mso-position-vertical-relative:page;position:absolute;z-index:251678720" o:allowincell="f" filled="t" fillcolor="black" stroked="f"/>
        </w:pict>
      </w:r>
      <w:r>
        <w:pict>
          <v:rect id="_x0000_s1029" style="width:214.05pt;height:0.85pt;margin-top:539.17pt;margin-left:199.98pt;mso-position-horizontal-relative:page;mso-position-vertical-relative:page;position:absolute;z-index:251695104" o:allowincell="f" filled="t" fillcolor="black" stroked="f"/>
        </w:pict>
      </w:r>
      <w:r>
        <mc:AlternateContent>
          <mc:Choice Requires="wps">
            <w:drawing>
              <wp:anchor distT="0" distB="0" distL="0" distR="0" simplePos="0" relativeHeight="251661312" behindDoc="1" locked="0" layoutInCell="0" allowOverlap="1">
                <wp:simplePos x="0" y="0"/>
                <wp:positionH relativeFrom="page">
                  <wp:posOffset>2552064</wp:posOffset>
                </wp:positionH>
                <wp:positionV relativeFrom="page">
                  <wp:posOffset>7565707</wp:posOffset>
                </wp:positionV>
                <wp:extent cx="2709545" cy="9525"/>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2552064" y="7565707"/>
                          <a:ext cx="2709545" cy="952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30" style="width:213.35pt;height:0.75pt;margin-top:595.72pt;margin-left:200.95pt;mso-position-horizontal-relative:page;mso-position-vertical-relative:page;mso-wrap-distance-bottom:0;mso-wrap-distance-left:0;mso-wrap-distance-right:0;mso-wrap-distance-top:0;position:absolute;v-text-anchor:top;z-index:-251656192" o:allowincell="f" fillcolor="black" stroked="f"/>
            </w:pict>
          </mc:Fallback>
        </mc:AlternateContent>
      </w:r>
      <w:r>
        <w:pict>
          <v:rect id="_x0000_s1031" style="width:0.8pt;height:31.3pt;margin-top:552.65pt;margin-left:480.72pt;mso-position-horizontal-relative:page;mso-position-vertical-relative:page;position:absolute;z-index:251670528" o:allowincell="f" filled="t" fillcolor="black" stroked="f"/>
        </w:pict>
      </w:r>
      <w:r>
        <w:pict>
          <v:shapetype id="_x0000_t202" coordsize="21600,21600" o:spt="202" path="m,l,21600r21600,l21600,xe">
            <v:stroke joinstyle="miter"/>
            <v:path gradientshapeok="t" o:connecttype="rect"/>
          </v:shapetype>
          <v:shape id="_x0000_s1032" type="#_x0000_t202" style="width:88.85pt;height:27.05pt;margin-top:261.23pt;margin-left:89.38pt;mso-position-horizontal-relative:page;mso-position-vertical-relative:page;position:absolute;z-index:251668480" o:allowincell="f" filled="f" stroked="f">
            <o:lock v:ext="edit" aspectratio="f"/>
            <v:textbox inset="0,0,0,0">
              <w:txbxContent>
                <w:p>
                  <w:pPr>
                    <w:spacing w:line="20" w:lineRule="exact"/>
                  </w:pPr>
                </w:p>
                <w:tbl>
                  <w:tblPr>
                    <w:tblStyle w:val="TableNormal8"/>
                    <w:tblW w:w="1721"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721"/>
                  </w:tblGrid>
                  <w:tr>
                    <w:tblPrEx>
                      <w:tblW w:w="1721"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70"/>
                    </w:trPr>
                    <w:tc>
                      <w:tcPr>
                        <w:tcW w:w="1721" w:type="dxa"/>
                        <w:vAlign w:val="top"/>
                      </w:tcPr>
                      <w:p>
                        <w:pPr>
                          <w:spacing w:before="140" w:line="220" w:lineRule="auto"/>
                          <w:ind w:left="154"/>
                          <w:rPr>
                            <w:rFonts w:ascii="SimSun" w:eastAsia="SimSun" w:hAnsi="SimSun" w:cs="SimSun"/>
                            <w:sz w:val="18"/>
                            <w:szCs w:val="18"/>
                          </w:rPr>
                        </w:pPr>
                        <w:r>
                          <w:rPr>
                            <w:rFonts w:ascii="SimSun" w:eastAsia="SimSun" w:hAnsi="SimSun" w:cs="SimSun"/>
                            <w:spacing w:val="-2"/>
                            <w:sz w:val="18"/>
                            <w:szCs w:val="18"/>
                          </w:rPr>
                          <w:t>文献和资料调研</w:t>
                        </w:r>
                      </w:p>
                    </w:tc>
                  </w:tr>
                </w:tbl>
                <w:p>
                  <w:pPr>
                    <w:rPr>
                      <w:rFonts w:ascii="Arial"/>
                      <w:sz w:val="21"/>
                    </w:rPr>
                  </w:pPr>
                </w:p>
              </w:txbxContent>
            </v:textbox>
          </v:shape>
        </w:pict>
      </w:r>
      <w:r>
        <w:pict>
          <v:shape id="_x0000_s1033" type="#_x0000_t202" style="width:129.05pt;height:26.05pt;margin-top:261.88pt;margin-left:416.52pt;mso-position-horizontal-relative:page;mso-position-vertical-relative:page;position:absolute;z-index:251663360" o:allowincell="f" filled="f" stroked="f">
            <o:lock v:ext="edit" aspectratio="f"/>
            <v:textbox inset="0,0,0,0">
              <w:txbxContent>
                <w:p>
                  <w:pPr>
                    <w:spacing w:line="20" w:lineRule="exact"/>
                  </w:pPr>
                </w:p>
                <w:tbl>
                  <w:tblPr>
                    <w:tblStyle w:val="TableNormal8"/>
                    <w:tblW w:w="2525" w:type="dxa"/>
                    <w:tblInd w:w="27" w:type="dxa"/>
                    <w:tblBorders>
                      <w:top w:val="single" w:sz="6" w:space="0" w:color="000000"/>
                      <w:left w:val="single" w:sz="6" w:space="0" w:color="000000"/>
                      <w:bottom w:val="single" w:sz="6" w:space="0" w:color="000000"/>
                      <w:right w:val="single" w:sz="6" w:space="0" w:color="000000"/>
                    </w:tblBorders>
                    <w:tblLayout w:type="fixed"/>
                  </w:tblPr>
                  <w:tblGrid>
                    <w:gridCol w:w="2525"/>
                  </w:tblGrid>
                  <w:tr>
                    <w:tblPrEx>
                      <w:tblW w:w="2525"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50"/>
                    </w:trPr>
                    <w:tc>
                      <w:tcPr>
                        <w:tcW w:w="2525" w:type="dxa"/>
                        <w:vAlign w:val="top"/>
                      </w:tcPr>
                      <w:p>
                        <w:pPr>
                          <w:spacing w:before="139" w:line="220" w:lineRule="auto"/>
                          <w:ind w:left="290"/>
                          <w:rPr>
                            <w:rFonts w:ascii="SimSun" w:eastAsia="SimSun" w:hAnsi="SimSun" w:cs="SimSun"/>
                            <w:sz w:val="18"/>
                            <w:szCs w:val="18"/>
                          </w:rPr>
                        </w:pPr>
                        <w:r>
                          <w:rPr>
                            <w:rFonts w:ascii="SimSun" w:eastAsia="SimSun" w:hAnsi="SimSun" w:cs="SimSun"/>
                            <w:spacing w:val="-3"/>
                            <w:sz w:val="18"/>
                            <w:szCs w:val="18"/>
                          </w:rPr>
                          <w:t>国内外相关方法应用情况</w:t>
                        </w:r>
                      </w:p>
                    </w:tc>
                  </w:tr>
                </w:tbl>
                <w:p>
                  <w:pPr>
                    <w:rPr>
                      <w:rFonts w:ascii="Arial"/>
                      <w:sz w:val="21"/>
                    </w:rPr>
                  </w:pPr>
                </w:p>
              </w:txbxContent>
            </v:textbox>
          </v:shape>
        </w:pict>
      </w:r>
      <w:r>
        <w:pict>
          <v:shape id="_x0000_s1034" type="#_x0000_t202" style="width:61.1pt;height:22.9pt;margin-top:385.22pt;margin-left:507.92pt;mso-position-horizontal-relative:page;mso-position-vertical-relative:page;position:absolute;z-index:251676672" o:allowincell="f" filled="f" stroked="f">
            <o:lock v:ext="edit" aspectratio="f"/>
            <v:textbox inset="0,0,0,0">
              <w:txbxContent>
                <w:p>
                  <w:pPr>
                    <w:spacing w:line="20" w:lineRule="exact"/>
                  </w:pPr>
                </w:p>
                <w:tbl>
                  <w:tblPr>
                    <w:tblStyle w:val="TableNormal8"/>
                    <w:tblW w:w="1166"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66"/>
                  </w:tblGrid>
                  <w:tr>
                    <w:tblPrEx>
                      <w:tblW w:w="1166"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87"/>
                    </w:trPr>
                    <w:tc>
                      <w:tcPr>
                        <w:tcW w:w="1166" w:type="dxa"/>
                        <w:vAlign w:val="top"/>
                      </w:tcPr>
                      <w:p>
                        <w:pPr>
                          <w:spacing w:before="139" w:line="220" w:lineRule="auto"/>
                          <w:ind w:left="225"/>
                          <w:rPr>
                            <w:rFonts w:ascii="SimSun" w:eastAsia="SimSun" w:hAnsi="SimSun" w:cs="SimSun"/>
                            <w:sz w:val="18"/>
                            <w:szCs w:val="18"/>
                          </w:rPr>
                        </w:pPr>
                        <w:r>
                          <w:rPr>
                            <w:rFonts w:ascii="SimSun" w:eastAsia="SimSun" w:hAnsi="SimSun" w:cs="SimSun"/>
                            <w:spacing w:val="-2"/>
                            <w:sz w:val="18"/>
                            <w:szCs w:val="18"/>
                          </w:rPr>
                          <w:t>土壤种类</w:t>
                        </w:r>
                      </w:p>
                    </w:tc>
                  </w:tr>
                </w:tbl>
                <w:p>
                  <w:pPr>
                    <w:rPr>
                      <w:rFonts w:ascii="Arial"/>
                      <w:sz w:val="21"/>
                    </w:rPr>
                  </w:pPr>
                </w:p>
              </w:txbxContent>
            </v:textbox>
          </v:shape>
        </w:pict>
      </w:r>
      <w:r>
        <w:pict>
          <v:shape id="_x0000_s1035" type="#_x0000_t202" style="width:61.15pt;height:22.9pt;margin-top:426.92pt;margin-left:509.02pt;mso-position-horizontal-relative:page;mso-position-vertical-relative:page;position:absolute;z-index:251674624" o:allowincell="f" filled="f" stroked="f">
            <o:lock v:ext="edit" aspectratio="f"/>
            <v:textbox inset="0,0,0,0">
              <w:txbxContent>
                <w:p>
                  <w:pPr>
                    <w:spacing w:line="20" w:lineRule="exact"/>
                  </w:pPr>
                </w:p>
                <w:tbl>
                  <w:tblPr>
                    <w:tblStyle w:val="TableNormal8"/>
                    <w:tblW w:w="1167"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67"/>
                  </w:tblGrid>
                  <w:tr>
                    <w:tblPrEx>
                      <w:tblW w:w="1167"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87"/>
                    </w:trPr>
                    <w:tc>
                      <w:tcPr>
                        <w:tcW w:w="1167" w:type="dxa"/>
                        <w:vAlign w:val="top"/>
                      </w:tcPr>
                      <w:p>
                        <w:pPr>
                          <w:spacing w:before="140" w:line="220" w:lineRule="auto"/>
                          <w:ind w:left="315"/>
                          <w:rPr>
                            <w:rFonts w:ascii="SimSun" w:eastAsia="SimSun" w:hAnsi="SimSun" w:cs="SimSun"/>
                            <w:sz w:val="18"/>
                            <w:szCs w:val="18"/>
                          </w:rPr>
                        </w:pPr>
                        <w:r>
                          <w:rPr>
                            <w:rFonts w:ascii="SimSun" w:eastAsia="SimSun" w:hAnsi="SimSun" w:cs="SimSun"/>
                            <w:spacing w:val="-2"/>
                            <w:sz w:val="18"/>
                            <w:szCs w:val="18"/>
                          </w:rPr>
                          <w:t>含水率</w:t>
                        </w:r>
                      </w:p>
                    </w:tc>
                  </w:tr>
                </w:tbl>
                <w:p>
                  <w:pPr>
                    <w:rPr>
                      <w:rFonts w:ascii="Arial"/>
                      <w:sz w:val="21"/>
                    </w:rPr>
                  </w:pPr>
                </w:p>
              </w:txbxContent>
            </v:textbox>
          </v:shape>
        </w:pict>
      </w:r>
      <w:r>
        <w:pict>
          <v:shape id="_x0000_s1036" type="#_x0000_t202" style="width:58.1pt;height:39.55pt;margin-top:432.72pt;margin-left:199.58pt;mso-position-horizontal-relative:page;mso-position-vertical-relative:page;position:absolute;z-index:251669504" o:allowincell="f" filled="f" stroked="f">
            <o:lock v:ext="edit" aspectratio="f"/>
            <v:textbox inset="0,0,0,0">
              <w:txbxContent>
                <w:p>
                  <w:pPr>
                    <w:spacing w:line="20" w:lineRule="exact"/>
                  </w:pPr>
                </w:p>
                <w:tbl>
                  <w:tblPr>
                    <w:tblStyle w:val="TableNormal8"/>
                    <w:tblW w:w="1106"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06"/>
                  </w:tblGrid>
                  <w:tr>
                    <w:tblPrEx>
                      <w:tblW w:w="1106"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720"/>
                    </w:trPr>
                    <w:tc>
                      <w:tcPr>
                        <w:tcW w:w="1106" w:type="dxa"/>
                        <w:vAlign w:val="top"/>
                      </w:tcPr>
                      <w:p>
                        <w:pPr>
                          <w:spacing w:before="140" w:line="270" w:lineRule="auto"/>
                          <w:ind w:left="284" w:right="184" w:hanging="89"/>
                          <w:rPr>
                            <w:rFonts w:ascii="SimSun" w:eastAsia="SimSun" w:hAnsi="SimSun" w:cs="SimSun"/>
                            <w:sz w:val="18"/>
                            <w:szCs w:val="18"/>
                          </w:rPr>
                        </w:pPr>
                        <w:r>
                          <w:rPr>
                            <w:rFonts w:ascii="SimSun" w:eastAsia="SimSun" w:hAnsi="SimSun" w:cs="SimSun"/>
                            <w:spacing w:val="-3"/>
                            <w:sz w:val="18"/>
                            <w:szCs w:val="18"/>
                          </w:rPr>
                          <w:t>软件算法</w:t>
                        </w:r>
                        <w:r>
                          <w:rPr>
                            <w:rFonts w:ascii="SimSun" w:eastAsia="SimSun" w:hAnsi="SimSun" w:cs="SimSun"/>
                            <w:spacing w:val="1"/>
                            <w:sz w:val="18"/>
                            <w:szCs w:val="18"/>
                          </w:rPr>
                          <w:t xml:space="preserve"> </w:t>
                        </w:r>
                        <w:r>
                          <w:rPr>
                            <w:rFonts w:ascii="SimSun" w:eastAsia="SimSun" w:hAnsi="SimSun" w:cs="SimSun"/>
                            <w:spacing w:val="-2"/>
                            <w:sz w:val="18"/>
                            <w:szCs w:val="18"/>
                          </w:rPr>
                          <w:t>和校准</w:t>
                        </w:r>
                      </w:p>
                    </w:tc>
                  </w:tr>
                </w:tbl>
                <w:p>
                  <w:pPr>
                    <w:rPr>
                      <w:rFonts w:ascii="Arial"/>
                      <w:sz w:val="21"/>
                    </w:rPr>
                  </w:pPr>
                </w:p>
              </w:txbxContent>
            </v:textbox>
          </v:shape>
        </w:pict>
      </w:r>
      <w:r>
        <w:pict>
          <v:shape id="_x0000_s1037" type="#_x0000_t202" style="width:67.9pt;height:39.55pt;margin-top:432.72pt;margin-left:341.82pt;mso-position-horizontal-relative:page;mso-position-vertical-relative:page;position:absolute;z-index:251664384" o:allowincell="f" filled="f" stroked="f">
            <o:lock v:ext="edit" aspectratio="f"/>
            <v:textbox inset="0,0,0,0">
              <w:txbxContent>
                <w:p>
                  <w:pPr>
                    <w:spacing w:line="20" w:lineRule="exact"/>
                  </w:pPr>
                </w:p>
                <w:tbl>
                  <w:tblPr>
                    <w:tblStyle w:val="TableNormal8"/>
                    <w:tblW w:w="1302"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302"/>
                  </w:tblGrid>
                  <w:tr>
                    <w:tblPrEx>
                      <w:tblW w:w="1302"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720"/>
                    </w:trPr>
                    <w:tc>
                      <w:tcPr>
                        <w:tcW w:w="1302" w:type="dxa"/>
                        <w:vAlign w:val="top"/>
                      </w:tcPr>
                      <w:p>
                        <w:pPr>
                          <w:spacing w:before="141" w:line="270" w:lineRule="auto"/>
                          <w:ind w:left="394" w:right="193" w:hanging="194"/>
                          <w:rPr>
                            <w:rFonts w:ascii="SimSun" w:eastAsia="SimSun" w:hAnsi="SimSun" w:cs="SimSun"/>
                            <w:sz w:val="18"/>
                            <w:szCs w:val="18"/>
                          </w:rPr>
                        </w:pPr>
                        <w:r>
                          <w:rPr>
                            <w:rFonts w:ascii="SimSun" w:eastAsia="SimSun" w:hAnsi="SimSun" w:cs="SimSun"/>
                            <w:spacing w:val="-2"/>
                            <w:sz w:val="18"/>
                            <w:szCs w:val="18"/>
                          </w:rPr>
                          <w:t>重金属元素</w:t>
                        </w:r>
                        <w:r>
                          <w:rPr>
                            <w:rFonts w:ascii="SimSun" w:eastAsia="SimSun" w:hAnsi="SimSun" w:cs="SimSun"/>
                            <w:spacing w:val="1"/>
                            <w:sz w:val="18"/>
                            <w:szCs w:val="18"/>
                          </w:rPr>
                          <w:t xml:space="preserve"> </w:t>
                        </w:r>
                        <w:r>
                          <w:rPr>
                            <w:rFonts w:ascii="SimSun" w:eastAsia="SimSun" w:hAnsi="SimSun" w:cs="SimSun"/>
                            <w:spacing w:val="-5"/>
                            <w:sz w:val="18"/>
                            <w:szCs w:val="18"/>
                          </w:rPr>
                          <w:t>的选择</w:t>
                        </w:r>
                      </w:p>
                    </w:tc>
                  </w:tr>
                </w:tbl>
                <w:p>
                  <w:pPr>
                    <w:rPr>
                      <w:rFonts w:ascii="Arial"/>
                      <w:sz w:val="21"/>
                    </w:rPr>
                  </w:pPr>
                </w:p>
              </w:txbxContent>
            </v:textbox>
          </v:shape>
        </w:pict>
      </w:r>
      <w:r>
        <w:pict>
          <v:shape id="_x0000_s1038" type="#_x0000_t202" style="width:61pt;height:39.55pt;margin-top:432.82pt;margin-left:421.48pt;mso-position-horizontal-relative:page;mso-position-vertical-relative:page;position:absolute;z-index:251666432" o:allowincell="f" filled="f" stroked="f">
            <o:lock v:ext="edit" aspectratio="f"/>
            <v:textbox inset="0,0,0,0">
              <w:txbxContent>
                <w:p>
                  <w:pPr>
                    <w:spacing w:line="20" w:lineRule="exact"/>
                  </w:pPr>
                </w:p>
                <w:tbl>
                  <w:tblPr>
                    <w:tblStyle w:val="TableNormal8"/>
                    <w:tblW w:w="1165"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65"/>
                  </w:tblGrid>
                  <w:tr>
                    <w:tblPrEx>
                      <w:tblW w:w="1165"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720"/>
                    </w:trPr>
                    <w:tc>
                      <w:tcPr>
                        <w:tcW w:w="1165" w:type="dxa"/>
                        <w:vAlign w:val="top"/>
                      </w:tcPr>
                      <w:p>
                        <w:pPr>
                          <w:spacing w:before="141" w:line="270" w:lineRule="auto"/>
                          <w:ind w:left="406" w:right="214" w:hanging="184"/>
                          <w:rPr>
                            <w:rFonts w:ascii="SimSun" w:eastAsia="SimSun" w:hAnsi="SimSun" w:cs="SimSun"/>
                            <w:sz w:val="18"/>
                            <w:szCs w:val="18"/>
                          </w:rPr>
                        </w:pPr>
                        <w:r>
                          <w:rPr>
                            <w:rFonts w:ascii="SimSun" w:eastAsia="SimSun" w:hAnsi="SimSun" w:cs="SimSun"/>
                            <w:spacing w:val="-2"/>
                            <w:sz w:val="18"/>
                            <w:szCs w:val="18"/>
                          </w:rPr>
                          <w:t>影响因素</w:t>
                        </w:r>
                        <w:r>
                          <w:rPr>
                            <w:rFonts w:ascii="SimSun" w:eastAsia="SimSun" w:hAnsi="SimSun" w:cs="SimSun"/>
                            <w:sz w:val="18"/>
                            <w:szCs w:val="18"/>
                          </w:rPr>
                          <w:t xml:space="preserve"> </w:t>
                        </w:r>
                        <w:r>
                          <w:rPr>
                            <w:rFonts w:ascii="SimSun" w:eastAsia="SimSun" w:hAnsi="SimSun" w:cs="SimSun"/>
                            <w:spacing w:val="-3"/>
                            <w:sz w:val="18"/>
                            <w:szCs w:val="18"/>
                          </w:rPr>
                          <w:t>实验</w:t>
                        </w:r>
                      </w:p>
                    </w:tc>
                  </w:tr>
                </w:tbl>
                <w:p>
                  <w:pPr>
                    <w:rPr>
                      <w:rFonts w:ascii="Arial"/>
                      <w:sz w:val="21"/>
                    </w:rPr>
                  </w:pPr>
                </w:p>
              </w:txbxContent>
            </v:textbox>
          </v:shape>
        </w:pict>
      </w:r>
      <w:r>
        <w:pict>
          <v:shape id="_x0000_s1039" type="#_x0000_t202" style="width:61.1pt;height:39.55pt;margin-top:433.82pt;margin-left:128.68pt;mso-position-horizontal-relative:page;mso-position-vertical-relative:page;position:absolute;z-index:251693056" o:allowincell="f" filled="f" stroked="f">
            <o:lock v:ext="edit" aspectratio="f"/>
            <v:textbox inset="0,0,0,0">
              <w:txbxContent>
                <w:p>
                  <w:pPr>
                    <w:spacing w:line="20" w:lineRule="exact"/>
                  </w:pPr>
                </w:p>
                <w:tbl>
                  <w:tblPr>
                    <w:tblStyle w:val="TableNormal8"/>
                    <w:tblW w:w="1166"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66"/>
                  </w:tblGrid>
                  <w:tr>
                    <w:tblPrEx>
                      <w:tblW w:w="1166"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720"/>
                    </w:trPr>
                    <w:tc>
                      <w:tcPr>
                        <w:tcW w:w="1166" w:type="dxa"/>
                        <w:vAlign w:val="top"/>
                      </w:tcPr>
                      <w:p>
                        <w:pPr>
                          <w:spacing w:before="139" w:line="270" w:lineRule="auto"/>
                          <w:ind w:left="226" w:right="214" w:hanging="4"/>
                          <w:rPr>
                            <w:rFonts w:ascii="SimSun" w:eastAsia="SimSun" w:hAnsi="SimSun" w:cs="SimSun"/>
                            <w:sz w:val="18"/>
                            <w:szCs w:val="18"/>
                          </w:rPr>
                        </w:pPr>
                        <w:r>
                          <w:rPr>
                            <w:rFonts w:ascii="SimSun" w:eastAsia="SimSun" w:hAnsi="SimSun" w:cs="SimSun"/>
                            <w:spacing w:val="-2"/>
                            <w:sz w:val="18"/>
                            <w:szCs w:val="18"/>
                          </w:rPr>
                          <w:t>采样和前</w:t>
                        </w:r>
                        <w:r>
                          <w:rPr>
                            <w:rFonts w:ascii="SimSun" w:eastAsia="SimSun" w:hAnsi="SimSun" w:cs="SimSun"/>
                            <w:sz w:val="18"/>
                            <w:szCs w:val="18"/>
                          </w:rPr>
                          <w:t xml:space="preserve"> </w:t>
                        </w:r>
                        <w:r>
                          <w:rPr>
                            <w:rFonts w:ascii="SimSun" w:eastAsia="SimSun" w:hAnsi="SimSun" w:cs="SimSun"/>
                            <w:spacing w:val="-3"/>
                            <w:sz w:val="18"/>
                            <w:szCs w:val="18"/>
                          </w:rPr>
                          <w:t>处理条件</w:t>
                        </w:r>
                      </w:p>
                    </w:tc>
                  </w:tr>
                </w:tbl>
                <w:p>
                  <w:pPr>
                    <w:rPr>
                      <w:rFonts w:ascii="Arial"/>
                      <w:sz w:val="21"/>
                    </w:rPr>
                  </w:pPr>
                </w:p>
              </w:txbxContent>
            </v:textbox>
          </v:shape>
        </w:pict>
      </w:r>
      <w:r>
        <w:pict>
          <v:shape id="_x0000_s1040" type="#_x0000_t202" style="width:61.15pt;height:22.9pt;margin-top:464.58pt;margin-left:509.02pt;mso-position-horizontal-relative:page;mso-position-vertical-relative:page;position:absolute;z-index:251675648" o:allowincell="f" filled="f" stroked="f">
            <o:lock v:ext="edit" aspectratio="f"/>
            <v:textbox inset="0,0,0,0">
              <w:txbxContent>
                <w:p>
                  <w:pPr>
                    <w:spacing w:line="20" w:lineRule="exact"/>
                  </w:pPr>
                </w:p>
                <w:tbl>
                  <w:tblPr>
                    <w:tblStyle w:val="TableNormal8"/>
                    <w:tblW w:w="1167"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67"/>
                  </w:tblGrid>
                  <w:tr>
                    <w:tblPrEx>
                      <w:tblW w:w="1167"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87"/>
                    </w:trPr>
                    <w:tc>
                      <w:tcPr>
                        <w:tcW w:w="1167" w:type="dxa"/>
                        <w:vAlign w:val="top"/>
                      </w:tcPr>
                      <w:p>
                        <w:pPr>
                          <w:spacing w:before="139" w:line="220" w:lineRule="auto"/>
                          <w:ind w:left="227"/>
                          <w:rPr>
                            <w:rFonts w:ascii="SimSun" w:eastAsia="SimSun" w:hAnsi="SimSun" w:cs="SimSun"/>
                            <w:sz w:val="18"/>
                            <w:szCs w:val="18"/>
                          </w:rPr>
                        </w:pPr>
                        <w:r>
                          <w:rPr>
                            <w:rFonts w:ascii="SimSun" w:eastAsia="SimSun" w:hAnsi="SimSun" w:cs="SimSun"/>
                            <w:spacing w:val="-2"/>
                            <w:sz w:val="18"/>
                            <w:szCs w:val="18"/>
                          </w:rPr>
                          <w:t>土壤粒径</w:t>
                        </w:r>
                      </w:p>
                    </w:tc>
                  </w:tr>
                </w:tbl>
                <w:p>
                  <w:pPr>
                    <w:rPr>
                      <w:rFonts w:ascii="Arial"/>
                      <w:sz w:val="21"/>
                    </w:rPr>
                  </w:pPr>
                </w:p>
              </w:txbxContent>
            </v:textbox>
          </v:shape>
        </w:pict>
      </w:r>
      <w:r>
        <w:drawing>
          <wp:anchor distT="0" distB="0" distL="0" distR="0" simplePos="0" relativeHeight="251679744" behindDoc="0" locked="0" layoutInCell="0" allowOverlap="1">
            <wp:simplePos x="0" y="0"/>
            <wp:positionH relativeFrom="page">
              <wp:posOffset>6315709</wp:posOffset>
            </wp:positionH>
            <wp:positionV relativeFrom="page">
              <wp:posOffset>4994275</wp:posOffset>
            </wp:positionV>
            <wp:extent cx="161417" cy="59537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0"/>
                    <a:stretch>
                      <a:fillRect/>
                    </a:stretch>
                  </pic:blipFill>
                  <pic:spPr>
                    <a:xfrm>
                      <a:off x="0" y="0"/>
                      <a:ext cx="161417" cy="595376"/>
                    </a:xfrm>
                    <a:prstGeom prst="rect">
                      <a:avLst/>
                    </a:prstGeom>
                  </pic:spPr>
                </pic:pic>
              </a:graphicData>
            </a:graphic>
          </wp:anchor>
        </w:drawing>
      </w:r>
      <w:r>
        <w:drawing>
          <wp:anchor distT="0" distB="0" distL="0" distR="0" simplePos="0" relativeHeight="251677696" behindDoc="0" locked="0" layoutInCell="0" allowOverlap="1">
            <wp:simplePos x="0" y="0"/>
            <wp:positionH relativeFrom="page">
              <wp:posOffset>6109970</wp:posOffset>
            </wp:positionH>
            <wp:positionV relativeFrom="page">
              <wp:posOffset>5674360</wp:posOffset>
            </wp:positionV>
            <wp:extent cx="210820" cy="762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1"/>
                    <a:stretch>
                      <a:fillRect/>
                    </a:stretch>
                  </pic:blipFill>
                  <pic:spPr>
                    <a:xfrm>
                      <a:off x="0" y="0"/>
                      <a:ext cx="210820" cy="76200"/>
                    </a:xfrm>
                    <a:prstGeom prst="rect">
                      <a:avLst/>
                    </a:prstGeom>
                  </pic:spPr>
                </pic:pic>
              </a:graphicData>
            </a:graphic>
          </wp:anchor>
        </w:drawing>
      </w:r>
      <w:r>
        <w:pict>
          <v:shape id="_x0000_s1041" type="#_x0000_t202" style="width:61.15pt;height:22.9pt;margin-top:541.72pt;margin-left:490.52pt;mso-position-horizontal-relative:page;mso-position-vertical-relative:page;position:absolute;z-index:251673600" o:allowincell="f" filled="f" stroked="f">
            <o:lock v:ext="edit" aspectratio="f"/>
            <v:textbox inset="0,0,0,0">
              <w:txbxContent>
                <w:p>
                  <w:pPr>
                    <w:spacing w:line="20" w:lineRule="exact"/>
                  </w:pPr>
                </w:p>
                <w:tbl>
                  <w:tblPr>
                    <w:tblStyle w:val="TableNormal8"/>
                    <w:tblW w:w="1167"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67"/>
                  </w:tblGrid>
                  <w:tr>
                    <w:tblPrEx>
                      <w:tblW w:w="1167"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87"/>
                    </w:trPr>
                    <w:tc>
                      <w:tcPr>
                        <w:tcW w:w="1167" w:type="dxa"/>
                        <w:vAlign w:val="top"/>
                      </w:tcPr>
                      <w:p>
                        <w:pPr>
                          <w:spacing w:before="139" w:line="220" w:lineRule="auto"/>
                          <w:ind w:left="227"/>
                          <w:rPr>
                            <w:rFonts w:ascii="SimSun" w:eastAsia="SimSun" w:hAnsi="SimSun" w:cs="SimSun"/>
                            <w:sz w:val="18"/>
                            <w:szCs w:val="18"/>
                          </w:rPr>
                        </w:pPr>
                        <w:r>
                          <w:rPr>
                            <w:rFonts w:ascii="SimSun" w:eastAsia="SimSun" w:hAnsi="SimSun" w:cs="SimSun"/>
                            <w:spacing w:val="-2"/>
                            <w:sz w:val="18"/>
                            <w:szCs w:val="18"/>
                          </w:rPr>
                          <w:t>方法准确</w:t>
                        </w:r>
                      </w:p>
                    </w:tc>
                  </w:tr>
                </w:tbl>
                <w:p>
                  <w:pPr>
                    <w:rPr>
                      <w:rFonts w:ascii="Arial"/>
                      <w:sz w:val="21"/>
                    </w:rPr>
                  </w:pPr>
                </w:p>
              </w:txbxContent>
            </v:textbox>
          </v:shape>
        </w:pict>
      </w:r>
      <w:r>
        <w:pict>
          <v:shape id="_x0000_s1042" type="#_x0000_t202" style="width:95.75pt;height:27.8pt;margin-top:557.48pt;margin-left:368.18pt;mso-position-horizontal-relative:page;mso-position-vertical-relative:page;position:absolute;z-index:251697152" o:allowincell="f" filled="f" stroked="f">
            <o:lock v:ext="edit" aspectratio="f"/>
            <v:textbox inset="0,0,0,0">
              <w:txbxContent>
                <w:p>
                  <w:pPr>
                    <w:spacing w:line="20" w:lineRule="exact"/>
                  </w:pPr>
                </w:p>
                <w:tbl>
                  <w:tblPr>
                    <w:tblStyle w:val="TableNormal8"/>
                    <w:tblW w:w="1860"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860"/>
                  </w:tblGrid>
                  <w:tr>
                    <w:tblPrEx>
                      <w:tblW w:w="1860"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85"/>
                    </w:trPr>
                    <w:tc>
                      <w:tcPr>
                        <w:tcW w:w="1860" w:type="dxa"/>
                        <w:vAlign w:val="top"/>
                      </w:tcPr>
                      <w:p>
                        <w:pPr>
                          <w:spacing w:before="139" w:line="219" w:lineRule="auto"/>
                          <w:ind w:left="211"/>
                          <w:rPr>
                            <w:rFonts w:ascii="SimSun" w:eastAsia="SimSun" w:hAnsi="SimSun" w:cs="SimSun"/>
                            <w:sz w:val="18"/>
                            <w:szCs w:val="18"/>
                          </w:rPr>
                        </w:pPr>
                        <w:r>
                          <w:rPr>
                            <w:rFonts w:ascii="SimSun" w:eastAsia="SimSun" w:hAnsi="SimSun" w:cs="SimSun"/>
                            <w:spacing w:val="-1"/>
                            <w:sz w:val="18"/>
                            <w:szCs w:val="18"/>
                          </w:rPr>
                          <w:t>方法特性指标研究</w:t>
                        </w:r>
                      </w:p>
                    </w:tc>
                  </w:tr>
                </w:tbl>
                <w:p>
                  <w:pPr>
                    <w:rPr>
                      <w:rFonts w:ascii="Arial"/>
                      <w:sz w:val="21"/>
                    </w:rPr>
                  </w:pPr>
                </w:p>
              </w:txbxContent>
            </v:textbox>
          </v:shape>
        </w:pict>
      </w:r>
      <w:r>
        <w:pict>
          <v:shape id="_x0000_s1043" type="#_x0000_t202" style="width:61.1pt;height:22.95pt;margin-top:572.02pt;margin-left:492.48pt;mso-position-horizontal-relative:page;mso-position-vertical-relative:page;position:absolute;z-index:251672576" o:allowincell="f" filled="f" stroked="f">
            <o:lock v:ext="edit" aspectratio="f"/>
            <v:textbox inset="0,0,0,0">
              <w:txbxContent>
                <w:p>
                  <w:pPr>
                    <w:spacing w:line="20" w:lineRule="exact"/>
                  </w:pPr>
                </w:p>
                <w:tbl>
                  <w:tblPr>
                    <w:tblStyle w:val="TableNormal8"/>
                    <w:tblW w:w="1166"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66"/>
                  </w:tblGrid>
                  <w:tr>
                    <w:tblPrEx>
                      <w:tblW w:w="1166"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88"/>
                    </w:trPr>
                    <w:tc>
                      <w:tcPr>
                        <w:tcW w:w="1166" w:type="dxa"/>
                        <w:vAlign w:val="top"/>
                      </w:tcPr>
                      <w:p>
                        <w:pPr>
                          <w:spacing w:before="141" w:line="219" w:lineRule="auto"/>
                          <w:ind w:left="226"/>
                          <w:rPr>
                            <w:rFonts w:ascii="SimSun" w:eastAsia="SimSun" w:hAnsi="SimSun" w:cs="SimSun"/>
                            <w:sz w:val="18"/>
                            <w:szCs w:val="18"/>
                          </w:rPr>
                        </w:pPr>
                        <w:r>
                          <w:rPr>
                            <w:rFonts w:ascii="SimSun" w:eastAsia="SimSun" w:hAnsi="SimSun" w:cs="SimSun"/>
                            <w:spacing w:val="-2"/>
                            <w:sz w:val="18"/>
                            <w:szCs w:val="18"/>
                          </w:rPr>
                          <w:t>方法精密</w:t>
                        </w:r>
                      </w:p>
                    </w:tc>
                  </w:tr>
                </w:tbl>
                <w:p>
                  <w:pPr>
                    <w:rPr>
                      <w:rFonts w:ascii="Arial"/>
                      <w:sz w:val="21"/>
                    </w:rPr>
                  </w:pPr>
                </w:p>
              </w:txbxContent>
            </v:textbox>
          </v:shape>
        </w:pict>
      </w:r>
      <w:r>
        <w:drawing>
          <wp:anchor distT="0" distB="0" distL="0" distR="0" simplePos="0" relativeHeight="251699200" behindDoc="0" locked="0" layoutInCell="0" allowOverlap="1">
            <wp:simplePos x="0" y="0"/>
            <wp:positionH relativeFrom="page">
              <wp:posOffset>5875020</wp:posOffset>
            </wp:positionH>
            <wp:positionV relativeFrom="page">
              <wp:posOffset>7185660</wp:posOffset>
            </wp:positionV>
            <wp:extent cx="210820" cy="762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1"/>
                    <a:stretch>
                      <a:fillRect/>
                    </a:stretch>
                  </pic:blipFill>
                  <pic:spPr>
                    <a:xfrm>
                      <a:off x="0" y="0"/>
                      <a:ext cx="210820" cy="76200"/>
                    </a:xfrm>
                    <a:prstGeom prst="rect">
                      <a:avLst/>
                    </a:prstGeom>
                  </pic:spPr>
                </pic:pic>
              </a:graphicData>
            </a:graphic>
          </wp:anchor>
        </w:drawing>
      </w:r>
      <w:r>
        <w:drawing>
          <wp:anchor distT="0" distB="0" distL="0" distR="0" simplePos="0" relativeHeight="251662336" behindDoc="1" locked="0" layoutInCell="0" allowOverlap="1">
            <wp:simplePos x="0" y="0"/>
            <wp:positionH relativeFrom="page">
              <wp:posOffset>3830320</wp:posOffset>
            </wp:positionH>
            <wp:positionV relativeFrom="page">
              <wp:posOffset>8070850</wp:posOffset>
            </wp:positionV>
            <wp:extent cx="76200" cy="16827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2"/>
                    <a:stretch>
                      <a:fillRect/>
                    </a:stretch>
                  </pic:blipFill>
                  <pic:spPr>
                    <a:xfrm>
                      <a:off x="0" y="0"/>
                      <a:ext cx="76200" cy="168274"/>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1659255</wp:posOffset>
            </wp:positionH>
            <wp:positionV relativeFrom="page">
              <wp:posOffset>3095625</wp:posOffset>
            </wp:positionV>
            <wp:extent cx="76200" cy="23748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3"/>
                    <a:stretch>
                      <a:fillRect/>
                    </a:stretch>
                  </pic:blipFill>
                  <pic:spPr>
                    <a:xfrm>
                      <a:off x="0" y="0"/>
                      <a:ext cx="76200" cy="237489"/>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6110604</wp:posOffset>
            </wp:positionH>
            <wp:positionV relativeFrom="page">
              <wp:posOffset>3107690</wp:posOffset>
            </wp:positionV>
            <wp:extent cx="76200" cy="22479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4"/>
                    <a:stretch>
                      <a:fillRect/>
                    </a:stretch>
                  </pic:blipFill>
                  <pic:spPr>
                    <a:xfrm>
                      <a:off x="0" y="0"/>
                      <a:ext cx="76200" cy="224790"/>
                    </a:xfrm>
                    <a:prstGeom prst="rect">
                      <a:avLst/>
                    </a:prstGeom>
                  </pic:spPr>
                </pic:pic>
              </a:graphicData>
            </a:graphic>
          </wp:anchor>
        </w:drawing>
      </w:r>
      <w:r>
        <w:drawing>
          <wp:anchor distT="0" distB="0" distL="0" distR="0" simplePos="0" relativeHeight="251680768" behindDoc="0" locked="0" layoutInCell="0" allowOverlap="1">
            <wp:simplePos x="0" y="0"/>
            <wp:positionH relativeFrom="page">
              <wp:posOffset>2902585</wp:posOffset>
            </wp:positionH>
            <wp:positionV relativeFrom="page">
              <wp:posOffset>5273675</wp:posOffset>
            </wp:positionV>
            <wp:extent cx="76200" cy="25336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5"/>
                    <a:stretch>
                      <a:fillRect/>
                    </a:stretch>
                  </pic:blipFill>
                  <pic:spPr>
                    <a:xfrm>
                      <a:off x="0" y="0"/>
                      <a:ext cx="76200" cy="253365"/>
                    </a:xfrm>
                    <a:prstGeom prst="rect">
                      <a:avLst/>
                    </a:prstGeom>
                  </pic:spPr>
                </pic:pic>
              </a:graphicData>
            </a:graphic>
          </wp:anchor>
        </w:drawing>
      </w:r>
      <w:r>
        <w:drawing>
          <wp:anchor distT="0" distB="0" distL="0" distR="0" simplePos="0" relativeHeight="251692032" behindDoc="0" locked="0" layoutInCell="0" allowOverlap="1">
            <wp:simplePos x="0" y="0"/>
            <wp:positionH relativeFrom="page">
              <wp:posOffset>2000250</wp:posOffset>
            </wp:positionH>
            <wp:positionV relativeFrom="page">
              <wp:posOffset>5269865</wp:posOffset>
            </wp:positionV>
            <wp:extent cx="76200" cy="268605"/>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6"/>
                    <a:stretch>
                      <a:fillRect/>
                    </a:stretch>
                  </pic:blipFill>
                  <pic:spPr>
                    <a:xfrm>
                      <a:off x="0" y="0"/>
                      <a:ext cx="76200" cy="268605"/>
                    </a:xfrm>
                    <a:prstGeom prst="rect">
                      <a:avLst/>
                    </a:prstGeom>
                  </pic:spPr>
                </pic:pic>
              </a:graphicData>
            </a:graphic>
          </wp:anchor>
        </w:drawing>
      </w:r>
      <w:r>
        <w:drawing>
          <wp:anchor distT="0" distB="0" distL="0" distR="0" simplePos="0" relativeHeight="251691008" behindDoc="0" locked="0" layoutInCell="0" allowOverlap="1">
            <wp:simplePos x="0" y="0"/>
            <wp:positionH relativeFrom="page">
              <wp:posOffset>4733290</wp:posOffset>
            </wp:positionH>
            <wp:positionV relativeFrom="page">
              <wp:posOffset>5261610</wp:posOffset>
            </wp:positionV>
            <wp:extent cx="76200" cy="252729"/>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7"/>
                    <a:stretch>
                      <a:fillRect/>
                    </a:stretch>
                  </pic:blipFill>
                  <pic:spPr>
                    <a:xfrm>
                      <a:off x="0" y="0"/>
                      <a:ext cx="76200" cy="252729"/>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5698490</wp:posOffset>
            </wp:positionH>
            <wp:positionV relativeFrom="page">
              <wp:posOffset>5277485</wp:posOffset>
            </wp:positionV>
            <wp:extent cx="76200" cy="236854"/>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8"/>
                    <a:stretch>
                      <a:fillRect/>
                    </a:stretch>
                  </pic:blipFill>
                  <pic:spPr>
                    <a:xfrm>
                      <a:off x="0" y="0"/>
                      <a:ext cx="76200" cy="236854"/>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2901950</wp:posOffset>
            </wp:positionH>
            <wp:positionV relativeFrom="page">
              <wp:posOffset>5994400</wp:posOffset>
            </wp:positionV>
            <wp:extent cx="76200" cy="170814"/>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9"/>
                    <a:stretch>
                      <a:fillRect/>
                    </a:stretch>
                  </pic:blipFill>
                  <pic:spPr>
                    <a:xfrm>
                      <a:off x="0" y="0"/>
                      <a:ext cx="76200" cy="170814"/>
                    </a:xfrm>
                    <a:prstGeom prst="rect">
                      <a:avLst/>
                    </a:prstGeom>
                  </pic:spPr>
                </pic:pic>
              </a:graphicData>
            </a:graphic>
          </wp:anchor>
        </w:drawing>
      </w:r>
      <w:r>
        <w:drawing>
          <wp:anchor distT="0" distB="0" distL="0" distR="0" simplePos="0" relativeHeight="251694080" behindDoc="0" locked="0" layoutInCell="0" allowOverlap="1">
            <wp:simplePos x="0" y="0"/>
            <wp:positionH relativeFrom="page">
              <wp:posOffset>2000250</wp:posOffset>
            </wp:positionH>
            <wp:positionV relativeFrom="page">
              <wp:posOffset>5989955</wp:posOffset>
            </wp:positionV>
            <wp:extent cx="76200" cy="17145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0"/>
                    <a:stretch>
                      <a:fillRect/>
                    </a:stretch>
                  </pic:blipFill>
                  <pic:spPr>
                    <a:xfrm>
                      <a:off x="0" y="0"/>
                      <a:ext cx="76200" cy="171450"/>
                    </a:xfrm>
                    <a:prstGeom prst="rect">
                      <a:avLst/>
                    </a:prstGeom>
                  </pic:spPr>
                </pic:pic>
              </a:graphicData>
            </a:graphic>
          </wp:anchor>
        </w:drawing>
      </w:r>
      <w:r>
        <w:drawing>
          <wp:anchor distT="0" distB="0" distL="0" distR="0" simplePos="0" relativeHeight="251683840" behindDoc="0" locked="0" layoutInCell="0" allowOverlap="1">
            <wp:simplePos x="0" y="0"/>
            <wp:positionH relativeFrom="page">
              <wp:posOffset>4732654</wp:posOffset>
            </wp:positionH>
            <wp:positionV relativeFrom="page">
              <wp:posOffset>5993765</wp:posOffset>
            </wp:positionV>
            <wp:extent cx="76200" cy="17907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1"/>
                    <a:stretch>
                      <a:fillRect/>
                    </a:stretch>
                  </pic:blipFill>
                  <pic:spPr>
                    <a:xfrm>
                      <a:off x="0" y="0"/>
                      <a:ext cx="76200" cy="179070"/>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5697854</wp:posOffset>
            </wp:positionH>
            <wp:positionV relativeFrom="page">
              <wp:posOffset>5989955</wp:posOffset>
            </wp:positionV>
            <wp:extent cx="76200" cy="18288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2"/>
                    <a:stretch>
                      <a:fillRect/>
                    </a:stretch>
                  </pic:blipFill>
                  <pic:spPr>
                    <a:xfrm>
                      <a:off x="0" y="0"/>
                      <a:ext cx="76200" cy="182880"/>
                    </a:xfrm>
                    <a:prstGeom prst="rect">
                      <a:avLst/>
                    </a:prstGeom>
                  </pic:spPr>
                </pic:pic>
              </a:graphicData>
            </a:graphic>
          </wp:anchor>
        </w:drawing>
      </w:r>
      <w:r>
        <w:drawing>
          <wp:anchor distT="0" distB="0" distL="0" distR="0" simplePos="0" relativeHeight="251686912" behindDoc="0" locked="0" layoutInCell="0" allowOverlap="1">
            <wp:simplePos x="0" y="0"/>
            <wp:positionH relativeFrom="page">
              <wp:posOffset>6320790</wp:posOffset>
            </wp:positionH>
            <wp:positionV relativeFrom="page">
              <wp:posOffset>6007100</wp:posOffset>
            </wp:positionV>
            <wp:extent cx="161289" cy="762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3"/>
                    <a:stretch>
                      <a:fillRect/>
                    </a:stretch>
                  </pic:blipFill>
                  <pic:spPr>
                    <a:xfrm>
                      <a:off x="0" y="0"/>
                      <a:ext cx="161289" cy="76200"/>
                    </a:xfrm>
                    <a:prstGeom prst="rect">
                      <a:avLst/>
                    </a:prstGeom>
                  </pic:spPr>
                </pic:pic>
              </a:graphicData>
            </a:graphic>
          </wp:anchor>
        </w:drawing>
      </w:r>
      <w:r>
        <w:drawing>
          <wp:anchor distT="0" distB="0" distL="0" distR="0" simplePos="0" relativeHeight="251700224" behindDoc="0" locked="0" layoutInCell="0" allowOverlap="1">
            <wp:simplePos x="0" y="0"/>
            <wp:positionH relativeFrom="page">
              <wp:posOffset>2512060</wp:posOffset>
            </wp:positionH>
            <wp:positionV relativeFrom="page">
              <wp:posOffset>6850380</wp:posOffset>
            </wp:positionV>
            <wp:extent cx="76200" cy="245109"/>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4"/>
                    <a:stretch>
                      <a:fillRect/>
                    </a:stretch>
                  </pic:blipFill>
                  <pic:spPr>
                    <a:xfrm>
                      <a:off x="0" y="0"/>
                      <a:ext cx="76200" cy="245109"/>
                    </a:xfrm>
                    <a:prstGeom prst="rect">
                      <a:avLst/>
                    </a:prstGeom>
                  </pic:spPr>
                </pic:pic>
              </a:graphicData>
            </a:graphic>
          </wp:anchor>
        </w:drawing>
      </w:r>
      <w:r>
        <w:drawing>
          <wp:anchor distT="0" distB="0" distL="0" distR="0" simplePos="0" relativeHeight="251685888" behindDoc="0" locked="0" layoutInCell="0" allowOverlap="1">
            <wp:simplePos x="0" y="0"/>
            <wp:positionH relativeFrom="page">
              <wp:posOffset>6085840</wp:posOffset>
            </wp:positionH>
            <wp:positionV relativeFrom="page">
              <wp:posOffset>6981571</wp:posOffset>
            </wp:positionV>
            <wp:extent cx="161416" cy="762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5"/>
                    <a:stretch>
                      <a:fillRect/>
                    </a:stretch>
                  </pic:blipFill>
                  <pic:spPr>
                    <a:xfrm>
                      <a:off x="0" y="0"/>
                      <a:ext cx="161416" cy="76200"/>
                    </a:xfrm>
                    <a:prstGeom prst="rect">
                      <a:avLst/>
                    </a:prstGeom>
                  </pic:spPr>
                </pic:pic>
              </a:graphicData>
            </a:graphic>
          </wp:anchor>
        </w:drawing>
      </w:r>
      <w:r>
        <w:drawing>
          <wp:anchor distT="0" distB="0" distL="0" distR="0" simplePos="0" relativeHeight="251698176" behindDoc="0" locked="0" layoutInCell="0" allowOverlap="1">
            <wp:simplePos x="0" y="0"/>
            <wp:positionH relativeFrom="page">
              <wp:posOffset>5221604</wp:posOffset>
            </wp:positionH>
            <wp:positionV relativeFrom="page">
              <wp:posOffset>7397750</wp:posOffset>
            </wp:positionV>
            <wp:extent cx="76200" cy="172719"/>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6"/>
                    <a:stretch>
                      <a:fillRect/>
                    </a:stretch>
                  </pic:blipFill>
                  <pic:spPr>
                    <a:xfrm>
                      <a:off x="0" y="0"/>
                      <a:ext cx="76200" cy="172719"/>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6110604</wp:posOffset>
            </wp:positionH>
            <wp:positionV relativeFrom="page">
              <wp:posOffset>7378446</wp:posOffset>
            </wp:positionV>
            <wp:extent cx="161416" cy="7620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7"/>
                    <a:stretch>
                      <a:fillRect/>
                    </a:stretch>
                  </pic:blipFill>
                  <pic:spPr>
                    <a:xfrm>
                      <a:off x="0" y="0"/>
                      <a:ext cx="161416" cy="76200"/>
                    </a:xfrm>
                    <a:prstGeom prst="rect">
                      <a:avLst/>
                    </a:prstGeom>
                  </pic:spPr>
                </pic:pic>
              </a:graphicData>
            </a:graphic>
          </wp:anchor>
        </w:drawing>
      </w:r>
      <w:r>
        <w:drawing>
          <wp:anchor distT="0" distB="0" distL="0" distR="0" simplePos="0" relativeHeight="251696128" behindDoc="0" locked="0" layoutInCell="0" allowOverlap="1">
            <wp:simplePos x="0" y="0"/>
            <wp:positionH relativeFrom="page">
              <wp:posOffset>5213984</wp:posOffset>
            </wp:positionH>
            <wp:positionV relativeFrom="page">
              <wp:posOffset>6851015</wp:posOffset>
            </wp:positionV>
            <wp:extent cx="76200" cy="245109"/>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8"/>
                    <a:stretch>
                      <a:fillRect/>
                    </a:stretch>
                  </pic:blipFill>
                  <pic:spPr>
                    <a:xfrm>
                      <a:off x="0" y="0"/>
                      <a:ext cx="76200" cy="245109"/>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3827144</wp:posOffset>
            </wp:positionH>
            <wp:positionV relativeFrom="page">
              <wp:posOffset>7568565</wp:posOffset>
            </wp:positionV>
            <wp:extent cx="76200" cy="245109"/>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9"/>
                    <a:stretch>
                      <a:fillRect/>
                    </a:stretch>
                  </pic:blipFill>
                  <pic:spPr>
                    <a:xfrm>
                      <a:off x="0" y="0"/>
                      <a:ext cx="76200" cy="245109"/>
                    </a:xfrm>
                    <a:prstGeom prst="rect">
                      <a:avLst/>
                    </a:prstGeom>
                  </pic:spPr>
                </pic:pic>
              </a:graphicData>
            </a:graphic>
          </wp:anchor>
        </w:drawing>
      </w:r>
      <w:r>
        <w:rPr>
          <w:rFonts w:ascii="Times New Roman" w:eastAsia="Times New Roman" w:hAnsi="Times New Roman" w:cs="Times New Roman"/>
          <w:b/>
          <w:bCs/>
          <w:spacing w:val="-2"/>
        </w:rPr>
        <w:t xml:space="preserve">6  </w:t>
      </w:r>
      <w:r>
        <w:rPr>
          <w:b/>
          <w:bCs/>
          <w:spacing w:val="-2"/>
        </w:rPr>
        <w:t>主要技术内容及说明</w:t>
      </w:r>
    </w:p>
    <w:p>
      <w:pPr>
        <w:spacing w:line="254" w:lineRule="auto"/>
        <w:rPr>
          <w:rFonts w:ascii="Arial"/>
          <w:sz w:val="21"/>
        </w:rPr>
      </w:pPr>
    </w:p>
    <w:p>
      <w:pPr>
        <w:spacing w:line="255" w:lineRule="auto"/>
        <w:rPr>
          <w:rFonts w:ascii="Arial"/>
          <w:sz w:val="21"/>
        </w:rPr>
      </w:pPr>
    </w:p>
    <w:p>
      <w:pPr>
        <w:pStyle w:val="BodyText"/>
        <w:spacing w:before="78" w:line="219" w:lineRule="auto"/>
        <w:ind w:left="23"/>
        <w:outlineLvl w:val="0"/>
      </w:pPr>
      <w:r>
        <w:rPr>
          <w:rFonts w:ascii="Times New Roman" w:eastAsia="Times New Roman" w:hAnsi="Times New Roman" w:cs="Times New Roman"/>
          <w:b/>
          <w:bCs/>
          <w:spacing w:val="-2"/>
        </w:rPr>
        <w:t xml:space="preserve">6.1  </w:t>
      </w:r>
      <w:r>
        <w:rPr>
          <w:b/>
          <w:bCs/>
          <w:spacing w:val="-2"/>
        </w:rPr>
        <w:t>标准的研究技术路线</w:t>
      </w:r>
    </w:p>
    <w:p>
      <w:pPr>
        <w:spacing w:before="210"/>
      </w:pPr>
    </w:p>
    <w:tbl>
      <w:tblPr>
        <w:tblStyle w:val="TableNormal8"/>
        <w:tblW w:w="5192" w:type="dxa"/>
        <w:tblInd w:w="1612" w:type="dxa"/>
        <w:tblBorders>
          <w:top w:val="single" w:sz="6" w:space="0" w:color="000000"/>
          <w:left w:val="single" w:sz="6" w:space="0" w:color="000000"/>
          <w:bottom w:val="single" w:sz="6" w:space="0" w:color="000000"/>
          <w:right w:val="single" w:sz="6" w:space="0" w:color="000000"/>
        </w:tblBorders>
        <w:tblLayout w:type="fixed"/>
      </w:tblPr>
      <w:tblGrid>
        <w:gridCol w:w="5192"/>
      </w:tblGrid>
      <w:tr>
        <w:tblPrEx>
          <w:tblW w:w="5192" w:type="dxa"/>
          <w:tblInd w:w="1612" w:type="dxa"/>
          <w:tblBorders>
            <w:top w:val="single" w:sz="6" w:space="0" w:color="000000"/>
            <w:left w:val="single" w:sz="6" w:space="0" w:color="000000"/>
            <w:bottom w:val="single" w:sz="6" w:space="0" w:color="000000"/>
            <w:right w:val="single" w:sz="6" w:space="0" w:color="000000"/>
          </w:tblBorders>
          <w:tblLayout w:type="fixed"/>
        </w:tblPrEx>
        <w:trPr>
          <w:trHeight w:val="495"/>
        </w:trPr>
        <w:tc>
          <w:tcPr>
            <w:tcW w:w="5192" w:type="dxa"/>
            <w:vAlign w:val="top"/>
          </w:tcPr>
          <w:p>
            <w:pPr>
              <w:spacing w:before="139" w:line="220" w:lineRule="auto"/>
              <w:ind w:left="1067"/>
              <w:rPr>
                <w:rFonts w:ascii="SimSun" w:eastAsia="SimSun" w:hAnsi="SimSun" w:cs="SimSun"/>
                <w:sz w:val="18"/>
                <w:szCs w:val="18"/>
              </w:rPr>
            </w:pPr>
            <w:r>
              <w:rPr>
                <w:rFonts w:ascii="SimSun" w:eastAsia="SimSun" w:hAnsi="SimSun" w:cs="SimSun"/>
                <w:spacing w:val="-1"/>
                <w:sz w:val="18"/>
                <w:szCs w:val="18"/>
              </w:rPr>
              <w:t>《土壤重金属现场快速检测技术规范》</w:t>
            </w:r>
          </w:p>
        </w:tc>
      </w:tr>
    </w:tbl>
    <w:p>
      <w:pPr>
        <w:spacing w:line="388" w:lineRule="exact"/>
        <w:ind w:firstLine="4141"/>
      </w:pPr>
      <w:r>
        <w:rPr>
          <w:position w:val="-7"/>
        </w:rPr>
        <w:drawing>
          <wp:inline distT="0" distB="0" distL="0" distR="0">
            <wp:extent cx="76200" cy="246697"/>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0"/>
                    <a:stretch>
                      <a:fillRect/>
                    </a:stretch>
                  </pic:blipFill>
                  <pic:spPr>
                    <a:xfrm>
                      <a:off x="0" y="0"/>
                      <a:ext cx="76200" cy="246697"/>
                    </a:xfrm>
                    <a:prstGeom prst="rect">
                      <a:avLst/>
                    </a:prstGeom>
                  </pic:spPr>
                </pic:pic>
              </a:graphicData>
            </a:graphic>
          </wp:inline>
        </w:drawing>
      </w:r>
    </w:p>
    <w:tbl>
      <w:tblPr>
        <w:tblStyle w:val="TableNormal8"/>
        <w:tblW w:w="1610" w:type="dxa"/>
        <w:tblInd w:w="3433" w:type="dxa"/>
        <w:tblBorders>
          <w:top w:val="single" w:sz="6" w:space="0" w:color="000000"/>
          <w:left w:val="single" w:sz="6" w:space="0" w:color="000000"/>
          <w:bottom w:val="single" w:sz="6" w:space="0" w:color="000000"/>
          <w:right w:val="single" w:sz="6" w:space="0" w:color="000000"/>
        </w:tblBorders>
        <w:tblLayout w:type="fixed"/>
      </w:tblPr>
      <w:tblGrid>
        <w:gridCol w:w="1610"/>
      </w:tblGrid>
      <w:tr>
        <w:tblPrEx>
          <w:tblW w:w="1610" w:type="dxa"/>
          <w:tblInd w:w="3433" w:type="dxa"/>
          <w:tblBorders>
            <w:top w:val="single" w:sz="6" w:space="0" w:color="000000"/>
            <w:left w:val="single" w:sz="6" w:space="0" w:color="000000"/>
            <w:bottom w:val="single" w:sz="6" w:space="0" w:color="000000"/>
            <w:right w:val="single" w:sz="6" w:space="0" w:color="000000"/>
          </w:tblBorders>
          <w:tblLayout w:type="fixed"/>
        </w:tblPrEx>
        <w:trPr>
          <w:trHeight w:val="439"/>
        </w:trPr>
        <w:tc>
          <w:tcPr>
            <w:tcW w:w="1610" w:type="dxa"/>
            <w:vAlign w:val="top"/>
          </w:tcPr>
          <w:p>
            <w:pPr>
              <w:spacing w:before="135" w:line="220" w:lineRule="auto"/>
              <w:ind w:left="453"/>
              <w:rPr>
                <w:rFonts w:ascii="SimSun" w:eastAsia="SimSun" w:hAnsi="SimSun" w:cs="SimSun"/>
                <w:sz w:val="18"/>
                <w:szCs w:val="18"/>
              </w:rPr>
            </w:pPr>
            <w:r>
              <w:rPr>
                <w:rFonts w:ascii="SimSun" w:eastAsia="SimSun" w:hAnsi="SimSun" w:cs="SimSun"/>
                <w:spacing w:val="-3"/>
                <w:sz w:val="18"/>
                <w:szCs w:val="18"/>
              </w:rPr>
              <w:t>资料调研</w:t>
            </w:r>
          </w:p>
        </w:tc>
      </w:tr>
    </w:tbl>
    <w:p>
      <w:pPr>
        <w:spacing w:before="6" w:line="781" w:lineRule="exact"/>
        <w:ind w:firstLine="4108"/>
      </w:pPr>
      <w:r>
        <w:rPr>
          <w:position w:val="-15"/>
        </w:rPr>
        <w:drawing>
          <wp:inline distT="0" distB="0" distL="0" distR="0">
            <wp:extent cx="79374" cy="495776"/>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1"/>
                    <a:stretch>
                      <a:fillRect/>
                    </a:stretch>
                  </pic:blipFill>
                  <pic:spPr>
                    <a:xfrm>
                      <a:off x="0" y="0"/>
                      <a:ext cx="79374" cy="495776"/>
                    </a:xfrm>
                    <a:prstGeom prst="rect">
                      <a:avLst/>
                    </a:prstGeom>
                  </pic:spPr>
                </pic:pic>
              </a:graphicData>
            </a:graphic>
          </wp:inline>
        </w:drawing>
      </w:r>
    </w:p>
    <w:tbl>
      <w:tblPr>
        <w:tblStyle w:val="TableNormal8"/>
        <w:tblW w:w="2989" w:type="dxa"/>
        <w:tblInd w:w="2739" w:type="dxa"/>
        <w:tblBorders>
          <w:top w:val="single" w:sz="6" w:space="0" w:color="000000"/>
          <w:left w:val="single" w:sz="6" w:space="0" w:color="000000"/>
          <w:bottom w:val="single" w:sz="6" w:space="0" w:color="000000"/>
          <w:right w:val="single" w:sz="6" w:space="0" w:color="000000"/>
        </w:tblBorders>
        <w:tblLayout w:type="fixed"/>
      </w:tblPr>
      <w:tblGrid>
        <w:gridCol w:w="2989"/>
      </w:tblGrid>
      <w:tr>
        <w:tblPrEx>
          <w:tblW w:w="2989" w:type="dxa"/>
          <w:tblInd w:w="2739" w:type="dxa"/>
          <w:tblBorders>
            <w:top w:val="single" w:sz="6" w:space="0" w:color="000000"/>
            <w:left w:val="single" w:sz="6" w:space="0" w:color="000000"/>
            <w:bottom w:val="single" w:sz="6" w:space="0" w:color="000000"/>
            <w:right w:val="single" w:sz="6" w:space="0" w:color="000000"/>
          </w:tblBorders>
          <w:tblLayout w:type="fixed"/>
        </w:tblPrEx>
        <w:trPr>
          <w:trHeight w:val="439"/>
        </w:trPr>
        <w:tc>
          <w:tcPr>
            <w:tcW w:w="2989" w:type="dxa"/>
            <w:vAlign w:val="top"/>
          </w:tcPr>
          <w:p>
            <w:pPr>
              <w:spacing w:before="124" w:line="220" w:lineRule="auto"/>
              <w:ind w:left="523"/>
              <w:rPr>
                <w:rFonts w:ascii="SimSun" w:eastAsia="SimSun" w:hAnsi="SimSun" w:cs="SimSun"/>
                <w:sz w:val="18"/>
                <w:szCs w:val="18"/>
              </w:rPr>
            </w:pPr>
            <w:r>
              <w:rPr>
                <w:rFonts w:ascii="SimSun" w:eastAsia="SimSun" w:hAnsi="SimSun" w:cs="SimSun"/>
                <w:spacing w:val="-3"/>
                <w:sz w:val="18"/>
                <w:szCs w:val="18"/>
              </w:rPr>
              <w:t>国内外相关标准情况调研</w:t>
            </w:r>
          </w:p>
        </w:tc>
      </w:tr>
    </w:tbl>
    <w:p>
      <w:pPr>
        <w:spacing w:line="811" w:lineRule="exact"/>
        <w:ind w:firstLine="879"/>
      </w:pPr>
      <w:r>
        <w:rPr>
          <w:position w:val="-16"/>
        </w:rPr>
        <w:drawing>
          <wp:inline distT="0" distB="0" distL="0" distR="0">
            <wp:extent cx="4460240" cy="51482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2"/>
                    <a:stretch>
                      <a:fillRect/>
                    </a:stretch>
                  </pic:blipFill>
                  <pic:spPr>
                    <a:xfrm>
                      <a:off x="0" y="0"/>
                      <a:ext cx="4460240" cy="514825"/>
                    </a:xfrm>
                    <a:prstGeom prst="rect">
                      <a:avLst/>
                    </a:prstGeom>
                  </pic:spPr>
                </pic:pic>
              </a:graphicData>
            </a:graphic>
          </wp:inline>
        </w:drawing>
      </w:r>
    </w:p>
    <w:tbl>
      <w:tblPr>
        <w:tblStyle w:val="TableNormal8"/>
        <w:tblW w:w="3978" w:type="dxa"/>
        <w:tblInd w:w="2202" w:type="dxa"/>
        <w:tblBorders>
          <w:top w:val="single" w:sz="6" w:space="0" w:color="000000"/>
          <w:left w:val="single" w:sz="6" w:space="0" w:color="000000"/>
          <w:bottom w:val="single" w:sz="6" w:space="0" w:color="000000"/>
          <w:right w:val="single" w:sz="6" w:space="0" w:color="000000"/>
        </w:tblBorders>
        <w:tblLayout w:type="fixed"/>
      </w:tblPr>
      <w:tblGrid>
        <w:gridCol w:w="3978"/>
      </w:tblGrid>
      <w:tr>
        <w:tblPrEx>
          <w:tblW w:w="3978" w:type="dxa"/>
          <w:tblInd w:w="2202" w:type="dxa"/>
          <w:tblBorders>
            <w:top w:val="single" w:sz="6" w:space="0" w:color="000000"/>
            <w:left w:val="single" w:sz="6" w:space="0" w:color="000000"/>
            <w:bottom w:val="single" w:sz="6" w:space="0" w:color="000000"/>
            <w:right w:val="single" w:sz="6" w:space="0" w:color="000000"/>
          </w:tblBorders>
          <w:tblLayout w:type="fixed"/>
        </w:tblPrEx>
        <w:trPr>
          <w:trHeight w:val="438"/>
        </w:trPr>
        <w:tc>
          <w:tcPr>
            <w:tcW w:w="3978" w:type="dxa"/>
            <w:vAlign w:val="top"/>
          </w:tcPr>
          <w:p>
            <w:pPr>
              <w:spacing w:before="121" w:line="222" w:lineRule="auto"/>
              <w:ind w:left="153"/>
              <w:rPr>
                <w:rFonts w:ascii="SimSun" w:eastAsia="SimSun" w:hAnsi="SimSun" w:cs="SimSun"/>
                <w:sz w:val="21"/>
                <w:szCs w:val="21"/>
              </w:rPr>
            </w:pPr>
            <w:r>
              <w:rPr>
                <w:rFonts w:ascii="SimSun" w:eastAsia="SimSun" w:hAnsi="SimSun" w:cs="SimSun"/>
                <w:spacing w:val="-1"/>
                <w:sz w:val="18"/>
                <w:szCs w:val="18"/>
              </w:rPr>
              <w:t>编写开题报告和标准草案，并进行开题论</w:t>
            </w:r>
            <w:r>
              <w:rPr>
                <w:rFonts w:ascii="SimSun" w:eastAsia="SimSun" w:hAnsi="SimSun" w:cs="SimSun"/>
                <w:spacing w:val="-1"/>
                <w:sz w:val="21"/>
                <w:szCs w:val="21"/>
              </w:rPr>
              <w:t>证</w:t>
            </w:r>
          </w:p>
        </w:tc>
      </w:tr>
    </w:tbl>
    <w:p>
      <w:pPr>
        <w:spacing w:line="452" w:lineRule="exact"/>
        <w:ind w:firstLine="4123"/>
      </w:pPr>
      <w:r>
        <w:rPr>
          <w:position w:val="-9"/>
        </w:rPr>
        <w:drawing>
          <wp:inline distT="0" distB="0" distL="0" distR="0">
            <wp:extent cx="76200" cy="287337"/>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3"/>
                    <a:stretch>
                      <a:fillRect/>
                    </a:stretch>
                  </pic:blipFill>
                  <pic:spPr>
                    <a:xfrm>
                      <a:off x="0" y="0"/>
                      <a:ext cx="76200" cy="287337"/>
                    </a:xfrm>
                    <a:prstGeom prst="rect">
                      <a:avLst/>
                    </a:prstGeom>
                  </pic:spPr>
                </pic:pic>
              </a:graphicData>
            </a:graphic>
          </wp:inline>
        </w:drawing>
      </w:r>
    </w:p>
    <w:tbl>
      <w:tblPr>
        <w:tblStyle w:val="TableNormal8"/>
        <w:tblW w:w="3530" w:type="dxa"/>
        <w:tblInd w:w="2454" w:type="dxa"/>
        <w:tblBorders>
          <w:top w:val="single" w:sz="6" w:space="0" w:color="000000"/>
          <w:left w:val="single" w:sz="6" w:space="0" w:color="000000"/>
          <w:bottom w:val="single" w:sz="6" w:space="0" w:color="000000"/>
          <w:right w:val="single" w:sz="6" w:space="0" w:color="000000"/>
        </w:tblBorders>
        <w:tblLayout w:type="fixed"/>
      </w:tblPr>
      <w:tblGrid>
        <w:gridCol w:w="3530"/>
      </w:tblGrid>
      <w:tr>
        <w:tblPrEx>
          <w:tblW w:w="3530" w:type="dxa"/>
          <w:tblInd w:w="2454" w:type="dxa"/>
          <w:tblBorders>
            <w:top w:val="single" w:sz="6" w:space="0" w:color="000000"/>
            <w:left w:val="single" w:sz="6" w:space="0" w:color="000000"/>
            <w:bottom w:val="single" w:sz="6" w:space="0" w:color="000000"/>
            <w:right w:val="single" w:sz="6" w:space="0" w:color="000000"/>
          </w:tblBorders>
          <w:tblLayout w:type="fixed"/>
        </w:tblPrEx>
        <w:trPr>
          <w:trHeight w:val="437"/>
        </w:trPr>
        <w:tc>
          <w:tcPr>
            <w:tcW w:w="3530" w:type="dxa"/>
            <w:vAlign w:val="top"/>
          </w:tcPr>
          <w:p>
            <w:pPr>
              <w:spacing w:before="136" w:line="220" w:lineRule="auto"/>
              <w:ind w:left="959"/>
              <w:rPr>
                <w:rFonts w:ascii="SimSun" w:eastAsia="SimSun" w:hAnsi="SimSun" w:cs="SimSun"/>
                <w:sz w:val="18"/>
                <w:szCs w:val="18"/>
              </w:rPr>
            </w:pPr>
            <w:r>
              <w:rPr>
                <w:rFonts w:ascii="SimSun" w:eastAsia="SimSun" w:hAnsi="SimSun" w:cs="SimSun"/>
                <w:spacing w:val="-1"/>
                <w:sz w:val="18"/>
                <w:szCs w:val="18"/>
              </w:rPr>
              <w:t>设计详细的实验方案</w:t>
            </w:r>
          </w:p>
        </w:tc>
      </w:tr>
    </w:tbl>
    <w:p>
      <w:pPr>
        <w:spacing w:line="764" w:lineRule="exact"/>
        <w:ind w:firstLine="4109"/>
      </w:pPr>
      <w:r>
        <w:rPr>
          <w:position w:val="-15"/>
        </w:rPr>
        <w:drawing>
          <wp:inline distT="0" distB="0" distL="0" distR="0">
            <wp:extent cx="76834" cy="484822"/>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4"/>
                    <a:stretch>
                      <a:fillRect/>
                    </a:stretch>
                  </pic:blipFill>
                  <pic:spPr>
                    <a:xfrm>
                      <a:off x="0" y="0"/>
                      <a:ext cx="76834" cy="484822"/>
                    </a:xfrm>
                    <a:prstGeom prst="rect">
                      <a:avLst/>
                    </a:prstGeom>
                  </pic:spPr>
                </pic:pic>
              </a:graphicData>
            </a:graphic>
          </wp:inline>
        </w:drawing>
      </w:r>
    </w:p>
    <w:tbl>
      <w:tblPr>
        <w:tblStyle w:val="TableNormal8"/>
        <w:tblW w:w="1274" w:type="dxa"/>
        <w:tblInd w:w="3567" w:type="dxa"/>
        <w:tblBorders>
          <w:top w:val="single" w:sz="6" w:space="0" w:color="000000"/>
          <w:left w:val="single" w:sz="6" w:space="0" w:color="000000"/>
          <w:bottom w:val="single" w:sz="6" w:space="0" w:color="000000"/>
          <w:right w:val="single" w:sz="6" w:space="0" w:color="000000"/>
        </w:tblBorders>
        <w:tblLayout w:type="fixed"/>
      </w:tblPr>
      <w:tblGrid>
        <w:gridCol w:w="1274"/>
      </w:tblGrid>
      <w:tr>
        <w:tblPrEx>
          <w:tblW w:w="1274" w:type="dxa"/>
          <w:tblInd w:w="3567" w:type="dxa"/>
          <w:tblBorders>
            <w:top w:val="single" w:sz="6" w:space="0" w:color="000000"/>
            <w:left w:val="single" w:sz="6" w:space="0" w:color="000000"/>
            <w:bottom w:val="single" w:sz="6" w:space="0" w:color="000000"/>
            <w:right w:val="single" w:sz="6" w:space="0" w:color="000000"/>
          </w:tblBorders>
          <w:tblLayout w:type="fixed"/>
        </w:tblPrEx>
        <w:trPr>
          <w:trHeight w:val="703"/>
        </w:trPr>
        <w:tc>
          <w:tcPr>
            <w:tcW w:w="1274" w:type="dxa"/>
            <w:vAlign w:val="top"/>
          </w:tcPr>
          <w:p>
            <w:pPr>
              <w:spacing w:before="122" w:line="270" w:lineRule="auto"/>
              <w:ind w:left="381" w:right="176" w:hanging="188"/>
              <w:rPr>
                <w:rFonts w:ascii="SimSun" w:eastAsia="SimSun" w:hAnsi="SimSun" w:cs="SimSun"/>
                <w:sz w:val="18"/>
                <w:szCs w:val="18"/>
              </w:rPr>
            </w:pPr>
            <w:r>
              <w:rPr>
                <w:rFonts w:ascii="SimSun" w:eastAsia="SimSun" w:hAnsi="SimSun" w:cs="SimSun"/>
                <w:spacing w:val="-3"/>
                <w:sz w:val="18"/>
                <w:szCs w:val="18"/>
              </w:rPr>
              <w:t>原理与检出</w:t>
            </w:r>
            <w:r>
              <w:rPr>
                <w:rFonts w:ascii="SimSun" w:eastAsia="SimSun" w:hAnsi="SimSun" w:cs="SimSun"/>
                <w:spacing w:val="2"/>
                <w:sz w:val="18"/>
                <w:szCs w:val="18"/>
              </w:rPr>
              <w:t xml:space="preserve"> </w:t>
            </w:r>
            <w:r>
              <w:rPr>
                <w:rFonts w:ascii="SimSun" w:eastAsia="SimSun" w:hAnsi="SimSun" w:cs="SimSun"/>
                <w:spacing w:val="-5"/>
                <w:sz w:val="18"/>
                <w:szCs w:val="18"/>
              </w:rPr>
              <w:t>限实验</w:t>
            </w:r>
          </w:p>
        </w:tc>
      </w:tr>
    </w:tbl>
    <w:p>
      <w:pPr>
        <w:spacing w:before="13" w:line="554" w:lineRule="exact"/>
        <w:ind w:firstLine="4155"/>
      </w:pPr>
      <w:r>
        <w:rPr>
          <w:position w:val="-11"/>
        </w:rPr>
        <w:drawing>
          <wp:inline distT="0" distB="0" distL="0" distR="0">
            <wp:extent cx="76200" cy="351948"/>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5"/>
                    <a:stretch>
                      <a:fillRect/>
                    </a:stretch>
                  </pic:blipFill>
                  <pic:spPr>
                    <a:xfrm>
                      <a:off x="0" y="0"/>
                      <a:ext cx="76200" cy="351948"/>
                    </a:xfrm>
                    <a:prstGeom prst="rect">
                      <a:avLst/>
                    </a:prstGeom>
                  </pic:spPr>
                </pic:pic>
              </a:graphicData>
            </a:graphic>
          </wp:inline>
        </w:drawing>
      </w:r>
    </w:p>
    <w:tbl>
      <w:tblPr>
        <w:tblStyle w:val="TableNormal8"/>
        <w:tblW w:w="2152" w:type="dxa"/>
        <w:tblInd w:w="3249" w:type="dxa"/>
        <w:tblBorders>
          <w:top w:val="single" w:sz="6" w:space="0" w:color="000000"/>
          <w:left w:val="single" w:sz="6" w:space="0" w:color="000000"/>
          <w:bottom w:val="single" w:sz="6" w:space="0" w:color="000000"/>
          <w:right w:val="single" w:sz="6" w:space="0" w:color="000000"/>
        </w:tblBorders>
        <w:tblLayout w:type="fixed"/>
      </w:tblPr>
      <w:tblGrid>
        <w:gridCol w:w="2152"/>
      </w:tblGrid>
      <w:tr>
        <w:tblPrEx>
          <w:tblW w:w="2152" w:type="dxa"/>
          <w:tblInd w:w="3249" w:type="dxa"/>
          <w:tblBorders>
            <w:top w:val="single" w:sz="6" w:space="0" w:color="000000"/>
            <w:left w:val="single" w:sz="6" w:space="0" w:color="000000"/>
            <w:bottom w:val="single" w:sz="6" w:space="0" w:color="000000"/>
            <w:right w:val="single" w:sz="6" w:space="0" w:color="000000"/>
          </w:tblBorders>
          <w:tblLayout w:type="fixed"/>
        </w:tblPrEx>
        <w:trPr>
          <w:trHeight w:val="432"/>
        </w:trPr>
        <w:tc>
          <w:tcPr>
            <w:tcW w:w="2152" w:type="dxa"/>
            <w:vAlign w:val="top"/>
          </w:tcPr>
          <w:p>
            <w:pPr>
              <w:spacing w:before="127" w:line="219" w:lineRule="auto"/>
              <w:ind w:left="355"/>
              <w:rPr>
                <w:rFonts w:ascii="SimSun" w:eastAsia="SimSun" w:hAnsi="SimSun" w:cs="SimSun"/>
                <w:sz w:val="18"/>
                <w:szCs w:val="18"/>
              </w:rPr>
            </w:pPr>
            <w:r>
              <w:rPr>
                <w:rFonts w:ascii="SimSun" w:eastAsia="SimSun" w:hAnsi="SimSun" w:cs="SimSun"/>
                <w:spacing w:val="-1"/>
                <w:sz w:val="18"/>
                <w:szCs w:val="18"/>
              </w:rPr>
              <w:t>确定最佳实验条件</w:t>
            </w:r>
          </w:p>
        </w:tc>
      </w:tr>
    </w:tbl>
    <w:p>
      <w:pPr>
        <w:spacing w:line="336" w:lineRule="exact"/>
        <w:ind w:firstLine="4190"/>
      </w:pPr>
      <w:r>
        <w:rPr>
          <w:position w:val="-6"/>
        </w:rPr>
        <w:drawing>
          <wp:inline distT="0" distB="0" distL="0" distR="0">
            <wp:extent cx="76200" cy="212883"/>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6"/>
                    <a:stretch>
                      <a:fillRect/>
                    </a:stretch>
                  </pic:blipFill>
                  <pic:spPr>
                    <a:xfrm>
                      <a:off x="0" y="0"/>
                      <a:ext cx="76200" cy="212883"/>
                    </a:xfrm>
                    <a:prstGeom prst="rect">
                      <a:avLst/>
                    </a:prstGeom>
                  </pic:spPr>
                </pic:pic>
              </a:graphicData>
            </a:graphic>
          </wp:inline>
        </w:drawing>
      </w:r>
    </w:p>
    <w:p>
      <w:pPr>
        <w:spacing w:before="136"/>
      </w:pPr>
    </w:p>
    <w:tbl>
      <w:tblPr>
        <w:tblStyle w:val="TableNormal8"/>
        <w:tblW w:w="2300" w:type="dxa"/>
        <w:tblInd w:w="1234" w:type="dxa"/>
        <w:tblBorders>
          <w:top w:val="single" w:sz="6" w:space="0" w:color="000000"/>
          <w:left w:val="single" w:sz="6" w:space="0" w:color="000000"/>
          <w:bottom w:val="single" w:sz="6" w:space="0" w:color="000000"/>
          <w:right w:val="single" w:sz="6" w:space="0" w:color="000000"/>
        </w:tblBorders>
        <w:tblLayout w:type="fixed"/>
      </w:tblPr>
      <w:tblGrid>
        <w:gridCol w:w="2300"/>
      </w:tblGrid>
      <w:tr>
        <w:tblPrEx>
          <w:tblW w:w="2300" w:type="dxa"/>
          <w:tblInd w:w="1234" w:type="dxa"/>
          <w:tblBorders>
            <w:top w:val="single" w:sz="6" w:space="0" w:color="000000"/>
            <w:left w:val="single" w:sz="6" w:space="0" w:color="000000"/>
            <w:bottom w:val="single" w:sz="6" w:space="0" w:color="000000"/>
            <w:right w:val="single" w:sz="6" w:space="0" w:color="000000"/>
          </w:tblBorders>
          <w:tblLayout w:type="fixed"/>
        </w:tblPrEx>
        <w:trPr>
          <w:trHeight w:val="424"/>
        </w:trPr>
        <w:tc>
          <w:tcPr>
            <w:tcW w:w="2300" w:type="dxa"/>
            <w:vAlign w:val="top"/>
          </w:tcPr>
          <w:p>
            <w:pPr>
              <w:spacing w:before="140" w:line="220" w:lineRule="auto"/>
              <w:ind w:left="431"/>
              <w:rPr>
                <w:rFonts w:ascii="SimSun" w:eastAsia="SimSun" w:hAnsi="SimSun" w:cs="SimSun"/>
                <w:sz w:val="18"/>
                <w:szCs w:val="18"/>
              </w:rPr>
            </w:pPr>
            <w:r>
              <w:rPr>
                <w:rFonts w:ascii="SimSun" w:eastAsia="SimSun" w:hAnsi="SimSun" w:cs="SimSun"/>
                <w:spacing w:val="-1"/>
                <w:sz w:val="18"/>
                <w:szCs w:val="18"/>
              </w:rPr>
              <w:t>确定方法适用范围</w:t>
            </w:r>
          </w:p>
        </w:tc>
      </w:tr>
    </w:tbl>
    <w:p>
      <w:pPr>
        <w:spacing w:before="30" w:line="272" w:lineRule="exact"/>
        <w:ind w:firstLine="2161"/>
      </w:pPr>
      <w:r>
        <w:rPr>
          <w:position w:val="-5"/>
        </w:rPr>
        <w:drawing>
          <wp:inline distT="0" distB="0" distL="0" distR="0">
            <wp:extent cx="76200" cy="17272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7"/>
                    <a:stretch>
                      <a:fillRect/>
                    </a:stretch>
                  </pic:blipFill>
                  <pic:spPr>
                    <a:xfrm>
                      <a:off x="0" y="0"/>
                      <a:ext cx="76200" cy="172720"/>
                    </a:xfrm>
                    <a:prstGeom prst="rect">
                      <a:avLst/>
                    </a:prstGeom>
                  </pic:spPr>
                </pic:pic>
              </a:graphicData>
            </a:graphic>
          </wp:inline>
        </w:drawing>
      </w:r>
    </w:p>
    <w:tbl>
      <w:tblPr>
        <w:tblStyle w:val="TableNormal8"/>
        <w:tblW w:w="3693" w:type="dxa"/>
        <w:tblInd w:w="2557" w:type="dxa"/>
        <w:tblBorders>
          <w:top w:val="single" w:sz="6" w:space="0" w:color="000000"/>
          <w:left w:val="single" w:sz="6" w:space="0" w:color="000000"/>
          <w:bottom w:val="single" w:sz="6" w:space="0" w:color="000000"/>
          <w:right w:val="single" w:sz="6" w:space="0" w:color="000000"/>
        </w:tblBorders>
        <w:tblLayout w:type="fixed"/>
      </w:tblPr>
      <w:tblGrid>
        <w:gridCol w:w="3693"/>
      </w:tblGrid>
      <w:tr>
        <w:tblPrEx>
          <w:tblW w:w="3693" w:type="dxa"/>
          <w:tblInd w:w="2557" w:type="dxa"/>
          <w:tblBorders>
            <w:top w:val="single" w:sz="6" w:space="0" w:color="000000"/>
            <w:left w:val="single" w:sz="6" w:space="0" w:color="000000"/>
            <w:bottom w:val="single" w:sz="6" w:space="0" w:color="000000"/>
            <w:right w:val="single" w:sz="6" w:space="0" w:color="000000"/>
          </w:tblBorders>
          <w:tblLayout w:type="fixed"/>
        </w:tblPrEx>
        <w:trPr>
          <w:trHeight w:val="443"/>
        </w:trPr>
        <w:tc>
          <w:tcPr>
            <w:tcW w:w="3693" w:type="dxa"/>
            <w:vAlign w:val="top"/>
          </w:tcPr>
          <w:p>
            <w:pPr>
              <w:spacing w:before="139" w:line="219" w:lineRule="auto"/>
              <w:ind w:left="319"/>
              <w:rPr>
                <w:rFonts w:ascii="SimSun" w:eastAsia="SimSun" w:hAnsi="SimSun" w:cs="SimSun"/>
                <w:sz w:val="18"/>
                <w:szCs w:val="18"/>
              </w:rPr>
            </w:pPr>
            <w:r>
              <w:rPr>
                <w:rFonts w:ascii="SimSun" w:eastAsia="SimSun" w:hAnsi="SimSun" w:cs="SimSun"/>
                <w:spacing w:val="-1"/>
                <w:sz w:val="18"/>
                <w:szCs w:val="18"/>
              </w:rPr>
              <w:t>方法实验结果分析，编制标准文本草案</w:t>
            </w:r>
          </w:p>
        </w:tc>
      </w:tr>
    </w:tbl>
    <w:p>
      <w:pPr>
        <w:sectPr>
          <w:footerReference w:type="default" r:id="rId58"/>
          <w:pgSz w:w="11907" w:h="16839"/>
          <w:pgMar w:top="1428" w:right="523" w:bottom="1357" w:left="1785" w:header="0" w:footer="1197" w:gutter="0"/>
          <w:pgNumType w:start="27"/>
          <w:cols w:space="708"/>
        </w:sectPr>
      </w:pPr>
    </w:p>
    <w:p>
      <w:pPr>
        <w:spacing w:line="194" w:lineRule="exact"/>
      </w:pPr>
    </w:p>
    <w:tbl>
      <w:tblPr>
        <w:tblStyle w:val="TableNormal9"/>
        <w:tblW w:w="1250" w:type="dxa"/>
        <w:tblInd w:w="3651" w:type="dxa"/>
        <w:tblBorders>
          <w:top w:val="single" w:sz="6" w:space="0" w:color="000000"/>
          <w:left w:val="single" w:sz="6" w:space="0" w:color="000000"/>
          <w:bottom w:val="single" w:sz="6" w:space="0" w:color="000000"/>
          <w:right w:val="single" w:sz="6" w:space="0" w:color="000000"/>
        </w:tblBorders>
        <w:tblLayout w:type="fixed"/>
      </w:tblPr>
      <w:tblGrid>
        <w:gridCol w:w="1250"/>
      </w:tblGrid>
      <w:tr>
        <w:tblPrEx>
          <w:tblW w:w="1250" w:type="dxa"/>
          <w:tblInd w:w="3651" w:type="dxa"/>
          <w:tblBorders>
            <w:top w:val="single" w:sz="6" w:space="0" w:color="000000"/>
            <w:left w:val="single" w:sz="6" w:space="0" w:color="000000"/>
            <w:bottom w:val="single" w:sz="6" w:space="0" w:color="000000"/>
            <w:right w:val="single" w:sz="6" w:space="0" w:color="000000"/>
          </w:tblBorders>
          <w:tblLayout w:type="fixed"/>
        </w:tblPrEx>
        <w:trPr>
          <w:trHeight w:val="384"/>
        </w:trPr>
        <w:tc>
          <w:tcPr>
            <w:tcW w:w="1250" w:type="dxa"/>
            <w:vAlign w:val="top"/>
          </w:tcPr>
          <w:p>
            <w:pPr>
              <w:spacing w:before="160" w:line="219" w:lineRule="auto"/>
              <w:ind w:left="266"/>
              <w:rPr>
                <w:rFonts w:ascii="SimSun" w:eastAsia="SimSun" w:hAnsi="SimSun" w:cs="SimSun"/>
                <w:sz w:val="18"/>
                <w:szCs w:val="18"/>
              </w:rPr>
            </w:pPr>
            <w:r>
              <w:rPr>
                <w:rFonts w:ascii="SimSun" w:eastAsia="SimSun" w:hAnsi="SimSun" w:cs="SimSun"/>
                <w:spacing w:val="-2"/>
                <w:sz w:val="18"/>
                <w:szCs w:val="18"/>
              </w:rPr>
              <w:t>方法验证</w:t>
            </w:r>
          </w:p>
        </w:tc>
      </w:tr>
    </w:tbl>
    <w:p>
      <w:pPr>
        <w:spacing w:line="258" w:lineRule="exact"/>
        <w:ind w:firstLine="4246"/>
      </w:pPr>
      <w:r>
        <w:rPr>
          <w:position w:val="-5"/>
        </w:rPr>
        <w:drawing>
          <wp:inline distT="0" distB="0" distL="0" distR="0">
            <wp:extent cx="76200" cy="163512"/>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9"/>
                    <a:stretch>
                      <a:fillRect/>
                    </a:stretch>
                  </pic:blipFill>
                  <pic:spPr>
                    <a:xfrm>
                      <a:off x="0" y="0"/>
                      <a:ext cx="76200" cy="163512"/>
                    </a:xfrm>
                    <a:prstGeom prst="rect">
                      <a:avLst/>
                    </a:prstGeom>
                  </pic:spPr>
                </pic:pic>
              </a:graphicData>
            </a:graphic>
          </wp:inline>
        </w:drawing>
      </w:r>
    </w:p>
    <w:tbl>
      <w:tblPr>
        <w:tblStyle w:val="TableNormal9"/>
        <w:tblW w:w="3357" w:type="dxa"/>
        <w:tblInd w:w="2739" w:type="dxa"/>
        <w:tblBorders>
          <w:top w:val="single" w:sz="6" w:space="0" w:color="000000"/>
          <w:left w:val="single" w:sz="6" w:space="0" w:color="000000"/>
          <w:bottom w:val="single" w:sz="6" w:space="0" w:color="000000"/>
          <w:right w:val="single" w:sz="6" w:space="0" w:color="000000"/>
        </w:tblBorders>
        <w:tblLayout w:type="fixed"/>
      </w:tblPr>
      <w:tblGrid>
        <w:gridCol w:w="3357"/>
      </w:tblGrid>
      <w:tr>
        <w:tblPrEx>
          <w:tblW w:w="3357" w:type="dxa"/>
          <w:tblInd w:w="2739" w:type="dxa"/>
          <w:tblBorders>
            <w:top w:val="single" w:sz="6" w:space="0" w:color="000000"/>
            <w:left w:val="single" w:sz="6" w:space="0" w:color="000000"/>
            <w:bottom w:val="single" w:sz="6" w:space="0" w:color="000000"/>
            <w:right w:val="single" w:sz="6" w:space="0" w:color="000000"/>
          </w:tblBorders>
          <w:tblLayout w:type="fixed"/>
        </w:tblPrEx>
        <w:trPr>
          <w:trHeight w:val="713"/>
        </w:trPr>
        <w:tc>
          <w:tcPr>
            <w:tcW w:w="3357" w:type="dxa"/>
            <w:vAlign w:val="top"/>
          </w:tcPr>
          <w:p>
            <w:pPr>
              <w:spacing w:before="136" w:line="219" w:lineRule="auto"/>
              <w:ind w:left="689"/>
              <w:rPr>
                <w:rFonts w:ascii="SimSun" w:eastAsia="SimSun" w:hAnsi="SimSun" w:cs="SimSun"/>
                <w:sz w:val="18"/>
                <w:szCs w:val="18"/>
              </w:rPr>
            </w:pPr>
            <w:r>
              <w:rPr>
                <w:rFonts w:ascii="SimSun" w:eastAsia="SimSun" w:hAnsi="SimSun" w:cs="SimSun"/>
                <w:spacing w:val="-1"/>
                <w:sz w:val="18"/>
                <w:szCs w:val="18"/>
              </w:rPr>
              <w:t>编制标准文本和编制说明</w:t>
            </w:r>
          </w:p>
          <w:p>
            <w:pPr>
              <w:spacing w:before="98" w:line="220" w:lineRule="auto"/>
              <w:ind w:left="333"/>
              <w:rPr>
                <w:rFonts w:ascii="SimSun" w:eastAsia="SimSun" w:hAnsi="SimSun" w:cs="SimSun"/>
                <w:sz w:val="18"/>
                <w:szCs w:val="18"/>
              </w:rPr>
            </w:pPr>
            <w:r>
              <w:rPr>
                <w:rFonts w:ascii="SimSun" w:eastAsia="SimSun" w:hAnsi="SimSun" w:cs="SimSun"/>
                <w:spacing w:val="-2"/>
                <w:sz w:val="18"/>
                <w:szCs w:val="18"/>
              </w:rPr>
              <w:t>（征求意见稿、送审稿、报批稿）</w:t>
            </w:r>
          </w:p>
        </w:tc>
      </w:tr>
    </w:tbl>
    <w:p>
      <w:pPr>
        <w:pStyle w:val="BodyText"/>
        <w:spacing w:before="243" w:line="468" w:lineRule="exact"/>
        <w:ind w:left="504"/>
      </w:pPr>
      <w:r>
        <w:rPr>
          <w:spacing w:val="-7"/>
          <w:position w:val="17"/>
        </w:rPr>
        <w:t>本标准定位于现场土壤重金属快速检测， 分别研究定性、半定量和定量分析</w:t>
      </w:r>
    </w:p>
    <w:p>
      <w:pPr>
        <w:pStyle w:val="BodyText"/>
        <w:spacing w:before="1" w:line="218" w:lineRule="auto"/>
        <w:ind w:left="43"/>
      </w:pPr>
      <w:r>
        <w:rPr>
          <w:spacing w:val="-8"/>
        </w:rPr>
        <w:t>的样品制样、装样、检测和质控等方面内容，</w:t>
      </w:r>
      <w:r>
        <w:rPr>
          <w:spacing w:val="39"/>
        </w:rPr>
        <w:t xml:space="preserve"> </w:t>
      </w:r>
      <w:r>
        <w:rPr>
          <w:spacing w:val="-8"/>
        </w:rPr>
        <w:t>给行业用户提供指导</w:t>
      </w:r>
      <w:r>
        <w:rPr>
          <w:spacing w:val="-9"/>
        </w:rPr>
        <w:t>意见。同时调</w:t>
      </w:r>
    </w:p>
    <w:p>
      <w:pPr>
        <w:spacing w:line="218" w:lineRule="auto"/>
        <w:sectPr>
          <w:footerReference w:type="default" r:id="rId60"/>
          <w:type w:val="nextPage"/>
          <w:pgSz w:w="11907" w:h="16839"/>
          <w:pgMar w:top="1428" w:right="523" w:bottom="1357" w:left="1785" w:header="0" w:footer="1197" w:gutter="0"/>
          <w:pgNumType w:start="28"/>
          <w:cols w:space="708"/>
          <w:titlePg w:val="0"/>
        </w:sectPr>
      </w:pPr>
    </w:p>
    <w:p>
      <w:pPr>
        <w:pStyle w:val="BodyText"/>
        <w:spacing w:before="127" w:line="470" w:lineRule="exact"/>
        <w:ind w:left="33"/>
        <w:rPr>
          <w:sz w:val="23"/>
          <w:szCs w:val="23"/>
        </w:rPr>
      </w:pPr>
      <w:r>
        <w:drawing>
          <wp:anchor distT="0" distB="0" distL="0" distR="0" simplePos="0" relativeHeight="251701248" behindDoc="0" locked="0" layoutInCell="0" allowOverlap="1">
            <wp:simplePos x="0" y="0"/>
            <wp:positionH relativeFrom="page">
              <wp:posOffset>1847831</wp:posOffset>
            </wp:positionH>
            <wp:positionV relativeFrom="page">
              <wp:posOffset>4076752</wp:posOffset>
            </wp:positionV>
            <wp:extent cx="3009938" cy="2197065"/>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1"/>
                    <a:stretch>
                      <a:fillRect/>
                    </a:stretch>
                  </pic:blipFill>
                  <pic:spPr>
                    <a:xfrm>
                      <a:off x="0" y="0"/>
                      <a:ext cx="3009938" cy="2197065"/>
                    </a:xfrm>
                    <a:prstGeom prst="rect">
                      <a:avLst/>
                    </a:prstGeom>
                  </pic:spPr>
                </pic:pic>
              </a:graphicData>
            </a:graphic>
          </wp:anchor>
        </w:drawing>
      </w:r>
      <w:r>
        <w:rPr>
          <w:spacing w:val="9"/>
          <w:position w:val="18"/>
          <w:sz w:val="23"/>
          <w:szCs w:val="23"/>
        </w:rPr>
        <w:t>研目前市场上常见的便携式</w:t>
      </w:r>
      <w:r>
        <w:rPr>
          <w:spacing w:val="-23"/>
          <w:position w:val="18"/>
          <w:sz w:val="23"/>
          <w:szCs w:val="23"/>
        </w:rPr>
        <w:t xml:space="preserve"> </w:t>
      </w:r>
      <w:r>
        <w:rPr>
          <w:position w:val="18"/>
          <w:sz w:val="23"/>
          <w:szCs w:val="23"/>
        </w:rPr>
        <w:t>XRF</w:t>
      </w:r>
      <w:r>
        <w:rPr>
          <w:spacing w:val="66"/>
          <w:position w:val="18"/>
          <w:sz w:val="23"/>
          <w:szCs w:val="23"/>
        </w:rPr>
        <w:t xml:space="preserve"> </w:t>
      </w:r>
      <w:r>
        <w:rPr>
          <w:spacing w:val="9"/>
          <w:position w:val="18"/>
          <w:sz w:val="23"/>
          <w:szCs w:val="23"/>
        </w:rPr>
        <w:t>检测设备，并研究其原理、构成与应用，提出</w:t>
      </w:r>
    </w:p>
    <w:p>
      <w:pPr>
        <w:pStyle w:val="BodyText"/>
        <w:spacing w:line="219" w:lineRule="auto"/>
        <w:ind w:left="33"/>
        <w:rPr>
          <w:sz w:val="23"/>
          <w:szCs w:val="23"/>
        </w:rPr>
      </w:pPr>
      <w:r>
        <w:rPr>
          <w:sz w:val="23"/>
          <w:szCs w:val="23"/>
        </w:rPr>
        <w:t>其技术参数要求。</w:t>
      </w:r>
    </w:p>
    <w:p>
      <w:pPr>
        <w:spacing w:line="381" w:lineRule="auto"/>
        <w:rPr>
          <w:rFonts w:ascii="Arial"/>
          <w:sz w:val="21"/>
        </w:rPr>
      </w:pPr>
    </w:p>
    <w:p>
      <w:pPr>
        <w:pStyle w:val="BodyText"/>
        <w:spacing w:before="74" w:line="221" w:lineRule="auto"/>
        <w:ind w:left="3"/>
        <w:rPr>
          <w:sz w:val="23"/>
          <w:szCs w:val="23"/>
        </w:rPr>
      </w:pPr>
      <w:r>
        <w:rPr>
          <w:spacing w:val="-5"/>
          <w:sz w:val="23"/>
          <w:szCs w:val="23"/>
        </w:rPr>
        <w:t>6.2</w:t>
      </w:r>
      <w:r>
        <w:rPr>
          <w:spacing w:val="12"/>
          <w:sz w:val="23"/>
          <w:szCs w:val="23"/>
        </w:rPr>
        <w:t xml:space="preserve"> </w:t>
      </w:r>
      <w:r>
        <w:rPr>
          <w:spacing w:val="-5"/>
          <w:sz w:val="23"/>
          <w:szCs w:val="23"/>
        </w:rPr>
        <w:t>设备原理</w:t>
      </w:r>
    </w:p>
    <w:p>
      <w:pPr>
        <w:spacing w:line="366" w:lineRule="auto"/>
        <w:rPr>
          <w:rFonts w:ascii="Arial"/>
          <w:sz w:val="21"/>
        </w:rPr>
      </w:pPr>
    </w:p>
    <w:p>
      <w:pPr>
        <w:pStyle w:val="BodyText"/>
        <w:spacing w:before="75" w:line="219" w:lineRule="auto"/>
        <w:ind w:left="23"/>
        <w:rPr>
          <w:sz w:val="23"/>
          <w:szCs w:val="23"/>
        </w:rPr>
      </w:pPr>
      <w:r>
        <w:rPr>
          <w:spacing w:val="4"/>
          <w:sz w:val="23"/>
          <w:szCs w:val="23"/>
        </w:rPr>
        <w:t>6.2.1  X</w:t>
      </w:r>
      <w:r>
        <w:rPr>
          <w:spacing w:val="-42"/>
          <w:sz w:val="23"/>
          <w:szCs w:val="23"/>
        </w:rPr>
        <w:t xml:space="preserve"> </w:t>
      </w:r>
      <w:r>
        <w:rPr>
          <w:spacing w:val="4"/>
          <w:sz w:val="23"/>
          <w:szCs w:val="23"/>
        </w:rPr>
        <w:t>射线荧光分析原理</w:t>
      </w:r>
    </w:p>
    <w:p>
      <w:pPr>
        <w:pStyle w:val="BodyText"/>
        <w:spacing w:before="209" w:line="375" w:lineRule="auto"/>
        <w:ind w:left="23" w:right="21" w:firstLine="480"/>
        <w:jc w:val="both"/>
        <w:rPr>
          <w:rFonts w:ascii="Times New Roman" w:eastAsia="Times New Roman" w:hAnsi="Times New Roman" w:cs="Times New Roman"/>
          <w:sz w:val="23"/>
          <w:szCs w:val="23"/>
        </w:rPr>
      </w:pPr>
      <w:r>
        <w:rPr>
          <w:spacing w:val="6"/>
          <w:sz w:val="23"/>
          <w:szCs w:val="23"/>
        </w:rPr>
        <w:t>一束高能粒子(射线)在与原子的相互作用下，如果其能量大于或等</w:t>
      </w:r>
      <w:r>
        <w:rPr>
          <w:spacing w:val="5"/>
          <w:sz w:val="23"/>
          <w:szCs w:val="23"/>
        </w:rPr>
        <w:t>于原子某</w:t>
      </w:r>
      <w:r>
        <w:rPr>
          <w:sz w:val="23"/>
          <w:szCs w:val="23"/>
        </w:rPr>
        <w:t xml:space="preserve"> </w:t>
      </w:r>
      <w:r>
        <w:rPr>
          <w:spacing w:val="7"/>
          <w:sz w:val="23"/>
          <w:szCs w:val="23"/>
        </w:rPr>
        <w:t>一轨道电子的结合能时，可以将该轨道的电</w:t>
      </w:r>
      <w:r>
        <w:rPr>
          <w:spacing w:val="6"/>
          <w:sz w:val="23"/>
          <w:szCs w:val="23"/>
        </w:rPr>
        <w:t>子逐出，形成空穴；此时原子处于非</w:t>
      </w:r>
      <w:r>
        <w:rPr>
          <w:sz w:val="23"/>
          <w:szCs w:val="23"/>
        </w:rPr>
        <w:t xml:space="preserve"> </w:t>
      </w:r>
      <w:r>
        <w:rPr>
          <w:spacing w:val="6"/>
          <w:sz w:val="23"/>
          <w:szCs w:val="23"/>
        </w:rPr>
        <w:t>稳定的状态，在极短的时间内，轨道的外层电子向空穴跃迁，使原子恢复至稳定</w:t>
      </w:r>
      <w:r>
        <w:rPr>
          <w:spacing w:val="3"/>
          <w:sz w:val="23"/>
          <w:szCs w:val="23"/>
        </w:rPr>
        <w:t xml:space="preserve"> </w:t>
      </w:r>
      <w:r>
        <w:rPr>
          <w:spacing w:val="9"/>
          <w:sz w:val="23"/>
          <w:szCs w:val="23"/>
        </w:rPr>
        <w:t>状态。</w:t>
      </w:r>
      <w:r>
        <w:rPr>
          <w:spacing w:val="11"/>
          <w:sz w:val="23"/>
          <w:szCs w:val="23"/>
        </w:rPr>
        <w:t xml:space="preserve">  </w:t>
      </w:r>
      <w:r>
        <w:rPr>
          <w:spacing w:val="9"/>
          <w:sz w:val="23"/>
          <w:szCs w:val="23"/>
        </w:rPr>
        <w:t>那么,在外层电子跃迁的过程中，两个壳层之间的能量差就以特征的</w:t>
      </w:r>
      <w:r>
        <w:rPr>
          <w:spacing w:val="-23"/>
          <w:sz w:val="23"/>
          <w:szCs w:val="23"/>
        </w:rPr>
        <w:t xml:space="preserve"> </w:t>
      </w:r>
      <w:r>
        <w:rPr>
          <w:rFonts w:ascii="Times New Roman" w:eastAsia="Times New Roman" w:hAnsi="Times New Roman" w:cs="Times New Roman"/>
          <w:spacing w:val="9"/>
          <w:sz w:val="23"/>
          <w:szCs w:val="23"/>
        </w:rPr>
        <w:t>X</w:t>
      </w:r>
    </w:p>
    <w:p>
      <w:pPr>
        <w:pStyle w:val="BodyText"/>
        <w:spacing w:line="220" w:lineRule="auto"/>
        <w:ind w:left="23"/>
        <w:rPr>
          <w:sz w:val="23"/>
          <w:szCs w:val="23"/>
        </w:rPr>
      </w:pPr>
      <w:r>
        <w:rPr>
          <w:spacing w:val="-1"/>
          <w:sz w:val="23"/>
          <w:szCs w:val="23"/>
        </w:rPr>
        <w:t>射线形式溢出原子。</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before="38" w:line="185" w:lineRule="auto"/>
        <w:ind w:left="5863"/>
        <w:rPr>
          <w:rFonts w:ascii="Times New Roman" w:eastAsia="Times New Roman" w:hAnsi="Times New Roman" w:cs="Times New Roman"/>
          <w:sz w:val="13"/>
          <w:szCs w:val="13"/>
        </w:rPr>
      </w:pPr>
      <w:r>
        <w:rPr>
          <w:rFonts w:ascii="Times New Roman" w:eastAsia="Times New Roman" w:hAnsi="Times New Roman" w:cs="Times New Roman"/>
          <w:spacing w:val="-1"/>
          <w:sz w:val="13"/>
          <w:szCs w:val="13"/>
        </w:rPr>
        <w:t>Ka</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46" w:line="198" w:lineRule="auto"/>
        <w:ind w:left="5873"/>
        <w:rPr>
          <w:rFonts w:ascii="Arial" w:eastAsia="Arial" w:hAnsi="Arial" w:cs="Arial"/>
          <w:sz w:val="16"/>
          <w:szCs w:val="16"/>
        </w:rPr>
      </w:pPr>
      <w:r>
        <w:rPr>
          <w:rFonts w:ascii="Arial" w:eastAsia="Arial" w:hAnsi="Arial" w:cs="Arial"/>
          <w:spacing w:val="-4"/>
          <w:sz w:val="16"/>
          <w:szCs w:val="16"/>
        </w:rPr>
        <w:t>Kβ</w:t>
      </w:r>
    </w:p>
    <w:p>
      <w:pPr>
        <w:spacing w:line="319" w:lineRule="auto"/>
        <w:rPr>
          <w:rFonts w:ascii="Arial"/>
          <w:sz w:val="21"/>
        </w:rPr>
      </w:pPr>
    </w:p>
    <w:p>
      <w:pPr>
        <w:spacing w:line="319" w:lineRule="auto"/>
        <w:rPr>
          <w:rFonts w:ascii="Arial"/>
          <w:sz w:val="21"/>
        </w:rPr>
      </w:pPr>
    </w:p>
    <w:p>
      <w:pPr>
        <w:pStyle w:val="BodyText"/>
        <w:spacing w:before="76" w:line="219" w:lineRule="auto"/>
        <w:ind w:left="2883"/>
        <w:rPr>
          <w:sz w:val="23"/>
          <w:szCs w:val="23"/>
        </w:rPr>
      </w:pPr>
      <w:r>
        <w:rPr>
          <w:spacing w:val="-2"/>
          <w:sz w:val="23"/>
          <w:szCs w:val="23"/>
        </w:rPr>
        <w:t>图 1</w:t>
      </w:r>
      <w:r>
        <w:rPr>
          <w:spacing w:val="-31"/>
          <w:sz w:val="23"/>
          <w:szCs w:val="23"/>
        </w:rPr>
        <w:t xml:space="preserve"> </w:t>
      </w:r>
      <w:r>
        <w:rPr>
          <w:spacing w:val="-2"/>
          <w:sz w:val="23"/>
          <w:szCs w:val="23"/>
        </w:rPr>
        <w:t>X</w:t>
      </w:r>
      <w:r>
        <w:rPr>
          <w:spacing w:val="-33"/>
          <w:sz w:val="23"/>
          <w:szCs w:val="23"/>
        </w:rPr>
        <w:t xml:space="preserve"> </w:t>
      </w:r>
      <w:r>
        <w:rPr>
          <w:spacing w:val="-2"/>
          <w:sz w:val="23"/>
          <w:szCs w:val="23"/>
        </w:rPr>
        <w:t>射线荧光分析原理</w:t>
      </w:r>
    </w:p>
    <w:p>
      <w:pPr>
        <w:pStyle w:val="BodyText"/>
        <w:spacing w:before="127" w:line="219" w:lineRule="auto"/>
        <w:ind w:left="13"/>
        <w:rPr>
          <w:sz w:val="23"/>
          <w:szCs w:val="23"/>
        </w:rPr>
      </w:pPr>
      <w:r>
        <w:rPr>
          <w:spacing w:val="9"/>
          <w:sz w:val="23"/>
          <w:szCs w:val="23"/>
        </w:rPr>
        <w:t>6.2.2  波长色散和能量色散X</w:t>
      </w:r>
      <w:r>
        <w:rPr>
          <w:spacing w:val="-42"/>
          <w:sz w:val="23"/>
          <w:szCs w:val="23"/>
        </w:rPr>
        <w:t xml:space="preserve"> </w:t>
      </w:r>
      <w:r>
        <w:rPr>
          <w:spacing w:val="9"/>
          <w:sz w:val="23"/>
          <w:szCs w:val="23"/>
        </w:rPr>
        <w:t>射线荧光光谱仪</w:t>
      </w:r>
    </w:p>
    <w:p>
      <w:pPr>
        <w:pStyle w:val="BodyText"/>
        <w:spacing w:before="194" w:line="375" w:lineRule="auto"/>
        <w:ind w:left="23" w:right="12" w:firstLine="480"/>
        <w:rPr>
          <w:sz w:val="23"/>
          <w:szCs w:val="23"/>
        </w:rPr>
        <w:sectPr>
          <w:footerReference w:type="default" r:id="rId62"/>
          <w:pgSz w:w="11910" w:h="16840"/>
          <w:pgMar w:top="1431" w:right="1786" w:bottom="1338" w:left="1786" w:header="0" w:footer="1199" w:gutter="0"/>
          <w:pgNumType w:start="29"/>
          <w:cols w:space="708"/>
        </w:sectPr>
      </w:pPr>
      <w:r>
        <w:rPr>
          <w:spacing w:val="4"/>
          <w:sz w:val="23"/>
          <w:szCs w:val="23"/>
        </w:rPr>
        <w:t>波长色散X</w:t>
      </w:r>
      <w:r>
        <w:rPr>
          <w:spacing w:val="-24"/>
          <w:sz w:val="23"/>
          <w:szCs w:val="23"/>
        </w:rPr>
        <w:t xml:space="preserve"> </w:t>
      </w:r>
      <w:r>
        <w:rPr>
          <w:spacing w:val="4"/>
          <w:sz w:val="23"/>
          <w:szCs w:val="23"/>
        </w:rPr>
        <w:t>荧</w:t>
      </w:r>
      <w:r>
        <w:rPr>
          <w:spacing w:val="-49"/>
          <w:sz w:val="23"/>
          <w:szCs w:val="23"/>
        </w:rPr>
        <w:t xml:space="preserve"> </w:t>
      </w:r>
      <w:r>
        <w:rPr>
          <w:spacing w:val="4"/>
          <w:sz w:val="23"/>
          <w:szCs w:val="23"/>
        </w:rPr>
        <w:t>光 (</w:t>
      </w:r>
      <w:r>
        <w:rPr>
          <w:spacing w:val="-34"/>
          <w:sz w:val="23"/>
          <w:szCs w:val="23"/>
        </w:rPr>
        <w:t xml:space="preserve"> </w:t>
      </w:r>
      <w:r>
        <w:rPr>
          <w:spacing w:val="4"/>
          <w:sz w:val="23"/>
          <w:szCs w:val="23"/>
        </w:rPr>
        <w:t>即</w:t>
      </w:r>
      <w:r>
        <w:rPr>
          <w:spacing w:val="-50"/>
          <w:sz w:val="23"/>
          <w:szCs w:val="23"/>
        </w:rPr>
        <w:t xml:space="preserve"> </w:t>
      </w:r>
      <w:r>
        <w:rPr>
          <w:sz w:val="23"/>
          <w:szCs w:val="23"/>
        </w:rPr>
        <w:t>WDXRF</w:t>
      </w:r>
      <w:r>
        <w:rPr>
          <w:spacing w:val="4"/>
          <w:sz w:val="23"/>
          <w:szCs w:val="23"/>
        </w:rPr>
        <w:t>)</w:t>
      </w:r>
      <w:r>
        <w:rPr>
          <w:spacing w:val="37"/>
          <w:sz w:val="23"/>
          <w:szCs w:val="23"/>
        </w:rPr>
        <w:t xml:space="preserve"> </w:t>
      </w:r>
      <w:r>
        <w:rPr>
          <w:spacing w:val="4"/>
          <w:sz w:val="23"/>
          <w:szCs w:val="23"/>
        </w:rPr>
        <w:t>光谱仪基本方法是使用一分光晶体</w:t>
      </w:r>
      <w:r>
        <w:rPr>
          <w:spacing w:val="3"/>
          <w:sz w:val="23"/>
          <w:szCs w:val="23"/>
        </w:rPr>
        <w:t>，先将不同</w:t>
      </w:r>
      <w:r>
        <w:rPr>
          <w:sz w:val="23"/>
          <w:szCs w:val="23"/>
        </w:rPr>
        <w:t xml:space="preserve"> </w:t>
      </w:r>
      <w:r>
        <w:rPr>
          <w:spacing w:val="7"/>
          <w:sz w:val="23"/>
          <w:szCs w:val="23"/>
        </w:rPr>
        <w:t>波长的</w:t>
      </w:r>
      <w:r>
        <w:rPr>
          <w:spacing w:val="-65"/>
          <w:sz w:val="23"/>
          <w:szCs w:val="23"/>
        </w:rPr>
        <w:t xml:space="preserve"> </w:t>
      </w:r>
      <w:r>
        <w:rPr>
          <w:rFonts w:ascii="Times New Roman" w:eastAsia="Times New Roman" w:hAnsi="Times New Roman" w:cs="Times New Roman"/>
          <w:spacing w:val="7"/>
          <w:sz w:val="23"/>
          <w:szCs w:val="23"/>
        </w:rPr>
        <w:t>X</w:t>
      </w:r>
      <w:r>
        <w:rPr>
          <w:rFonts w:ascii="Times New Roman" w:eastAsia="Times New Roman" w:hAnsi="Times New Roman" w:cs="Times New Roman"/>
          <w:spacing w:val="-10"/>
          <w:sz w:val="23"/>
          <w:szCs w:val="23"/>
        </w:rPr>
        <w:t xml:space="preserve"> </w:t>
      </w:r>
      <w:r>
        <w:rPr>
          <w:spacing w:val="7"/>
          <w:sz w:val="23"/>
          <w:szCs w:val="23"/>
        </w:rPr>
        <w:t>射线按不同的衍射角色散，然后用探测器</w:t>
      </w:r>
      <w:r>
        <w:rPr>
          <w:spacing w:val="6"/>
          <w:sz w:val="23"/>
          <w:szCs w:val="23"/>
        </w:rPr>
        <w:t>测量</w:t>
      </w:r>
      <w:r>
        <w:rPr>
          <w:rFonts w:ascii="Times New Roman" w:eastAsia="Times New Roman" w:hAnsi="Times New Roman" w:cs="Times New Roman"/>
          <w:spacing w:val="6"/>
          <w:sz w:val="23"/>
          <w:szCs w:val="23"/>
        </w:rPr>
        <w:t>X</w:t>
      </w:r>
      <w:r>
        <w:rPr>
          <w:rFonts w:ascii="Times New Roman" w:eastAsia="Times New Roman" w:hAnsi="Times New Roman" w:cs="Times New Roman"/>
          <w:spacing w:val="-12"/>
          <w:sz w:val="23"/>
          <w:szCs w:val="23"/>
        </w:rPr>
        <w:t xml:space="preserve"> </w:t>
      </w:r>
      <w:r>
        <w:rPr>
          <w:spacing w:val="6"/>
          <w:sz w:val="23"/>
          <w:szCs w:val="23"/>
        </w:rPr>
        <w:t>射线的强度，这样从测</w:t>
      </w:r>
      <w:r>
        <w:rPr>
          <w:sz w:val="23"/>
          <w:szCs w:val="23"/>
        </w:rPr>
        <w:t xml:space="preserve"> </w:t>
      </w:r>
      <w:r>
        <w:rPr>
          <w:spacing w:val="8"/>
          <w:sz w:val="23"/>
          <w:szCs w:val="23"/>
        </w:rPr>
        <w:t>角器的指示便能知道被测</w:t>
      </w:r>
      <w:r>
        <w:rPr>
          <w:rFonts w:ascii="Times New Roman" w:eastAsia="Times New Roman" w:hAnsi="Times New Roman" w:cs="Times New Roman"/>
          <w:spacing w:val="8"/>
          <w:sz w:val="23"/>
          <w:szCs w:val="23"/>
        </w:rPr>
        <w:t>X</w:t>
      </w:r>
      <w:r>
        <w:rPr>
          <w:rFonts w:ascii="Times New Roman" w:eastAsia="Times New Roman" w:hAnsi="Times New Roman" w:cs="Times New Roman"/>
          <w:spacing w:val="-2"/>
          <w:sz w:val="23"/>
          <w:szCs w:val="23"/>
        </w:rPr>
        <w:t xml:space="preserve"> </w:t>
      </w:r>
      <w:r>
        <w:rPr>
          <w:spacing w:val="8"/>
          <w:sz w:val="23"/>
          <w:szCs w:val="23"/>
        </w:rPr>
        <w:t>射线的波长，从</w:t>
      </w:r>
      <w:r>
        <w:rPr>
          <w:rFonts w:ascii="Times New Roman" w:eastAsia="Times New Roman" w:hAnsi="Times New Roman" w:cs="Times New Roman"/>
          <w:spacing w:val="8"/>
          <w:sz w:val="23"/>
          <w:szCs w:val="23"/>
        </w:rPr>
        <w:t>X</w:t>
      </w:r>
      <w:r>
        <w:rPr>
          <w:rFonts w:ascii="Times New Roman" w:eastAsia="Times New Roman" w:hAnsi="Times New Roman" w:cs="Times New Roman"/>
          <w:spacing w:val="-20"/>
          <w:sz w:val="23"/>
          <w:szCs w:val="23"/>
        </w:rPr>
        <w:t xml:space="preserve"> </w:t>
      </w:r>
      <w:r>
        <w:rPr>
          <w:spacing w:val="8"/>
          <w:sz w:val="23"/>
          <w:szCs w:val="23"/>
        </w:rPr>
        <w:t>射线的强度测量便能知道发射此种</w:t>
      </w:r>
    </w:p>
    <w:p>
      <w:pPr>
        <w:pStyle w:val="BodyText"/>
        <w:spacing w:before="1" w:line="218" w:lineRule="auto"/>
        <w:ind w:left="23"/>
        <w:rPr>
          <w:sz w:val="23"/>
          <w:szCs w:val="23"/>
        </w:rPr>
      </w:pPr>
      <w:r>
        <w:rPr>
          <w:spacing w:val="2"/>
          <w:sz w:val="23"/>
          <w:szCs w:val="23"/>
        </w:rPr>
        <w:t>X射线的元素的含量。其基本结构为：激发源、分光系统、探测器和记录分析器。</w:t>
      </w:r>
    </w:p>
    <w:p>
      <w:pPr>
        <w:pStyle w:val="BodyText"/>
        <w:spacing w:before="173" w:line="387" w:lineRule="auto"/>
        <w:ind w:left="23" w:right="33" w:firstLine="490"/>
        <w:rPr>
          <w:sz w:val="23"/>
          <w:szCs w:val="23"/>
        </w:rPr>
      </w:pPr>
      <w:r>
        <w:rPr>
          <w:spacing w:val="10"/>
          <w:sz w:val="23"/>
          <w:szCs w:val="23"/>
        </w:rPr>
        <w:t>能量色散</w:t>
      </w:r>
      <w:r>
        <w:rPr>
          <w:rFonts w:ascii="Times New Roman" w:eastAsia="Times New Roman" w:hAnsi="Times New Roman" w:cs="Times New Roman"/>
          <w:spacing w:val="10"/>
          <w:sz w:val="23"/>
          <w:szCs w:val="23"/>
        </w:rPr>
        <w:t>X</w:t>
      </w:r>
      <w:r>
        <w:rPr>
          <w:spacing w:val="10"/>
          <w:sz w:val="23"/>
          <w:szCs w:val="23"/>
        </w:rPr>
        <w:t>射线荧光(即</w:t>
      </w:r>
      <w:r>
        <w:rPr>
          <w:spacing w:val="-14"/>
          <w:sz w:val="23"/>
          <w:szCs w:val="23"/>
        </w:rPr>
        <w:t xml:space="preserve"> </w:t>
      </w:r>
      <w:r>
        <w:rPr>
          <w:rFonts w:ascii="Times New Roman" w:eastAsia="Times New Roman" w:hAnsi="Times New Roman" w:cs="Times New Roman"/>
          <w:sz w:val="23"/>
          <w:szCs w:val="23"/>
        </w:rPr>
        <w:t>EDXRF</w:t>
      </w:r>
      <w:r>
        <w:rPr>
          <w:rFonts w:ascii="Times New Roman" w:eastAsia="Times New Roman" w:hAnsi="Times New Roman" w:cs="Times New Roman"/>
          <w:spacing w:val="10"/>
          <w:sz w:val="23"/>
          <w:szCs w:val="23"/>
        </w:rPr>
        <w:t>)</w:t>
      </w:r>
      <w:r>
        <w:rPr>
          <w:rFonts w:ascii="Times New Roman" w:eastAsia="Times New Roman" w:hAnsi="Times New Roman" w:cs="Times New Roman"/>
          <w:spacing w:val="34"/>
          <w:w w:val="101"/>
          <w:sz w:val="23"/>
          <w:szCs w:val="23"/>
        </w:rPr>
        <w:t xml:space="preserve"> </w:t>
      </w:r>
      <w:r>
        <w:rPr>
          <w:spacing w:val="10"/>
          <w:sz w:val="23"/>
          <w:szCs w:val="23"/>
        </w:rPr>
        <w:t>利用能量探测器将不同</w:t>
      </w:r>
      <w:r>
        <w:rPr>
          <w:rFonts w:ascii="Times New Roman" w:eastAsia="Times New Roman" w:hAnsi="Times New Roman" w:cs="Times New Roman"/>
          <w:spacing w:val="10"/>
          <w:sz w:val="23"/>
          <w:szCs w:val="23"/>
        </w:rPr>
        <w:t>X</w:t>
      </w:r>
      <w:r>
        <w:rPr>
          <w:rFonts w:ascii="Times New Roman" w:eastAsia="Times New Roman" w:hAnsi="Times New Roman" w:cs="Times New Roman"/>
          <w:spacing w:val="-20"/>
          <w:sz w:val="23"/>
          <w:szCs w:val="23"/>
        </w:rPr>
        <w:t xml:space="preserve"> </w:t>
      </w:r>
      <w:r>
        <w:rPr>
          <w:spacing w:val="10"/>
          <w:sz w:val="23"/>
          <w:szCs w:val="23"/>
        </w:rPr>
        <w:t>射线光信号转化</w:t>
      </w:r>
      <w:r>
        <w:rPr>
          <w:sz w:val="23"/>
          <w:szCs w:val="23"/>
        </w:rPr>
        <w:t xml:space="preserve"> </w:t>
      </w:r>
      <w:r>
        <w:rPr>
          <w:spacing w:val="7"/>
          <w:sz w:val="23"/>
          <w:szCs w:val="23"/>
        </w:rPr>
        <w:t>为不同的电脉冲信号，再对不同电脉冲信号统计分析得到X</w:t>
      </w:r>
      <w:r>
        <w:rPr>
          <w:spacing w:val="-34"/>
          <w:sz w:val="23"/>
          <w:szCs w:val="23"/>
        </w:rPr>
        <w:t xml:space="preserve"> </w:t>
      </w:r>
      <w:r>
        <w:rPr>
          <w:spacing w:val="7"/>
          <w:sz w:val="23"/>
          <w:szCs w:val="23"/>
        </w:rPr>
        <w:t>射线荧光强度，</w:t>
      </w:r>
      <w:r>
        <w:rPr>
          <w:spacing w:val="6"/>
          <w:sz w:val="23"/>
          <w:szCs w:val="23"/>
        </w:rPr>
        <w:t>其仪</w:t>
      </w:r>
    </w:p>
    <w:p>
      <w:pPr>
        <w:pStyle w:val="BodyText"/>
        <w:spacing w:before="1" w:line="218" w:lineRule="auto"/>
        <w:ind w:left="23"/>
        <w:rPr>
          <w:sz w:val="23"/>
          <w:szCs w:val="23"/>
        </w:rPr>
      </w:pPr>
      <w:r>
        <w:rPr>
          <w:spacing w:val="5"/>
          <w:sz w:val="23"/>
          <w:szCs w:val="23"/>
        </w:rPr>
        <w:t>器的基本构成是：激发源、探测器和多道谱及运算处理器。</w:t>
      </w:r>
    </w:p>
    <w:p>
      <w:pPr>
        <w:pStyle w:val="BodyText"/>
        <w:spacing w:before="199" w:line="219" w:lineRule="auto"/>
        <w:ind w:left="493"/>
        <w:rPr>
          <w:sz w:val="23"/>
          <w:szCs w:val="23"/>
        </w:rPr>
      </w:pPr>
      <w:r>
        <w:rPr>
          <w:spacing w:val="2"/>
          <w:sz w:val="23"/>
          <w:szCs w:val="23"/>
        </w:rPr>
        <w:t>两种</w:t>
      </w:r>
      <w:r>
        <w:rPr>
          <w:spacing w:val="-64"/>
          <w:sz w:val="23"/>
          <w:szCs w:val="23"/>
        </w:rPr>
        <w:t xml:space="preserve"> </w:t>
      </w:r>
      <w:r>
        <w:rPr>
          <w:rFonts w:ascii="Times New Roman" w:eastAsia="Times New Roman" w:hAnsi="Times New Roman" w:cs="Times New Roman"/>
          <w:spacing w:val="2"/>
          <w:sz w:val="23"/>
          <w:szCs w:val="23"/>
        </w:rPr>
        <w:t>X</w:t>
      </w:r>
      <w:r>
        <w:rPr>
          <w:spacing w:val="2"/>
          <w:sz w:val="23"/>
          <w:szCs w:val="23"/>
        </w:rPr>
        <w:t>射线荧光技术相比较：</w:t>
      </w:r>
    </w:p>
    <w:p>
      <w:pPr>
        <w:pStyle w:val="BodyText"/>
        <w:spacing w:before="196" w:line="460" w:lineRule="exact"/>
        <w:ind w:right="51"/>
        <w:jc w:val="right"/>
        <w:rPr>
          <w:sz w:val="23"/>
          <w:szCs w:val="23"/>
        </w:rPr>
      </w:pPr>
      <w:r>
        <w:rPr>
          <w:spacing w:val="13"/>
          <w:position w:val="17"/>
          <w:sz w:val="23"/>
          <w:szCs w:val="23"/>
        </w:rPr>
        <w:t>(1)波长色散系统结构复杂、功率高、实验室使用、成本高；能</w:t>
      </w:r>
      <w:r>
        <w:rPr>
          <w:spacing w:val="12"/>
          <w:position w:val="17"/>
          <w:sz w:val="23"/>
          <w:szCs w:val="23"/>
        </w:rPr>
        <w:t>量色散系</w:t>
      </w:r>
    </w:p>
    <w:p>
      <w:pPr>
        <w:pStyle w:val="BodyText"/>
        <w:spacing w:before="1" w:line="218" w:lineRule="auto"/>
        <w:ind w:left="23"/>
        <w:rPr>
          <w:sz w:val="23"/>
          <w:szCs w:val="23"/>
        </w:rPr>
      </w:pPr>
      <w:r>
        <w:rPr>
          <w:spacing w:val="5"/>
          <w:sz w:val="23"/>
          <w:szCs w:val="23"/>
        </w:rPr>
        <w:t>统相对简单，低功率、可实验室、便携式使用，成本相对较低。</w:t>
      </w:r>
    </w:p>
    <w:p>
      <w:pPr>
        <w:spacing w:line="218" w:lineRule="auto"/>
        <w:rPr>
          <w:sz w:val="23"/>
          <w:szCs w:val="23"/>
        </w:rPr>
        <w:sectPr>
          <w:footerReference w:type="default" r:id="rId63"/>
          <w:type w:val="nextPage"/>
          <w:pgSz w:w="11910" w:h="16840"/>
          <w:pgMar w:top="1431" w:right="1786" w:bottom="1338" w:left="1786" w:header="0" w:footer="1199" w:gutter="0"/>
          <w:pgNumType w:start="30"/>
          <w:cols w:space="708"/>
          <w:titlePg w:val="0"/>
        </w:sectPr>
      </w:pPr>
    </w:p>
    <w:p>
      <w:pPr>
        <w:pStyle w:val="BodyText"/>
        <w:spacing w:before="124" w:line="468" w:lineRule="exact"/>
        <w:ind w:right="67"/>
        <w:jc w:val="right"/>
      </w:pPr>
      <w:r>
        <w:rPr>
          <w:spacing w:val="-3"/>
          <w:position w:val="17"/>
        </w:rPr>
        <w:t>（2）波长色散设备对低能</w:t>
      </w:r>
      <w:r>
        <w:rPr>
          <w:spacing w:val="-25"/>
          <w:position w:val="17"/>
        </w:rPr>
        <w:t xml:space="preserve"> </w:t>
      </w:r>
      <w:r>
        <w:rPr>
          <w:spacing w:val="-3"/>
          <w:position w:val="17"/>
        </w:rPr>
        <w:t>X</w:t>
      </w:r>
      <w:r>
        <w:rPr>
          <w:spacing w:val="-29"/>
          <w:position w:val="17"/>
        </w:rPr>
        <w:t xml:space="preserve"> </w:t>
      </w:r>
      <w:r>
        <w:rPr>
          <w:spacing w:val="-3"/>
          <w:position w:val="17"/>
        </w:rPr>
        <w:t>射线分析效果好，而能量色散设备对高能</w:t>
      </w:r>
      <w:r>
        <w:rPr>
          <w:spacing w:val="-31"/>
          <w:position w:val="17"/>
        </w:rPr>
        <w:t xml:space="preserve"> </w:t>
      </w:r>
      <w:r>
        <w:rPr>
          <w:spacing w:val="-3"/>
          <w:position w:val="17"/>
        </w:rPr>
        <w:t>X</w:t>
      </w:r>
      <w:r>
        <w:rPr>
          <w:spacing w:val="-29"/>
          <w:position w:val="17"/>
        </w:rPr>
        <w:t xml:space="preserve"> </w:t>
      </w:r>
      <w:r>
        <w:rPr>
          <w:spacing w:val="-3"/>
          <w:position w:val="17"/>
        </w:rPr>
        <w:t>射</w:t>
      </w:r>
    </w:p>
    <w:p>
      <w:pPr>
        <w:pStyle w:val="BodyText"/>
        <w:spacing w:line="219" w:lineRule="auto"/>
        <w:ind w:left="26"/>
      </w:pPr>
      <w:r>
        <w:rPr>
          <w:spacing w:val="-4"/>
        </w:rPr>
        <w:t>线分析效果好。</w:t>
      </w:r>
    </w:p>
    <w:p>
      <w:pPr>
        <w:pStyle w:val="BodyText"/>
        <w:spacing w:before="182" w:line="360" w:lineRule="auto"/>
        <w:ind w:left="24" w:right="74" w:firstLine="480"/>
      </w:pPr>
      <w:r>
        <w:rPr>
          <w:spacing w:val="-4"/>
        </w:rPr>
        <w:t>（3）</w:t>
      </w:r>
      <w:r>
        <w:rPr>
          <w:spacing w:val="-68"/>
        </w:rPr>
        <w:t xml:space="preserve"> </w:t>
      </w:r>
      <w:r>
        <w:rPr>
          <w:spacing w:val="-4"/>
        </w:rPr>
        <w:t>目前国内关于 X 射线荧光光谱法标准主要是利用波长</w:t>
      </w:r>
      <w:r>
        <w:rPr>
          <w:spacing w:val="-5"/>
        </w:rPr>
        <w:t>色散设备的《HJ</w:t>
      </w:r>
      <w:r>
        <w:t xml:space="preserve"> </w:t>
      </w:r>
      <w:r>
        <w:rPr>
          <w:spacing w:val="-2"/>
        </w:rPr>
        <w:t>780-2015 土壤和沉积物 无机元素的测定 波长色散</w:t>
      </w:r>
      <w:r>
        <w:rPr>
          <w:spacing w:val="-3"/>
        </w:rPr>
        <w:t xml:space="preserve"> X 射线荧光光谱法》和《HJ</w:t>
      </w:r>
      <w:r>
        <w:t xml:space="preserve"> </w:t>
      </w:r>
      <w:r>
        <w:rPr>
          <w:spacing w:val="-2"/>
        </w:rPr>
        <w:t>830-2017 环境空气 颗粒物中机元素的测定</w:t>
      </w:r>
      <w:r>
        <w:rPr>
          <w:spacing w:val="-3"/>
        </w:rPr>
        <w:t xml:space="preserve"> 波长色散 X 射线荧光光谱法》两个</w:t>
      </w:r>
      <w:r>
        <w:t xml:space="preserve"> </w:t>
      </w:r>
      <w:r>
        <w:t>标准，利用能量色散设备的标准有《HJ 829-2017 环境空气 颗粒物中无机元素</w:t>
      </w:r>
    </w:p>
    <w:p>
      <w:pPr>
        <w:pStyle w:val="BodyText"/>
        <w:spacing w:line="219" w:lineRule="auto"/>
        <w:ind w:left="43"/>
      </w:pPr>
      <w:r>
        <w:rPr>
          <w:spacing w:val="-7"/>
        </w:rPr>
        <w:t>的测定 能量色散</w:t>
      </w:r>
      <w:r>
        <w:rPr>
          <w:spacing w:val="-40"/>
        </w:rPr>
        <w:t xml:space="preserve"> </w:t>
      </w:r>
      <w:r>
        <w:rPr>
          <w:spacing w:val="-7"/>
        </w:rPr>
        <w:t>X</w:t>
      </w:r>
      <w:r>
        <w:rPr>
          <w:spacing w:val="-52"/>
        </w:rPr>
        <w:t xml:space="preserve"> </w:t>
      </w:r>
      <w:r>
        <w:rPr>
          <w:spacing w:val="-7"/>
        </w:rPr>
        <w:t>射线荧光光谱法》。</w:t>
      </w:r>
    </w:p>
    <w:p>
      <w:pPr>
        <w:pStyle w:val="BodyText"/>
        <w:spacing w:before="305" w:line="220" w:lineRule="auto"/>
        <w:ind w:left="25"/>
        <w:outlineLvl w:val="0"/>
      </w:pPr>
      <w:r>
        <w:rPr>
          <w:b/>
          <w:bCs/>
          <w:spacing w:val="-4"/>
        </w:rPr>
        <w:t>6.2.3</w:t>
      </w:r>
      <w:r>
        <w:rPr>
          <w:spacing w:val="-4"/>
        </w:rPr>
        <w:t xml:space="preserve">  </w:t>
      </w:r>
      <w:r>
        <w:rPr>
          <w:b/>
          <w:bCs/>
          <w:spacing w:val="-4"/>
        </w:rPr>
        <w:t>多色光激发和单色光激发能量色散</w:t>
      </w:r>
      <w:r>
        <w:rPr>
          <w:spacing w:val="-52"/>
        </w:rPr>
        <w:t xml:space="preserve"> </w:t>
      </w:r>
      <w:r>
        <w:rPr>
          <w:b/>
          <w:bCs/>
          <w:spacing w:val="-4"/>
        </w:rPr>
        <w:t>X</w:t>
      </w:r>
      <w:r>
        <w:rPr>
          <w:spacing w:val="-53"/>
        </w:rPr>
        <w:t xml:space="preserve"> </w:t>
      </w:r>
      <w:r>
        <w:rPr>
          <w:b/>
          <w:bCs/>
          <w:spacing w:val="-4"/>
        </w:rPr>
        <w:t>射线荧光光谱仪</w:t>
      </w:r>
    </w:p>
    <w:p>
      <w:pPr>
        <w:pStyle w:val="BodyText"/>
        <w:spacing w:before="264" w:line="360" w:lineRule="auto"/>
        <w:ind w:left="24" w:right="74" w:firstLine="520"/>
      </w:pPr>
      <w:r>
        <w:rPr>
          <w:spacing w:val="-5"/>
        </w:rPr>
        <w:t>目前便携式</w:t>
      </w:r>
      <w:r>
        <w:rPr>
          <w:spacing w:val="-42"/>
        </w:rPr>
        <w:t xml:space="preserve"> </w:t>
      </w:r>
      <w:r>
        <w:rPr>
          <w:spacing w:val="-5"/>
        </w:rPr>
        <w:t>X</w:t>
      </w:r>
      <w:r>
        <w:rPr>
          <w:spacing w:val="-53"/>
        </w:rPr>
        <w:t xml:space="preserve"> </w:t>
      </w:r>
      <w:r>
        <w:rPr>
          <w:spacing w:val="-5"/>
        </w:rPr>
        <w:t>射线荧光光谱仪可分为多色光激发和单色光激发两种，前者通</w:t>
      </w:r>
      <w:r>
        <w:t xml:space="preserve"> </w:t>
      </w:r>
      <w:r>
        <w:rPr>
          <w:spacing w:val="-3"/>
        </w:rPr>
        <w:t>过采用滤光片来提升分析元素的信噪比，后者通过光学晶体</w:t>
      </w:r>
      <w:r>
        <w:rPr>
          <w:spacing w:val="-4"/>
        </w:rPr>
        <w:t>等将原级</w:t>
      </w:r>
      <w:r>
        <w:rPr>
          <w:spacing w:val="-54"/>
        </w:rPr>
        <w:t xml:space="preserve"> </w:t>
      </w:r>
      <w:r>
        <w:rPr>
          <w:spacing w:val="-4"/>
        </w:rPr>
        <w:t>X</w:t>
      </w:r>
      <w:r>
        <w:rPr>
          <w:spacing w:val="-51"/>
        </w:rPr>
        <w:t xml:space="preserve"> </w:t>
      </w:r>
      <w:r>
        <w:rPr>
          <w:spacing w:val="-4"/>
        </w:rPr>
        <w:t>射线单色</w:t>
      </w:r>
      <w:r>
        <w:t xml:space="preserve"> </w:t>
      </w:r>
      <w:r>
        <w:rPr>
          <w:spacing w:val="-3"/>
        </w:rPr>
        <w:t>化后激发样品来提升分析元素的信噪比，两者在探测器和运算处理器方面无明显</w:t>
      </w:r>
    </w:p>
    <w:p>
      <w:pPr>
        <w:pStyle w:val="BodyText"/>
        <w:spacing w:before="1" w:line="219" w:lineRule="auto"/>
        <w:ind w:left="26"/>
      </w:pPr>
      <w:r>
        <w:rPr>
          <w:spacing w:val="-3"/>
        </w:rPr>
        <w:t>差别。两种能量色散</w:t>
      </w:r>
      <w:r>
        <w:rPr>
          <w:spacing w:val="-53"/>
        </w:rPr>
        <w:t xml:space="preserve"> </w:t>
      </w:r>
      <w:r>
        <w:rPr>
          <w:spacing w:val="-3"/>
        </w:rPr>
        <w:t>X</w:t>
      </w:r>
      <w:r>
        <w:rPr>
          <w:spacing w:val="-54"/>
        </w:rPr>
        <w:t xml:space="preserve"> </w:t>
      </w:r>
      <w:r>
        <w:rPr>
          <w:spacing w:val="-3"/>
        </w:rPr>
        <w:t>射线荧光技术相比较：</w:t>
      </w:r>
    </w:p>
    <w:p>
      <w:pPr>
        <w:pStyle w:val="BodyText"/>
        <w:spacing w:before="183" w:line="468" w:lineRule="exact"/>
        <w:ind w:left="503"/>
      </w:pPr>
      <w:r>
        <w:rPr>
          <w:spacing w:val="-3"/>
          <w:position w:val="17"/>
        </w:rPr>
        <w:t>（1）单色光激发 X 射线荧光光谱仪的系统结构比多色光系统结构复杂、重</w:t>
      </w:r>
    </w:p>
    <w:p>
      <w:pPr>
        <w:pStyle w:val="BodyText"/>
        <w:spacing w:before="1" w:line="218" w:lineRule="auto"/>
        <w:jc w:val="right"/>
      </w:pPr>
      <w:r>
        <w:rPr>
          <w:spacing w:val="-1"/>
        </w:rPr>
        <w:t>量略重、成本略高，多色光激发系统相对简单，便携性更好，成本也相对较低。</w:t>
      </w:r>
    </w:p>
    <w:p>
      <w:pPr>
        <w:pStyle w:val="BodyText"/>
        <w:spacing w:before="184" w:line="468" w:lineRule="exact"/>
        <w:ind w:left="503"/>
      </w:pPr>
      <w:r>
        <w:rPr>
          <w:spacing w:val="-3"/>
          <w:position w:val="17"/>
        </w:rPr>
        <w:t>（2）单色光激发 X 射线荧光光谱仪设备通常针对目标元素的检测下限优于</w:t>
      </w:r>
    </w:p>
    <w:p>
      <w:pPr>
        <w:pStyle w:val="BodyText"/>
        <w:spacing w:line="219" w:lineRule="auto"/>
        <w:ind w:left="35"/>
      </w:pPr>
      <w:r>
        <w:rPr>
          <w:spacing w:val="-3"/>
        </w:rPr>
        <w:t>多色光激发系统，更适用于痕量元素的检测应用。</w:t>
      </w:r>
    </w:p>
    <w:p>
      <w:pPr>
        <w:spacing w:line="360" w:lineRule="auto"/>
        <w:rPr>
          <w:rFonts w:ascii="Arial"/>
          <w:sz w:val="21"/>
        </w:rPr>
      </w:pPr>
    </w:p>
    <w:p>
      <w:pPr>
        <w:pStyle w:val="BodyText"/>
        <w:spacing w:before="79" w:line="220" w:lineRule="auto"/>
        <w:ind w:left="23"/>
        <w:outlineLvl w:val="0"/>
      </w:pPr>
      <w:r>
        <w:rPr>
          <w:rFonts w:ascii="Times New Roman" w:eastAsia="Times New Roman" w:hAnsi="Times New Roman" w:cs="Times New Roman"/>
          <w:b/>
          <w:bCs/>
          <w:spacing w:val="-2"/>
        </w:rPr>
        <w:t xml:space="preserve">6.3  </w:t>
      </w:r>
      <w:r>
        <w:rPr>
          <w:b/>
          <w:bCs/>
          <w:spacing w:val="-2"/>
        </w:rPr>
        <w:t>仪器的结构组成</w:t>
      </w:r>
    </w:p>
    <w:p>
      <w:pPr>
        <w:spacing w:line="364" w:lineRule="auto"/>
        <w:rPr>
          <w:rFonts w:ascii="Arial"/>
          <w:sz w:val="21"/>
        </w:rPr>
      </w:pPr>
    </w:p>
    <w:p>
      <w:pPr>
        <w:pStyle w:val="BodyText"/>
        <w:spacing w:before="79" w:line="360" w:lineRule="auto"/>
        <w:ind w:left="23" w:right="79" w:firstLine="477"/>
      </w:pPr>
      <w:r>
        <w:rPr>
          <w:spacing w:val="-13"/>
        </w:rPr>
        <w:t>X</w:t>
      </w:r>
      <w:r>
        <w:rPr>
          <w:spacing w:val="-45"/>
        </w:rPr>
        <w:t xml:space="preserve"> </w:t>
      </w:r>
      <w:r>
        <w:rPr>
          <w:spacing w:val="-13"/>
        </w:rPr>
        <w:t>射线荧光光谱仪包含五大主要部件：</w:t>
      </w:r>
      <w:r>
        <w:rPr>
          <w:spacing w:val="59"/>
        </w:rPr>
        <w:t xml:space="preserve"> </w:t>
      </w:r>
      <w:r>
        <w:rPr>
          <w:spacing w:val="-13"/>
        </w:rPr>
        <w:t>(1) 提供 X 射线的放射源；</w:t>
      </w:r>
      <w:r>
        <w:rPr>
          <w:spacing w:val="61"/>
        </w:rPr>
        <w:t xml:space="preserve"> </w:t>
      </w:r>
      <w:r>
        <w:rPr>
          <w:spacing w:val="-13"/>
        </w:rPr>
        <w:t>(2)</w:t>
      </w:r>
      <w:r>
        <w:rPr>
          <w:spacing w:val="10"/>
        </w:rPr>
        <w:t xml:space="preserve"> </w:t>
      </w:r>
      <w:r>
        <w:rPr>
          <w:spacing w:val="-13"/>
        </w:rPr>
        <w:t>给</w:t>
      </w:r>
      <w:r>
        <w:rPr>
          <w:spacing w:val="-53"/>
        </w:rPr>
        <w:t xml:space="preserve"> </w:t>
      </w:r>
      <w:r>
        <w:rPr>
          <w:spacing w:val="-13"/>
        </w:rPr>
        <w:t>X</w:t>
      </w:r>
      <w:r>
        <w:t xml:space="preserve"> </w:t>
      </w:r>
      <w:r>
        <w:rPr>
          <w:spacing w:val="-17"/>
        </w:rPr>
        <w:t>射线管供电的高压电源</w:t>
      </w:r>
      <w:r>
        <w:rPr>
          <w:spacing w:val="-18"/>
        </w:rPr>
        <w:t>；</w:t>
      </w:r>
      <w:r>
        <w:rPr>
          <w:spacing w:val="-30"/>
        </w:rPr>
        <w:t xml:space="preserve"> </w:t>
      </w:r>
      <w:r>
        <w:rPr>
          <w:spacing w:val="-18"/>
        </w:rPr>
        <w:t>（</w:t>
      </w:r>
      <w:r>
        <w:rPr>
          <w:spacing w:val="-17"/>
        </w:rPr>
        <w:t>3）光学系统， 改善检测的信噪比，</w:t>
      </w:r>
      <w:r>
        <w:rPr>
          <w:spacing w:val="21"/>
        </w:rPr>
        <w:t xml:space="preserve"> </w:t>
      </w:r>
      <w:r>
        <w:rPr>
          <w:spacing w:val="-17"/>
        </w:rPr>
        <w:t>提升分析灵敏度；</w:t>
      </w:r>
      <w:r>
        <w:t xml:space="preserve"> </w:t>
      </w:r>
      <w:r>
        <w:rPr>
          <w:spacing w:val="-1"/>
        </w:rPr>
        <w:t>(4) 将由样品发射的 X 射线产生的光子转换成可测得电子信号的探测器；</w:t>
      </w:r>
      <w:r>
        <w:rPr>
          <w:spacing w:val="59"/>
        </w:rPr>
        <w:t xml:space="preserve"> </w:t>
      </w:r>
      <w:r>
        <w:rPr>
          <w:spacing w:val="-2"/>
        </w:rPr>
        <w:t>(5)</w:t>
      </w:r>
      <w:r>
        <w:t xml:space="preserve"> </w:t>
      </w:r>
      <w:r>
        <w:rPr>
          <w:spacing w:val="-6"/>
        </w:rPr>
        <w:t>包含发射或荧光能量分析仪的数据处理单元，</w:t>
      </w:r>
      <w:r>
        <w:rPr>
          <w:spacing w:val="56"/>
        </w:rPr>
        <w:t xml:space="preserve"> </w:t>
      </w:r>
      <w:r>
        <w:rPr>
          <w:spacing w:val="-6"/>
        </w:rPr>
        <w:t>例如</w:t>
      </w:r>
      <w:r>
        <w:rPr>
          <w:spacing w:val="-57"/>
        </w:rPr>
        <w:t xml:space="preserve"> </w:t>
      </w:r>
      <w:r>
        <w:rPr>
          <w:spacing w:val="-6"/>
        </w:rPr>
        <w:t>MCA，其用于将信号处理成 X</w:t>
      </w:r>
      <w:r>
        <w:t xml:space="preserve"> </w:t>
      </w:r>
      <w:r>
        <w:rPr>
          <w:spacing w:val="-11"/>
        </w:rPr>
        <w:t>射线能谱， 从该能谱中可以计算出样品的元素浓度，</w:t>
      </w:r>
      <w:r>
        <w:rPr>
          <w:spacing w:val="49"/>
        </w:rPr>
        <w:t xml:space="preserve"> </w:t>
      </w:r>
      <w:r>
        <w:rPr>
          <w:spacing w:val="-11"/>
        </w:rPr>
        <w:t>以及一个数据显示和存储系</w:t>
      </w:r>
    </w:p>
    <w:p>
      <w:pPr>
        <w:pStyle w:val="BodyText"/>
        <w:spacing w:before="1" w:line="220" w:lineRule="auto"/>
        <w:ind w:left="29"/>
      </w:pPr>
      <w:r>
        <w:rPr>
          <w:spacing w:val="-13"/>
        </w:rPr>
        <w:t>统。</w:t>
      </w:r>
    </w:p>
    <w:p>
      <w:pPr>
        <w:pStyle w:val="BodyText"/>
        <w:spacing w:before="181" w:line="220" w:lineRule="auto"/>
        <w:ind w:left="126"/>
        <w:outlineLvl w:val="0"/>
        <w:sectPr>
          <w:footerReference w:type="default" r:id="rId64"/>
          <w:pgSz w:w="11907" w:h="16839"/>
          <w:pgMar w:top="1431" w:right="1718" w:bottom="1357" w:left="1785" w:header="0" w:footer="1197" w:gutter="0"/>
          <w:pgNumType w:start="31"/>
          <w:cols w:space="708"/>
        </w:sectPr>
      </w:pPr>
      <w:r>
        <w:rPr>
          <w:b/>
          <w:bCs/>
          <w:spacing w:val="-4"/>
        </w:rPr>
        <w:t>6.3.1</w:t>
      </w:r>
      <w:r>
        <w:rPr>
          <w:spacing w:val="-4"/>
        </w:rPr>
        <w:t xml:space="preserve"> </w:t>
      </w:r>
      <w:r>
        <w:rPr>
          <w:b/>
          <w:bCs/>
          <w:spacing w:val="-4"/>
        </w:rPr>
        <w:t>激发源</w:t>
      </w:r>
    </w:p>
    <w:p>
      <w:pPr>
        <w:pStyle w:val="BodyText"/>
        <w:spacing w:before="182" w:line="360" w:lineRule="auto"/>
        <w:ind w:left="125" w:right="202" w:firstLine="475"/>
      </w:pPr>
      <w:r>
        <w:rPr>
          <w:spacing w:val="-6"/>
        </w:rPr>
        <w:t>仪器使用 X 射线管来提供激发源，其运作模式是采用加速高</w:t>
      </w:r>
      <w:r>
        <w:rPr>
          <w:spacing w:val="-7"/>
        </w:rPr>
        <w:t>压的电子轰击</w:t>
      </w:r>
      <w:r>
        <w:t xml:space="preserve"> </w:t>
      </w:r>
      <w:r>
        <w:rPr>
          <w:spacing w:val="-9"/>
        </w:rPr>
        <w:t>阳极。电子获取的电子伏能量与加速电压相等</w:t>
      </w:r>
      <w:r>
        <w:rPr>
          <w:spacing w:val="-10"/>
        </w:rPr>
        <w:t>，且能够激发阳极中的原子跃迁，</w:t>
      </w:r>
      <w:r>
        <w:t xml:space="preserve"> </w:t>
      </w:r>
      <w:r>
        <w:rPr>
          <w:spacing w:val="-2"/>
        </w:rPr>
        <w:t>其随后产生特征 X 射线。这些特征 X 射线一</w:t>
      </w:r>
      <w:r>
        <w:rPr>
          <w:spacing w:val="-3"/>
        </w:rPr>
        <w:t>经发射后，穿过一个窗口，该窗</w:t>
      </w:r>
    </w:p>
    <w:p>
      <w:pPr>
        <w:pStyle w:val="BodyText"/>
        <w:spacing w:before="1" w:line="219" w:lineRule="auto"/>
        <w:ind w:left="161"/>
      </w:pPr>
      <w:r>
        <w:rPr>
          <w:spacing w:val="-8"/>
        </w:rPr>
        <w:t>口包含电子加速必需的真空。</w:t>
      </w:r>
      <w:r>
        <w:rPr>
          <w:spacing w:val="40"/>
        </w:rPr>
        <w:t xml:space="preserve"> </w:t>
      </w:r>
      <w:r>
        <w:rPr>
          <w:spacing w:val="-8"/>
        </w:rPr>
        <w:t>X 射线管和放射源之间的主要差异是，除</w:t>
      </w:r>
      <w:r>
        <w:rPr>
          <w:spacing w:val="-9"/>
        </w:rPr>
        <w:t>产生特</w:t>
      </w:r>
    </w:p>
    <w:p>
      <w:pPr>
        <w:spacing w:line="219" w:lineRule="auto"/>
        <w:sectPr>
          <w:footerReference w:type="default" r:id="rId65"/>
          <w:type w:val="nextPage"/>
          <w:pgSz w:w="11907" w:h="16839"/>
          <w:pgMar w:top="1431" w:right="1718" w:bottom="1357" w:left="1785" w:header="0" w:footer="1197" w:gutter="0"/>
          <w:pgNumType w:start="32"/>
          <w:cols w:space="708"/>
          <w:titlePg w:val="0"/>
        </w:sectPr>
      </w:pPr>
    </w:p>
    <w:p>
      <w:pPr>
        <w:pStyle w:val="BodyText"/>
        <w:spacing w:before="125" w:line="360" w:lineRule="auto"/>
        <w:ind w:left="121" w:right="141" w:firstLine="5"/>
        <w:jc w:val="both"/>
      </w:pPr>
      <w:r>
        <w:rPr>
          <w:spacing w:val="-9"/>
        </w:rPr>
        <w:t>征 X 射线外，轰击阳极的电子还会产生能量范围不同的连续 X 射线。与特征 X</w:t>
      </w:r>
      <w:r>
        <w:rPr>
          <w:spacing w:val="15"/>
        </w:rPr>
        <w:t xml:space="preserve"> </w:t>
      </w:r>
      <w:r>
        <w:rPr>
          <w:spacing w:val="-17"/>
        </w:rPr>
        <w:t>射线相比，</w:t>
      </w:r>
      <w:r>
        <w:rPr>
          <w:spacing w:val="39"/>
        </w:rPr>
        <w:t xml:space="preserve"> </w:t>
      </w:r>
      <w:r>
        <w:rPr>
          <w:spacing w:val="-17"/>
        </w:rPr>
        <w:t>该连续体非常弱，</w:t>
      </w:r>
      <w:r>
        <w:rPr>
          <w:spacing w:val="32"/>
        </w:rPr>
        <w:t xml:space="preserve"> </w:t>
      </w:r>
      <w:r>
        <w:rPr>
          <w:spacing w:val="-17"/>
        </w:rPr>
        <w:t>但却能够提供实质性的激发，</w:t>
      </w:r>
      <w:r>
        <w:rPr>
          <w:spacing w:val="53"/>
        </w:rPr>
        <w:t xml:space="preserve"> </w:t>
      </w:r>
      <w:r>
        <w:rPr>
          <w:spacing w:val="-17"/>
        </w:rPr>
        <w:t>因为它含有广泛的</w:t>
      </w:r>
      <w:r>
        <w:t xml:space="preserve"> </w:t>
      </w:r>
      <w:r>
        <w:rPr>
          <w:spacing w:val="-12"/>
        </w:rPr>
        <w:t>能量范围。当它被样品散射开来后，</w:t>
      </w:r>
      <w:r>
        <w:rPr>
          <w:spacing w:val="33"/>
        </w:rPr>
        <w:t xml:space="preserve"> </w:t>
      </w:r>
      <w:r>
        <w:rPr>
          <w:spacing w:val="-12"/>
        </w:rPr>
        <w:t>还具备一项非预</w:t>
      </w:r>
      <w:r>
        <w:rPr>
          <w:spacing w:val="-13"/>
        </w:rPr>
        <w:t>期属性，</w:t>
      </w:r>
      <w:r>
        <w:rPr>
          <w:spacing w:val="52"/>
        </w:rPr>
        <w:t xml:space="preserve"> </w:t>
      </w:r>
      <w:r>
        <w:rPr>
          <w:spacing w:val="-13"/>
        </w:rPr>
        <w:t>即在靠近待测物</w:t>
      </w:r>
      <w:r>
        <w:t xml:space="preserve"> </w:t>
      </w:r>
      <w:r>
        <w:rPr>
          <w:spacing w:val="-2"/>
        </w:rPr>
        <w:t>X 射线的光谱中生成背景。为此， 通常</w:t>
      </w:r>
      <w:r>
        <w:rPr>
          <w:spacing w:val="-3"/>
        </w:rPr>
        <w:t>在 X 射线管和样品之间使用一个滤光</w:t>
      </w:r>
      <w:r>
        <w:t xml:space="preserve"> </w:t>
      </w:r>
      <w:r>
        <w:rPr>
          <w:spacing w:val="-3"/>
        </w:rPr>
        <w:t>片，以在穿过阳极的特征 X 射线时， 起到抑制连续辐射的目的。有时候，这</w:t>
      </w:r>
      <w:r>
        <w:rPr>
          <w:spacing w:val="14"/>
        </w:rPr>
        <w:t xml:space="preserve"> </w:t>
      </w:r>
      <w:r>
        <w:rPr>
          <w:spacing w:val="1"/>
        </w:rPr>
        <w:t>个滤光片可以嵌入 X 射线管的窗口中加速电压的选择依</w:t>
      </w:r>
      <w:r>
        <w:t xml:space="preserve">据有两点：一是阳极 </w:t>
      </w:r>
      <w:r>
        <w:rPr>
          <w:spacing w:val="-8"/>
        </w:rPr>
        <w:t>材料，</w:t>
      </w:r>
      <w:r>
        <w:rPr>
          <w:spacing w:val="-39"/>
        </w:rPr>
        <w:t xml:space="preserve"> </w:t>
      </w:r>
      <w:r>
        <w:rPr>
          <w:spacing w:val="-8"/>
        </w:rPr>
        <w:t>这是因为电子必须具备能够激发阳极的充分能量</w:t>
      </w:r>
      <w:r>
        <w:rPr>
          <w:spacing w:val="-9"/>
        </w:rPr>
        <w:t>， 其所需的电压高于阳</w:t>
      </w:r>
      <w:r>
        <w:t xml:space="preserve"> </w:t>
      </w:r>
      <w:r>
        <w:rPr>
          <w:spacing w:val="1"/>
        </w:rPr>
        <w:t>极材料的吸收边；二是仪器冷却 X 射线管的能力。尽管电</w:t>
      </w:r>
      <w:r>
        <w:t xml:space="preserve">压低至吸收边带能 </w:t>
      </w:r>
      <w:r>
        <w:rPr>
          <w:spacing w:val="-10"/>
        </w:rPr>
        <w:t>的</w:t>
      </w:r>
      <w:r>
        <w:rPr>
          <w:spacing w:val="27"/>
        </w:rPr>
        <w:t xml:space="preserve"> </w:t>
      </w:r>
      <w:r>
        <w:rPr>
          <w:spacing w:val="-10"/>
        </w:rPr>
        <w:t>1.5 倍时， 阳极依然可以运作，</w:t>
      </w:r>
      <w:r>
        <w:rPr>
          <w:spacing w:val="32"/>
        </w:rPr>
        <w:t xml:space="preserve"> </w:t>
      </w:r>
      <w:r>
        <w:rPr>
          <w:spacing w:val="-10"/>
        </w:rPr>
        <w:t>但阳极受到吸收边带能 2-2.5 倍（大</w:t>
      </w:r>
      <w:r>
        <w:rPr>
          <w:spacing w:val="-11"/>
        </w:rPr>
        <w:t>多数</w:t>
      </w:r>
      <w:r>
        <w:t xml:space="preserve"> </w:t>
      </w:r>
      <w:r>
        <w:rPr>
          <w:spacing w:val="-14"/>
        </w:rPr>
        <w:t>X 射线管单位功率）</w:t>
      </w:r>
      <w:r>
        <w:rPr>
          <w:spacing w:val="23"/>
        </w:rPr>
        <w:t xml:space="preserve"> </w:t>
      </w:r>
      <w:r>
        <w:rPr>
          <w:spacing w:val="-14"/>
        </w:rPr>
        <w:t>的电压激发时，</w:t>
      </w:r>
      <w:r>
        <w:rPr>
          <w:spacing w:val="47"/>
        </w:rPr>
        <w:t xml:space="preserve"> </w:t>
      </w:r>
      <w:r>
        <w:rPr>
          <w:spacing w:val="-14"/>
        </w:rPr>
        <w:t>效率最高。与放射源一样，</w:t>
      </w:r>
      <w:r>
        <w:rPr>
          <w:spacing w:val="-27"/>
        </w:rPr>
        <w:t xml:space="preserve"> </w:t>
      </w:r>
      <w:r>
        <w:rPr>
          <w:spacing w:val="-14"/>
        </w:rPr>
        <w:t>阳</w:t>
      </w:r>
      <w:r>
        <w:rPr>
          <w:spacing w:val="-15"/>
        </w:rPr>
        <w:t>极发射的特</w:t>
      </w:r>
    </w:p>
    <w:p>
      <w:pPr>
        <w:pStyle w:val="BodyText"/>
        <w:spacing w:line="219" w:lineRule="auto"/>
        <w:ind w:left="127"/>
      </w:pPr>
      <w:r>
        <w:rPr>
          <w:spacing w:val="-3"/>
        </w:rPr>
        <w:t>征 X 射线能够激发样品中的一系列元素。</w:t>
      </w:r>
    </w:p>
    <w:p>
      <w:pPr>
        <w:pStyle w:val="BodyText"/>
        <w:spacing w:before="183" w:line="360" w:lineRule="auto"/>
        <w:ind w:left="123" w:right="140" w:firstLine="483"/>
        <w:jc w:val="both"/>
      </w:pPr>
      <w:r>
        <w:rPr>
          <w:spacing w:val="-10"/>
        </w:rPr>
        <w:t>最初采用放射源做光源， 但由于其不可控性可能对人体造成伤害， 从本世</w:t>
      </w:r>
      <w:r>
        <w:rPr>
          <w:spacing w:val="4"/>
        </w:rPr>
        <w:t xml:space="preserve"> </w:t>
      </w:r>
      <w:r>
        <w:rPr>
          <w:spacing w:val="-12"/>
        </w:rPr>
        <w:t>纪开始就已经完全被</w:t>
      </w:r>
      <w:r>
        <w:rPr>
          <w:spacing w:val="-49"/>
        </w:rPr>
        <w:t xml:space="preserve"> </w:t>
      </w:r>
      <w:r>
        <w:rPr>
          <w:spacing w:val="-12"/>
        </w:rPr>
        <w:t>X</w:t>
      </w:r>
      <w:r>
        <w:rPr>
          <w:spacing w:val="-51"/>
        </w:rPr>
        <w:t xml:space="preserve"> </w:t>
      </w:r>
      <w:r>
        <w:rPr>
          <w:spacing w:val="-12"/>
        </w:rPr>
        <w:t>射线管所替代。</w:t>
      </w:r>
      <w:r>
        <w:rPr>
          <w:spacing w:val="34"/>
        </w:rPr>
        <w:t xml:space="preserve"> </w:t>
      </w:r>
      <w:r>
        <w:rPr>
          <w:spacing w:val="-12"/>
        </w:rPr>
        <w:t>X</w:t>
      </w:r>
      <w:r>
        <w:rPr>
          <w:spacing w:val="-50"/>
        </w:rPr>
        <w:t xml:space="preserve"> </w:t>
      </w:r>
      <w:r>
        <w:rPr>
          <w:spacing w:val="-12"/>
        </w:rPr>
        <w:t>射线管有侧窗、端窗两种类型，</w:t>
      </w:r>
      <w:r>
        <w:rPr>
          <w:spacing w:val="73"/>
        </w:rPr>
        <w:t xml:space="preserve"> </w:t>
      </w:r>
      <w:r>
        <w:rPr>
          <w:spacing w:val="-12"/>
        </w:rPr>
        <w:t>阳极</w:t>
      </w:r>
      <w:r>
        <w:t xml:space="preserve"> </w:t>
      </w:r>
      <w:r>
        <w:rPr>
          <w:spacing w:val="-15"/>
        </w:rPr>
        <w:t>靶材也有铑，</w:t>
      </w:r>
      <w:r>
        <w:rPr>
          <w:spacing w:val="45"/>
        </w:rPr>
        <w:t xml:space="preserve"> </w:t>
      </w:r>
      <w:r>
        <w:rPr>
          <w:spacing w:val="-15"/>
        </w:rPr>
        <w:t>银，</w:t>
      </w:r>
      <w:r>
        <w:rPr>
          <w:spacing w:val="-49"/>
        </w:rPr>
        <w:t xml:space="preserve"> </w:t>
      </w:r>
      <w:r>
        <w:rPr>
          <w:spacing w:val="-15"/>
        </w:rPr>
        <w:t>金，</w:t>
      </w:r>
      <w:r>
        <w:rPr>
          <w:spacing w:val="-50"/>
        </w:rPr>
        <w:t xml:space="preserve"> </w:t>
      </w:r>
      <w:r>
        <w:rPr>
          <w:spacing w:val="-15"/>
        </w:rPr>
        <w:t>钼等多种， 通常手持式</w:t>
      </w:r>
      <w:r>
        <w:rPr>
          <w:spacing w:val="-52"/>
        </w:rPr>
        <w:t xml:space="preserve"> </w:t>
      </w:r>
      <w:r>
        <w:rPr>
          <w:spacing w:val="-15"/>
        </w:rPr>
        <w:t>XRF</w:t>
      </w:r>
      <w:r>
        <w:rPr>
          <w:spacing w:val="-47"/>
        </w:rPr>
        <w:t xml:space="preserve"> </w:t>
      </w:r>
      <w:r>
        <w:rPr>
          <w:spacing w:val="-15"/>
        </w:rPr>
        <w:t>设备采用高压一体化的微型</w:t>
      </w:r>
    </w:p>
    <w:p>
      <w:pPr>
        <w:pStyle w:val="BodyText"/>
        <w:spacing w:line="219" w:lineRule="auto"/>
        <w:ind w:left="121"/>
      </w:pPr>
      <w:r>
        <w:rPr>
          <w:spacing w:val="-8"/>
        </w:rPr>
        <w:t>X</w:t>
      </w:r>
      <w:r>
        <w:rPr>
          <w:spacing w:val="-51"/>
        </w:rPr>
        <w:t xml:space="preserve"> </w:t>
      </w:r>
      <w:r>
        <w:rPr>
          <w:spacing w:val="-8"/>
        </w:rPr>
        <w:t>射线管。</w:t>
      </w:r>
    </w:p>
    <w:p>
      <w:pPr>
        <w:pStyle w:val="BodyText"/>
        <w:spacing w:before="258" w:line="220" w:lineRule="auto"/>
        <w:ind w:left="126"/>
        <w:outlineLvl w:val="0"/>
      </w:pPr>
      <w:r>
        <w:rPr>
          <w:b/>
          <w:bCs/>
          <w:spacing w:val="-5"/>
        </w:rPr>
        <w:t>6.3.2</w:t>
      </w:r>
      <w:r>
        <w:rPr>
          <w:spacing w:val="19"/>
        </w:rPr>
        <w:t xml:space="preserve"> </w:t>
      </w:r>
      <w:r>
        <w:rPr>
          <w:b/>
          <w:bCs/>
          <w:spacing w:val="-5"/>
        </w:rPr>
        <w:t>高压电源</w:t>
      </w:r>
    </w:p>
    <w:p>
      <w:pPr>
        <w:pStyle w:val="BodyText"/>
        <w:spacing w:before="262" w:line="468" w:lineRule="exact"/>
        <w:ind w:left="605"/>
      </w:pPr>
      <w:r>
        <w:rPr>
          <w:spacing w:val="-8"/>
          <w:position w:val="17"/>
        </w:rPr>
        <w:t>给</w:t>
      </w:r>
      <w:r>
        <w:rPr>
          <w:spacing w:val="-54"/>
          <w:position w:val="17"/>
        </w:rPr>
        <w:t xml:space="preserve"> </w:t>
      </w:r>
      <w:r>
        <w:rPr>
          <w:spacing w:val="-8"/>
          <w:position w:val="17"/>
        </w:rPr>
        <w:t>X</w:t>
      </w:r>
      <w:r>
        <w:rPr>
          <w:spacing w:val="-50"/>
          <w:position w:val="17"/>
        </w:rPr>
        <w:t xml:space="preserve"> </w:t>
      </w:r>
      <w:r>
        <w:rPr>
          <w:spacing w:val="-8"/>
          <w:position w:val="17"/>
        </w:rPr>
        <w:t>射线管提供电源供给， 高压输出电压从</w:t>
      </w:r>
      <w:r>
        <w:rPr>
          <w:spacing w:val="-48"/>
          <w:position w:val="17"/>
        </w:rPr>
        <w:t xml:space="preserve"> </w:t>
      </w:r>
      <w:r>
        <w:rPr>
          <w:spacing w:val="-8"/>
          <w:position w:val="17"/>
        </w:rPr>
        <w:t>0 至</w:t>
      </w:r>
      <w:r>
        <w:rPr>
          <w:spacing w:val="-46"/>
          <w:position w:val="17"/>
        </w:rPr>
        <w:t xml:space="preserve"> </w:t>
      </w:r>
      <w:r>
        <w:rPr>
          <w:spacing w:val="-8"/>
          <w:position w:val="17"/>
        </w:rPr>
        <w:t>50kV/65kV，电</w:t>
      </w:r>
      <w:r>
        <w:rPr>
          <w:spacing w:val="-9"/>
          <w:position w:val="17"/>
        </w:rPr>
        <w:t>流从</w:t>
      </w:r>
      <w:r>
        <w:rPr>
          <w:spacing w:val="-48"/>
          <w:position w:val="17"/>
        </w:rPr>
        <w:t xml:space="preserve"> </w:t>
      </w:r>
      <w:r>
        <w:rPr>
          <w:spacing w:val="-9"/>
          <w:position w:val="17"/>
        </w:rPr>
        <w:t>0 至</w:t>
      </w:r>
    </w:p>
    <w:p>
      <w:pPr>
        <w:pStyle w:val="BodyText"/>
        <w:spacing w:line="219" w:lineRule="auto"/>
        <w:ind w:left="127"/>
      </w:pPr>
      <w:r>
        <w:rPr>
          <w:spacing w:val="-3"/>
        </w:rPr>
        <w:t>2mA，功率限制为</w:t>
      </w:r>
      <w:r>
        <w:rPr>
          <w:spacing w:val="-22"/>
        </w:rPr>
        <w:t xml:space="preserve"> </w:t>
      </w:r>
      <w:r>
        <w:rPr>
          <w:spacing w:val="-3"/>
        </w:rPr>
        <w:t>50W、65W 或</w:t>
      </w:r>
      <w:r>
        <w:rPr>
          <w:spacing w:val="-45"/>
        </w:rPr>
        <w:t xml:space="preserve"> </w:t>
      </w:r>
      <w:r>
        <w:rPr>
          <w:spacing w:val="-3"/>
        </w:rPr>
        <w:t>75W。</w:t>
      </w:r>
    </w:p>
    <w:p>
      <w:pPr>
        <w:pStyle w:val="BodyText"/>
        <w:spacing w:before="259" w:line="220" w:lineRule="auto"/>
        <w:ind w:left="126"/>
        <w:outlineLvl w:val="0"/>
      </w:pPr>
      <w:r>
        <w:rPr>
          <w:b/>
          <w:bCs/>
          <w:spacing w:val="-4"/>
        </w:rPr>
        <w:t>6.3.3</w:t>
      </w:r>
      <w:r>
        <w:rPr>
          <w:spacing w:val="-4"/>
        </w:rPr>
        <w:t xml:space="preserve"> </w:t>
      </w:r>
      <w:r>
        <w:rPr>
          <w:b/>
          <w:bCs/>
          <w:spacing w:val="-4"/>
        </w:rPr>
        <w:t>X</w:t>
      </w:r>
      <w:r>
        <w:rPr>
          <w:spacing w:val="-40"/>
        </w:rPr>
        <w:t xml:space="preserve"> </w:t>
      </w:r>
      <w:r>
        <w:rPr>
          <w:b/>
          <w:bCs/>
          <w:spacing w:val="-4"/>
        </w:rPr>
        <w:t>射线光学系统</w:t>
      </w:r>
    </w:p>
    <w:p>
      <w:pPr>
        <w:pStyle w:val="BodyText"/>
        <w:spacing w:before="263" w:line="360" w:lineRule="auto"/>
        <w:ind w:left="124" w:right="137" w:firstLine="477"/>
      </w:pPr>
      <w:r>
        <w:rPr>
          <w:spacing w:val="-3"/>
        </w:rPr>
        <w:t>可选用单色化光学晶体或金属滤光片。由于土壤重金属元</w:t>
      </w:r>
      <w:r>
        <w:rPr>
          <w:spacing w:val="-4"/>
        </w:rPr>
        <w:t>素的特征</w:t>
      </w:r>
      <w:r>
        <w:rPr>
          <w:spacing w:val="-52"/>
        </w:rPr>
        <w:t xml:space="preserve"> </w:t>
      </w:r>
      <w:r>
        <w:rPr>
          <w:spacing w:val="-4"/>
        </w:rPr>
        <w:t>X</w:t>
      </w:r>
      <w:r>
        <w:rPr>
          <w:spacing w:val="-53"/>
        </w:rPr>
        <w:t xml:space="preserve"> </w:t>
      </w:r>
      <w:r>
        <w:rPr>
          <w:spacing w:val="-4"/>
        </w:rPr>
        <w:t>射线</w:t>
      </w:r>
      <w:r>
        <w:t xml:space="preserve"> </w:t>
      </w:r>
      <w:r>
        <w:rPr>
          <w:spacing w:val="-5"/>
        </w:rPr>
        <w:t>荧光能量范围跨度大从</w:t>
      </w:r>
      <w:r>
        <w:rPr>
          <w:spacing w:val="-50"/>
        </w:rPr>
        <w:t xml:space="preserve"> </w:t>
      </w:r>
      <w:r>
        <w:rPr>
          <w:spacing w:val="-5"/>
        </w:rPr>
        <w:t>5.kev</w:t>
      </w:r>
      <w:r>
        <w:rPr>
          <w:spacing w:val="-61"/>
        </w:rPr>
        <w:t xml:space="preserve"> </w:t>
      </w:r>
      <w:r>
        <w:rPr>
          <w:spacing w:val="-5"/>
        </w:rPr>
        <w:t>到</w:t>
      </w:r>
      <w:r>
        <w:rPr>
          <w:spacing w:val="-63"/>
        </w:rPr>
        <w:t xml:space="preserve"> </w:t>
      </w:r>
      <w:r>
        <w:rPr>
          <w:spacing w:val="-5"/>
        </w:rPr>
        <w:t>23.2kev，且分析元素含量在mg/kg</w:t>
      </w:r>
      <w:r>
        <w:rPr>
          <w:spacing w:val="-65"/>
        </w:rPr>
        <w:t xml:space="preserve"> </w:t>
      </w:r>
      <w:r>
        <w:rPr>
          <w:spacing w:val="-5"/>
        </w:rPr>
        <w:t>左右量级，</w:t>
      </w:r>
      <w:r>
        <w:t xml:space="preserve"> </w:t>
      </w:r>
      <w:r>
        <w:rPr>
          <w:spacing w:val="-3"/>
        </w:rPr>
        <w:t>所以通常</w:t>
      </w:r>
      <w:r>
        <w:rPr>
          <w:spacing w:val="-48"/>
        </w:rPr>
        <w:t xml:space="preserve"> </w:t>
      </w:r>
      <w:r>
        <w:rPr>
          <w:spacing w:val="-3"/>
        </w:rPr>
        <w:t>XRF</w:t>
      </w:r>
      <w:r>
        <w:rPr>
          <w:spacing w:val="-56"/>
        </w:rPr>
        <w:t xml:space="preserve"> </w:t>
      </w:r>
      <w:r>
        <w:rPr>
          <w:spacing w:val="-3"/>
        </w:rPr>
        <w:t>设备都会配备多个滤光片组合或者晶体组合来针对不同能量范围</w:t>
      </w:r>
    </w:p>
    <w:p>
      <w:pPr>
        <w:pStyle w:val="BodyText"/>
        <w:spacing w:line="219" w:lineRule="auto"/>
        <w:ind w:left="144"/>
      </w:pPr>
      <w:r>
        <w:rPr>
          <w:spacing w:val="-8"/>
        </w:rPr>
        <w:t>的元素。</w:t>
      </w:r>
    </w:p>
    <w:p>
      <w:pPr>
        <w:pStyle w:val="BodyText"/>
        <w:spacing w:before="192" w:line="220" w:lineRule="auto"/>
        <w:ind w:left="1963"/>
        <w:rPr>
          <w:sz w:val="22"/>
          <w:szCs w:val="22"/>
        </w:rPr>
      </w:pPr>
      <w:r>
        <w:rPr>
          <w:spacing w:val="-1"/>
          <w:sz w:val="22"/>
          <w:szCs w:val="22"/>
        </w:rPr>
        <w:t>土壤典型重金属元素的</w:t>
      </w:r>
      <w:r>
        <w:rPr>
          <w:spacing w:val="-50"/>
          <w:sz w:val="22"/>
          <w:szCs w:val="22"/>
        </w:rPr>
        <w:t xml:space="preserve"> </w:t>
      </w:r>
      <w:r>
        <w:rPr>
          <w:rFonts w:ascii="KaiTi" w:eastAsia="KaiTi" w:hAnsi="KaiTi" w:cs="KaiTi"/>
          <w:spacing w:val="-1"/>
          <w:sz w:val="22"/>
          <w:szCs w:val="22"/>
        </w:rPr>
        <w:t>X</w:t>
      </w:r>
      <w:r>
        <w:rPr>
          <w:rFonts w:ascii="KaiTi" w:eastAsia="KaiTi" w:hAnsi="KaiTi" w:cs="KaiTi"/>
          <w:spacing w:val="-49"/>
          <w:sz w:val="22"/>
          <w:szCs w:val="22"/>
        </w:rPr>
        <w:t xml:space="preserve"> </w:t>
      </w:r>
      <w:r>
        <w:rPr>
          <w:spacing w:val="-1"/>
          <w:sz w:val="22"/>
          <w:szCs w:val="22"/>
        </w:rPr>
        <w:t>射线荧光分析能量线</w:t>
      </w:r>
    </w:p>
    <w:tbl>
      <w:tblPr>
        <w:tblStyle w:val="TableNormal10"/>
        <w:tblW w:w="7093" w:type="dxa"/>
        <w:tblInd w:w="6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5"/>
        <w:gridCol w:w="793"/>
        <w:gridCol w:w="795"/>
        <w:gridCol w:w="793"/>
        <w:gridCol w:w="793"/>
        <w:gridCol w:w="793"/>
        <w:gridCol w:w="795"/>
        <w:gridCol w:w="793"/>
        <w:gridCol w:w="803"/>
      </w:tblGrid>
      <w:tr>
        <w:tblPrEx>
          <w:tblW w:w="7093" w:type="dxa"/>
          <w:tblInd w:w="6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42"/>
        </w:trPr>
        <w:tc>
          <w:tcPr>
            <w:tcW w:w="735" w:type="dxa"/>
            <w:vMerge w:val="restart"/>
            <w:tcBorders>
              <w:bottom w:val="nil"/>
            </w:tcBorders>
            <w:vAlign w:val="top"/>
          </w:tcPr>
          <w:p>
            <w:pPr>
              <w:spacing w:before="69" w:line="256" w:lineRule="auto"/>
              <w:ind w:left="146" w:right="139"/>
              <w:rPr>
                <w:rFonts w:ascii="SimSun" w:eastAsia="SimSun" w:hAnsi="SimSun" w:cs="SimSun"/>
                <w:sz w:val="22"/>
                <w:szCs w:val="22"/>
              </w:rPr>
            </w:pPr>
            <w:r>
              <w:rPr>
                <w:rFonts w:ascii="SimSun" w:eastAsia="SimSun" w:hAnsi="SimSun" w:cs="SimSun"/>
                <w:spacing w:val="-4"/>
                <w:sz w:val="22"/>
                <w:szCs w:val="22"/>
              </w:rPr>
              <w:t>特征</w:t>
            </w:r>
            <w:r>
              <w:rPr>
                <w:rFonts w:ascii="SimSun" w:eastAsia="SimSun" w:hAnsi="SimSun" w:cs="SimSun"/>
                <w:sz w:val="22"/>
                <w:szCs w:val="22"/>
              </w:rPr>
              <w:t xml:space="preserve"> </w:t>
            </w:r>
            <w:r>
              <w:rPr>
                <w:rFonts w:ascii="SimSun" w:eastAsia="SimSun" w:hAnsi="SimSun" w:cs="SimSun"/>
                <w:spacing w:val="-4"/>
                <w:sz w:val="22"/>
                <w:szCs w:val="22"/>
              </w:rPr>
              <w:t>谱峰</w:t>
            </w:r>
          </w:p>
        </w:tc>
        <w:tc>
          <w:tcPr>
            <w:tcW w:w="6358" w:type="dxa"/>
            <w:gridSpan w:val="8"/>
            <w:vAlign w:val="top"/>
          </w:tcPr>
          <w:p>
            <w:pPr>
              <w:pStyle w:val="TableText"/>
              <w:spacing w:before="69" w:line="220" w:lineRule="auto"/>
              <w:ind w:left="2222"/>
              <w:rPr>
                <w:rFonts w:ascii="SimSun" w:eastAsia="SimSun" w:hAnsi="SimSun" w:cs="SimSun"/>
                <w:sz w:val="22"/>
                <w:szCs w:val="22"/>
              </w:rPr>
            </w:pPr>
            <w:r>
              <w:rPr>
                <w:rFonts w:ascii="SimSun" w:eastAsia="SimSun" w:hAnsi="SimSun" w:cs="SimSun"/>
                <w:spacing w:val="-1"/>
                <w:sz w:val="22"/>
                <w:szCs w:val="22"/>
              </w:rPr>
              <w:t>谱峰能量值（</w:t>
            </w:r>
            <w:r>
              <w:rPr>
                <w:spacing w:val="-1"/>
                <w:sz w:val="22"/>
                <w:szCs w:val="22"/>
              </w:rPr>
              <w:t>keV</w:t>
            </w:r>
            <w:r>
              <w:rPr>
                <w:rFonts w:ascii="SimSun" w:eastAsia="SimSun" w:hAnsi="SimSun" w:cs="SimSun"/>
                <w:spacing w:val="-1"/>
                <w:sz w:val="22"/>
                <w:szCs w:val="22"/>
              </w:rPr>
              <w:t>）</w:t>
            </w:r>
          </w:p>
        </w:tc>
      </w:tr>
      <w:tr>
        <w:tblPrEx>
          <w:tblW w:w="7093" w:type="dxa"/>
          <w:tblInd w:w="621" w:type="dxa"/>
          <w:tblLayout w:type="fixed"/>
        </w:tblPrEx>
        <w:trPr>
          <w:trHeight w:val="333"/>
        </w:trPr>
        <w:tc>
          <w:tcPr>
            <w:tcW w:w="735" w:type="dxa"/>
            <w:vMerge/>
            <w:tcBorders>
              <w:top w:val="nil"/>
            </w:tcBorders>
            <w:vAlign w:val="top"/>
          </w:tcPr>
          <w:p>
            <w:pPr>
              <w:rPr>
                <w:rFonts w:ascii="Arial"/>
                <w:sz w:val="21"/>
              </w:rPr>
            </w:pPr>
          </w:p>
        </w:tc>
        <w:tc>
          <w:tcPr>
            <w:tcW w:w="793" w:type="dxa"/>
            <w:vAlign w:val="top"/>
          </w:tcPr>
          <w:p>
            <w:pPr>
              <w:pStyle w:val="TableText"/>
              <w:spacing w:before="99" w:line="187" w:lineRule="auto"/>
              <w:ind w:left="280"/>
              <w:rPr>
                <w:sz w:val="22"/>
                <w:szCs w:val="22"/>
              </w:rPr>
            </w:pPr>
            <w:r>
              <w:rPr>
                <w:spacing w:val="-3"/>
                <w:sz w:val="22"/>
                <w:szCs w:val="22"/>
              </w:rPr>
              <w:t>Cr</w:t>
            </w:r>
          </w:p>
        </w:tc>
        <w:tc>
          <w:tcPr>
            <w:tcW w:w="795" w:type="dxa"/>
            <w:vAlign w:val="top"/>
          </w:tcPr>
          <w:p>
            <w:pPr>
              <w:pStyle w:val="TableText"/>
              <w:spacing w:before="96" w:line="190" w:lineRule="auto"/>
              <w:ind w:left="271"/>
              <w:rPr>
                <w:sz w:val="22"/>
                <w:szCs w:val="22"/>
              </w:rPr>
            </w:pPr>
            <w:r>
              <w:rPr>
                <w:spacing w:val="1"/>
                <w:sz w:val="22"/>
                <w:szCs w:val="22"/>
              </w:rPr>
              <w:t>Ni</w:t>
            </w:r>
          </w:p>
        </w:tc>
        <w:tc>
          <w:tcPr>
            <w:tcW w:w="793" w:type="dxa"/>
            <w:vAlign w:val="top"/>
          </w:tcPr>
          <w:p>
            <w:pPr>
              <w:pStyle w:val="TableText"/>
              <w:spacing w:before="99" w:line="187" w:lineRule="auto"/>
              <w:ind w:left="267"/>
              <w:rPr>
                <w:sz w:val="22"/>
                <w:szCs w:val="22"/>
              </w:rPr>
            </w:pPr>
            <w:r>
              <w:rPr>
                <w:spacing w:val="-3"/>
                <w:sz w:val="22"/>
                <w:szCs w:val="22"/>
              </w:rPr>
              <w:t>Cu</w:t>
            </w:r>
          </w:p>
        </w:tc>
        <w:tc>
          <w:tcPr>
            <w:tcW w:w="793" w:type="dxa"/>
            <w:vAlign w:val="top"/>
          </w:tcPr>
          <w:p>
            <w:pPr>
              <w:pStyle w:val="TableText"/>
              <w:spacing w:before="103" w:line="184" w:lineRule="auto"/>
              <w:ind w:left="268"/>
              <w:rPr>
                <w:sz w:val="22"/>
                <w:szCs w:val="22"/>
              </w:rPr>
            </w:pPr>
            <w:r>
              <w:rPr>
                <w:spacing w:val="-2"/>
                <w:sz w:val="22"/>
                <w:szCs w:val="22"/>
              </w:rPr>
              <w:t>Zn</w:t>
            </w:r>
          </w:p>
        </w:tc>
        <w:tc>
          <w:tcPr>
            <w:tcW w:w="793" w:type="dxa"/>
            <w:vAlign w:val="top"/>
          </w:tcPr>
          <w:p>
            <w:pPr>
              <w:pStyle w:val="TableText"/>
              <w:spacing w:before="99" w:line="187" w:lineRule="auto"/>
              <w:ind w:left="269"/>
              <w:rPr>
                <w:sz w:val="22"/>
                <w:szCs w:val="22"/>
              </w:rPr>
            </w:pPr>
            <w:r>
              <w:rPr>
                <w:spacing w:val="-1"/>
                <w:sz w:val="22"/>
                <w:szCs w:val="22"/>
              </w:rPr>
              <w:t>As</w:t>
            </w:r>
          </w:p>
        </w:tc>
        <w:tc>
          <w:tcPr>
            <w:tcW w:w="795" w:type="dxa"/>
            <w:vAlign w:val="top"/>
          </w:tcPr>
          <w:p>
            <w:pPr>
              <w:pStyle w:val="TableText"/>
              <w:spacing w:before="96" w:line="190" w:lineRule="auto"/>
              <w:ind w:left="271"/>
              <w:rPr>
                <w:sz w:val="22"/>
                <w:szCs w:val="22"/>
              </w:rPr>
            </w:pPr>
            <w:r>
              <w:rPr>
                <w:spacing w:val="-3"/>
                <w:sz w:val="22"/>
                <w:szCs w:val="22"/>
              </w:rPr>
              <w:t>Cd</w:t>
            </w:r>
          </w:p>
        </w:tc>
        <w:tc>
          <w:tcPr>
            <w:tcW w:w="793" w:type="dxa"/>
            <w:vAlign w:val="top"/>
          </w:tcPr>
          <w:p>
            <w:pPr>
              <w:pStyle w:val="TableText"/>
              <w:spacing w:before="96" w:line="191" w:lineRule="auto"/>
              <w:ind w:left="262"/>
              <w:rPr>
                <w:sz w:val="22"/>
                <w:szCs w:val="22"/>
              </w:rPr>
            </w:pPr>
            <w:r>
              <w:rPr>
                <w:spacing w:val="-2"/>
                <w:sz w:val="22"/>
                <w:szCs w:val="22"/>
              </w:rPr>
              <w:t>Hg</w:t>
            </w:r>
          </w:p>
        </w:tc>
        <w:tc>
          <w:tcPr>
            <w:tcW w:w="803" w:type="dxa"/>
            <w:vAlign w:val="top"/>
          </w:tcPr>
          <w:p>
            <w:pPr>
              <w:pStyle w:val="TableText"/>
              <w:spacing w:before="96" w:line="190" w:lineRule="auto"/>
              <w:ind w:left="283"/>
              <w:rPr>
                <w:sz w:val="22"/>
                <w:szCs w:val="22"/>
              </w:rPr>
            </w:pPr>
            <w:r>
              <w:rPr>
                <w:spacing w:val="-1"/>
                <w:sz w:val="22"/>
                <w:szCs w:val="22"/>
              </w:rPr>
              <w:t>Pb</w:t>
            </w:r>
          </w:p>
        </w:tc>
      </w:tr>
      <w:tr>
        <w:tblPrEx>
          <w:tblW w:w="7093" w:type="dxa"/>
          <w:tblInd w:w="621" w:type="dxa"/>
          <w:tblLayout w:type="fixed"/>
        </w:tblPrEx>
        <w:trPr>
          <w:trHeight w:val="331"/>
        </w:trPr>
        <w:tc>
          <w:tcPr>
            <w:tcW w:w="735" w:type="dxa"/>
            <w:vAlign w:val="top"/>
          </w:tcPr>
          <w:p>
            <w:pPr>
              <w:pStyle w:val="TableText"/>
              <w:spacing w:before="100" w:line="186" w:lineRule="auto"/>
              <w:ind w:left="223"/>
              <w:rPr>
                <w:sz w:val="22"/>
                <w:szCs w:val="22"/>
              </w:rPr>
            </w:pPr>
            <w:r>
              <w:rPr>
                <w:spacing w:val="-1"/>
                <w:sz w:val="22"/>
                <w:szCs w:val="22"/>
              </w:rPr>
              <w:t>Kα</w:t>
            </w:r>
          </w:p>
        </w:tc>
        <w:tc>
          <w:tcPr>
            <w:tcW w:w="793" w:type="dxa"/>
            <w:vAlign w:val="top"/>
          </w:tcPr>
          <w:p>
            <w:pPr>
              <w:pStyle w:val="TableText"/>
              <w:spacing w:before="99" w:line="187" w:lineRule="auto"/>
              <w:ind w:left="201"/>
              <w:rPr>
                <w:sz w:val="22"/>
                <w:szCs w:val="22"/>
              </w:rPr>
            </w:pPr>
            <w:r>
              <w:rPr>
                <w:spacing w:val="-2"/>
                <w:sz w:val="22"/>
                <w:szCs w:val="22"/>
              </w:rPr>
              <w:t>5.41</w:t>
            </w:r>
          </w:p>
        </w:tc>
        <w:tc>
          <w:tcPr>
            <w:tcW w:w="795" w:type="dxa"/>
            <w:vAlign w:val="top"/>
          </w:tcPr>
          <w:p>
            <w:pPr>
              <w:pStyle w:val="TableText"/>
              <w:spacing w:before="99" w:line="187" w:lineRule="auto"/>
              <w:ind w:left="200"/>
              <w:rPr>
                <w:sz w:val="22"/>
                <w:szCs w:val="22"/>
              </w:rPr>
            </w:pPr>
            <w:r>
              <w:rPr>
                <w:spacing w:val="-2"/>
                <w:sz w:val="22"/>
                <w:szCs w:val="22"/>
              </w:rPr>
              <w:t>7.48</w:t>
            </w:r>
          </w:p>
        </w:tc>
        <w:tc>
          <w:tcPr>
            <w:tcW w:w="793" w:type="dxa"/>
            <w:vAlign w:val="top"/>
          </w:tcPr>
          <w:p>
            <w:pPr>
              <w:pStyle w:val="TableText"/>
              <w:spacing w:before="99" w:line="187" w:lineRule="auto"/>
              <w:ind w:left="208"/>
              <w:rPr>
                <w:sz w:val="22"/>
                <w:szCs w:val="22"/>
              </w:rPr>
            </w:pPr>
            <w:r>
              <w:rPr>
                <w:spacing w:val="-3"/>
                <w:sz w:val="22"/>
                <w:szCs w:val="22"/>
              </w:rPr>
              <w:t>8.05</w:t>
            </w:r>
          </w:p>
        </w:tc>
        <w:tc>
          <w:tcPr>
            <w:tcW w:w="793" w:type="dxa"/>
            <w:vAlign w:val="top"/>
          </w:tcPr>
          <w:p>
            <w:pPr>
              <w:pStyle w:val="TableText"/>
              <w:spacing w:before="99" w:line="187" w:lineRule="auto"/>
              <w:ind w:left="209"/>
              <w:rPr>
                <w:sz w:val="22"/>
                <w:szCs w:val="22"/>
              </w:rPr>
            </w:pPr>
            <w:r>
              <w:rPr>
                <w:spacing w:val="-3"/>
                <w:sz w:val="22"/>
                <w:szCs w:val="22"/>
              </w:rPr>
              <w:t>8.64</w:t>
            </w:r>
          </w:p>
        </w:tc>
        <w:tc>
          <w:tcPr>
            <w:tcW w:w="793" w:type="dxa"/>
            <w:vAlign w:val="top"/>
          </w:tcPr>
          <w:p>
            <w:pPr>
              <w:pStyle w:val="TableText"/>
              <w:spacing w:before="99" w:line="187" w:lineRule="auto"/>
              <w:ind w:left="168"/>
              <w:rPr>
                <w:sz w:val="22"/>
                <w:szCs w:val="22"/>
              </w:rPr>
            </w:pPr>
            <w:r>
              <w:rPr>
                <w:spacing w:val="-4"/>
                <w:sz w:val="22"/>
                <w:szCs w:val="22"/>
              </w:rPr>
              <w:t>10.54</w:t>
            </w:r>
          </w:p>
        </w:tc>
        <w:tc>
          <w:tcPr>
            <w:tcW w:w="795" w:type="dxa"/>
            <w:vAlign w:val="top"/>
          </w:tcPr>
          <w:p>
            <w:pPr>
              <w:pStyle w:val="TableText"/>
              <w:spacing w:before="99" w:line="187" w:lineRule="auto"/>
              <w:ind w:left="203"/>
              <w:rPr>
                <w:sz w:val="22"/>
                <w:szCs w:val="22"/>
              </w:rPr>
            </w:pPr>
            <w:r>
              <w:rPr>
                <w:spacing w:val="-1"/>
                <w:sz w:val="22"/>
                <w:szCs w:val="22"/>
              </w:rPr>
              <w:t>23.2</w:t>
            </w:r>
          </w:p>
        </w:tc>
        <w:tc>
          <w:tcPr>
            <w:tcW w:w="793" w:type="dxa"/>
            <w:vAlign w:val="top"/>
          </w:tcPr>
          <w:p>
            <w:pPr>
              <w:spacing w:before="166" w:line="149" w:lineRule="exact"/>
              <w:ind w:left="289"/>
              <w:rPr>
                <w:rFonts w:ascii="SimSun" w:eastAsia="SimSun" w:hAnsi="SimSun" w:cs="SimSun"/>
                <w:sz w:val="22"/>
                <w:szCs w:val="22"/>
              </w:rPr>
            </w:pPr>
            <w:r>
              <w:rPr>
                <w:rFonts w:ascii="SimSun" w:eastAsia="SimSun" w:hAnsi="SimSun" w:cs="SimSun"/>
                <w:position w:val="-4"/>
                <w:sz w:val="22"/>
                <w:szCs w:val="22"/>
              </w:rPr>
              <w:t>—</w:t>
            </w:r>
          </w:p>
        </w:tc>
        <w:tc>
          <w:tcPr>
            <w:tcW w:w="803" w:type="dxa"/>
            <w:vAlign w:val="top"/>
          </w:tcPr>
          <w:p>
            <w:pPr>
              <w:spacing w:before="166" w:line="149" w:lineRule="exact"/>
              <w:ind w:left="291"/>
              <w:rPr>
                <w:rFonts w:ascii="SimSun" w:eastAsia="SimSun" w:hAnsi="SimSun" w:cs="SimSun"/>
                <w:sz w:val="22"/>
                <w:szCs w:val="22"/>
              </w:rPr>
            </w:pPr>
            <w:r>
              <w:rPr>
                <w:rFonts w:ascii="SimSun" w:eastAsia="SimSun" w:hAnsi="SimSun" w:cs="SimSun"/>
                <w:position w:val="-4"/>
                <w:sz w:val="22"/>
                <w:szCs w:val="22"/>
              </w:rPr>
              <w:t>—</w:t>
            </w:r>
          </w:p>
        </w:tc>
      </w:tr>
    </w:tbl>
    <w:p>
      <w:pPr>
        <w:sectPr>
          <w:footerReference w:type="default" r:id="rId66"/>
          <w:pgSz w:w="11907" w:h="16839"/>
          <w:pgMar w:top="1431" w:right="1785" w:bottom="1357" w:left="1785" w:header="0" w:footer="1197" w:gutter="0"/>
          <w:pgNumType w:start="33"/>
          <w:cols w:space="708"/>
        </w:sectPr>
      </w:pPr>
    </w:p>
    <w:tbl>
      <w:tblPr>
        <w:tblStyle w:val="TableNormal11"/>
        <w:tblW w:w="7093" w:type="dxa"/>
        <w:tblInd w:w="6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5"/>
        <w:gridCol w:w="793"/>
        <w:gridCol w:w="795"/>
        <w:gridCol w:w="793"/>
        <w:gridCol w:w="793"/>
        <w:gridCol w:w="793"/>
        <w:gridCol w:w="795"/>
        <w:gridCol w:w="793"/>
        <w:gridCol w:w="803"/>
      </w:tblGrid>
      <w:tr>
        <w:tblPrEx>
          <w:tblW w:w="7093" w:type="dxa"/>
          <w:tblInd w:w="6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33"/>
        </w:trPr>
        <w:tc>
          <w:tcPr>
            <w:tcW w:w="735" w:type="dxa"/>
            <w:vAlign w:val="top"/>
          </w:tcPr>
          <w:p>
            <w:pPr>
              <w:pStyle w:val="TableText"/>
              <w:spacing w:before="99" w:line="192" w:lineRule="auto"/>
              <w:ind w:left="226"/>
              <w:rPr>
                <w:sz w:val="22"/>
                <w:szCs w:val="22"/>
              </w:rPr>
            </w:pPr>
            <w:r>
              <w:rPr>
                <w:spacing w:val="-1"/>
                <w:sz w:val="22"/>
                <w:szCs w:val="22"/>
              </w:rPr>
              <w:t>Kβ</w:t>
            </w:r>
          </w:p>
        </w:tc>
        <w:tc>
          <w:tcPr>
            <w:tcW w:w="793" w:type="dxa"/>
            <w:vAlign w:val="top"/>
          </w:tcPr>
          <w:p>
            <w:pPr>
              <w:pStyle w:val="TableText"/>
              <w:spacing w:before="104" w:line="187" w:lineRule="auto"/>
              <w:ind w:left="201"/>
              <w:rPr>
                <w:sz w:val="22"/>
                <w:szCs w:val="22"/>
              </w:rPr>
            </w:pPr>
            <w:r>
              <w:rPr>
                <w:spacing w:val="-2"/>
                <w:sz w:val="22"/>
                <w:szCs w:val="22"/>
              </w:rPr>
              <w:t>5.95</w:t>
            </w:r>
          </w:p>
        </w:tc>
        <w:tc>
          <w:tcPr>
            <w:tcW w:w="795" w:type="dxa"/>
            <w:vAlign w:val="top"/>
          </w:tcPr>
          <w:p>
            <w:pPr>
              <w:pStyle w:val="TableText"/>
              <w:spacing w:before="104" w:line="187" w:lineRule="auto"/>
              <w:ind w:left="206"/>
              <w:rPr>
                <w:sz w:val="22"/>
                <w:szCs w:val="22"/>
              </w:rPr>
            </w:pPr>
            <w:r>
              <w:rPr>
                <w:spacing w:val="-3"/>
                <w:sz w:val="22"/>
                <w:szCs w:val="22"/>
              </w:rPr>
              <w:t>8.26</w:t>
            </w:r>
          </w:p>
        </w:tc>
        <w:tc>
          <w:tcPr>
            <w:tcW w:w="793" w:type="dxa"/>
            <w:vAlign w:val="top"/>
          </w:tcPr>
          <w:p>
            <w:pPr>
              <w:pStyle w:val="TableText"/>
              <w:spacing w:before="104" w:line="187" w:lineRule="auto"/>
              <w:ind w:left="263"/>
              <w:rPr>
                <w:sz w:val="22"/>
                <w:szCs w:val="22"/>
              </w:rPr>
            </w:pPr>
            <w:r>
              <w:rPr>
                <w:spacing w:val="-3"/>
                <w:sz w:val="22"/>
                <w:szCs w:val="22"/>
              </w:rPr>
              <w:t>8.9</w:t>
            </w:r>
          </w:p>
        </w:tc>
        <w:tc>
          <w:tcPr>
            <w:tcW w:w="793" w:type="dxa"/>
            <w:vAlign w:val="top"/>
          </w:tcPr>
          <w:p>
            <w:pPr>
              <w:pStyle w:val="TableText"/>
              <w:spacing w:before="104" w:line="187" w:lineRule="auto"/>
              <w:ind w:left="204"/>
              <w:rPr>
                <w:sz w:val="22"/>
                <w:szCs w:val="22"/>
              </w:rPr>
            </w:pPr>
            <w:r>
              <w:rPr>
                <w:spacing w:val="-2"/>
                <w:sz w:val="22"/>
                <w:szCs w:val="22"/>
              </w:rPr>
              <w:t>9.57</w:t>
            </w:r>
          </w:p>
        </w:tc>
        <w:tc>
          <w:tcPr>
            <w:tcW w:w="793" w:type="dxa"/>
            <w:vAlign w:val="top"/>
          </w:tcPr>
          <w:p>
            <w:pPr>
              <w:pStyle w:val="TableText"/>
              <w:spacing w:before="104" w:line="187" w:lineRule="auto"/>
              <w:ind w:left="168"/>
              <w:rPr>
                <w:sz w:val="22"/>
                <w:szCs w:val="22"/>
              </w:rPr>
            </w:pPr>
            <w:r>
              <w:rPr>
                <w:spacing w:val="-4"/>
                <w:sz w:val="22"/>
                <w:szCs w:val="22"/>
              </w:rPr>
              <w:t>11.73</w:t>
            </w:r>
          </w:p>
        </w:tc>
        <w:tc>
          <w:tcPr>
            <w:tcW w:w="795" w:type="dxa"/>
            <w:vAlign w:val="top"/>
          </w:tcPr>
          <w:p>
            <w:pPr>
              <w:pStyle w:val="TableText"/>
              <w:spacing w:before="104" w:line="187" w:lineRule="auto"/>
              <w:ind w:left="203"/>
              <w:rPr>
                <w:sz w:val="22"/>
                <w:szCs w:val="22"/>
              </w:rPr>
            </w:pPr>
            <w:r>
              <w:rPr>
                <w:spacing w:val="-1"/>
                <w:sz w:val="22"/>
                <w:szCs w:val="22"/>
              </w:rPr>
              <w:t>26.1</w:t>
            </w:r>
          </w:p>
        </w:tc>
        <w:tc>
          <w:tcPr>
            <w:tcW w:w="793" w:type="dxa"/>
            <w:vAlign w:val="top"/>
          </w:tcPr>
          <w:p>
            <w:pPr>
              <w:tabs>
                <w:tab w:val="left" w:pos="502"/>
              </w:tabs>
              <w:spacing w:line="220" w:lineRule="exact"/>
              <w:ind w:left="289"/>
              <w:rPr>
                <w:rFonts w:ascii="Arial"/>
                <w:sz w:val="21"/>
              </w:rPr>
            </w:pPr>
            <w:r>
              <w:rPr>
                <w:rFonts w:ascii="Arial" w:eastAsia="Arial" w:hAnsi="Arial" w:cs="Arial"/>
                <w:position w:val="-1"/>
                <w:sz w:val="21"/>
                <w:szCs w:val="21"/>
                <w:u w:val="single" w:color="auto"/>
              </w:rPr>
              <w:tab/>
            </w:r>
          </w:p>
        </w:tc>
        <w:tc>
          <w:tcPr>
            <w:tcW w:w="803" w:type="dxa"/>
            <w:vAlign w:val="top"/>
          </w:tcPr>
          <w:p>
            <w:pPr>
              <w:tabs>
                <w:tab w:val="left" w:pos="505"/>
              </w:tabs>
              <w:spacing w:line="220" w:lineRule="exact"/>
              <w:ind w:left="291"/>
              <w:rPr>
                <w:rFonts w:ascii="Arial"/>
                <w:sz w:val="21"/>
              </w:rPr>
            </w:pPr>
            <w:r>
              <w:rPr>
                <w:rFonts w:ascii="Arial" w:eastAsia="Arial" w:hAnsi="Arial" w:cs="Arial"/>
                <w:position w:val="-1"/>
                <w:sz w:val="21"/>
                <w:szCs w:val="21"/>
                <w:u w:val="single" w:color="auto"/>
              </w:rPr>
              <w:tab/>
            </w:r>
          </w:p>
        </w:tc>
      </w:tr>
      <w:tr>
        <w:tblPrEx>
          <w:tblW w:w="7093" w:type="dxa"/>
          <w:tblInd w:w="621" w:type="dxa"/>
          <w:tblLayout w:type="fixed"/>
        </w:tblPrEx>
        <w:trPr>
          <w:trHeight w:val="333"/>
        </w:trPr>
        <w:tc>
          <w:tcPr>
            <w:tcW w:w="735" w:type="dxa"/>
            <w:vAlign w:val="top"/>
          </w:tcPr>
          <w:p>
            <w:pPr>
              <w:pStyle w:val="TableText"/>
              <w:spacing w:before="108" w:line="186" w:lineRule="auto"/>
              <w:ind w:left="236"/>
              <w:rPr>
                <w:sz w:val="22"/>
                <w:szCs w:val="22"/>
              </w:rPr>
            </w:pPr>
            <w:r>
              <w:rPr>
                <w:spacing w:val="-2"/>
                <w:sz w:val="22"/>
                <w:szCs w:val="22"/>
              </w:rPr>
              <w:t>Lα</w:t>
            </w:r>
          </w:p>
        </w:tc>
        <w:tc>
          <w:tcPr>
            <w:tcW w:w="793" w:type="dxa"/>
            <w:vAlign w:val="top"/>
          </w:tcPr>
          <w:p>
            <w:pPr>
              <w:spacing w:before="173" w:line="149" w:lineRule="exact"/>
              <w:ind w:left="279"/>
              <w:rPr>
                <w:rFonts w:ascii="SimSun" w:eastAsia="SimSun" w:hAnsi="SimSun" w:cs="SimSun"/>
                <w:sz w:val="22"/>
                <w:szCs w:val="22"/>
              </w:rPr>
            </w:pPr>
            <w:r>
              <w:rPr>
                <w:rFonts w:ascii="SimSun" w:eastAsia="SimSun" w:hAnsi="SimSun" w:cs="SimSun"/>
                <w:position w:val="-4"/>
                <w:sz w:val="22"/>
                <w:szCs w:val="22"/>
              </w:rPr>
              <w:t>—</w:t>
            </w:r>
          </w:p>
        </w:tc>
        <w:tc>
          <w:tcPr>
            <w:tcW w:w="795" w:type="dxa"/>
            <w:vAlign w:val="top"/>
          </w:tcPr>
          <w:p>
            <w:pPr>
              <w:spacing w:before="173" w:line="149" w:lineRule="exact"/>
              <w:ind w:left="281"/>
              <w:rPr>
                <w:rFonts w:ascii="SimSun" w:eastAsia="SimSun" w:hAnsi="SimSun" w:cs="SimSun"/>
                <w:sz w:val="22"/>
                <w:szCs w:val="22"/>
              </w:rPr>
            </w:pPr>
            <w:r>
              <w:rPr>
                <w:rFonts w:ascii="SimSun" w:eastAsia="SimSun" w:hAnsi="SimSun" w:cs="SimSun"/>
                <w:position w:val="-4"/>
                <w:sz w:val="22"/>
                <w:szCs w:val="22"/>
              </w:rPr>
              <w:t>—</w:t>
            </w:r>
          </w:p>
        </w:tc>
        <w:tc>
          <w:tcPr>
            <w:tcW w:w="793" w:type="dxa"/>
            <w:vAlign w:val="top"/>
          </w:tcPr>
          <w:p>
            <w:pPr>
              <w:spacing w:before="173" w:line="149" w:lineRule="exact"/>
              <w:ind w:left="283"/>
              <w:rPr>
                <w:rFonts w:ascii="SimSun" w:eastAsia="SimSun" w:hAnsi="SimSun" w:cs="SimSun"/>
                <w:sz w:val="22"/>
                <w:szCs w:val="22"/>
              </w:rPr>
            </w:pPr>
            <w:r>
              <w:rPr>
                <w:rFonts w:ascii="SimSun" w:eastAsia="SimSun" w:hAnsi="SimSun" w:cs="SimSun"/>
                <w:position w:val="-4"/>
                <w:sz w:val="22"/>
                <w:szCs w:val="22"/>
              </w:rPr>
              <w:t>—</w:t>
            </w:r>
          </w:p>
        </w:tc>
        <w:tc>
          <w:tcPr>
            <w:tcW w:w="793" w:type="dxa"/>
            <w:vAlign w:val="top"/>
          </w:tcPr>
          <w:p>
            <w:pPr>
              <w:spacing w:before="173" w:line="149" w:lineRule="exact"/>
              <w:ind w:left="284"/>
              <w:rPr>
                <w:rFonts w:ascii="SimSun" w:eastAsia="SimSun" w:hAnsi="SimSun" w:cs="SimSun"/>
                <w:sz w:val="22"/>
                <w:szCs w:val="22"/>
              </w:rPr>
            </w:pPr>
            <w:r>
              <w:rPr>
                <w:rFonts w:ascii="SimSun" w:eastAsia="SimSun" w:hAnsi="SimSun" w:cs="SimSun"/>
                <w:position w:val="-4"/>
                <w:sz w:val="22"/>
                <w:szCs w:val="22"/>
              </w:rPr>
              <w:t>—</w:t>
            </w:r>
          </w:p>
        </w:tc>
        <w:tc>
          <w:tcPr>
            <w:tcW w:w="793" w:type="dxa"/>
            <w:vAlign w:val="top"/>
          </w:tcPr>
          <w:p>
            <w:pPr>
              <w:spacing w:before="173" w:line="149" w:lineRule="exact"/>
              <w:ind w:left="286"/>
              <w:rPr>
                <w:rFonts w:ascii="SimSun" w:eastAsia="SimSun" w:hAnsi="SimSun" w:cs="SimSun"/>
                <w:sz w:val="22"/>
                <w:szCs w:val="22"/>
              </w:rPr>
            </w:pPr>
            <w:r>
              <w:rPr>
                <w:rFonts w:ascii="SimSun" w:eastAsia="SimSun" w:hAnsi="SimSun" w:cs="SimSun"/>
                <w:position w:val="-4"/>
                <w:sz w:val="22"/>
                <w:szCs w:val="22"/>
              </w:rPr>
              <w:t>—</w:t>
            </w:r>
          </w:p>
        </w:tc>
        <w:tc>
          <w:tcPr>
            <w:tcW w:w="795" w:type="dxa"/>
            <w:vAlign w:val="top"/>
          </w:tcPr>
          <w:p>
            <w:pPr>
              <w:rPr>
                <w:rFonts w:ascii="Arial"/>
                <w:sz w:val="21"/>
              </w:rPr>
            </w:pPr>
          </w:p>
        </w:tc>
        <w:tc>
          <w:tcPr>
            <w:tcW w:w="793" w:type="dxa"/>
            <w:vAlign w:val="top"/>
          </w:tcPr>
          <w:p>
            <w:pPr>
              <w:pStyle w:val="TableText"/>
              <w:spacing w:before="107" w:line="187" w:lineRule="auto"/>
              <w:ind w:left="209"/>
              <w:rPr>
                <w:sz w:val="22"/>
                <w:szCs w:val="22"/>
              </w:rPr>
            </w:pPr>
            <w:r>
              <w:rPr>
                <w:spacing w:val="-2"/>
                <w:sz w:val="22"/>
                <w:szCs w:val="22"/>
              </w:rPr>
              <w:t>9.99</w:t>
            </w:r>
          </w:p>
        </w:tc>
        <w:tc>
          <w:tcPr>
            <w:tcW w:w="803" w:type="dxa"/>
            <w:vAlign w:val="top"/>
          </w:tcPr>
          <w:p>
            <w:pPr>
              <w:pStyle w:val="TableText"/>
              <w:spacing w:before="107" w:line="187" w:lineRule="auto"/>
              <w:ind w:left="173"/>
              <w:rPr>
                <w:sz w:val="22"/>
                <w:szCs w:val="22"/>
              </w:rPr>
            </w:pPr>
            <w:r>
              <w:rPr>
                <w:spacing w:val="-4"/>
                <w:sz w:val="22"/>
                <w:szCs w:val="22"/>
              </w:rPr>
              <w:t>10.55</w:t>
            </w:r>
          </w:p>
        </w:tc>
      </w:tr>
      <w:tr>
        <w:tblPrEx>
          <w:tblW w:w="7093" w:type="dxa"/>
          <w:tblInd w:w="621" w:type="dxa"/>
          <w:tblLayout w:type="fixed"/>
        </w:tblPrEx>
        <w:trPr>
          <w:trHeight w:val="342"/>
        </w:trPr>
        <w:tc>
          <w:tcPr>
            <w:tcW w:w="735" w:type="dxa"/>
            <w:vAlign w:val="top"/>
          </w:tcPr>
          <w:p>
            <w:pPr>
              <w:pStyle w:val="TableText"/>
              <w:spacing w:before="104" w:line="192" w:lineRule="auto"/>
              <w:ind w:left="239"/>
              <w:rPr>
                <w:sz w:val="22"/>
                <w:szCs w:val="22"/>
              </w:rPr>
            </w:pPr>
            <w:r>
              <w:rPr>
                <w:spacing w:val="-2"/>
                <w:sz w:val="22"/>
                <w:szCs w:val="22"/>
              </w:rPr>
              <w:t>Lβ</w:t>
            </w:r>
          </w:p>
        </w:tc>
        <w:tc>
          <w:tcPr>
            <w:tcW w:w="793" w:type="dxa"/>
            <w:vAlign w:val="top"/>
          </w:tcPr>
          <w:p>
            <w:pPr>
              <w:tabs>
                <w:tab w:val="left" w:pos="492"/>
              </w:tabs>
              <w:spacing w:line="225" w:lineRule="exact"/>
              <w:ind w:left="279"/>
              <w:rPr>
                <w:rFonts w:ascii="Arial"/>
                <w:sz w:val="21"/>
              </w:rPr>
            </w:pPr>
            <w:r>
              <w:rPr>
                <w:rFonts w:ascii="Arial" w:eastAsia="Arial" w:hAnsi="Arial" w:cs="Arial"/>
                <w:position w:val="-1"/>
                <w:sz w:val="21"/>
                <w:szCs w:val="21"/>
                <w:u w:val="single" w:color="auto"/>
              </w:rPr>
              <w:tab/>
            </w:r>
          </w:p>
        </w:tc>
        <w:tc>
          <w:tcPr>
            <w:tcW w:w="795" w:type="dxa"/>
            <w:vAlign w:val="top"/>
          </w:tcPr>
          <w:p>
            <w:pPr>
              <w:tabs>
                <w:tab w:val="left" w:pos="495"/>
              </w:tabs>
              <w:spacing w:line="225" w:lineRule="exact"/>
              <w:ind w:left="281"/>
              <w:rPr>
                <w:rFonts w:ascii="Arial"/>
                <w:sz w:val="21"/>
              </w:rPr>
            </w:pPr>
            <w:r>
              <w:rPr>
                <w:rFonts w:ascii="Arial" w:eastAsia="Arial" w:hAnsi="Arial" w:cs="Arial"/>
                <w:position w:val="-1"/>
                <w:sz w:val="21"/>
                <w:szCs w:val="21"/>
                <w:u w:val="single" w:color="auto"/>
              </w:rPr>
              <w:tab/>
            </w:r>
          </w:p>
        </w:tc>
        <w:tc>
          <w:tcPr>
            <w:tcW w:w="793" w:type="dxa"/>
            <w:vAlign w:val="top"/>
          </w:tcPr>
          <w:p>
            <w:pPr>
              <w:tabs>
                <w:tab w:val="left" w:pos="497"/>
              </w:tabs>
              <w:spacing w:line="225" w:lineRule="exact"/>
              <w:ind w:left="283"/>
              <w:rPr>
                <w:rFonts w:ascii="Arial"/>
                <w:sz w:val="21"/>
              </w:rPr>
            </w:pPr>
            <w:r>
              <w:rPr>
                <w:rFonts w:ascii="Arial" w:eastAsia="Arial" w:hAnsi="Arial" w:cs="Arial"/>
                <w:position w:val="-1"/>
                <w:sz w:val="21"/>
                <w:szCs w:val="21"/>
                <w:u w:val="single" w:color="auto"/>
              </w:rPr>
              <w:tab/>
            </w:r>
          </w:p>
        </w:tc>
        <w:tc>
          <w:tcPr>
            <w:tcW w:w="793" w:type="dxa"/>
            <w:vAlign w:val="top"/>
          </w:tcPr>
          <w:p>
            <w:pPr>
              <w:tabs>
                <w:tab w:val="left" w:pos="497"/>
              </w:tabs>
              <w:spacing w:line="225" w:lineRule="exact"/>
              <w:ind w:left="284"/>
              <w:rPr>
                <w:rFonts w:ascii="Arial"/>
                <w:sz w:val="21"/>
              </w:rPr>
            </w:pPr>
            <w:r>
              <w:rPr>
                <w:rFonts w:ascii="Arial" w:eastAsia="Arial" w:hAnsi="Arial" w:cs="Arial"/>
                <w:position w:val="-1"/>
                <w:sz w:val="21"/>
                <w:szCs w:val="21"/>
                <w:u w:val="single" w:color="auto"/>
              </w:rPr>
              <w:tab/>
            </w:r>
          </w:p>
        </w:tc>
        <w:tc>
          <w:tcPr>
            <w:tcW w:w="793" w:type="dxa"/>
            <w:vAlign w:val="top"/>
          </w:tcPr>
          <w:p>
            <w:pPr>
              <w:tabs>
                <w:tab w:val="left" w:pos="500"/>
              </w:tabs>
              <w:spacing w:line="225" w:lineRule="exact"/>
              <w:ind w:left="286"/>
              <w:rPr>
                <w:rFonts w:ascii="Arial"/>
                <w:sz w:val="21"/>
              </w:rPr>
            </w:pPr>
            <w:r>
              <w:rPr>
                <w:rFonts w:ascii="Arial" w:eastAsia="Arial" w:hAnsi="Arial" w:cs="Arial"/>
                <w:position w:val="-1"/>
                <w:sz w:val="21"/>
                <w:szCs w:val="21"/>
                <w:u w:val="single" w:color="auto"/>
              </w:rPr>
              <w:tab/>
            </w:r>
          </w:p>
        </w:tc>
        <w:tc>
          <w:tcPr>
            <w:tcW w:w="795" w:type="dxa"/>
            <w:vAlign w:val="top"/>
          </w:tcPr>
          <w:p>
            <w:pPr>
              <w:rPr>
                <w:rFonts w:ascii="Arial"/>
                <w:sz w:val="21"/>
              </w:rPr>
            </w:pPr>
          </w:p>
        </w:tc>
        <w:tc>
          <w:tcPr>
            <w:tcW w:w="793" w:type="dxa"/>
            <w:vAlign w:val="top"/>
          </w:tcPr>
          <w:p>
            <w:pPr>
              <w:pStyle w:val="TableText"/>
              <w:spacing w:before="109" w:line="187" w:lineRule="auto"/>
              <w:ind w:left="171"/>
              <w:rPr>
                <w:sz w:val="22"/>
                <w:szCs w:val="22"/>
              </w:rPr>
            </w:pPr>
            <w:r>
              <w:rPr>
                <w:spacing w:val="-4"/>
                <w:sz w:val="22"/>
                <w:szCs w:val="22"/>
              </w:rPr>
              <w:t>11.82</w:t>
            </w:r>
          </w:p>
        </w:tc>
        <w:tc>
          <w:tcPr>
            <w:tcW w:w="803" w:type="dxa"/>
            <w:vAlign w:val="top"/>
          </w:tcPr>
          <w:p>
            <w:pPr>
              <w:pStyle w:val="TableText"/>
              <w:spacing w:before="109" w:line="187" w:lineRule="auto"/>
              <w:ind w:left="173"/>
              <w:rPr>
                <w:sz w:val="22"/>
                <w:szCs w:val="22"/>
              </w:rPr>
            </w:pPr>
            <w:r>
              <w:rPr>
                <w:spacing w:val="-4"/>
                <w:sz w:val="22"/>
                <w:szCs w:val="22"/>
              </w:rPr>
              <w:t>12.61</w:t>
            </w:r>
          </w:p>
        </w:tc>
      </w:tr>
    </w:tbl>
    <w:p>
      <w:pPr>
        <w:rPr>
          <w:rFonts w:ascii="Arial"/>
          <w:sz w:val="21"/>
        </w:rPr>
      </w:pPr>
    </w:p>
    <w:p>
      <w:pPr>
        <w:rPr>
          <w:rFonts w:ascii="Arial" w:eastAsia="Arial" w:hAnsi="Arial" w:cs="Arial"/>
          <w:sz w:val="21"/>
          <w:szCs w:val="21"/>
        </w:rPr>
        <w:sectPr>
          <w:footerReference w:type="default" r:id="rId67"/>
          <w:type w:val="nextPage"/>
          <w:pgSz w:w="11907" w:h="16839"/>
          <w:pgMar w:top="1431" w:right="1785" w:bottom="1357" w:left="1785" w:header="0" w:footer="1197" w:gutter="0"/>
          <w:pgNumType w:start="34"/>
          <w:cols w:space="708"/>
          <w:titlePg w:val="0"/>
        </w:sectPr>
      </w:pPr>
    </w:p>
    <w:p>
      <w:pPr>
        <w:spacing w:line="255" w:lineRule="auto"/>
        <w:rPr>
          <w:rFonts w:ascii="Arial"/>
          <w:sz w:val="21"/>
        </w:rPr>
      </w:pPr>
    </w:p>
    <w:p>
      <w:pPr>
        <w:spacing w:line="256" w:lineRule="auto"/>
        <w:rPr>
          <w:rFonts w:ascii="Arial"/>
          <w:sz w:val="21"/>
        </w:rPr>
      </w:pPr>
    </w:p>
    <w:p>
      <w:pPr>
        <w:pStyle w:val="BodyText"/>
        <w:spacing w:before="78" w:line="221" w:lineRule="auto"/>
        <w:ind w:left="791"/>
        <w:outlineLvl w:val="0"/>
      </w:pPr>
      <w:r>
        <w:rPr>
          <w:b/>
          <w:bCs/>
          <w:spacing w:val="-4"/>
        </w:rPr>
        <w:t>6.3.4</w:t>
      </w:r>
      <w:r>
        <w:rPr>
          <w:spacing w:val="-4"/>
        </w:rPr>
        <w:t xml:space="preserve"> </w:t>
      </w:r>
      <w:r>
        <w:rPr>
          <w:b/>
          <w:bCs/>
          <w:spacing w:val="-4"/>
        </w:rPr>
        <w:t>探测器</w:t>
      </w:r>
    </w:p>
    <w:p>
      <w:pPr>
        <w:pStyle w:val="BodyText"/>
        <w:spacing w:before="180" w:line="360" w:lineRule="auto"/>
        <w:ind w:left="689" w:right="672" w:firstLine="473"/>
      </w:pPr>
      <w:r>
        <w:rPr>
          <w:spacing w:val="-3"/>
        </w:rPr>
        <w:t>探测器已经从常规使用半导体硅针（Si-Pin）探测器发展至硅漂移</w:t>
      </w:r>
      <w:r>
        <w:rPr>
          <w:spacing w:val="-46"/>
        </w:rPr>
        <w:t xml:space="preserve"> </w:t>
      </w:r>
      <w:r>
        <w:rPr>
          <w:spacing w:val="-3"/>
        </w:rPr>
        <w:t>FAST</w:t>
      </w:r>
      <w:r>
        <w:rPr>
          <w:spacing w:val="-49"/>
        </w:rPr>
        <w:t xml:space="preserve"> </w:t>
      </w:r>
      <w:r>
        <w:rPr>
          <w:spacing w:val="-3"/>
        </w:rPr>
        <w:t>SDD</w:t>
      </w:r>
      <w:r>
        <w:t xml:space="preserve"> </w:t>
      </w:r>
      <w:r>
        <w:rPr>
          <w:spacing w:val="-4"/>
        </w:rPr>
        <w:t>型探测器。其采集信号能力从之前的每秒</w:t>
      </w:r>
      <w:r>
        <w:rPr>
          <w:spacing w:val="-48"/>
        </w:rPr>
        <w:t xml:space="preserve"> </w:t>
      </w:r>
      <w:r>
        <w:rPr>
          <w:spacing w:val="-4"/>
        </w:rPr>
        <w:t>6000</w:t>
      </w:r>
      <w:r>
        <w:rPr>
          <w:spacing w:val="-51"/>
        </w:rPr>
        <w:t xml:space="preserve"> </w:t>
      </w:r>
      <w:r>
        <w:rPr>
          <w:spacing w:val="-4"/>
        </w:rPr>
        <w:t>计数，提升至</w:t>
      </w:r>
      <w:r>
        <w:rPr>
          <w:spacing w:val="-48"/>
        </w:rPr>
        <w:t xml:space="preserve"> </w:t>
      </w:r>
      <w:r>
        <w:rPr>
          <w:spacing w:val="-4"/>
        </w:rPr>
        <w:t>50</w:t>
      </w:r>
      <w:r>
        <w:rPr>
          <w:spacing w:val="-47"/>
        </w:rPr>
        <w:t xml:space="preserve"> </w:t>
      </w:r>
      <w:r>
        <w:rPr>
          <w:spacing w:val="-4"/>
        </w:rPr>
        <w:t>万计数。同时探</w:t>
      </w:r>
      <w:r>
        <w:t xml:space="preserve"> </w:t>
      </w:r>
      <w:r>
        <w:rPr>
          <w:spacing w:val="-5"/>
        </w:rPr>
        <w:t>测器的分辨率从</w:t>
      </w:r>
      <w:r>
        <w:rPr>
          <w:spacing w:val="-62"/>
        </w:rPr>
        <w:t xml:space="preserve"> </w:t>
      </w:r>
      <w:r>
        <w:rPr>
          <w:spacing w:val="-5"/>
        </w:rPr>
        <w:t>175ev提升至</w:t>
      </w:r>
      <w:r>
        <w:rPr>
          <w:spacing w:val="-64"/>
        </w:rPr>
        <w:t xml:space="preserve"> </w:t>
      </w:r>
      <w:r>
        <w:rPr>
          <w:spacing w:val="-5"/>
        </w:rPr>
        <w:t>125ev。信号采集能力</w:t>
      </w:r>
      <w:r>
        <w:rPr>
          <w:spacing w:val="-6"/>
        </w:rPr>
        <w:t>的发展提升了设备的稳定性，</w:t>
      </w:r>
      <w:r>
        <w:t xml:space="preserve"> </w:t>
      </w:r>
      <w:r>
        <w:rPr>
          <w:spacing w:val="-5"/>
        </w:rPr>
        <w:t>并且优化了检出限，</w:t>
      </w:r>
      <w:r>
        <w:rPr>
          <w:spacing w:val="-39"/>
        </w:rPr>
        <w:t xml:space="preserve"> </w:t>
      </w:r>
      <w:r>
        <w:rPr>
          <w:spacing w:val="-5"/>
        </w:rPr>
        <w:t>使得低浓度的检出有了可行性。分辨率的提</w:t>
      </w:r>
      <w:r>
        <w:rPr>
          <w:spacing w:val="-6"/>
        </w:rPr>
        <w:t>升降低了元素谱</w:t>
      </w:r>
    </w:p>
    <w:p>
      <w:pPr>
        <w:pStyle w:val="BodyText"/>
        <w:spacing w:before="1" w:line="218" w:lineRule="auto"/>
        <w:ind w:left="691"/>
      </w:pPr>
      <w:r>
        <w:rPr>
          <w:spacing w:val="-3"/>
        </w:rPr>
        <w:t>线之间的干扰敏感度，使得软件解谱时更加容易。</w:t>
      </w:r>
    </w:p>
    <w:p>
      <w:pPr>
        <w:pStyle w:val="BodyText"/>
        <w:spacing w:before="184" w:line="360" w:lineRule="auto"/>
        <w:ind w:left="690" w:right="672" w:firstLine="502"/>
      </w:pPr>
      <w:r>
        <w:rPr>
          <w:spacing w:val="-4"/>
        </w:rPr>
        <w:t>由于半导体硅针探测器的性能较差，所以适用于高含量土壤重金属的检测分</w:t>
      </w:r>
      <w:r>
        <w:rPr>
          <w:spacing w:val="8"/>
        </w:rPr>
        <w:t xml:space="preserve"> </w:t>
      </w:r>
      <w:r>
        <w:rPr>
          <w:spacing w:val="-3"/>
        </w:rPr>
        <w:t>析，且抗干扰能力较差，本方法将配备该类型探测器的</w:t>
      </w:r>
      <w:r>
        <w:rPr>
          <w:spacing w:val="-55"/>
        </w:rPr>
        <w:t xml:space="preserve"> </w:t>
      </w:r>
      <w:r>
        <w:rPr>
          <w:spacing w:val="-3"/>
        </w:rPr>
        <w:t>XRF</w:t>
      </w:r>
      <w:r>
        <w:rPr>
          <w:spacing w:val="-50"/>
        </w:rPr>
        <w:t xml:space="preserve"> </w:t>
      </w:r>
      <w:r>
        <w:rPr>
          <w:spacing w:val="-3"/>
        </w:rPr>
        <w:t>设</w:t>
      </w:r>
      <w:r>
        <w:rPr>
          <w:spacing w:val="-4"/>
        </w:rPr>
        <w:t>备定位于定性和半</w:t>
      </w:r>
    </w:p>
    <w:p>
      <w:pPr>
        <w:pStyle w:val="BodyText"/>
        <w:spacing w:line="220" w:lineRule="auto"/>
        <w:ind w:left="694"/>
      </w:pPr>
      <w:r>
        <w:rPr>
          <w:spacing w:val="-4"/>
        </w:rPr>
        <w:t>定量分析。</w:t>
      </w:r>
    </w:p>
    <w:p>
      <w:pPr>
        <w:pStyle w:val="BodyText"/>
        <w:spacing w:before="181" w:line="220" w:lineRule="auto"/>
        <w:ind w:left="791"/>
        <w:outlineLvl w:val="0"/>
      </w:pPr>
      <w:r>
        <w:rPr>
          <w:b/>
          <w:bCs/>
          <w:spacing w:val="-4"/>
        </w:rPr>
        <w:t>6.3.5</w:t>
      </w:r>
      <w:r>
        <w:rPr>
          <w:spacing w:val="-4"/>
        </w:rPr>
        <w:t xml:space="preserve"> </w:t>
      </w:r>
      <w:r>
        <w:rPr>
          <w:b/>
          <w:bCs/>
          <w:spacing w:val="-4"/>
        </w:rPr>
        <w:t>数字脉冲处理器</w:t>
      </w:r>
    </w:p>
    <w:p>
      <w:pPr>
        <w:pStyle w:val="BodyText"/>
        <w:spacing w:before="183" w:line="360" w:lineRule="auto"/>
        <w:ind w:left="689" w:right="733" w:firstLine="471"/>
      </w:pPr>
      <w:r>
        <w:rPr>
          <w:spacing w:val="-4"/>
        </w:rPr>
        <w:t>XRF 仪器数据处理单元中的关键部件为 MCA。MCA 接收来自探测器的脉冲，</w:t>
      </w:r>
      <w:r>
        <w:rPr>
          <w:spacing w:val="4"/>
        </w:rPr>
        <w:t xml:space="preserve"> </w:t>
      </w:r>
      <w:r>
        <w:rPr>
          <w:spacing w:val="-6"/>
        </w:rPr>
        <w:t>并按照振幅（能级）对其进行分选。MCA 统计每秒脉冲数，确定光谱中的</w:t>
      </w:r>
      <w:r>
        <w:rPr>
          <w:spacing w:val="-7"/>
        </w:rPr>
        <w:t>峰高，</w:t>
      </w:r>
      <w:r>
        <w:t xml:space="preserve"> </w:t>
      </w:r>
      <w:r>
        <w:rPr>
          <w:spacing w:val="-5"/>
        </w:rPr>
        <w:t>其可表明目标待测物的浓度。</w:t>
      </w:r>
      <w:r>
        <w:rPr>
          <w:spacing w:val="-35"/>
        </w:rPr>
        <w:t xml:space="preserve"> </w:t>
      </w:r>
      <w:r>
        <w:rPr>
          <w:spacing w:val="-5"/>
        </w:rPr>
        <w:t>MCA</w:t>
      </w:r>
      <w:r>
        <w:rPr>
          <w:spacing w:val="32"/>
        </w:rPr>
        <w:t xml:space="preserve"> </w:t>
      </w:r>
      <w:r>
        <w:rPr>
          <w:spacing w:val="-5"/>
        </w:rPr>
        <w:t>中可以构建元素峰值的光谱。</w:t>
      </w:r>
      <w:r>
        <w:rPr>
          <w:spacing w:val="-31"/>
        </w:rPr>
        <w:t xml:space="preserve"> </w:t>
      </w:r>
      <w:r>
        <w:rPr>
          <w:spacing w:val="-5"/>
        </w:rPr>
        <w:t>XRF</w:t>
      </w:r>
      <w:r>
        <w:rPr>
          <w:spacing w:val="-6"/>
        </w:rPr>
        <w:t xml:space="preserve"> 仪器中的</w:t>
      </w:r>
    </w:p>
    <w:p>
      <w:pPr>
        <w:pStyle w:val="BodyText"/>
        <w:spacing w:line="219" w:lineRule="auto"/>
        <w:ind w:left="681"/>
      </w:pPr>
      <w:r>
        <w:rPr>
          <w:spacing w:val="-3"/>
        </w:rPr>
        <w:t>MCA 拥有 256</w:t>
      </w:r>
      <w:r>
        <w:rPr>
          <w:spacing w:val="11"/>
        </w:rPr>
        <w:t xml:space="preserve"> </w:t>
      </w:r>
      <w:r>
        <w:rPr>
          <w:spacing w:val="-3"/>
        </w:rPr>
        <w:t>至</w:t>
      </w:r>
      <w:r>
        <w:rPr>
          <w:spacing w:val="7"/>
        </w:rPr>
        <w:t xml:space="preserve"> </w:t>
      </w:r>
      <w:r>
        <w:rPr>
          <w:spacing w:val="-3"/>
        </w:rPr>
        <w:t>2048</w:t>
      </w:r>
      <w:r>
        <w:rPr>
          <w:spacing w:val="7"/>
        </w:rPr>
        <w:t xml:space="preserve"> </w:t>
      </w:r>
      <w:r>
        <w:rPr>
          <w:spacing w:val="-3"/>
        </w:rPr>
        <w:t>条通道。</w:t>
      </w:r>
    </w:p>
    <w:p>
      <w:pPr>
        <w:pStyle w:val="BodyText"/>
        <w:spacing w:before="182" w:line="220" w:lineRule="auto"/>
        <w:ind w:left="690"/>
        <w:outlineLvl w:val="0"/>
      </w:pPr>
      <w:r>
        <w:rPr>
          <w:b/>
          <w:bCs/>
          <w:spacing w:val="-4"/>
        </w:rPr>
        <w:t>6.3.6</w:t>
      </w:r>
      <w:r>
        <w:rPr>
          <w:spacing w:val="-4"/>
        </w:rPr>
        <w:t xml:space="preserve"> </w:t>
      </w:r>
      <w:r>
        <w:rPr>
          <w:b/>
          <w:bCs/>
          <w:spacing w:val="-4"/>
        </w:rPr>
        <w:t>便携式重金属分析仪主要厂家及参数对比</w:t>
      </w:r>
    </w:p>
    <w:p>
      <w:pPr>
        <w:pStyle w:val="BodyText"/>
        <w:spacing w:before="183" w:line="360" w:lineRule="auto"/>
        <w:ind w:left="688" w:right="732" w:firstLine="521"/>
        <w:jc w:val="both"/>
      </w:pPr>
      <w:r>
        <w:rPr>
          <w:spacing w:val="-4"/>
        </w:rPr>
        <w:t>目前土壤便携式重金属 XRF 分析仪品牌厂家有十多家，其中多色光激发 X</w:t>
      </w:r>
      <w:r>
        <w:t xml:space="preserve"> </w:t>
      </w:r>
      <w:r>
        <w:t>射线荧光光谱仪较为常见的有尼通、天瑞和奥林巴斯等，这些产品设计结构类</w:t>
      </w:r>
      <w:r>
        <w:rPr>
          <w:spacing w:val="12"/>
        </w:rPr>
        <w:t xml:space="preserve"> </w:t>
      </w:r>
      <w:r>
        <w:rPr>
          <w:spacing w:val="-6"/>
        </w:rPr>
        <w:t>似，使用多组滤光片进行滤波， 其差别主要是在算法</w:t>
      </w:r>
      <w:r>
        <w:rPr>
          <w:spacing w:val="-7"/>
        </w:rPr>
        <w:t>以及硬件配置上； 尼通和</w:t>
      </w:r>
      <w:r>
        <w:t xml:space="preserve"> </w:t>
      </w:r>
      <w:r>
        <w:rPr>
          <w:spacing w:val="-3"/>
        </w:rPr>
        <w:t>奥林巴斯等进口品牌以使用</w:t>
      </w:r>
      <w:r>
        <w:rPr>
          <w:spacing w:val="-54"/>
        </w:rPr>
        <w:t xml:space="preserve"> </w:t>
      </w:r>
      <w:r>
        <w:rPr>
          <w:spacing w:val="-3"/>
        </w:rPr>
        <w:t>FP</w:t>
      </w:r>
      <w:r>
        <w:rPr>
          <w:spacing w:val="-53"/>
        </w:rPr>
        <w:t xml:space="preserve"> </w:t>
      </w:r>
      <w:r>
        <w:rPr>
          <w:spacing w:val="-3"/>
        </w:rPr>
        <w:t>基本参数法为主，天瑞</w:t>
      </w:r>
      <w:r>
        <w:rPr>
          <w:spacing w:val="-4"/>
        </w:rPr>
        <w:t>等国产品牌以使用经验系</w:t>
      </w:r>
      <w:r>
        <w:t xml:space="preserve"> </w:t>
      </w:r>
      <w:r>
        <w:rPr>
          <w:spacing w:val="-6"/>
        </w:rPr>
        <w:t>数法为主；</w:t>
      </w:r>
      <w:r>
        <w:rPr>
          <w:spacing w:val="52"/>
        </w:rPr>
        <w:t xml:space="preserve"> </w:t>
      </w:r>
      <w:r>
        <w:rPr>
          <w:spacing w:val="-6"/>
        </w:rPr>
        <w:t>因此其核心参数-设备检出限上基本一致，在某些元素上各有优劣，</w:t>
      </w:r>
    </w:p>
    <w:p>
      <w:pPr>
        <w:pStyle w:val="BodyText"/>
        <w:spacing w:before="1" w:line="219" w:lineRule="auto"/>
        <w:ind w:left="692"/>
      </w:pPr>
      <w:r>
        <w:rPr>
          <w:spacing w:val="-3"/>
        </w:rPr>
        <w:t>设备准确性则跟算法相关。</w:t>
      </w:r>
    </w:p>
    <w:p>
      <w:pPr>
        <w:pStyle w:val="BodyText"/>
        <w:spacing w:before="182" w:line="360" w:lineRule="auto"/>
        <w:ind w:left="692" w:right="737" w:firstLine="468"/>
        <w:jc w:val="both"/>
      </w:pPr>
      <w:r>
        <w:rPr>
          <w:spacing w:val="-1"/>
        </w:rPr>
        <w:t>XOS、苏州佳谱和北京安科慧生等产品是采用分光晶体的单色光激发技</w:t>
      </w:r>
      <w:r>
        <w:rPr>
          <w:spacing w:val="-2"/>
        </w:rPr>
        <w:t>术，</w:t>
      </w:r>
      <w:r>
        <w:t xml:space="preserve"> </w:t>
      </w:r>
      <w:r>
        <w:rPr>
          <w:spacing w:val="-6"/>
        </w:rPr>
        <w:t>不使用滤光片滤波，</w:t>
      </w:r>
      <w:r>
        <w:rPr>
          <w:spacing w:val="-24"/>
        </w:rPr>
        <w:t xml:space="preserve"> </w:t>
      </w:r>
      <w:r>
        <w:rPr>
          <w:spacing w:val="-6"/>
        </w:rPr>
        <w:t>是属于能量色散</w:t>
      </w:r>
      <w:r>
        <w:rPr>
          <w:spacing w:val="-31"/>
        </w:rPr>
        <w:t xml:space="preserve"> </w:t>
      </w:r>
      <w:r>
        <w:rPr>
          <w:spacing w:val="-6"/>
        </w:rPr>
        <w:t>X</w:t>
      </w:r>
      <w:r>
        <w:rPr>
          <w:spacing w:val="-32"/>
        </w:rPr>
        <w:t xml:space="preserve"> </w:t>
      </w:r>
      <w:r>
        <w:rPr>
          <w:spacing w:val="-6"/>
        </w:rPr>
        <w:t>射线荧光</w:t>
      </w:r>
      <w:r>
        <w:rPr>
          <w:spacing w:val="-31"/>
        </w:rPr>
        <w:t xml:space="preserve"> </w:t>
      </w:r>
      <w:r>
        <w:rPr>
          <w:spacing w:val="-6"/>
        </w:rPr>
        <w:t>EDXRF 中的分</w:t>
      </w:r>
      <w:r>
        <w:rPr>
          <w:spacing w:val="-7"/>
        </w:rPr>
        <w:t>类，其单色光激</w:t>
      </w:r>
      <w:r>
        <w:t xml:space="preserve"> </w:t>
      </w:r>
      <w:r>
        <w:t>发产品在检出限上要优于多色光激发产品。一些常见品牌厂家设备核心参数比</w:t>
      </w:r>
    </w:p>
    <w:p>
      <w:pPr>
        <w:pStyle w:val="BodyText"/>
        <w:spacing w:before="1" w:line="219" w:lineRule="auto"/>
        <w:ind w:left="688"/>
      </w:pPr>
      <w:r>
        <w:rPr>
          <w:spacing w:val="-3"/>
        </w:rPr>
        <w:t>对见下表。</w:t>
      </w:r>
    </w:p>
    <w:p>
      <w:pPr>
        <w:spacing w:line="67" w:lineRule="exact"/>
        <w:sectPr>
          <w:footerReference w:type="default" r:id="rId68"/>
          <w:pgSz w:w="11907" w:h="16839"/>
          <w:pgMar w:top="1431" w:right="1121" w:bottom="1357" w:left="1120" w:header="0" w:footer="1197" w:gutter="0"/>
          <w:pgNumType w:start="35"/>
          <w:cols w:space="708"/>
        </w:sectPr>
      </w:pPr>
    </w:p>
    <w:tbl>
      <w:tblPr>
        <w:tblStyle w:val="TableNormal12"/>
        <w:tblW w:w="965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6"/>
        <w:gridCol w:w="628"/>
        <w:gridCol w:w="1281"/>
        <w:gridCol w:w="917"/>
        <w:gridCol w:w="1319"/>
        <w:gridCol w:w="1154"/>
        <w:gridCol w:w="1334"/>
        <w:gridCol w:w="1306"/>
        <w:gridCol w:w="1324"/>
      </w:tblGrid>
      <w:tr>
        <w:tblPrEx>
          <w:tblW w:w="965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2"/>
        </w:trPr>
        <w:tc>
          <w:tcPr>
            <w:tcW w:w="396" w:type="dxa"/>
            <w:textDirection w:val="tbRlV"/>
            <w:vAlign w:val="top"/>
          </w:tcPr>
          <w:p>
            <w:pPr>
              <w:spacing w:before="102" w:line="206" w:lineRule="auto"/>
              <w:ind w:left="226"/>
              <w:rPr>
                <w:rFonts w:ascii="SimSun" w:eastAsia="SimSun" w:hAnsi="SimSun" w:cs="SimSun"/>
                <w:sz w:val="18"/>
                <w:szCs w:val="18"/>
              </w:rPr>
            </w:pPr>
            <w:r>
              <w:rPr>
                <w:rFonts w:ascii="SimSun" w:eastAsia="SimSun" w:hAnsi="SimSun" w:cs="SimSun"/>
                <w:b/>
                <w:bCs/>
                <w:spacing w:val="-2"/>
                <w:sz w:val="18"/>
                <w:szCs w:val="18"/>
              </w:rPr>
              <w:t>项</w:t>
            </w:r>
            <w:r>
              <w:rPr>
                <w:rFonts w:ascii="SimSun" w:eastAsia="SimSun" w:hAnsi="SimSun" w:cs="SimSun"/>
                <w:spacing w:val="42"/>
                <w:sz w:val="18"/>
                <w:szCs w:val="18"/>
              </w:rPr>
              <w:t xml:space="preserve"> </w:t>
            </w:r>
            <w:r>
              <w:rPr>
                <w:rFonts w:ascii="SimSun" w:eastAsia="SimSun" w:hAnsi="SimSun" w:cs="SimSun"/>
                <w:b/>
                <w:bCs/>
                <w:spacing w:val="-2"/>
                <w:sz w:val="18"/>
                <w:szCs w:val="18"/>
              </w:rPr>
              <w:t>目</w:t>
            </w:r>
          </w:p>
        </w:tc>
        <w:tc>
          <w:tcPr>
            <w:tcW w:w="628" w:type="dxa"/>
            <w:vAlign w:val="top"/>
          </w:tcPr>
          <w:p>
            <w:pPr>
              <w:spacing w:before="226" w:line="312" w:lineRule="exact"/>
              <w:ind w:left="112"/>
              <w:rPr>
                <w:rFonts w:ascii="SimSun" w:eastAsia="SimSun" w:hAnsi="SimSun" w:cs="SimSun"/>
                <w:sz w:val="18"/>
                <w:szCs w:val="18"/>
              </w:rPr>
            </w:pPr>
            <w:r>
              <w:rPr>
                <w:rFonts w:ascii="SimSun" w:eastAsia="SimSun" w:hAnsi="SimSun" w:cs="SimSun"/>
                <w:b/>
                <w:bCs/>
                <w:spacing w:val="6"/>
                <w:position w:val="9"/>
                <w:sz w:val="18"/>
                <w:szCs w:val="18"/>
              </w:rPr>
              <w:t>产品</w:t>
            </w:r>
          </w:p>
          <w:p>
            <w:pPr>
              <w:spacing w:line="220" w:lineRule="auto"/>
              <w:ind w:left="118"/>
              <w:rPr>
                <w:rFonts w:ascii="SimSun" w:eastAsia="SimSun" w:hAnsi="SimSun" w:cs="SimSun"/>
                <w:sz w:val="18"/>
                <w:szCs w:val="18"/>
              </w:rPr>
            </w:pPr>
            <w:r>
              <w:rPr>
                <w:rFonts w:ascii="SimSun" w:eastAsia="SimSun" w:hAnsi="SimSun" w:cs="SimSun"/>
                <w:b/>
                <w:bCs/>
                <w:spacing w:val="3"/>
                <w:sz w:val="18"/>
                <w:szCs w:val="18"/>
              </w:rPr>
              <w:t>型号</w:t>
            </w:r>
          </w:p>
        </w:tc>
        <w:tc>
          <w:tcPr>
            <w:tcW w:w="1281" w:type="dxa"/>
            <w:vAlign w:val="top"/>
          </w:tcPr>
          <w:p>
            <w:pPr>
              <w:spacing w:before="70" w:line="219" w:lineRule="auto"/>
              <w:ind w:left="339"/>
              <w:rPr>
                <w:rFonts w:ascii="SimSun" w:eastAsia="SimSun" w:hAnsi="SimSun" w:cs="SimSun"/>
                <w:sz w:val="18"/>
                <w:szCs w:val="18"/>
              </w:rPr>
            </w:pPr>
            <w:r>
              <w:rPr>
                <w:rFonts w:ascii="SimSun" w:eastAsia="SimSun" w:hAnsi="SimSun" w:cs="SimSun"/>
                <w:b/>
                <w:bCs/>
                <w:spacing w:val="14"/>
                <w:sz w:val="18"/>
                <w:szCs w:val="18"/>
              </w:rPr>
              <w:t>赛默飞</w:t>
            </w:r>
          </w:p>
          <w:p>
            <w:pPr>
              <w:pStyle w:val="TableText"/>
              <w:spacing w:before="131" w:line="186" w:lineRule="auto"/>
              <w:ind w:left="147"/>
              <w:rPr>
                <w:sz w:val="18"/>
                <w:szCs w:val="18"/>
              </w:rPr>
            </w:pPr>
            <w:r>
              <w:rPr>
                <w:b/>
                <w:bCs/>
                <w:spacing w:val="8"/>
                <w:sz w:val="18"/>
                <w:szCs w:val="18"/>
              </w:rPr>
              <w:t>Niton</w:t>
            </w:r>
            <w:r>
              <w:rPr>
                <w:b/>
                <w:bCs/>
                <w:spacing w:val="22"/>
                <w:sz w:val="18"/>
                <w:szCs w:val="18"/>
              </w:rPr>
              <w:t xml:space="preserve"> </w:t>
            </w:r>
            <w:r>
              <w:rPr>
                <w:b/>
                <w:bCs/>
                <w:spacing w:val="8"/>
                <w:sz w:val="18"/>
                <w:szCs w:val="18"/>
              </w:rPr>
              <w:t>XL3t</w:t>
            </w:r>
          </w:p>
          <w:p>
            <w:pPr>
              <w:pStyle w:val="TableText"/>
              <w:spacing w:before="151" w:line="186" w:lineRule="auto"/>
              <w:ind w:left="491"/>
              <w:rPr>
                <w:sz w:val="18"/>
                <w:szCs w:val="18"/>
              </w:rPr>
            </w:pPr>
            <w:r>
              <w:rPr>
                <w:b/>
                <w:bCs/>
                <w:spacing w:val="5"/>
                <w:sz w:val="18"/>
                <w:szCs w:val="18"/>
              </w:rPr>
              <w:t>960</w:t>
            </w:r>
          </w:p>
        </w:tc>
        <w:tc>
          <w:tcPr>
            <w:tcW w:w="917" w:type="dxa"/>
            <w:vAlign w:val="top"/>
          </w:tcPr>
          <w:p>
            <w:pPr>
              <w:pStyle w:val="TableText"/>
              <w:spacing w:before="71" w:line="316" w:lineRule="auto"/>
              <w:ind w:left="115" w:right="125" w:firstLine="146"/>
              <w:rPr>
                <w:sz w:val="18"/>
                <w:szCs w:val="18"/>
              </w:rPr>
            </w:pPr>
            <w:r>
              <w:rPr>
                <w:rFonts w:ascii="SimSun" w:eastAsia="SimSun" w:hAnsi="SimSun" w:cs="SimSun"/>
                <w:b/>
                <w:bCs/>
                <w:spacing w:val="4"/>
                <w:sz w:val="18"/>
                <w:szCs w:val="18"/>
              </w:rPr>
              <w:t>天瑞</w:t>
            </w:r>
            <w:r>
              <w:rPr>
                <w:rFonts w:ascii="SimSun" w:eastAsia="SimSun" w:hAnsi="SimSun" w:cs="SimSun"/>
                <w:sz w:val="18"/>
                <w:szCs w:val="18"/>
              </w:rPr>
              <w:t xml:space="preserve">  </w:t>
            </w:r>
            <w:r>
              <w:rPr>
                <w:b/>
                <w:bCs/>
                <w:spacing w:val="8"/>
                <w:sz w:val="18"/>
                <w:szCs w:val="18"/>
              </w:rPr>
              <w:t>Explore</w:t>
            </w:r>
            <w:r>
              <w:rPr>
                <w:b/>
                <w:bCs/>
                <w:spacing w:val="3"/>
                <w:sz w:val="18"/>
                <w:szCs w:val="18"/>
              </w:rPr>
              <w:t xml:space="preserve"> </w:t>
            </w:r>
            <w:r>
              <w:rPr>
                <w:b/>
                <w:bCs/>
                <w:spacing w:val="18"/>
                <w:sz w:val="18"/>
                <w:szCs w:val="18"/>
              </w:rPr>
              <w:t>r</w:t>
            </w:r>
            <w:r>
              <w:rPr>
                <w:b/>
                <w:bCs/>
                <w:spacing w:val="25"/>
                <w:sz w:val="18"/>
                <w:szCs w:val="18"/>
              </w:rPr>
              <w:t xml:space="preserve"> </w:t>
            </w:r>
            <w:r>
              <w:rPr>
                <w:b/>
                <w:bCs/>
                <w:spacing w:val="18"/>
                <w:sz w:val="18"/>
                <w:szCs w:val="18"/>
              </w:rPr>
              <w:t>9000</w:t>
            </w:r>
          </w:p>
        </w:tc>
        <w:tc>
          <w:tcPr>
            <w:tcW w:w="1319" w:type="dxa"/>
            <w:vAlign w:val="top"/>
          </w:tcPr>
          <w:p>
            <w:pPr>
              <w:spacing w:before="226" w:line="345" w:lineRule="exact"/>
              <w:ind w:left="264"/>
              <w:rPr>
                <w:rFonts w:ascii="SimSun" w:eastAsia="SimSun" w:hAnsi="SimSun" w:cs="SimSun"/>
                <w:sz w:val="18"/>
                <w:szCs w:val="18"/>
              </w:rPr>
            </w:pPr>
            <w:r>
              <w:rPr>
                <w:rFonts w:ascii="SimSun" w:eastAsia="SimSun" w:hAnsi="SimSun" w:cs="SimSun"/>
                <w:b/>
                <w:bCs/>
                <w:spacing w:val="14"/>
                <w:position w:val="12"/>
                <w:sz w:val="18"/>
                <w:szCs w:val="18"/>
              </w:rPr>
              <w:t>奥林巴斯</w:t>
            </w:r>
          </w:p>
          <w:p>
            <w:pPr>
              <w:pStyle w:val="TableText"/>
              <w:spacing w:line="186" w:lineRule="auto"/>
              <w:ind w:left="166"/>
              <w:rPr>
                <w:sz w:val="18"/>
                <w:szCs w:val="18"/>
              </w:rPr>
            </w:pPr>
            <w:r>
              <w:rPr>
                <w:b/>
                <w:bCs/>
                <w:spacing w:val="5"/>
                <w:sz w:val="18"/>
                <w:szCs w:val="18"/>
              </w:rPr>
              <w:t>Vanta</w:t>
            </w:r>
            <w:r>
              <w:rPr>
                <w:b/>
                <w:bCs/>
                <w:spacing w:val="24"/>
                <w:w w:val="101"/>
                <w:sz w:val="18"/>
                <w:szCs w:val="18"/>
              </w:rPr>
              <w:t xml:space="preserve"> </w:t>
            </w:r>
            <w:r>
              <w:rPr>
                <w:b/>
                <w:bCs/>
                <w:spacing w:val="5"/>
                <w:sz w:val="18"/>
                <w:szCs w:val="18"/>
              </w:rPr>
              <w:t>VCA</w:t>
            </w:r>
          </w:p>
        </w:tc>
        <w:tc>
          <w:tcPr>
            <w:tcW w:w="1154" w:type="dxa"/>
            <w:vAlign w:val="top"/>
          </w:tcPr>
          <w:p>
            <w:pPr>
              <w:spacing w:before="226" w:line="219" w:lineRule="auto"/>
              <w:ind w:left="277"/>
              <w:rPr>
                <w:rFonts w:ascii="SimSun" w:eastAsia="SimSun" w:hAnsi="SimSun" w:cs="SimSun"/>
                <w:sz w:val="18"/>
                <w:szCs w:val="18"/>
              </w:rPr>
            </w:pPr>
            <w:r>
              <w:rPr>
                <w:rFonts w:ascii="SimSun" w:eastAsia="SimSun" w:hAnsi="SimSun" w:cs="SimSun"/>
                <w:b/>
                <w:bCs/>
                <w:spacing w:val="14"/>
                <w:sz w:val="18"/>
                <w:szCs w:val="18"/>
              </w:rPr>
              <w:t>赛默飞</w:t>
            </w:r>
          </w:p>
          <w:p>
            <w:pPr>
              <w:pStyle w:val="TableText"/>
              <w:spacing w:before="131" w:line="186" w:lineRule="auto"/>
              <w:ind w:left="120"/>
              <w:rPr>
                <w:sz w:val="18"/>
                <w:szCs w:val="18"/>
              </w:rPr>
            </w:pPr>
            <w:r>
              <w:rPr>
                <w:b/>
                <w:bCs/>
                <w:spacing w:val="7"/>
                <w:sz w:val="18"/>
                <w:szCs w:val="18"/>
              </w:rPr>
              <w:t>Niton</w:t>
            </w:r>
            <w:r>
              <w:rPr>
                <w:b/>
                <w:bCs/>
                <w:spacing w:val="27"/>
                <w:w w:val="101"/>
                <w:sz w:val="18"/>
                <w:szCs w:val="18"/>
              </w:rPr>
              <w:t xml:space="preserve"> </w:t>
            </w:r>
            <w:r>
              <w:rPr>
                <w:b/>
                <w:bCs/>
                <w:spacing w:val="7"/>
                <w:sz w:val="18"/>
                <w:szCs w:val="18"/>
              </w:rPr>
              <w:t>XL5</w:t>
            </w:r>
          </w:p>
        </w:tc>
        <w:tc>
          <w:tcPr>
            <w:tcW w:w="1334" w:type="dxa"/>
            <w:vAlign w:val="top"/>
          </w:tcPr>
          <w:p>
            <w:pPr>
              <w:spacing w:before="70" w:line="219" w:lineRule="auto"/>
              <w:ind w:left="268"/>
              <w:rPr>
                <w:rFonts w:ascii="SimSun" w:eastAsia="SimSun" w:hAnsi="SimSun" w:cs="SimSun"/>
                <w:sz w:val="18"/>
                <w:szCs w:val="18"/>
              </w:rPr>
            </w:pPr>
            <w:r>
              <w:rPr>
                <w:rFonts w:ascii="SimSun" w:eastAsia="SimSun" w:hAnsi="SimSun" w:cs="SimSun"/>
                <w:b/>
                <w:bCs/>
                <w:spacing w:val="14"/>
                <w:sz w:val="18"/>
                <w:szCs w:val="18"/>
              </w:rPr>
              <w:t>安科慧生</w:t>
            </w:r>
          </w:p>
          <w:p>
            <w:pPr>
              <w:pStyle w:val="TableText"/>
              <w:spacing w:before="131" w:line="186" w:lineRule="auto"/>
              <w:ind w:left="257"/>
              <w:rPr>
                <w:sz w:val="18"/>
                <w:szCs w:val="18"/>
              </w:rPr>
            </w:pPr>
            <w:r>
              <w:rPr>
                <w:b/>
                <w:bCs/>
                <w:spacing w:val="8"/>
                <w:sz w:val="18"/>
                <w:szCs w:val="18"/>
              </w:rPr>
              <w:t>PHECDA</w:t>
            </w:r>
          </w:p>
          <w:p>
            <w:pPr>
              <w:pStyle w:val="TableText"/>
              <w:spacing w:before="151" w:line="186" w:lineRule="auto"/>
              <w:ind w:left="185"/>
              <w:rPr>
                <w:sz w:val="18"/>
                <w:szCs w:val="18"/>
              </w:rPr>
            </w:pPr>
            <w:r>
              <w:rPr>
                <w:b/>
                <w:bCs/>
                <w:spacing w:val="9"/>
                <w:sz w:val="18"/>
                <w:szCs w:val="18"/>
              </w:rPr>
              <w:t>-ECO/PRO</w:t>
            </w:r>
          </w:p>
        </w:tc>
        <w:tc>
          <w:tcPr>
            <w:tcW w:w="1306" w:type="dxa"/>
            <w:vAlign w:val="top"/>
          </w:tcPr>
          <w:p>
            <w:pPr>
              <w:pStyle w:val="TableText"/>
              <w:spacing w:before="227" w:line="266" w:lineRule="auto"/>
              <w:ind w:left="152" w:right="154" w:firstLine="5"/>
              <w:rPr>
                <w:sz w:val="18"/>
                <w:szCs w:val="18"/>
              </w:rPr>
            </w:pPr>
            <w:r>
              <w:rPr>
                <w:rFonts w:ascii="SimSun" w:eastAsia="SimSun" w:hAnsi="SimSun" w:cs="SimSun"/>
                <w:b/>
                <w:bCs/>
                <w:spacing w:val="13"/>
                <w:sz w:val="18"/>
                <w:szCs w:val="18"/>
              </w:rPr>
              <w:t>马尔文帕纳</w:t>
            </w:r>
            <w:r>
              <w:rPr>
                <w:rFonts w:ascii="SimSun" w:eastAsia="SimSun" w:hAnsi="SimSun" w:cs="SimSun"/>
                <w:spacing w:val="2"/>
                <w:sz w:val="18"/>
                <w:szCs w:val="18"/>
              </w:rPr>
              <w:t xml:space="preserve"> </w:t>
            </w:r>
            <w:r>
              <w:rPr>
                <w:rFonts w:ascii="SimSun" w:eastAsia="SimSun" w:hAnsi="SimSun" w:cs="SimSun"/>
                <w:b/>
                <w:bCs/>
                <w:spacing w:val="31"/>
                <w:sz w:val="18"/>
                <w:szCs w:val="18"/>
              </w:rPr>
              <w:t>科</w:t>
            </w:r>
            <w:r>
              <w:rPr>
                <w:rFonts w:ascii="SimSun" w:eastAsia="SimSun" w:hAnsi="SimSun" w:cs="SimSun"/>
                <w:spacing w:val="-12"/>
                <w:sz w:val="18"/>
                <w:szCs w:val="18"/>
              </w:rPr>
              <w:t xml:space="preserve"> </w:t>
            </w:r>
            <w:r>
              <w:rPr>
                <w:b/>
                <w:bCs/>
                <w:sz w:val="18"/>
                <w:szCs w:val="18"/>
              </w:rPr>
              <w:t>Epsilon</w:t>
            </w:r>
            <w:r>
              <w:rPr>
                <w:b/>
                <w:bCs/>
                <w:spacing w:val="31"/>
                <w:sz w:val="18"/>
                <w:szCs w:val="18"/>
              </w:rPr>
              <w:t>1</w:t>
            </w:r>
          </w:p>
        </w:tc>
        <w:tc>
          <w:tcPr>
            <w:tcW w:w="1324" w:type="dxa"/>
            <w:vAlign w:val="top"/>
          </w:tcPr>
          <w:p>
            <w:pPr>
              <w:spacing w:before="226" w:line="345" w:lineRule="exact"/>
              <w:ind w:left="262"/>
              <w:rPr>
                <w:rFonts w:ascii="SimSun" w:eastAsia="SimSun" w:hAnsi="SimSun" w:cs="SimSun"/>
                <w:sz w:val="18"/>
                <w:szCs w:val="18"/>
              </w:rPr>
            </w:pPr>
            <w:r>
              <w:rPr>
                <w:rFonts w:ascii="SimSun" w:eastAsia="SimSun" w:hAnsi="SimSun" w:cs="SimSun"/>
                <w:b/>
                <w:bCs/>
                <w:spacing w:val="14"/>
                <w:position w:val="12"/>
                <w:sz w:val="18"/>
                <w:szCs w:val="18"/>
              </w:rPr>
              <w:t>苏州佳谱</w:t>
            </w:r>
          </w:p>
          <w:p>
            <w:pPr>
              <w:pStyle w:val="TableText"/>
              <w:spacing w:line="230" w:lineRule="auto"/>
              <w:ind w:left="379"/>
              <w:rPr>
                <w:sz w:val="18"/>
                <w:szCs w:val="18"/>
              </w:rPr>
            </w:pPr>
            <w:r>
              <w:rPr>
                <w:b/>
                <w:bCs/>
                <w:spacing w:val="18"/>
                <w:sz w:val="18"/>
                <w:szCs w:val="18"/>
              </w:rPr>
              <w:t>E-</w:t>
            </w:r>
            <w:r>
              <w:rPr>
                <w:b/>
                <w:bCs/>
                <w:sz w:val="18"/>
                <w:szCs w:val="18"/>
              </w:rPr>
              <w:t>max</w:t>
            </w:r>
          </w:p>
        </w:tc>
      </w:tr>
      <w:tr>
        <w:tblPrEx>
          <w:tblW w:w="9659" w:type="dxa"/>
          <w:tblInd w:w="2" w:type="dxa"/>
          <w:tblLayout w:type="fixed"/>
        </w:tblPrEx>
        <w:trPr>
          <w:trHeight w:val="632"/>
        </w:trPr>
        <w:tc>
          <w:tcPr>
            <w:tcW w:w="396" w:type="dxa"/>
            <w:textDirection w:val="tbRlV"/>
            <w:vAlign w:val="top"/>
          </w:tcPr>
          <w:p>
            <w:pPr>
              <w:spacing w:before="102" w:line="208" w:lineRule="auto"/>
              <w:ind w:left="69"/>
              <w:rPr>
                <w:rFonts w:ascii="SimSun" w:eastAsia="SimSun" w:hAnsi="SimSun" w:cs="SimSun"/>
                <w:sz w:val="18"/>
                <w:szCs w:val="18"/>
              </w:rPr>
            </w:pPr>
            <w:r>
              <w:rPr>
                <w:rFonts w:ascii="SimSun" w:eastAsia="SimSun" w:hAnsi="SimSun" w:cs="SimSun"/>
                <w:b/>
                <w:bCs/>
                <w:spacing w:val="-2"/>
                <w:sz w:val="18"/>
                <w:szCs w:val="18"/>
              </w:rPr>
              <w:t>产</w:t>
            </w:r>
            <w:r>
              <w:rPr>
                <w:rFonts w:ascii="SimSun" w:eastAsia="SimSun" w:hAnsi="SimSun" w:cs="SimSun"/>
                <w:spacing w:val="41"/>
                <w:w w:val="101"/>
                <w:sz w:val="18"/>
                <w:szCs w:val="18"/>
              </w:rPr>
              <w:t xml:space="preserve"> </w:t>
            </w:r>
            <w:r>
              <w:rPr>
                <w:rFonts w:ascii="SimSun" w:eastAsia="SimSun" w:hAnsi="SimSun" w:cs="SimSun"/>
                <w:b/>
                <w:bCs/>
                <w:spacing w:val="-2"/>
                <w:sz w:val="18"/>
                <w:szCs w:val="18"/>
              </w:rPr>
              <w:t>品</w:t>
            </w:r>
          </w:p>
        </w:tc>
        <w:tc>
          <w:tcPr>
            <w:tcW w:w="628" w:type="dxa"/>
            <w:vAlign w:val="top"/>
          </w:tcPr>
          <w:p>
            <w:pPr>
              <w:spacing w:before="69" w:line="312" w:lineRule="exact"/>
              <w:ind w:left="114"/>
              <w:rPr>
                <w:rFonts w:ascii="SimSun" w:eastAsia="SimSun" w:hAnsi="SimSun" w:cs="SimSun"/>
                <w:sz w:val="18"/>
                <w:szCs w:val="18"/>
              </w:rPr>
            </w:pPr>
            <w:r>
              <w:rPr>
                <w:rFonts w:ascii="SimSun" w:eastAsia="SimSun" w:hAnsi="SimSun" w:cs="SimSun"/>
                <w:spacing w:val="6"/>
                <w:position w:val="10"/>
                <w:sz w:val="18"/>
                <w:szCs w:val="18"/>
              </w:rPr>
              <w:t>上市</w:t>
            </w:r>
          </w:p>
          <w:p>
            <w:pPr>
              <w:spacing w:line="219" w:lineRule="auto"/>
              <w:ind w:left="116"/>
              <w:rPr>
                <w:rFonts w:ascii="SimSun" w:eastAsia="SimSun" w:hAnsi="SimSun" w:cs="SimSun"/>
                <w:sz w:val="18"/>
                <w:szCs w:val="18"/>
              </w:rPr>
            </w:pPr>
            <w:r>
              <w:rPr>
                <w:rFonts w:ascii="SimSun" w:eastAsia="SimSun" w:hAnsi="SimSun" w:cs="SimSun"/>
                <w:spacing w:val="6"/>
                <w:sz w:val="18"/>
                <w:szCs w:val="18"/>
              </w:rPr>
              <w:t>年份</w:t>
            </w:r>
          </w:p>
        </w:tc>
        <w:tc>
          <w:tcPr>
            <w:tcW w:w="1281" w:type="dxa"/>
            <w:vAlign w:val="top"/>
          </w:tcPr>
          <w:p>
            <w:pPr>
              <w:pStyle w:val="TableText"/>
              <w:spacing w:before="256" w:line="186" w:lineRule="auto"/>
              <w:ind w:left="439"/>
              <w:rPr>
                <w:sz w:val="18"/>
                <w:szCs w:val="18"/>
              </w:rPr>
            </w:pPr>
            <w:r>
              <w:rPr>
                <w:spacing w:val="7"/>
                <w:sz w:val="18"/>
                <w:szCs w:val="18"/>
              </w:rPr>
              <w:t>2009</w:t>
            </w:r>
          </w:p>
        </w:tc>
        <w:tc>
          <w:tcPr>
            <w:tcW w:w="917" w:type="dxa"/>
            <w:vAlign w:val="top"/>
          </w:tcPr>
          <w:p>
            <w:pPr>
              <w:pStyle w:val="TableText"/>
              <w:spacing w:before="256" w:line="186" w:lineRule="auto"/>
              <w:ind w:left="254"/>
              <w:rPr>
                <w:sz w:val="18"/>
                <w:szCs w:val="18"/>
              </w:rPr>
            </w:pPr>
            <w:r>
              <w:rPr>
                <w:spacing w:val="7"/>
                <w:sz w:val="18"/>
                <w:szCs w:val="18"/>
              </w:rPr>
              <w:t>2014</w:t>
            </w:r>
          </w:p>
        </w:tc>
        <w:tc>
          <w:tcPr>
            <w:tcW w:w="1319" w:type="dxa"/>
            <w:vAlign w:val="top"/>
          </w:tcPr>
          <w:p>
            <w:pPr>
              <w:pStyle w:val="TableText"/>
              <w:spacing w:before="256" w:line="186" w:lineRule="auto"/>
              <w:ind w:left="459"/>
              <w:rPr>
                <w:sz w:val="18"/>
                <w:szCs w:val="18"/>
              </w:rPr>
            </w:pPr>
            <w:r>
              <w:rPr>
                <w:spacing w:val="7"/>
                <w:sz w:val="18"/>
                <w:szCs w:val="18"/>
              </w:rPr>
              <w:t>2017</w:t>
            </w:r>
          </w:p>
        </w:tc>
        <w:tc>
          <w:tcPr>
            <w:tcW w:w="1154" w:type="dxa"/>
            <w:vAlign w:val="top"/>
          </w:tcPr>
          <w:p>
            <w:pPr>
              <w:pStyle w:val="TableText"/>
              <w:spacing w:before="256" w:line="186" w:lineRule="auto"/>
              <w:ind w:left="376"/>
              <w:rPr>
                <w:sz w:val="18"/>
                <w:szCs w:val="18"/>
              </w:rPr>
            </w:pPr>
            <w:r>
              <w:rPr>
                <w:spacing w:val="7"/>
                <w:sz w:val="18"/>
                <w:szCs w:val="18"/>
              </w:rPr>
              <w:t>2018</w:t>
            </w:r>
          </w:p>
        </w:tc>
        <w:tc>
          <w:tcPr>
            <w:tcW w:w="1334" w:type="dxa"/>
            <w:vAlign w:val="top"/>
          </w:tcPr>
          <w:p>
            <w:pPr>
              <w:pStyle w:val="TableText"/>
              <w:spacing w:before="256" w:line="186" w:lineRule="auto"/>
              <w:ind w:left="468"/>
              <w:rPr>
                <w:sz w:val="18"/>
                <w:szCs w:val="18"/>
              </w:rPr>
            </w:pPr>
            <w:r>
              <w:rPr>
                <w:spacing w:val="7"/>
                <w:sz w:val="18"/>
                <w:szCs w:val="18"/>
              </w:rPr>
              <w:t>2019</w:t>
            </w:r>
          </w:p>
        </w:tc>
        <w:tc>
          <w:tcPr>
            <w:tcW w:w="1306" w:type="dxa"/>
            <w:vAlign w:val="top"/>
          </w:tcPr>
          <w:p>
            <w:pPr>
              <w:pStyle w:val="TableText"/>
              <w:spacing w:before="256" w:line="186" w:lineRule="auto"/>
              <w:ind w:left="454"/>
              <w:rPr>
                <w:sz w:val="18"/>
                <w:szCs w:val="18"/>
              </w:rPr>
            </w:pPr>
            <w:r>
              <w:rPr>
                <w:spacing w:val="7"/>
                <w:sz w:val="18"/>
                <w:szCs w:val="18"/>
              </w:rPr>
              <w:t>2019</w:t>
            </w:r>
          </w:p>
        </w:tc>
        <w:tc>
          <w:tcPr>
            <w:tcW w:w="1324" w:type="dxa"/>
            <w:vAlign w:val="top"/>
          </w:tcPr>
          <w:p>
            <w:pPr>
              <w:pStyle w:val="TableText"/>
              <w:spacing w:before="256" w:line="186" w:lineRule="auto"/>
              <w:ind w:left="461"/>
              <w:rPr>
                <w:sz w:val="18"/>
                <w:szCs w:val="18"/>
              </w:rPr>
            </w:pPr>
            <w:r>
              <w:rPr>
                <w:spacing w:val="7"/>
                <w:sz w:val="18"/>
                <w:szCs w:val="18"/>
              </w:rPr>
              <w:t>2019</w:t>
            </w:r>
          </w:p>
        </w:tc>
      </w:tr>
    </w:tbl>
    <w:p>
      <w:pPr>
        <w:rPr>
          <w:rFonts w:ascii="Arial"/>
          <w:sz w:val="21"/>
        </w:rPr>
      </w:pPr>
    </w:p>
    <w:p>
      <w:pPr>
        <w:rPr>
          <w:rFonts w:ascii="Arial" w:eastAsia="Arial" w:hAnsi="Arial" w:cs="Arial"/>
          <w:sz w:val="21"/>
          <w:szCs w:val="21"/>
        </w:rPr>
        <w:sectPr>
          <w:footerReference w:type="default" r:id="rId69"/>
          <w:type w:val="nextPage"/>
          <w:pgSz w:w="11907" w:h="16839"/>
          <w:pgMar w:top="1431" w:right="1121" w:bottom="1357" w:left="1120" w:header="0" w:footer="1197" w:gutter="0"/>
          <w:pgNumType w:start="36"/>
          <w:cols w:space="708"/>
          <w:titlePg w:val="0"/>
        </w:sectPr>
      </w:pPr>
    </w:p>
    <w:p>
      <w:pPr>
        <w:spacing w:line="91" w:lineRule="auto"/>
        <w:rPr>
          <w:rFonts w:ascii="Arial"/>
          <w:sz w:val="2"/>
        </w:rPr>
      </w:pPr>
    </w:p>
    <w:tbl>
      <w:tblPr>
        <w:tblStyle w:val="TableNormal13"/>
        <w:tblW w:w="965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6"/>
        <w:gridCol w:w="628"/>
        <w:gridCol w:w="1281"/>
        <w:gridCol w:w="917"/>
        <w:gridCol w:w="1319"/>
        <w:gridCol w:w="1154"/>
        <w:gridCol w:w="1334"/>
        <w:gridCol w:w="1306"/>
        <w:gridCol w:w="1324"/>
      </w:tblGrid>
      <w:tr>
        <w:tblPrEx>
          <w:tblW w:w="965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6"/>
        </w:trPr>
        <w:tc>
          <w:tcPr>
            <w:tcW w:w="396" w:type="dxa"/>
            <w:textDirection w:val="tbRlV"/>
            <w:vAlign w:val="top"/>
          </w:tcPr>
          <w:p>
            <w:pPr>
              <w:spacing w:before="102" w:line="206" w:lineRule="auto"/>
              <w:ind w:left="227"/>
              <w:rPr>
                <w:rFonts w:ascii="SimSun" w:eastAsia="SimSun" w:hAnsi="SimSun" w:cs="SimSun"/>
                <w:sz w:val="18"/>
                <w:szCs w:val="18"/>
              </w:rPr>
            </w:pPr>
            <w:r>
              <w:rPr>
                <w:rFonts w:ascii="SimSun" w:eastAsia="SimSun" w:hAnsi="SimSun" w:cs="SimSun"/>
                <w:b/>
                <w:bCs/>
                <w:spacing w:val="-2"/>
                <w:sz w:val="18"/>
                <w:szCs w:val="18"/>
              </w:rPr>
              <w:t>项</w:t>
            </w:r>
            <w:r>
              <w:rPr>
                <w:rFonts w:ascii="SimSun" w:eastAsia="SimSun" w:hAnsi="SimSun" w:cs="SimSun"/>
                <w:spacing w:val="41"/>
                <w:w w:val="101"/>
                <w:sz w:val="18"/>
                <w:szCs w:val="18"/>
              </w:rPr>
              <w:t xml:space="preserve"> </w:t>
            </w:r>
            <w:r>
              <w:rPr>
                <w:rFonts w:ascii="SimSun" w:eastAsia="SimSun" w:hAnsi="SimSun" w:cs="SimSun"/>
                <w:b/>
                <w:bCs/>
                <w:spacing w:val="-2"/>
                <w:sz w:val="18"/>
                <w:szCs w:val="18"/>
              </w:rPr>
              <w:t>目</w:t>
            </w:r>
          </w:p>
        </w:tc>
        <w:tc>
          <w:tcPr>
            <w:tcW w:w="628" w:type="dxa"/>
            <w:vAlign w:val="top"/>
          </w:tcPr>
          <w:p>
            <w:pPr>
              <w:spacing w:before="227" w:line="312" w:lineRule="exact"/>
              <w:ind w:left="112"/>
              <w:rPr>
                <w:rFonts w:ascii="SimSun" w:eastAsia="SimSun" w:hAnsi="SimSun" w:cs="SimSun"/>
                <w:sz w:val="18"/>
                <w:szCs w:val="18"/>
              </w:rPr>
            </w:pPr>
            <w:r>
              <w:rPr>
                <w:rFonts w:ascii="SimSun" w:eastAsia="SimSun" w:hAnsi="SimSun" w:cs="SimSun"/>
                <w:b/>
                <w:bCs/>
                <w:spacing w:val="6"/>
                <w:position w:val="9"/>
                <w:sz w:val="18"/>
                <w:szCs w:val="18"/>
              </w:rPr>
              <w:t>产品</w:t>
            </w:r>
          </w:p>
          <w:p>
            <w:pPr>
              <w:spacing w:line="220" w:lineRule="auto"/>
              <w:ind w:left="118"/>
              <w:rPr>
                <w:rFonts w:ascii="SimSun" w:eastAsia="SimSun" w:hAnsi="SimSun" w:cs="SimSun"/>
                <w:sz w:val="18"/>
                <w:szCs w:val="18"/>
              </w:rPr>
            </w:pPr>
            <w:r>
              <w:rPr>
                <w:rFonts w:ascii="SimSun" w:eastAsia="SimSun" w:hAnsi="SimSun" w:cs="SimSun"/>
                <w:b/>
                <w:bCs/>
                <w:spacing w:val="3"/>
                <w:sz w:val="18"/>
                <w:szCs w:val="18"/>
              </w:rPr>
              <w:t>型号</w:t>
            </w:r>
          </w:p>
        </w:tc>
        <w:tc>
          <w:tcPr>
            <w:tcW w:w="1281" w:type="dxa"/>
            <w:vAlign w:val="top"/>
          </w:tcPr>
          <w:p>
            <w:pPr>
              <w:spacing w:before="70" w:line="219" w:lineRule="auto"/>
              <w:ind w:left="339"/>
              <w:rPr>
                <w:rFonts w:ascii="SimSun" w:eastAsia="SimSun" w:hAnsi="SimSun" w:cs="SimSun"/>
                <w:sz w:val="18"/>
                <w:szCs w:val="18"/>
              </w:rPr>
            </w:pPr>
            <w:r>
              <w:rPr>
                <w:rFonts w:ascii="SimSun" w:eastAsia="SimSun" w:hAnsi="SimSun" w:cs="SimSun"/>
                <w:b/>
                <w:bCs/>
                <w:spacing w:val="14"/>
                <w:sz w:val="18"/>
                <w:szCs w:val="18"/>
              </w:rPr>
              <w:t>赛默飞</w:t>
            </w:r>
          </w:p>
          <w:p>
            <w:pPr>
              <w:pStyle w:val="TableText"/>
              <w:spacing w:before="131" w:line="186" w:lineRule="auto"/>
              <w:ind w:left="147"/>
              <w:rPr>
                <w:sz w:val="18"/>
                <w:szCs w:val="18"/>
              </w:rPr>
            </w:pPr>
            <w:r>
              <w:rPr>
                <w:b/>
                <w:bCs/>
                <w:spacing w:val="8"/>
                <w:sz w:val="18"/>
                <w:szCs w:val="18"/>
              </w:rPr>
              <w:t>Niton</w:t>
            </w:r>
            <w:r>
              <w:rPr>
                <w:b/>
                <w:bCs/>
                <w:spacing w:val="22"/>
                <w:sz w:val="18"/>
                <w:szCs w:val="18"/>
              </w:rPr>
              <w:t xml:space="preserve"> </w:t>
            </w:r>
            <w:r>
              <w:rPr>
                <w:b/>
                <w:bCs/>
                <w:spacing w:val="8"/>
                <w:sz w:val="18"/>
                <w:szCs w:val="18"/>
              </w:rPr>
              <w:t>XL3t</w:t>
            </w:r>
          </w:p>
          <w:p>
            <w:pPr>
              <w:pStyle w:val="TableText"/>
              <w:spacing w:before="151" w:line="186" w:lineRule="auto"/>
              <w:ind w:left="491"/>
              <w:rPr>
                <w:sz w:val="18"/>
                <w:szCs w:val="18"/>
              </w:rPr>
            </w:pPr>
            <w:r>
              <w:rPr>
                <w:b/>
                <w:bCs/>
                <w:spacing w:val="5"/>
                <w:sz w:val="18"/>
                <w:szCs w:val="18"/>
              </w:rPr>
              <w:t>960</w:t>
            </w:r>
          </w:p>
        </w:tc>
        <w:tc>
          <w:tcPr>
            <w:tcW w:w="917" w:type="dxa"/>
            <w:vAlign w:val="top"/>
          </w:tcPr>
          <w:p>
            <w:pPr>
              <w:pStyle w:val="TableText"/>
              <w:spacing w:before="72" w:line="316" w:lineRule="auto"/>
              <w:ind w:left="115" w:right="125" w:firstLine="146"/>
              <w:rPr>
                <w:sz w:val="18"/>
                <w:szCs w:val="18"/>
              </w:rPr>
            </w:pPr>
            <w:r>
              <w:rPr>
                <w:rFonts w:ascii="SimSun" w:eastAsia="SimSun" w:hAnsi="SimSun" w:cs="SimSun"/>
                <w:b/>
                <w:bCs/>
                <w:spacing w:val="4"/>
                <w:sz w:val="18"/>
                <w:szCs w:val="18"/>
              </w:rPr>
              <w:t>天瑞</w:t>
            </w:r>
            <w:r>
              <w:rPr>
                <w:rFonts w:ascii="SimSun" w:eastAsia="SimSun" w:hAnsi="SimSun" w:cs="SimSun"/>
                <w:sz w:val="18"/>
                <w:szCs w:val="18"/>
              </w:rPr>
              <w:t xml:space="preserve">  </w:t>
            </w:r>
            <w:r>
              <w:rPr>
                <w:b/>
                <w:bCs/>
                <w:spacing w:val="8"/>
                <w:sz w:val="18"/>
                <w:szCs w:val="18"/>
              </w:rPr>
              <w:t>Explore</w:t>
            </w:r>
            <w:r>
              <w:rPr>
                <w:b/>
                <w:bCs/>
                <w:spacing w:val="3"/>
                <w:sz w:val="18"/>
                <w:szCs w:val="18"/>
              </w:rPr>
              <w:t xml:space="preserve"> </w:t>
            </w:r>
            <w:r>
              <w:rPr>
                <w:b/>
                <w:bCs/>
                <w:spacing w:val="18"/>
                <w:sz w:val="18"/>
                <w:szCs w:val="18"/>
              </w:rPr>
              <w:t>r</w:t>
            </w:r>
            <w:r>
              <w:rPr>
                <w:b/>
                <w:bCs/>
                <w:spacing w:val="25"/>
                <w:sz w:val="18"/>
                <w:szCs w:val="18"/>
              </w:rPr>
              <w:t xml:space="preserve"> </w:t>
            </w:r>
            <w:r>
              <w:rPr>
                <w:b/>
                <w:bCs/>
                <w:spacing w:val="18"/>
                <w:sz w:val="18"/>
                <w:szCs w:val="18"/>
              </w:rPr>
              <w:t>9000</w:t>
            </w:r>
          </w:p>
        </w:tc>
        <w:tc>
          <w:tcPr>
            <w:tcW w:w="1319" w:type="dxa"/>
            <w:vAlign w:val="top"/>
          </w:tcPr>
          <w:p>
            <w:pPr>
              <w:spacing w:before="227" w:line="344" w:lineRule="exact"/>
              <w:ind w:left="264"/>
              <w:rPr>
                <w:rFonts w:ascii="SimSun" w:eastAsia="SimSun" w:hAnsi="SimSun" w:cs="SimSun"/>
                <w:sz w:val="18"/>
                <w:szCs w:val="18"/>
              </w:rPr>
            </w:pPr>
            <w:r>
              <w:rPr>
                <w:rFonts w:ascii="SimSun" w:eastAsia="SimSun" w:hAnsi="SimSun" w:cs="SimSun"/>
                <w:b/>
                <w:bCs/>
                <w:spacing w:val="14"/>
                <w:position w:val="12"/>
                <w:sz w:val="18"/>
                <w:szCs w:val="18"/>
              </w:rPr>
              <w:t>奥林巴斯</w:t>
            </w:r>
          </w:p>
          <w:p>
            <w:pPr>
              <w:pStyle w:val="TableText"/>
              <w:spacing w:line="186" w:lineRule="auto"/>
              <w:ind w:left="166"/>
              <w:rPr>
                <w:sz w:val="18"/>
                <w:szCs w:val="18"/>
              </w:rPr>
            </w:pPr>
            <w:r>
              <w:rPr>
                <w:b/>
                <w:bCs/>
                <w:spacing w:val="5"/>
                <w:sz w:val="18"/>
                <w:szCs w:val="18"/>
              </w:rPr>
              <w:t>Vanta</w:t>
            </w:r>
            <w:r>
              <w:rPr>
                <w:b/>
                <w:bCs/>
                <w:spacing w:val="24"/>
                <w:w w:val="101"/>
                <w:sz w:val="18"/>
                <w:szCs w:val="18"/>
              </w:rPr>
              <w:t xml:space="preserve"> </w:t>
            </w:r>
            <w:r>
              <w:rPr>
                <w:b/>
                <w:bCs/>
                <w:spacing w:val="5"/>
                <w:sz w:val="18"/>
                <w:szCs w:val="18"/>
              </w:rPr>
              <w:t>VCA</w:t>
            </w:r>
          </w:p>
        </w:tc>
        <w:tc>
          <w:tcPr>
            <w:tcW w:w="1154" w:type="dxa"/>
            <w:vAlign w:val="top"/>
          </w:tcPr>
          <w:p>
            <w:pPr>
              <w:spacing w:before="226" w:line="219" w:lineRule="auto"/>
              <w:ind w:left="277"/>
              <w:rPr>
                <w:rFonts w:ascii="SimSun" w:eastAsia="SimSun" w:hAnsi="SimSun" w:cs="SimSun"/>
                <w:sz w:val="18"/>
                <w:szCs w:val="18"/>
              </w:rPr>
            </w:pPr>
            <w:r>
              <w:rPr>
                <w:rFonts w:ascii="SimSun" w:eastAsia="SimSun" w:hAnsi="SimSun" w:cs="SimSun"/>
                <w:b/>
                <w:bCs/>
                <w:spacing w:val="14"/>
                <w:sz w:val="18"/>
                <w:szCs w:val="18"/>
              </w:rPr>
              <w:t>赛默飞</w:t>
            </w:r>
          </w:p>
          <w:p>
            <w:pPr>
              <w:pStyle w:val="TableText"/>
              <w:spacing w:before="131" w:line="186" w:lineRule="auto"/>
              <w:ind w:left="120"/>
              <w:rPr>
                <w:sz w:val="18"/>
                <w:szCs w:val="18"/>
              </w:rPr>
            </w:pPr>
            <w:r>
              <w:rPr>
                <w:b/>
                <w:bCs/>
                <w:spacing w:val="7"/>
                <w:sz w:val="18"/>
                <w:szCs w:val="18"/>
              </w:rPr>
              <w:t>Niton</w:t>
            </w:r>
            <w:r>
              <w:rPr>
                <w:b/>
                <w:bCs/>
                <w:spacing w:val="27"/>
                <w:w w:val="101"/>
                <w:sz w:val="18"/>
                <w:szCs w:val="18"/>
              </w:rPr>
              <w:t xml:space="preserve"> </w:t>
            </w:r>
            <w:r>
              <w:rPr>
                <w:b/>
                <w:bCs/>
                <w:spacing w:val="7"/>
                <w:sz w:val="18"/>
                <w:szCs w:val="18"/>
              </w:rPr>
              <w:t>XL5</w:t>
            </w:r>
          </w:p>
        </w:tc>
        <w:tc>
          <w:tcPr>
            <w:tcW w:w="1334" w:type="dxa"/>
            <w:vAlign w:val="top"/>
          </w:tcPr>
          <w:p>
            <w:pPr>
              <w:spacing w:before="70" w:line="219" w:lineRule="auto"/>
              <w:ind w:left="268"/>
              <w:rPr>
                <w:rFonts w:ascii="SimSun" w:eastAsia="SimSun" w:hAnsi="SimSun" w:cs="SimSun"/>
                <w:sz w:val="18"/>
                <w:szCs w:val="18"/>
              </w:rPr>
            </w:pPr>
            <w:r>
              <w:rPr>
                <w:rFonts w:ascii="SimSun" w:eastAsia="SimSun" w:hAnsi="SimSun" w:cs="SimSun"/>
                <w:b/>
                <w:bCs/>
                <w:spacing w:val="14"/>
                <w:sz w:val="18"/>
                <w:szCs w:val="18"/>
              </w:rPr>
              <w:t>安科慧生</w:t>
            </w:r>
          </w:p>
          <w:p>
            <w:pPr>
              <w:pStyle w:val="TableText"/>
              <w:spacing w:before="131" w:line="186" w:lineRule="auto"/>
              <w:ind w:left="257"/>
              <w:rPr>
                <w:sz w:val="18"/>
                <w:szCs w:val="18"/>
              </w:rPr>
            </w:pPr>
            <w:r>
              <w:rPr>
                <w:b/>
                <w:bCs/>
                <w:spacing w:val="8"/>
                <w:sz w:val="18"/>
                <w:szCs w:val="18"/>
              </w:rPr>
              <w:t>PHECDA</w:t>
            </w:r>
          </w:p>
          <w:p>
            <w:pPr>
              <w:pStyle w:val="TableText"/>
              <w:spacing w:before="151" w:line="186" w:lineRule="auto"/>
              <w:ind w:left="185"/>
              <w:rPr>
                <w:sz w:val="18"/>
                <w:szCs w:val="18"/>
              </w:rPr>
            </w:pPr>
            <w:r>
              <w:rPr>
                <w:b/>
                <w:bCs/>
                <w:spacing w:val="9"/>
                <w:sz w:val="18"/>
                <w:szCs w:val="18"/>
              </w:rPr>
              <w:t>-ECO/PRO</w:t>
            </w:r>
          </w:p>
        </w:tc>
        <w:tc>
          <w:tcPr>
            <w:tcW w:w="1306" w:type="dxa"/>
            <w:vAlign w:val="top"/>
          </w:tcPr>
          <w:p>
            <w:pPr>
              <w:pStyle w:val="TableText"/>
              <w:spacing w:before="227" w:line="266" w:lineRule="auto"/>
              <w:ind w:left="152" w:right="154" w:firstLine="5"/>
              <w:rPr>
                <w:sz w:val="18"/>
                <w:szCs w:val="18"/>
              </w:rPr>
            </w:pPr>
            <w:r>
              <w:rPr>
                <w:rFonts w:ascii="SimSun" w:eastAsia="SimSun" w:hAnsi="SimSun" w:cs="SimSun"/>
                <w:b/>
                <w:bCs/>
                <w:spacing w:val="13"/>
                <w:sz w:val="18"/>
                <w:szCs w:val="18"/>
              </w:rPr>
              <w:t>马尔文帕纳</w:t>
            </w:r>
            <w:r>
              <w:rPr>
                <w:rFonts w:ascii="SimSun" w:eastAsia="SimSun" w:hAnsi="SimSun" w:cs="SimSun"/>
                <w:spacing w:val="2"/>
                <w:sz w:val="18"/>
                <w:szCs w:val="18"/>
              </w:rPr>
              <w:t xml:space="preserve"> </w:t>
            </w:r>
            <w:r>
              <w:rPr>
                <w:rFonts w:ascii="SimSun" w:eastAsia="SimSun" w:hAnsi="SimSun" w:cs="SimSun"/>
                <w:b/>
                <w:bCs/>
                <w:spacing w:val="31"/>
                <w:sz w:val="18"/>
                <w:szCs w:val="18"/>
              </w:rPr>
              <w:t>科</w:t>
            </w:r>
            <w:r>
              <w:rPr>
                <w:rFonts w:ascii="SimSun" w:eastAsia="SimSun" w:hAnsi="SimSun" w:cs="SimSun"/>
                <w:spacing w:val="-12"/>
                <w:sz w:val="18"/>
                <w:szCs w:val="18"/>
              </w:rPr>
              <w:t xml:space="preserve"> </w:t>
            </w:r>
            <w:r>
              <w:rPr>
                <w:b/>
                <w:bCs/>
                <w:sz w:val="18"/>
                <w:szCs w:val="18"/>
              </w:rPr>
              <w:t>Epsilon</w:t>
            </w:r>
            <w:r>
              <w:rPr>
                <w:b/>
                <w:bCs/>
                <w:spacing w:val="31"/>
                <w:sz w:val="18"/>
                <w:szCs w:val="18"/>
              </w:rPr>
              <w:t>1</w:t>
            </w:r>
          </w:p>
        </w:tc>
        <w:tc>
          <w:tcPr>
            <w:tcW w:w="1324" w:type="dxa"/>
            <w:vAlign w:val="top"/>
          </w:tcPr>
          <w:p>
            <w:pPr>
              <w:spacing w:before="227" w:line="344" w:lineRule="exact"/>
              <w:ind w:left="262"/>
              <w:rPr>
                <w:rFonts w:ascii="SimSun" w:eastAsia="SimSun" w:hAnsi="SimSun" w:cs="SimSun"/>
                <w:sz w:val="18"/>
                <w:szCs w:val="18"/>
              </w:rPr>
            </w:pPr>
            <w:r>
              <w:rPr>
                <w:rFonts w:ascii="SimSun" w:eastAsia="SimSun" w:hAnsi="SimSun" w:cs="SimSun"/>
                <w:b/>
                <w:bCs/>
                <w:spacing w:val="14"/>
                <w:position w:val="12"/>
                <w:sz w:val="18"/>
                <w:szCs w:val="18"/>
              </w:rPr>
              <w:t>苏州佳谱</w:t>
            </w:r>
          </w:p>
          <w:p>
            <w:pPr>
              <w:pStyle w:val="TableText"/>
              <w:spacing w:line="230" w:lineRule="auto"/>
              <w:ind w:left="379"/>
              <w:rPr>
                <w:sz w:val="18"/>
                <w:szCs w:val="18"/>
              </w:rPr>
            </w:pPr>
            <w:r>
              <w:rPr>
                <w:b/>
                <w:bCs/>
                <w:spacing w:val="18"/>
                <w:sz w:val="18"/>
                <w:szCs w:val="18"/>
              </w:rPr>
              <w:t>E-</w:t>
            </w:r>
            <w:r>
              <w:rPr>
                <w:b/>
                <w:bCs/>
                <w:sz w:val="18"/>
                <w:szCs w:val="18"/>
              </w:rPr>
              <w:t>max</w:t>
            </w:r>
          </w:p>
        </w:tc>
      </w:tr>
      <w:tr>
        <w:tblPrEx>
          <w:tblW w:w="9659" w:type="dxa"/>
          <w:tblInd w:w="2" w:type="dxa"/>
          <w:tblLayout w:type="fixed"/>
        </w:tblPrEx>
        <w:trPr>
          <w:trHeight w:val="628"/>
        </w:trPr>
        <w:tc>
          <w:tcPr>
            <w:tcW w:w="396" w:type="dxa"/>
            <w:vMerge w:val="restart"/>
            <w:tcBorders>
              <w:bottom w:val="nil"/>
            </w:tcBorders>
            <w:textDirection w:val="tbRlV"/>
            <w:vAlign w:val="top"/>
          </w:tcPr>
          <w:p>
            <w:pPr>
              <w:spacing w:before="102" w:line="209" w:lineRule="auto"/>
              <w:ind w:left="65"/>
              <w:rPr>
                <w:rFonts w:ascii="SimSun" w:eastAsia="SimSun" w:hAnsi="SimSun" w:cs="SimSun"/>
                <w:sz w:val="18"/>
                <w:szCs w:val="18"/>
              </w:rPr>
            </w:pPr>
            <w:r>
              <w:rPr>
                <w:rFonts w:ascii="SimSun" w:eastAsia="SimSun" w:hAnsi="SimSun" w:cs="SimSun"/>
                <w:b/>
                <w:bCs/>
                <w:spacing w:val="-2"/>
                <w:sz w:val="18"/>
                <w:szCs w:val="18"/>
              </w:rPr>
              <w:t>及</w:t>
            </w:r>
            <w:r>
              <w:rPr>
                <w:rFonts w:ascii="SimSun" w:eastAsia="SimSun" w:hAnsi="SimSun" w:cs="SimSun"/>
                <w:spacing w:val="41"/>
                <w:w w:val="101"/>
                <w:sz w:val="18"/>
                <w:szCs w:val="18"/>
              </w:rPr>
              <w:t xml:space="preserve"> </w:t>
            </w:r>
            <w:r>
              <w:rPr>
                <w:rFonts w:ascii="SimSun" w:eastAsia="SimSun" w:hAnsi="SimSun" w:cs="SimSun"/>
                <w:b/>
                <w:bCs/>
                <w:spacing w:val="-2"/>
                <w:sz w:val="18"/>
                <w:szCs w:val="18"/>
              </w:rPr>
              <w:t>制</w:t>
            </w:r>
            <w:r>
              <w:rPr>
                <w:rFonts w:ascii="SimSun" w:eastAsia="SimSun" w:hAnsi="SimSun" w:cs="SimSun"/>
                <w:spacing w:val="41"/>
                <w:w w:val="101"/>
                <w:sz w:val="18"/>
                <w:szCs w:val="18"/>
              </w:rPr>
              <w:t xml:space="preserve"> </w:t>
            </w:r>
            <w:r>
              <w:rPr>
                <w:rFonts w:ascii="SimSun" w:eastAsia="SimSun" w:hAnsi="SimSun" w:cs="SimSun"/>
                <w:b/>
                <w:bCs/>
                <w:spacing w:val="-2"/>
                <w:sz w:val="18"/>
                <w:szCs w:val="18"/>
              </w:rPr>
              <w:t>造</w:t>
            </w:r>
            <w:r>
              <w:rPr>
                <w:rFonts w:ascii="SimSun" w:eastAsia="SimSun" w:hAnsi="SimSun" w:cs="SimSun"/>
                <w:spacing w:val="42"/>
                <w:sz w:val="18"/>
                <w:szCs w:val="18"/>
              </w:rPr>
              <w:t xml:space="preserve"> </w:t>
            </w:r>
            <w:r>
              <w:rPr>
                <w:rFonts w:ascii="SimSun" w:eastAsia="SimSun" w:hAnsi="SimSun" w:cs="SimSun"/>
                <w:b/>
                <w:bCs/>
                <w:spacing w:val="-2"/>
                <w:sz w:val="18"/>
                <w:szCs w:val="18"/>
              </w:rPr>
              <w:t>商</w:t>
            </w:r>
          </w:p>
        </w:tc>
        <w:tc>
          <w:tcPr>
            <w:tcW w:w="628" w:type="dxa"/>
            <w:vAlign w:val="top"/>
          </w:tcPr>
          <w:p>
            <w:pPr>
              <w:spacing w:before="65" w:line="312" w:lineRule="exact"/>
              <w:ind w:left="130"/>
              <w:rPr>
                <w:rFonts w:ascii="SimSun" w:eastAsia="SimSun" w:hAnsi="SimSun" w:cs="SimSun"/>
                <w:sz w:val="18"/>
                <w:szCs w:val="18"/>
              </w:rPr>
            </w:pPr>
            <w:r>
              <w:rPr>
                <w:rFonts w:ascii="SimSun" w:eastAsia="SimSun" w:hAnsi="SimSun" w:cs="SimSun"/>
                <w:spacing w:val="-1"/>
                <w:position w:val="9"/>
                <w:sz w:val="18"/>
                <w:szCs w:val="18"/>
              </w:rPr>
              <w:t>国内</w:t>
            </w:r>
          </w:p>
          <w:p>
            <w:pPr>
              <w:spacing w:line="220" w:lineRule="auto"/>
              <w:ind w:left="116"/>
              <w:rPr>
                <w:rFonts w:ascii="SimSun" w:eastAsia="SimSun" w:hAnsi="SimSun" w:cs="SimSun"/>
                <w:sz w:val="18"/>
                <w:szCs w:val="18"/>
              </w:rPr>
            </w:pPr>
            <w:r>
              <w:rPr>
                <w:rFonts w:ascii="SimSun" w:eastAsia="SimSun" w:hAnsi="SimSun" w:cs="SimSun"/>
                <w:spacing w:val="6"/>
                <w:sz w:val="18"/>
                <w:szCs w:val="18"/>
              </w:rPr>
              <w:t>销量</w:t>
            </w:r>
          </w:p>
        </w:tc>
        <w:tc>
          <w:tcPr>
            <w:tcW w:w="1281" w:type="dxa"/>
            <w:vAlign w:val="top"/>
          </w:tcPr>
          <w:p>
            <w:pPr>
              <w:pStyle w:val="TableText"/>
              <w:spacing w:before="252" w:line="186" w:lineRule="auto"/>
              <w:ind w:left="489"/>
              <w:rPr>
                <w:sz w:val="18"/>
                <w:szCs w:val="18"/>
              </w:rPr>
            </w:pPr>
            <w:r>
              <w:rPr>
                <w:spacing w:val="5"/>
                <w:sz w:val="18"/>
                <w:szCs w:val="18"/>
              </w:rPr>
              <w:t>200</w:t>
            </w:r>
          </w:p>
        </w:tc>
        <w:tc>
          <w:tcPr>
            <w:tcW w:w="917" w:type="dxa"/>
            <w:vAlign w:val="top"/>
          </w:tcPr>
          <w:p>
            <w:pPr>
              <w:pStyle w:val="TableText"/>
              <w:spacing w:before="252" w:line="186" w:lineRule="auto"/>
              <w:ind w:left="305"/>
              <w:rPr>
                <w:sz w:val="18"/>
                <w:szCs w:val="18"/>
              </w:rPr>
            </w:pPr>
            <w:r>
              <w:rPr>
                <w:spacing w:val="5"/>
                <w:sz w:val="18"/>
                <w:szCs w:val="18"/>
              </w:rPr>
              <w:t>200</w:t>
            </w:r>
          </w:p>
        </w:tc>
        <w:tc>
          <w:tcPr>
            <w:tcW w:w="1319" w:type="dxa"/>
            <w:vAlign w:val="top"/>
          </w:tcPr>
          <w:p>
            <w:pPr>
              <w:pStyle w:val="TableText"/>
              <w:spacing w:before="252" w:line="186" w:lineRule="auto"/>
              <w:ind w:left="527"/>
              <w:rPr>
                <w:sz w:val="18"/>
                <w:szCs w:val="18"/>
              </w:rPr>
            </w:pPr>
            <w:r>
              <w:rPr>
                <w:sz w:val="18"/>
                <w:szCs w:val="18"/>
              </w:rPr>
              <w:t>150</w:t>
            </w:r>
          </w:p>
        </w:tc>
        <w:tc>
          <w:tcPr>
            <w:tcW w:w="1154" w:type="dxa"/>
            <w:vAlign w:val="top"/>
          </w:tcPr>
          <w:p>
            <w:pPr>
              <w:pStyle w:val="TableText"/>
              <w:spacing w:before="252" w:line="186" w:lineRule="auto"/>
              <w:ind w:left="482"/>
              <w:rPr>
                <w:sz w:val="18"/>
                <w:szCs w:val="18"/>
              </w:rPr>
            </w:pPr>
            <w:r>
              <w:rPr>
                <w:spacing w:val="1"/>
                <w:sz w:val="18"/>
                <w:szCs w:val="18"/>
              </w:rPr>
              <w:t>50</w:t>
            </w:r>
          </w:p>
        </w:tc>
        <w:tc>
          <w:tcPr>
            <w:tcW w:w="1334" w:type="dxa"/>
            <w:vAlign w:val="top"/>
          </w:tcPr>
          <w:p>
            <w:pPr>
              <w:pStyle w:val="TableText"/>
              <w:spacing w:before="252" w:line="186" w:lineRule="auto"/>
              <w:ind w:left="435"/>
              <w:rPr>
                <w:sz w:val="18"/>
                <w:szCs w:val="18"/>
              </w:rPr>
            </w:pPr>
            <w:r>
              <w:rPr>
                <w:spacing w:val="-1"/>
                <w:sz w:val="18"/>
                <w:szCs w:val="18"/>
              </w:rPr>
              <w:t>30</w:t>
            </w:r>
            <w:r>
              <w:rPr>
                <w:spacing w:val="-23"/>
                <w:sz w:val="18"/>
                <w:szCs w:val="18"/>
              </w:rPr>
              <w:t xml:space="preserve"> </w:t>
            </w:r>
            <w:r>
              <w:rPr>
                <w:spacing w:val="-1"/>
                <w:sz w:val="18"/>
                <w:szCs w:val="18"/>
              </w:rPr>
              <w:t>-</w:t>
            </w:r>
            <w:r>
              <w:rPr>
                <w:spacing w:val="-26"/>
                <w:sz w:val="18"/>
                <w:szCs w:val="18"/>
              </w:rPr>
              <w:t xml:space="preserve"> </w:t>
            </w:r>
            <w:r>
              <w:rPr>
                <w:spacing w:val="-1"/>
                <w:sz w:val="18"/>
                <w:szCs w:val="18"/>
              </w:rPr>
              <w:t>50</w:t>
            </w:r>
          </w:p>
        </w:tc>
        <w:tc>
          <w:tcPr>
            <w:tcW w:w="1306" w:type="dxa"/>
            <w:vAlign w:val="top"/>
          </w:tcPr>
          <w:p>
            <w:pPr>
              <w:pStyle w:val="TableText"/>
              <w:spacing w:before="252" w:line="186" w:lineRule="auto"/>
              <w:ind w:left="560"/>
              <w:rPr>
                <w:sz w:val="18"/>
                <w:szCs w:val="18"/>
              </w:rPr>
            </w:pPr>
            <w:r>
              <w:rPr>
                <w:spacing w:val="1"/>
                <w:sz w:val="18"/>
                <w:szCs w:val="18"/>
              </w:rPr>
              <w:t>50</w:t>
            </w:r>
          </w:p>
        </w:tc>
        <w:tc>
          <w:tcPr>
            <w:tcW w:w="1324" w:type="dxa"/>
            <w:vAlign w:val="top"/>
          </w:tcPr>
          <w:p>
            <w:pPr>
              <w:pStyle w:val="TableText"/>
              <w:spacing w:before="252" w:line="186" w:lineRule="auto"/>
              <w:ind w:left="567"/>
              <w:rPr>
                <w:sz w:val="18"/>
                <w:szCs w:val="18"/>
              </w:rPr>
            </w:pPr>
            <w:r>
              <w:rPr>
                <w:spacing w:val="1"/>
                <w:sz w:val="18"/>
                <w:szCs w:val="18"/>
              </w:rPr>
              <w:t>50</w:t>
            </w:r>
          </w:p>
        </w:tc>
      </w:tr>
      <w:tr>
        <w:tblPrEx>
          <w:tblW w:w="9659" w:type="dxa"/>
          <w:tblInd w:w="2" w:type="dxa"/>
          <w:tblLayout w:type="fixed"/>
        </w:tblPrEx>
        <w:trPr>
          <w:trHeight w:val="1252"/>
        </w:trPr>
        <w:tc>
          <w:tcPr>
            <w:tcW w:w="396" w:type="dxa"/>
            <w:vMerge/>
            <w:tcBorders>
              <w:top w:val="nil"/>
              <w:bottom w:val="nil"/>
            </w:tcBorders>
            <w:textDirection w:val="tbRlV"/>
            <w:vAlign w:val="top"/>
          </w:tcPr>
          <w:p>
            <w:pPr>
              <w:rPr>
                <w:rFonts w:ascii="Arial"/>
                <w:sz w:val="21"/>
              </w:rPr>
            </w:pPr>
          </w:p>
        </w:tc>
        <w:tc>
          <w:tcPr>
            <w:tcW w:w="628" w:type="dxa"/>
            <w:vAlign w:val="top"/>
          </w:tcPr>
          <w:p>
            <w:pPr>
              <w:spacing w:before="66" w:line="312" w:lineRule="exact"/>
              <w:ind w:left="117"/>
              <w:rPr>
                <w:rFonts w:ascii="SimSun" w:eastAsia="SimSun" w:hAnsi="SimSun" w:cs="SimSun"/>
                <w:sz w:val="18"/>
                <w:szCs w:val="18"/>
              </w:rPr>
            </w:pPr>
            <w:r>
              <w:rPr>
                <w:rFonts w:ascii="SimSun" w:eastAsia="SimSun" w:hAnsi="SimSun" w:cs="SimSun"/>
                <w:spacing w:val="4"/>
                <w:position w:val="10"/>
                <w:sz w:val="18"/>
                <w:szCs w:val="18"/>
              </w:rPr>
              <w:t>市场</w:t>
            </w:r>
          </w:p>
          <w:p>
            <w:pPr>
              <w:spacing w:line="218" w:lineRule="auto"/>
              <w:ind w:left="115"/>
              <w:rPr>
                <w:rFonts w:ascii="SimSun" w:eastAsia="SimSun" w:hAnsi="SimSun" w:cs="SimSun"/>
                <w:sz w:val="18"/>
                <w:szCs w:val="18"/>
              </w:rPr>
            </w:pPr>
            <w:r>
              <w:rPr>
                <w:rFonts w:ascii="SimSun" w:eastAsia="SimSun" w:hAnsi="SimSun" w:cs="SimSun"/>
                <w:spacing w:val="7"/>
                <w:sz w:val="18"/>
                <w:szCs w:val="18"/>
              </w:rPr>
              <w:t>售价</w:t>
            </w:r>
          </w:p>
          <w:p>
            <w:pPr>
              <w:spacing w:before="99" w:line="220" w:lineRule="auto"/>
              <w:ind w:left="120"/>
              <w:rPr>
                <w:rFonts w:ascii="SimSun" w:eastAsia="SimSun" w:hAnsi="SimSun" w:cs="SimSun"/>
                <w:sz w:val="18"/>
                <w:szCs w:val="18"/>
              </w:rPr>
            </w:pPr>
            <w:r>
              <w:rPr>
                <w:rFonts w:ascii="SimSun" w:eastAsia="SimSun" w:hAnsi="SimSun" w:cs="SimSun"/>
                <w:sz w:val="18"/>
                <w:szCs w:val="18"/>
              </w:rPr>
              <w:t>（元</w:t>
            </w:r>
          </w:p>
          <w:p>
            <w:pPr>
              <w:spacing w:before="97" w:line="222" w:lineRule="auto"/>
              <w:ind w:left="235"/>
              <w:rPr>
                <w:rFonts w:ascii="SimSun" w:eastAsia="SimSun" w:hAnsi="SimSun" w:cs="SimSun"/>
                <w:sz w:val="18"/>
                <w:szCs w:val="18"/>
              </w:rPr>
            </w:pPr>
            <w:r>
              <w:rPr>
                <w:rFonts w:ascii="SimSun" w:eastAsia="SimSun" w:hAnsi="SimSun" w:cs="SimSun"/>
                <w:sz w:val="18"/>
                <w:szCs w:val="18"/>
              </w:rPr>
              <w:t>)</w:t>
            </w:r>
          </w:p>
        </w:tc>
        <w:tc>
          <w:tcPr>
            <w:tcW w:w="1281" w:type="dxa"/>
            <w:vAlign w:val="top"/>
          </w:tcPr>
          <w:p>
            <w:pPr>
              <w:spacing w:line="473" w:lineRule="auto"/>
              <w:rPr>
                <w:rFonts w:ascii="Arial"/>
                <w:sz w:val="21"/>
              </w:rPr>
            </w:pPr>
          </w:p>
          <w:p>
            <w:pPr>
              <w:pStyle w:val="TableText"/>
              <w:spacing w:before="58" w:line="220" w:lineRule="auto"/>
              <w:ind w:left="281"/>
              <w:rPr>
                <w:rFonts w:ascii="SimSun" w:eastAsia="SimSun" w:hAnsi="SimSun" w:cs="SimSun"/>
                <w:sz w:val="18"/>
                <w:szCs w:val="18"/>
              </w:rPr>
            </w:pPr>
            <w:r>
              <w:rPr>
                <w:spacing w:val="-1"/>
                <w:sz w:val="18"/>
                <w:szCs w:val="18"/>
              </w:rPr>
              <w:t>35</w:t>
            </w:r>
            <w:r>
              <w:rPr>
                <w:spacing w:val="-22"/>
                <w:sz w:val="18"/>
                <w:szCs w:val="18"/>
              </w:rPr>
              <w:t xml:space="preserve"> </w:t>
            </w:r>
            <w:r>
              <w:rPr>
                <w:spacing w:val="-1"/>
                <w:sz w:val="18"/>
                <w:szCs w:val="18"/>
              </w:rPr>
              <w:t>-</w:t>
            </w:r>
            <w:r>
              <w:rPr>
                <w:spacing w:val="-26"/>
                <w:sz w:val="18"/>
                <w:szCs w:val="18"/>
              </w:rPr>
              <w:t xml:space="preserve"> </w:t>
            </w:r>
            <w:r>
              <w:rPr>
                <w:spacing w:val="-1"/>
                <w:sz w:val="18"/>
                <w:szCs w:val="18"/>
              </w:rPr>
              <w:t>50</w:t>
            </w:r>
            <w:r>
              <w:rPr>
                <w:spacing w:val="27"/>
                <w:w w:val="101"/>
                <w:sz w:val="18"/>
                <w:szCs w:val="18"/>
              </w:rPr>
              <w:t xml:space="preserve"> </w:t>
            </w:r>
            <w:r>
              <w:rPr>
                <w:rFonts w:ascii="SimSun" w:eastAsia="SimSun" w:hAnsi="SimSun" w:cs="SimSun"/>
                <w:spacing w:val="-1"/>
                <w:sz w:val="18"/>
                <w:szCs w:val="18"/>
              </w:rPr>
              <w:t>万</w:t>
            </w:r>
          </w:p>
        </w:tc>
        <w:tc>
          <w:tcPr>
            <w:tcW w:w="917" w:type="dxa"/>
            <w:vAlign w:val="top"/>
          </w:tcPr>
          <w:p>
            <w:pPr>
              <w:spacing w:line="354" w:lineRule="auto"/>
              <w:rPr>
                <w:rFonts w:ascii="Arial"/>
                <w:sz w:val="21"/>
              </w:rPr>
            </w:pPr>
          </w:p>
          <w:p>
            <w:pPr>
              <w:pStyle w:val="TableText"/>
              <w:spacing w:before="52" w:line="282" w:lineRule="exact"/>
              <w:ind w:left="236"/>
              <w:rPr>
                <w:sz w:val="18"/>
                <w:szCs w:val="18"/>
              </w:rPr>
            </w:pPr>
            <w:r>
              <w:rPr>
                <w:position w:val="10"/>
                <w:sz w:val="18"/>
                <w:szCs w:val="18"/>
              </w:rPr>
              <w:t>18</w:t>
            </w:r>
            <w:r>
              <w:rPr>
                <w:spacing w:val="-23"/>
                <w:position w:val="10"/>
                <w:sz w:val="18"/>
                <w:szCs w:val="18"/>
              </w:rPr>
              <w:t xml:space="preserve"> </w:t>
            </w:r>
            <w:r>
              <w:rPr>
                <w:position w:val="10"/>
                <w:sz w:val="18"/>
                <w:szCs w:val="18"/>
              </w:rPr>
              <w:t>-28</w:t>
            </w:r>
          </w:p>
          <w:p>
            <w:pPr>
              <w:spacing w:line="220" w:lineRule="auto"/>
              <w:ind w:left="363"/>
              <w:rPr>
                <w:rFonts w:ascii="SimSun" w:eastAsia="SimSun" w:hAnsi="SimSun" w:cs="SimSun"/>
                <w:sz w:val="18"/>
                <w:szCs w:val="18"/>
              </w:rPr>
            </w:pPr>
            <w:r>
              <w:rPr>
                <w:rFonts w:ascii="SimSun" w:eastAsia="SimSun" w:hAnsi="SimSun" w:cs="SimSun"/>
                <w:sz w:val="18"/>
                <w:szCs w:val="18"/>
              </w:rPr>
              <w:t>万</w:t>
            </w:r>
          </w:p>
        </w:tc>
        <w:tc>
          <w:tcPr>
            <w:tcW w:w="1319" w:type="dxa"/>
            <w:vAlign w:val="top"/>
          </w:tcPr>
          <w:p>
            <w:pPr>
              <w:spacing w:line="473" w:lineRule="auto"/>
              <w:rPr>
                <w:rFonts w:ascii="Arial"/>
                <w:sz w:val="21"/>
              </w:rPr>
            </w:pPr>
          </w:p>
          <w:p>
            <w:pPr>
              <w:pStyle w:val="TableText"/>
              <w:spacing w:before="58" w:line="220" w:lineRule="auto"/>
              <w:ind w:left="299"/>
              <w:rPr>
                <w:rFonts w:ascii="SimSun" w:eastAsia="SimSun" w:hAnsi="SimSun" w:cs="SimSun"/>
                <w:sz w:val="18"/>
                <w:szCs w:val="18"/>
              </w:rPr>
            </w:pPr>
            <w:r>
              <w:rPr>
                <w:spacing w:val="2"/>
                <w:sz w:val="18"/>
                <w:szCs w:val="18"/>
              </w:rPr>
              <w:t>35</w:t>
            </w:r>
            <w:r>
              <w:rPr>
                <w:spacing w:val="-21"/>
                <w:sz w:val="18"/>
                <w:szCs w:val="18"/>
              </w:rPr>
              <w:t xml:space="preserve"> </w:t>
            </w:r>
            <w:r>
              <w:rPr>
                <w:spacing w:val="2"/>
                <w:sz w:val="18"/>
                <w:szCs w:val="18"/>
              </w:rPr>
              <w:t>-40</w:t>
            </w:r>
            <w:r>
              <w:rPr>
                <w:spacing w:val="27"/>
                <w:w w:val="101"/>
                <w:sz w:val="18"/>
                <w:szCs w:val="18"/>
              </w:rPr>
              <w:t xml:space="preserve"> </w:t>
            </w:r>
            <w:r>
              <w:rPr>
                <w:rFonts w:ascii="SimSun" w:eastAsia="SimSun" w:hAnsi="SimSun" w:cs="SimSun"/>
                <w:spacing w:val="2"/>
                <w:sz w:val="18"/>
                <w:szCs w:val="18"/>
              </w:rPr>
              <w:t>万</w:t>
            </w:r>
          </w:p>
        </w:tc>
        <w:tc>
          <w:tcPr>
            <w:tcW w:w="1154" w:type="dxa"/>
            <w:vAlign w:val="top"/>
          </w:tcPr>
          <w:p>
            <w:pPr>
              <w:spacing w:line="473" w:lineRule="auto"/>
              <w:rPr>
                <w:rFonts w:ascii="Arial"/>
                <w:sz w:val="21"/>
              </w:rPr>
            </w:pPr>
          </w:p>
          <w:p>
            <w:pPr>
              <w:pStyle w:val="TableText"/>
              <w:spacing w:before="58" w:line="220" w:lineRule="auto"/>
              <w:ind w:left="214"/>
              <w:rPr>
                <w:rFonts w:ascii="SimSun" w:eastAsia="SimSun" w:hAnsi="SimSun" w:cs="SimSun"/>
                <w:sz w:val="18"/>
                <w:szCs w:val="18"/>
              </w:rPr>
            </w:pPr>
            <w:r>
              <w:rPr>
                <w:spacing w:val="3"/>
                <w:sz w:val="18"/>
                <w:szCs w:val="18"/>
              </w:rPr>
              <w:t>40</w:t>
            </w:r>
            <w:r>
              <w:rPr>
                <w:spacing w:val="-23"/>
                <w:sz w:val="18"/>
                <w:szCs w:val="18"/>
              </w:rPr>
              <w:t xml:space="preserve"> </w:t>
            </w:r>
            <w:r>
              <w:rPr>
                <w:spacing w:val="3"/>
                <w:sz w:val="18"/>
                <w:szCs w:val="18"/>
              </w:rPr>
              <w:t>-60</w:t>
            </w:r>
            <w:r>
              <w:rPr>
                <w:spacing w:val="28"/>
                <w:w w:val="101"/>
                <w:sz w:val="18"/>
                <w:szCs w:val="18"/>
              </w:rPr>
              <w:t xml:space="preserve"> </w:t>
            </w:r>
            <w:r>
              <w:rPr>
                <w:rFonts w:ascii="SimSun" w:eastAsia="SimSun" w:hAnsi="SimSun" w:cs="SimSun"/>
                <w:spacing w:val="3"/>
                <w:sz w:val="18"/>
                <w:szCs w:val="18"/>
              </w:rPr>
              <w:t>万</w:t>
            </w:r>
          </w:p>
        </w:tc>
        <w:tc>
          <w:tcPr>
            <w:tcW w:w="1334" w:type="dxa"/>
            <w:vAlign w:val="top"/>
          </w:tcPr>
          <w:p>
            <w:pPr>
              <w:spacing w:line="473" w:lineRule="auto"/>
              <w:rPr>
                <w:rFonts w:ascii="Arial"/>
                <w:sz w:val="21"/>
              </w:rPr>
            </w:pPr>
          </w:p>
          <w:p>
            <w:pPr>
              <w:pStyle w:val="TableText"/>
              <w:spacing w:before="58" w:line="220" w:lineRule="auto"/>
              <w:ind w:left="304"/>
              <w:rPr>
                <w:rFonts w:ascii="SimSun" w:eastAsia="SimSun" w:hAnsi="SimSun" w:cs="SimSun"/>
                <w:sz w:val="18"/>
                <w:szCs w:val="18"/>
              </w:rPr>
            </w:pPr>
            <w:r>
              <w:rPr>
                <w:sz w:val="18"/>
                <w:szCs w:val="18"/>
              </w:rPr>
              <w:t>45</w:t>
            </w:r>
            <w:r>
              <w:rPr>
                <w:spacing w:val="-23"/>
                <w:sz w:val="18"/>
                <w:szCs w:val="18"/>
              </w:rPr>
              <w:t xml:space="preserve"> </w:t>
            </w:r>
            <w:r>
              <w:rPr>
                <w:sz w:val="18"/>
                <w:szCs w:val="18"/>
              </w:rPr>
              <w:t>-</w:t>
            </w:r>
            <w:r>
              <w:rPr>
                <w:spacing w:val="-27"/>
                <w:sz w:val="18"/>
                <w:szCs w:val="18"/>
              </w:rPr>
              <w:t xml:space="preserve"> </w:t>
            </w:r>
            <w:r>
              <w:rPr>
                <w:sz w:val="18"/>
                <w:szCs w:val="18"/>
              </w:rPr>
              <w:t>55</w:t>
            </w:r>
            <w:r>
              <w:rPr>
                <w:spacing w:val="28"/>
                <w:sz w:val="18"/>
                <w:szCs w:val="18"/>
              </w:rPr>
              <w:t xml:space="preserve"> </w:t>
            </w:r>
            <w:r>
              <w:rPr>
                <w:rFonts w:ascii="SimSun" w:eastAsia="SimSun" w:hAnsi="SimSun" w:cs="SimSun"/>
                <w:sz w:val="18"/>
                <w:szCs w:val="18"/>
              </w:rPr>
              <w:t>万</w:t>
            </w:r>
          </w:p>
        </w:tc>
        <w:tc>
          <w:tcPr>
            <w:tcW w:w="1306" w:type="dxa"/>
            <w:vAlign w:val="top"/>
          </w:tcPr>
          <w:p>
            <w:pPr>
              <w:spacing w:line="473" w:lineRule="auto"/>
              <w:rPr>
                <w:rFonts w:ascii="Arial"/>
                <w:sz w:val="21"/>
              </w:rPr>
            </w:pPr>
          </w:p>
          <w:p>
            <w:pPr>
              <w:pStyle w:val="TableText"/>
              <w:spacing w:before="58" w:line="220" w:lineRule="auto"/>
              <w:ind w:left="290"/>
              <w:rPr>
                <w:rFonts w:ascii="SimSun" w:eastAsia="SimSun" w:hAnsi="SimSun" w:cs="SimSun"/>
                <w:sz w:val="18"/>
                <w:szCs w:val="18"/>
              </w:rPr>
            </w:pPr>
            <w:r>
              <w:rPr>
                <w:sz w:val="18"/>
                <w:szCs w:val="18"/>
              </w:rPr>
              <w:t>40</w:t>
            </w:r>
            <w:r>
              <w:rPr>
                <w:spacing w:val="-23"/>
                <w:sz w:val="18"/>
                <w:szCs w:val="18"/>
              </w:rPr>
              <w:t xml:space="preserve"> </w:t>
            </w:r>
            <w:r>
              <w:rPr>
                <w:sz w:val="18"/>
                <w:szCs w:val="18"/>
              </w:rPr>
              <w:t>-</w:t>
            </w:r>
            <w:r>
              <w:rPr>
                <w:spacing w:val="-27"/>
                <w:sz w:val="18"/>
                <w:szCs w:val="18"/>
              </w:rPr>
              <w:t xml:space="preserve"> </w:t>
            </w:r>
            <w:r>
              <w:rPr>
                <w:sz w:val="18"/>
                <w:szCs w:val="18"/>
              </w:rPr>
              <w:t>50</w:t>
            </w:r>
            <w:r>
              <w:rPr>
                <w:spacing w:val="28"/>
                <w:w w:val="101"/>
                <w:sz w:val="18"/>
                <w:szCs w:val="18"/>
              </w:rPr>
              <w:t xml:space="preserve"> </w:t>
            </w:r>
            <w:r>
              <w:rPr>
                <w:rFonts w:ascii="SimSun" w:eastAsia="SimSun" w:hAnsi="SimSun" w:cs="SimSun"/>
                <w:sz w:val="18"/>
                <w:szCs w:val="18"/>
              </w:rPr>
              <w:t>万</w:t>
            </w:r>
          </w:p>
        </w:tc>
        <w:tc>
          <w:tcPr>
            <w:tcW w:w="1324" w:type="dxa"/>
            <w:vAlign w:val="top"/>
          </w:tcPr>
          <w:p>
            <w:pPr>
              <w:spacing w:line="473" w:lineRule="auto"/>
              <w:rPr>
                <w:rFonts w:ascii="Arial"/>
                <w:sz w:val="21"/>
              </w:rPr>
            </w:pPr>
          </w:p>
          <w:p>
            <w:pPr>
              <w:pStyle w:val="TableText"/>
              <w:spacing w:before="58" w:line="220" w:lineRule="auto"/>
              <w:ind w:left="297"/>
              <w:rPr>
                <w:rFonts w:ascii="SimSun" w:eastAsia="SimSun" w:hAnsi="SimSun" w:cs="SimSun"/>
                <w:sz w:val="18"/>
                <w:szCs w:val="18"/>
              </w:rPr>
            </w:pPr>
            <w:r>
              <w:rPr>
                <w:sz w:val="18"/>
                <w:szCs w:val="18"/>
              </w:rPr>
              <w:t>45</w:t>
            </w:r>
            <w:r>
              <w:rPr>
                <w:spacing w:val="-23"/>
                <w:sz w:val="18"/>
                <w:szCs w:val="18"/>
              </w:rPr>
              <w:t xml:space="preserve"> </w:t>
            </w:r>
            <w:r>
              <w:rPr>
                <w:sz w:val="18"/>
                <w:szCs w:val="18"/>
              </w:rPr>
              <w:t>-</w:t>
            </w:r>
            <w:r>
              <w:rPr>
                <w:spacing w:val="-27"/>
                <w:sz w:val="18"/>
                <w:szCs w:val="18"/>
              </w:rPr>
              <w:t xml:space="preserve"> </w:t>
            </w:r>
            <w:r>
              <w:rPr>
                <w:sz w:val="18"/>
                <w:szCs w:val="18"/>
              </w:rPr>
              <w:t>55</w:t>
            </w:r>
            <w:r>
              <w:rPr>
                <w:spacing w:val="28"/>
                <w:sz w:val="18"/>
                <w:szCs w:val="18"/>
              </w:rPr>
              <w:t xml:space="preserve"> </w:t>
            </w:r>
            <w:r>
              <w:rPr>
                <w:rFonts w:ascii="SimSun" w:eastAsia="SimSun" w:hAnsi="SimSun" w:cs="SimSun"/>
                <w:sz w:val="18"/>
                <w:szCs w:val="18"/>
              </w:rPr>
              <w:t>万</w:t>
            </w:r>
          </w:p>
        </w:tc>
      </w:tr>
      <w:tr>
        <w:tblPrEx>
          <w:tblW w:w="9659" w:type="dxa"/>
          <w:tblInd w:w="2" w:type="dxa"/>
          <w:tblLayout w:type="fixed"/>
        </w:tblPrEx>
        <w:trPr>
          <w:trHeight w:val="943"/>
        </w:trPr>
        <w:tc>
          <w:tcPr>
            <w:tcW w:w="396" w:type="dxa"/>
            <w:vMerge/>
            <w:tcBorders>
              <w:top w:val="nil"/>
              <w:bottom w:val="nil"/>
            </w:tcBorders>
            <w:textDirection w:val="tbRlV"/>
            <w:vAlign w:val="top"/>
          </w:tcPr>
          <w:p>
            <w:pPr>
              <w:rPr>
                <w:rFonts w:ascii="Arial"/>
                <w:sz w:val="21"/>
              </w:rPr>
            </w:pPr>
          </w:p>
        </w:tc>
        <w:tc>
          <w:tcPr>
            <w:tcW w:w="628" w:type="dxa"/>
            <w:vAlign w:val="top"/>
          </w:tcPr>
          <w:p>
            <w:pPr>
              <w:spacing w:before="68" w:line="220" w:lineRule="auto"/>
              <w:ind w:left="132"/>
              <w:rPr>
                <w:rFonts w:ascii="SimSun" w:eastAsia="SimSun" w:hAnsi="SimSun" w:cs="SimSun"/>
                <w:sz w:val="18"/>
                <w:szCs w:val="18"/>
              </w:rPr>
            </w:pPr>
            <w:r>
              <w:rPr>
                <w:rFonts w:ascii="SimSun" w:eastAsia="SimSun" w:hAnsi="SimSun" w:cs="SimSun"/>
                <w:spacing w:val="-1"/>
                <w:sz w:val="18"/>
                <w:szCs w:val="18"/>
              </w:rPr>
              <w:t>国产</w:t>
            </w:r>
          </w:p>
          <w:p>
            <w:pPr>
              <w:pStyle w:val="TableText"/>
              <w:spacing w:before="126" w:line="232" w:lineRule="auto"/>
              <w:ind w:left="278"/>
              <w:rPr>
                <w:sz w:val="18"/>
                <w:szCs w:val="18"/>
              </w:rPr>
            </w:pPr>
            <w:r>
              <w:rPr>
                <w:sz w:val="18"/>
                <w:szCs w:val="18"/>
              </w:rPr>
              <w:t>/</w:t>
            </w:r>
          </w:p>
          <w:p>
            <w:pPr>
              <w:spacing w:before="84" w:line="225" w:lineRule="auto"/>
              <w:ind w:left="113"/>
              <w:rPr>
                <w:rFonts w:ascii="SimSun" w:eastAsia="SimSun" w:hAnsi="SimSun" w:cs="SimSun"/>
                <w:sz w:val="18"/>
                <w:szCs w:val="18"/>
              </w:rPr>
            </w:pPr>
            <w:r>
              <w:rPr>
                <w:rFonts w:ascii="SimSun" w:eastAsia="SimSun" w:hAnsi="SimSun" w:cs="SimSun"/>
                <w:spacing w:val="8"/>
                <w:sz w:val="18"/>
                <w:szCs w:val="18"/>
              </w:rPr>
              <w:t>进口</w:t>
            </w:r>
          </w:p>
        </w:tc>
        <w:tc>
          <w:tcPr>
            <w:tcW w:w="1281" w:type="dxa"/>
            <w:vAlign w:val="top"/>
          </w:tcPr>
          <w:p>
            <w:pPr>
              <w:spacing w:line="321" w:lineRule="auto"/>
              <w:rPr>
                <w:rFonts w:ascii="Arial"/>
                <w:sz w:val="21"/>
              </w:rPr>
            </w:pPr>
          </w:p>
          <w:p>
            <w:pPr>
              <w:spacing w:before="59" w:line="225" w:lineRule="auto"/>
              <w:ind w:left="440"/>
              <w:rPr>
                <w:rFonts w:ascii="SimSun" w:eastAsia="SimSun" w:hAnsi="SimSun" w:cs="SimSun"/>
                <w:sz w:val="18"/>
                <w:szCs w:val="18"/>
              </w:rPr>
            </w:pPr>
            <w:r>
              <w:rPr>
                <w:rFonts w:ascii="SimSun" w:eastAsia="SimSun" w:hAnsi="SimSun" w:cs="SimSun"/>
                <w:spacing w:val="8"/>
                <w:sz w:val="18"/>
                <w:szCs w:val="18"/>
              </w:rPr>
              <w:t>进口</w:t>
            </w:r>
          </w:p>
        </w:tc>
        <w:tc>
          <w:tcPr>
            <w:tcW w:w="917" w:type="dxa"/>
            <w:vAlign w:val="top"/>
          </w:tcPr>
          <w:p>
            <w:pPr>
              <w:spacing w:line="321" w:lineRule="auto"/>
              <w:rPr>
                <w:rFonts w:ascii="Arial"/>
                <w:sz w:val="21"/>
              </w:rPr>
            </w:pPr>
          </w:p>
          <w:p>
            <w:pPr>
              <w:spacing w:before="58" w:line="220" w:lineRule="auto"/>
              <w:ind w:left="275"/>
              <w:rPr>
                <w:rFonts w:ascii="SimSun" w:eastAsia="SimSun" w:hAnsi="SimSun" w:cs="SimSun"/>
                <w:sz w:val="18"/>
                <w:szCs w:val="18"/>
              </w:rPr>
            </w:pPr>
            <w:r>
              <w:rPr>
                <w:rFonts w:ascii="SimSun" w:eastAsia="SimSun" w:hAnsi="SimSun" w:cs="SimSun"/>
                <w:spacing w:val="-1"/>
                <w:sz w:val="18"/>
                <w:szCs w:val="18"/>
              </w:rPr>
              <w:t>国产</w:t>
            </w:r>
          </w:p>
        </w:tc>
        <w:tc>
          <w:tcPr>
            <w:tcW w:w="1319" w:type="dxa"/>
            <w:vAlign w:val="top"/>
          </w:tcPr>
          <w:p>
            <w:pPr>
              <w:spacing w:line="321" w:lineRule="auto"/>
              <w:rPr>
                <w:rFonts w:ascii="Arial"/>
                <w:sz w:val="21"/>
              </w:rPr>
            </w:pPr>
          </w:p>
          <w:p>
            <w:pPr>
              <w:spacing w:before="59" w:line="225" w:lineRule="auto"/>
              <w:ind w:left="461"/>
              <w:rPr>
                <w:rFonts w:ascii="SimSun" w:eastAsia="SimSun" w:hAnsi="SimSun" w:cs="SimSun"/>
                <w:sz w:val="18"/>
                <w:szCs w:val="18"/>
              </w:rPr>
            </w:pPr>
            <w:r>
              <w:rPr>
                <w:rFonts w:ascii="SimSun" w:eastAsia="SimSun" w:hAnsi="SimSun" w:cs="SimSun"/>
                <w:spacing w:val="8"/>
                <w:sz w:val="18"/>
                <w:szCs w:val="18"/>
              </w:rPr>
              <w:t>进口</w:t>
            </w:r>
          </w:p>
        </w:tc>
        <w:tc>
          <w:tcPr>
            <w:tcW w:w="1154" w:type="dxa"/>
            <w:vAlign w:val="top"/>
          </w:tcPr>
          <w:p>
            <w:pPr>
              <w:spacing w:line="321" w:lineRule="auto"/>
              <w:rPr>
                <w:rFonts w:ascii="Arial"/>
                <w:sz w:val="21"/>
              </w:rPr>
            </w:pPr>
          </w:p>
          <w:p>
            <w:pPr>
              <w:spacing w:before="59" w:line="225" w:lineRule="auto"/>
              <w:ind w:left="378"/>
              <w:rPr>
                <w:rFonts w:ascii="SimSun" w:eastAsia="SimSun" w:hAnsi="SimSun" w:cs="SimSun"/>
                <w:sz w:val="18"/>
                <w:szCs w:val="18"/>
              </w:rPr>
            </w:pPr>
            <w:r>
              <w:rPr>
                <w:rFonts w:ascii="SimSun" w:eastAsia="SimSun" w:hAnsi="SimSun" w:cs="SimSun"/>
                <w:spacing w:val="8"/>
                <w:sz w:val="18"/>
                <w:szCs w:val="18"/>
              </w:rPr>
              <w:t>进口</w:t>
            </w:r>
          </w:p>
        </w:tc>
        <w:tc>
          <w:tcPr>
            <w:tcW w:w="1334" w:type="dxa"/>
            <w:vAlign w:val="top"/>
          </w:tcPr>
          <w:p>
            <w:pPr>
              <w:spacing w:line="321" w:lineRule="auto"/>
              <w:rPr>
                <w:rFonts w:ascii="Arial"/>
                <w:sz w:val="21"/>
              </w:rPr>
            </w:pPr>
          </w:p>
          <w:p>
            <w:pPr>
              <w:spacing w:before="58" w:line="220" w:lineRule="auto"/>
              <w:ind w:left="489"/>
              <w:rPr>
                <w:rFonts w:ascii="SimSun" w:eastAsia="SimSun" w:hAnsi="SimSun" w:cs="SimSun"/>
                <w:sz w:val="18"/>
                <w:szCs w:val="18"/>
              </w:rPr>
            </w:pPr>
            <w:r>
              <w:rPr>
                <w:rFonts w:ascii="SimSun" w:eastAsia="SimSun" w:hAnsi="SimSun" w:cs="SimSun"/>
                <w:spacing w:val="-1"/>
                <w:sz w:val="18"/>
                <w:szCs w:val="18"/>
              </w:rPr>
              <w:t>国产</w:t>
            </w:r>
          </w:p>
        </w:tc>
        <w:tc>
          <w:tcPr>
            <w:tcW w:w="1306" w:type="dxa"/>
            <w:vAlign w:val="top"/>
          </w:tcPr>
          <w:p>
            <w:pPr>
              <w:spacing w:line="321" w:lineRule="auto"/>
              <w:rPr>
                <w:rFonts w:ascii="Arial"/>
                <w:sz w:val="21"/>
              </w:rPr>
            </w:pPr>
          </w:p>
          <w:p>
            <w:pPr>
              <w:spacing w:before="59" w:line="225" w:lineRule="auto"/>
              <w:ind w:left="456"/>
              <w:rPr>
                <w:rFonts w:ascii="SimSun" w:eastAsia="SimSun" w:hAnsi="SimSun" w:cs="SimSun"/>
                <w:sz w:val="18"/>
                <w:szCs w:val="18"/>
              </w:rPr>
            </w:pPr>
            <w:r>
              <w:rPr>
                <w:rFonts w:ascii="SimSun" w:eastAsia="SimSun" w:hAnsi="SimSun" w:cs="SimSun"/>
                <w:spacing w:val="8"/>
                <w:sz w:val="18"/>
                <w:szCs w:val="18"/>
              </w:rPr>
              <w:t>进口</w:t>
            </w:r>
          </w:p>
        </w:tc>
        <w:tc>
          <w:tcPr>
            <w:tcW w:w="1324" w:type="dxa"/>
            <w:vAlign w:val="top"/>
          </w:tcPr>
          <w:p>
            <w:pPr>
              <w:spacing w:line="321" w:lineRule="auto"/>
              <w:rPr>
                <w:rFonts w:ascii="Arial"/>
                <w:sz w:val="21"/>
              </w:rPr>
            </w:pPr>
          </w:p>
          <w:p>
            <w:pPr>
              <w:spacing w:before="58" w:line="220" w:lineRule="auto"/>
              <w:ind w:left="482"/>
              <w:rPr>
                <w:rFonts w:ascii="SimSun" w:eastAsia="SimSun" w:hAnsi="SimSun" w:cs="SimSun"/>
                <w:sz w:val="18"/>
                <w:szCs w:val="18"/>
              </w:rPr>
            </w:pPr>
            <w:r>
              <w:rPr>
                <w:rFonts w:ascii="SimSun" w:eastAsia="SimSun" w:hAnsi="SimSun" w:cs="SimSun"/>
                <w:spacing w:val="-1"/>
                <w:sz w:val="18"/>
                <w:szCs w:val="18"/>
              </w:rPr>
              <w:t>国产</w:t>
            </w:r>
          </w:p>
        </w:tc>
      </w:tr>
      <w:tr>
        <w:tblPrEx>
          <w:tblW w:w="9659" w:type="dxa"/>
          <w:tblInd w:w="2" w:type="dxa"/>
          <w:tblLayout w:type="fixed"/>
        </w:tblPrEx>
        <w:trPr>
          <w:trHeight w:val="940"/>
        </w:trPr>
        <w:tc>
          <w:tcPr>
            <w:tcW w:w="396" w:type="dxa"/>
            <w:vMerge/>
            <w:tcBorders>
              <w:top w:val="nil"/>
            </w:tcBorders>
            <w:textDirection w:val="tbRlV"/>
            <w:vAlign w:val="top"/>
          </w:tcPr>
          <w:p>
            <w:pPr>
              <w:rPr>
                <w:rFonts w:ascii="Arial"/>
                <w:sz w:val="21"/>
              </w:rPr>
            </w:pPr>
          </w:p>
        </w:tc>
        <w:tc>
          <w:tcPr>
            <w:tcW w:w="628" w:type="dxa"/>
            <w:vAlign w:val="top"/>
          </w:tcPr>
          <w:p>
            <w:pPr>
              <w:pStyle w:val="TableText"/>
              <w:spacing w:before="67" w:line="312" w:lineRule="exact"/>
              <w:ind w:left="114"/>
              <w:rPr>
                <w:rFonts w:ascii="SimSun" w:eastAsia="SimSun" w:hAnsi="SimSun" w:cs="SimSun"/>
                <w:sz w:val="18"/>
                <w:szCs w:val="18"/>
              </w:rPr>
            </w:pPr>
            <w:r>
              <w:rPr>
                <w:spacing w:val="-1"/>
                <w:position w:val="9"/>
                <w:sz w:val="18"/>
                <w:szCs w:val="18"/>
              </w:rPr>
              <w:t>X</w:t>
            </w:r>
            <w:r>
              <w:rPr>
                <w:spacing w:val="24"/>
                <w:position w:val="9"/>
                <w:sz w:val="18"/>
                <w:szCs w:val="18"/>
              </w:rPr>
              <w:t xml:space="preserve"> </w:t>
            </w:r>
            <w:r>
              <w:rPr>
                <w:rFonts w:ascii="SimSun" w:eastAsia="SimSun" w:hAnsi="SimSun" w:cs="SimSun"/>
                <w:spacing w:val="-1"/>
                <w:position w:val="9"/>
                <w:sz w:val="18"/>
                <w:szCs w:val="18"/>
              </w:rPr>
              <w:t>射</w:t>
            </w:r>
          </w:p>
          <w:p>
            <w:pPr>
              <w:spacing w:line="219" w:lineRule="auto"/>
              <w:ind w:left="117"/>
              <w:rPr>
                <w:rFonts w:ascii="SimSun" w:eastAsia="SimSun" w:hAnsi="SimSun" w:cs="SimSun"/>
                <w:sz w:val="18"/>
                <w:szCs w:val="18"/>
              </w:rPr>
            </w:pPr>
            <w:r>
              <w:rPr>
                <w:rFonts w:ascii="SimSun" w:eastAsia="SimSun" w:hAnsi="SimSun" w:cs="SimSun"/>
                <w:spacing w:val="6"/>
                <w:sz w:val="18"/>
                <w:szCs w:val="18"/>
              </w:rPr>
              <w:t>线管</w:t>
            </w:r>
          </w:p>
          <w:p>
            <w:pPr>
              <w:spacing w:before="97" w:line="220" w:lineRule="auto"/>
              <w:ind w:left="115"/>
              <w:rPr>
                <w:rFonts w:ascii="SimSun" w:eastAsia="SimSun" w:hAnsi="SimSun" w:cs="SimSun"/>
                <w:sz w:val="18"/>
                <w:szCs w:val="18"/>
              </w:rPr>
            </w:pPr>
            <w:r>
              <w:rPr>
                <w:rFonts w:ascii="SimSun" w:eastAsia="SimSun" w:hAnsi="SimSun" w:cs="SimSun"/>
                <w:spacing w:val="7"/>
                <w:sz w:val="18"/>
                <w:szCs w:val="18"/>
              </w:rPr>
              <w:t>类型</w:t>
            </w:r>
          </w:p>
        </w:tc>
        <w:tc>
          <w:tcPr>
            <w:tcW w:w="1281" w:type="dxa"/>
            <w:vAlign w:val="top"/>
          </w:tcPr>
          <w:p>
            <w:pPr>
              <w:pStyle w:val="TableText"/>
              <w:spacing w:before="223" w:line="270" w:lineRule="auto"/>
              <w:ind w:left="341" w:right="149" w:hanging="192"/>
              <w:rPr>
                <w:rFonts w:ascii="SimSun" w:eastAsia="SimSun" w:hAnsi="SimSun" w:cs="SimSun"/>
                <w:sz w:val="18"/>
                <w:szCs w:val="18"/>
              </w:rPr>
            </w:pPr>
            <w:r>
              <w:rPr>
                <w:rFonts w:ascii="SimSun" w:eastAsia="SimSun" w:hAnsi="SimSun" w:cs="SimSun"/>
                <w:spacing w:val="3"/>
                <w:sz w:val="18"/>
                <w:szCs w:val="18"/>
              </w:rPr>
              <w:t>常规端</w:t>
            </w:r>
            <w:r>
              <w:rPr>
                <w:rFonts w:ascii="SimSun" w:eastAsia="SimSun" w:hAnsi="SimSun" w:cs="SimSun"/>
                <w:spacing w:val="-53"/>
                <w:sz w:val="18"/>
                <w:szCs w:val="18"/>
              </w:rPr>
              <w:t xml:space="preserve"> </w:t>
            </w:r>
            <w:r>
              <w:rPr>
                <w:rFonts w:ascii="SimSun" w:eastAsia="SimSun" w:hAnsi="SimSun" w:cs="SimSun"/>
                <w:spacing w:val="3"/>
                <w:sz w:val="18"/>
                <w:szCs w:val="18"/>
              </w:rPr>
              <w:t>窗</w:t>
            </w:r>
            <w:r>
              <w:rPr>
                <w:rFonts w:ascii="SimSun" w:eastAsia="SimSun" w:hAnsi="SimSun" w:cs="SimSun"/>
                <w:spacing w:val="-16"/>
                <w:sz w:val="18"/>
                <w:szCs w:val="18"/>
              </w:rPr>
              <w:t xml:space="preserve"> </w:t>
            </w:r>
            <w:r>
              <w:rPr>
                <w:spacing w:val="3"/>
                <w:sz w:val="18"/>
                <w:szCs w:val="18"/>
              </w:rPr>
              <w:t>X</w:t>
            </w:r>
            <w:r>
              <w:rPr>
                <w:sz w:val="18"/>
                <w:szCs w:val="18"/>
              </w:rPr>
              <w:t xml:space="preserve"> </w:t>
            </w:r>
            <w:r>
              <w:rPr>
                <w:rFonts w:ascii="SimSun" w:eastAsia="SimSun" w:hAnsi="SimSun" w:cs="SimSun"/>
                <w:spacing w:val="16"/>
                <w:sz w:val="18"/>
                <w:szCs w:val="18"/>
              </w:rPr>
              <w:t>射线管</w:t>
            </w:r>
          </w:p>
        </w:tc>
        <w:tc>
          <w:tcPr>
            <w:tcW w:w="917" w:type="dxa"/>
            <w:vAlign w:val="top"/>
          </w:tcPr>
          <w:p>
            <w:pPr>
              <w:pStyle w:val="TableText"/>
              <w:spacing w:before="66" w:line="287" w:lineRule="auto"/>
              <w:ind w:left="157" w:right="172"/>
              <w:jc w:val="both"/>
              <w:rPr>
                <w:rFonts w:ascii="SimSun" w:eastAsia="SimSun" w:hAnsi="SimSun" w:cs="SimSun"/>
                <w:sz w:val="18"/>
                <w:szCs w:val="18"/>
              </w:rPr>
            </w:pPr>
            <w:r>
              <w:rPr>
                <w:rFonts w:ascii="SimSun" w:eastAsia="SimSun" w:hAnsi="SimSun" w:cs="SimSun"/>
                <w:spacing w:val="12"/>
                <w:sz w:val="18"/>
                <w:szCs w:val="18"/>
              </w:rPr>
              <w:t>微型一</w:t>
            </w:r>
            <w:r>
              <w:rPr>
                <w:rFonts w:ascii="SimSun" w:eastAsia="SimSun" w:hAnsi="SimSun" w:cs="SimSun"/>
                <w:spacing w:val="1"/>
                <w:sz w:val="18"/>
                <w:szCs w:val="18"/>
              </w:rPr>
              <w:t xml:space="preserve"> </w:t>
            </w:r>
            <w:r>
              <w:rPr>
                <w:rFonts w:ascii="SimSun" w:eastAsia="SimSun" w:hAnsi="SimSun" w:cs="SimSun"/>
                <w:spacing w:val="6"/>
                <w:sz w:val="18"/>
                <w:szCs w:val="18"/>
              </w:rPr>
              <w:t>体化</w:t>
            </w:r>
            <w:r>
              <w:rPr>
                <w:rFonts w:ascii="SimSun" w:eastAsia="SimSun" w:hAnsi="SimSun" w:cs="SimSun"/>
                <w:spacing w:val="-17"/>
                <w:sz w:val="18"/>
                <w:szCs w:val="18"/>
              </w:rPr>
              <w:t xml:space="preserve"> </w:t>
            </w:r>
            <w:r>
              <w:rPr>
                <w:spacing w:val="6"/>
                <w:sz w:val="18"/>
                <w:szCs w:val="18"/>
              </w:rPr>
              <w:t>X</w:t>
            </w:r>
            <w:r>
              <w:rPr>
                <w:sz w:val="18"/>
                <w:szCs w:val="18"/>
              </w:rPr>
              <w:t xml:space="preserve"> </w:t>
            </w:r>
            <w:r>
              <w:rPr>
                <w:rFonts w:ascii="SimSun" w:eastAsia="SimSun" w:hAnsi="SimSun" w:cs="SimSun"/>
                <w:spacing w:val="12"/>
                <w:sz w:val="18"/>
                <w:szCs w:val="18"/>
              </w:rPr>
              <w:t>射线管</w:t>
            </w:r>
          </w:p>
        </w:tc>
        <w:tc>
          <w:tcPr>
            <w:tcW w:w="1319" w:type="dxa"/>
            <w:vAlign w:val="top"/>
          </w:tcPr>
          <w:p>
            <w:pPr>
              <w:pStyle w:val="TableText"/>
              <w:spacing w:before="223" w:line="270" w:lineRule="auto"/>
              <w:ind w:left="359" w:right="166" w:hanging="190"/>
              <w:rPr>
                <w:rFonts w:ascii="SimSun" w:eastAsia="SimSun" w:hAnsi="SimSun" w:cs="SimSun"/>
                <w:sz w:val="18"/>
                <w:szCs w:val="18"/>
              </w:rPr>
            </w:pPr>
            <w:r>
              <w:rPr>
                <w:rFonts w:ascii="SimSun" w:eastAsia="SimSun" w:hAnsi="SimSun" w:cs="SimSun"/>
                <w:spacing w:val="3"/>
                <w:sz w:val="18"/>
                <w:szCs w:val="18"/>
              </w:rPr>
              <w:t>常规侧</w:t>
            </w:r>
            <w:r>
              <w:rPr>
                <w:rFonts w:ascii="SimSun" w:eastAsia="SimSun" w:hAnsi="SimSun" w:cs="SimSun"/>
                <w:spacing w:val="-53"/>
                <w:sz w:val="18"/>
                <w:szCs w:val="18"/>
              </w:rPr>
              <w:t xml:space="preserve"> </w:t>
            </w:r>
            <w:r>
              <w:rPr>
                <w:rFonts w:ascii="SimSun" w:eastAsia="SimSun" w:hAnsi="SimSun" w:cs="SimSun"/>
                <w:spacing w:val="3"/>
                <w:sz w:val="18"/>
                <w:szCs w:val="18"/>
              </w:rPr>
              <w:t>窗</w:t>
            </w:r>
            <w:r>
              <w:rPr>
                <w:rFonts w:ascii="SimSun" w:eastAsia="SimSun" w:hAnsi="SimSun" w:cs="SimSun"/>
                <w:spacing w:val="-16"/>
                <w:sz w:val="18"/>
                <w:szCs w:val="18"/>
              </w:rPr>
              <w:t xml:space="preserve"> </w:t>
            </w:r>
            <w:r>
              <w:rPr>
                <w:spacing w:val="3"/>
                <w:sz w:val="18"/>
                <w:szCs w:val="18"/>
              </w:rPr>
              <w:t>X</w:t>
            </w:r>
            <w:r>
              <w:rPr>
                <w:sz w:val="18"/>
                <w:szCs w:val="18"/>
              </w:rPr>
              <w:t xml:space="preserve"> </w:t>
            </w:r>
            <w:r>
              <w:rPr>
                <w:rFonts w:ascii="SimSun" w:eastAsia="SimSun" w:hAnsi="SimSun" w:cs="SimSun"/>
                <w:spacing w:val="16"/>
                <w:sz w:val="18"/>
                <w:szCs w:val="18"/>
              </w:rPr>
              <w:t>射线管</w:t>
            </w:r>
          </w:p>
        </w:tc>
        <w:tc>
          <w:tcPr>
            <w:tcW w:w="1154" w:type="dxa"/>
            <w:vAlign w:val="top"/>
          </w:tcPr>
          <w:p>
            <w:pPr>
              <w:pStyle w:val="TableText"/>
              <w:spacing w:before="223" w:line="270" w:lineRule="auto"/>
              <w:ind w:left="177" w:right="191" w:firstLine="5"/>
              <w:rPr>
                <w:rFonts w:ascii="SimSun" w:eastAsia="SimSun" w:hAnsi="SimSun" w:cs="SimSun"/>
                <w:sz w:val="18"/>
                <w:szCs w:val="18"/>
              </w:rPr>
            </w:pPr>
            <w:r>
              <w:rPr>
                <w:rFonts w:ascii="SimSun" w:eastAsia="SimSun" w:hAnsi="SimSun" w:cs="SimSun"/>
                <w:spacing w:val="13"/>
                <w:sz w:val="18"/>
                <w:szCs w:val="18"/>
              </w:rPr>
              <w:t>常规端窗</w:t>
            </w:r>
            <w:r>
              <w:rPr>
                <w:rFonts w:ascii="SimSun" w:eastAsia="SimSun" w:hAnsi="SimSun" w:cs="SimSun"/>
                <w:spacing w:val="2"/>
                <w:sz w:val="18"/>
                <w:szCs w:val="18"/>
              </w:rPr>
              <w:t xml:space="preserve"> </w:t>
            </w:r>
            <w:r>
              <w:rPr>
                <w:spacing w:val="8"/>
                <w:sz w:val="18"/>
                <w:szCs w:val="18"/>
              </w:rPr>
              <w:t>X</w:t>
            </w:r>
            <w:r>
              <w:rPr>
                <w:spacing w:val="25"/>
                <w:w w:val="102"/>
                <w:sz w:val="18"/>
                <w:szCs w:val="18"/>
              </w:rPr>
              <w:t xml:space="preserve"> </w:t>
            </w:r>
            <w:r>
              <w:rPr>
                <w:rFonts w:ascii="SimSun" w:eastAsia="SimSun" w:hAnsi="SimSun" w:cs="SimSun"/>
                <w:spacing w:val="8"/>
                <w:sz w:val="18"/>
                <w:szCs w:val="18"/>
              </w:rPr>
              <w:t>射线管</w:t>
            </w:r>
          </w:p>
        </w:tc>
        <w:tc>
          <w:tcPr>
            <w:tcW w:w="1334" w:type="dxa"/>
            <w:vAlign w:val="top"/>
          </w:tcPr>
          <w:p>
            <w:pPr>
              <w:pStyle w:val="TableText"/>
              <w:spacing w:before="223" w:line="270" w:lineRule="auto"/>
              <w:ind w:left="472" w:right="158" w:hanging="324"/>
              <w:rPr>
                <w:rFonts w:ascii="SimSun" w:eastAsia="SimSun" w:hAnsi="SimSun" w:cs="SimSun"/>
                <w:sz w:val="18"/>
                <w:szCs w:val="18"/>
              </w:rPr>
            </w:pPr>
            <w:r>
              <w:rPr>
                <w:rFonts w:ascii="SimSun" w:eastAsia="SimSun" w:hAnsi="SimSun" w:cs="SimSun"/>
                <w:spacing w:val="5"/>
                <w:sz w:val="18"/>
                <w:szCs w:val="18"/>
              </w:rPr>
              <w:t>端窗</w:t>
            </w:r>
            <w:r>
              <w:rPr>
                <w:rFonts w:ascii="SimSun" w:eastAsia="SimSun" w:hAnsi="SimSun" w:cs="SimSun"/>
                <w:spacing w:val="-14"/>
                <w:sz w:val="18"/>
                <w:szCs w:val="18"/>
              </w:rPr>
              <w:t xml:space="preserve"> </w:t>
            </w:r>
            <w:r>
              <w:rPr>
                <w:spacing w:val="5"/>
                <w:sz w:val="18"/>
                <w:szCs w:val="18"/>
              </w:rPr>
              <w:t>X</w:t>
            </w:r>
            <w:r>
              <w:rPr>
                <w:spacing w:val="24"/>
                <w:w w:val="101"/>
                <w:sz w:val="18"/>
                <w:szCs w:val="18"/>
              </w:rPr>
              <w:t xml:space="preserve"> </w:t>
            </w:r>
            <w:r>
              <w:rPr>
                <w:rFonts w:ascii="SimSun" w:eastAsia="SimSun" w:hAnsi="SimSun" w:cs="SimSun"/>
                <w:spacing w:val="5"/>
                <w:sz w:val="18"/>
                <w:szCs w:val="18"/>
              </w:rPr>
              <w:t>射线</w:t>
            </w:r>
            <w:r>
              <w:rPr>
                <w:rFonts w:ascii="SimSun" w:eastAsia="SimSun" w:hAnsi="SimSun" w:cs="SimSun"/>
                <w:sz w:val="18"/>
                <w:szCs w:val="18"/>
              </w:rPr>
              <w:t xml:space="preserve"> </w:t>
            </w:r>
            <w:r>
              <w:rPr>
                <w:rFonts w:ascii="SimSun" w:eastAsia="SimSun" w:hAnsi="SimSun" w:cs="SimSun"/>
                <w:spacing w:val="6"/>
                <w:sz w:val="18"/>
                <w:szCs w:val="18"/>
              </w:rPr>
              <w:t>光管</w:t>
            </w:r>
          </w:p>
        </w:tc>
        <w:tc>
          <w:tcPr>
            <w:tcW w:w="1306" w:type="dxa"/>
            <w:vAlign w:val="top"/>
          </w:tcPr>
          <w:p>
            <w:pPr>
              <w:pStyle w:val="TableText"/>
              <w:spacing w:before="223" w:line="270" w:lineRule="auto"/>
              <w:ind w:left="254" w:right="167" w:hanging="102"/>
              <w:rPr>
                <w:rFonts w:ascii="SimSun" w:eastAsia="SimSun" w:hAnsi="SimSun" w:cs="SimSun"/>
                <w:sz w:val="18"/>
                <w:szCs w:val="18"/>
              </w:rPr>
            </w:pPr>
            <w:r>
              <w:rPr>
                <w:rFonts w:ascii="SimSun" w:eastAsia="SimSun" w:hAnsi="SimSun" w:cs="SimSun"/>
                <w:spacing w:val="16"/>
                <w:sz w:val="18"/>
                <w:szCs w:val="18"/>
              </w:rPr>
              <w:t>超薄窗侧窗</w:t>
            </w:r>
            <w:r>
              <w:rPr>
                <w:rFonts w:ascii="SimSun" w:eastAsia="SimSun" w:hAnsi="SimSun" w:cs="SimSun"/>
                <w:sz w:val="18"/>
                <w:szCs w:val="18"/>
              </w:rPr>
              <w:t xml:space="preserve"> </w:t>
            </w:r>
            <w:r>
              <w:rPr>
                <w:spacing w:val="8"/>
                <w:sz w:val="18"/>
                <w:szCs w:val="18"/>
              </w:rPr>
              <w:t>X</w:t>
            </w:r>
            <w:r>
              <w:rPr>
                <w:spacing w:val="25"/>
                <w:w w:val="102"/>
                <w:sz w:val="18"/>
                <w:szCs w:val="18"/>
              </w:rPr>
              <w:t xml:space="preserve"> </w:t>
            </w:r>
            <w:r>
              <w:rPr>
                <w:rFonts w:ascii="SimSun" w:eastAsia="SimSun" w:hAnsi="SimSun" w:cs="SimSun"/>
                <w:spacing w:val="8"/>
                <w:sz w:val="18"/>
                <w:szCs w:val="18"/>
              </w:rPr>
              <w:t>射线管</w:t>
            </w:r>
          </w:p>
        </w:tc>
        <w:tc>
          <w:tcPr>
            <w:tcW w:w="1324" w:type="dxa"/>
            <w:vAlign w:val="top"/>
          </w:tcPr>
          <w:p>
            <w:pPr>
              <w:pStyle w:val="TableText"/>
              <w:spacing w:before="223" w:line="270" w:lineRule="auto"/>
              <w:ind w:left="361" w:right="169" w:hanging="190"/>
              <w:rPr>
                <w:rFonts w:ascii="SimSun" w:eastAsia="SimSun" w:hAnsi="SimSun" w:cs="SimSun"/>
                <w:sz w:val="18"/>
                <w:szCs w:val="18"/>
              </w:rPr>
            </w:pPr>
            <w:r>
              <w:rPr>
                <w:rFonts w:ascii="SimSun" w:eastAsia="SimSun" w:hAnsi="SimSun" w:cs="SimSun"/>
                <w:spacing w:val="3"/>
                <w:sz w:val="18"/>
                <w:szCs w:val="18"/>
              </w:rPr>
              <w:t>常规侧</w:t>
            </w:r>
            <w:r>
              <w:rPr>
                <w:rFonts w:ascii="SimSun" w:eastAsia="SimSun" w:hAnsi="SimSun" w:cs="SimSun"/>
                <w:spacing w:val="-53"/>
                <w:sz w:val="18"/>
                <w:szCs w:val="18"/>
              </w:rPr>
              <w:t xml:space="preserve"> </w:t>
            </w:r>
            <w:r>
              <w:rPr>
                <w:rFonts w:ascii="SimSun" w:eastAsia="SimSun" w:hAnsi="SimSun" w:cs="SimSun"/>
                <w:spacing w:val="3"/>
                <w:sz w:val="18"/>
                <w:szCs w:val="18"/>
              </w:rPr>
              <w:t>窗</w:t>
            </w:r>
            <w:r>
              <w:rPr>
                <w:rFonts w:ascii="SimSun" w:eastAsia="SimSun" w:hAnsi="SimSun" w:cs="SimSun"/>
                <w:spacing w:val="-16"/>
                <w:sz w:val="18"/>
                <w:szCs w:val="18"/>
              </w:rPr>
              <w:t xml:space="preserve"> </w:t>
            </w:r>
            <w:r>
              <w:rPr>
                <w:spacing w:val="3"/>
                <w:sz w:val="18"/>
                <w:szCs w:val="18"/>
              </w:rPr>
              <w:t>X</w:t>
            </w:r>
            <w:r>
              <w:rPr>
                <w:sz w:val="18"/>
                <w:szCs w:val="18"/>
              </w:rPr>
              <w:t xml:space="preserve"> </w:t>
            </w:r>
            <w:r>
              <w:rPr>
                <w:rFonts w:ascii="SimSun" w:eastAsia="SimSun" w:hAnsi="SimSun" w:cs="SimSun"/>
                <w:spacing w:val="16"/>
                <w:sz w:val="18"/>
                <w:szCs w:val="18"/>
              </w:rPr>
              <w:t>射线管</w:t>
            </w:r>
          </w:p>
        </w:tc>
      </w:tr>
      <w:tr>
        <w:tblPrEx>
          <w:tblW w:w="9659" w:type="dxa"/>
          <w:tblInd w:w="2" w:type="dxa"/>
          <w:tblLayout w:type="fixed"/>
        </w:tblPrEx>
        <w:trPr>
          <w:trHeight w:val="940"/>
        </w:trPr>
        <w:tc>
          <w:tcPr>
            <w:tcW w:w="396" w:type="dxa"/>
            <w:vMerge w:val="restart"/>
            <w:tcBorders>
              <w:bottom w:val="nil"/>
            </w:tcBorders>
            <w:textDirection w:val="tbRlV"/>
            <w:vAlign w:val="top"/>
          </w:tcPr>
          <w:p>
            <w:pPr>
              <w:spacing w:before="102" w:line="209" w:lineRule="auto"/>
              <w:ind w:left="3841"/>
              <w:rPr>
                <w:rFonts w:ascii="SimSun" w:eastAsia="SimSun" w:hAnsi="SimSun" w:cs="SimSun"/>
                <w:sz w:val="18"/>
                <w:szCs w:val="18"/>
              </w:rPr>
            </w:pPr>
            <w:r>
              <w:rPr>
                <w:rFonts w:ascii="SimSun" w:eastAsia="SimSun" w:hAnsi="SimSun" w:cs="SimSun"/>
                <w:b/>
                <w:bCs/>
                <w:spacing w:val="-2"/>
                <w:sz w:val="18"/>
                <w:szCs w:val="18"/>
              </w:rPr>
              <w:t>硬</w:t>
            </w:r>
            <w:r>
              <w:rPr>
                <w:rFonts w:ascii="SimSun" w:eastAsia="SimSun" w:hAnsi="SimSun" w:cs="SimSun"/>
                <w:spacing w:val="42"/>
                <w:sz w:val="18"/>
                <w:szCs w:val="18"/>
              </w:rPr>
              <w:t xml:space="preserve"> </w:t>
            </w:r>
            <w:r>
              <w:rPr>
                <w:rFonts w:ascii="SimSun" w:eastAsia="SimSun" w:hAnsi="SimSun" w:cs="SimSun"/>
                <w:b/>
                <w:bCs/>
                <w:spacing w:val="-2"/>
                <w:sz w:val="18"/>
                <w:szCs w:val="18"/>
              </w:rPr>
              <w:t>件</w:t>
            </w:r>
          </w:p>
        </w:tc>
        <w:tc>
          <w:tcPr>
            <w:tcW w:w="628" w:type="dxa"/>
            <w:vAlign w:val="top"/>
          </w:tcPr>
          <w:p>
            <w:pPr>
              <w:spacing w:before="68" w:line="220" w:lineRule="auto"/>
              <w:ind w:left="128"/>
              <w:rPr>
                <w:rFonts w:ascii="SimSun" w:eastAsia="SimSun" w:hAnsi="SimSun" w:cs="SimSun"/>
                <w:sz w:val="18"/>
                <w:szCs w:val="18"/>
              </w:rPr>
            </w:pPr>
            <w:r>
              <w:rPr>
                <w:rFonts w:ascii="SimSun" w:eastAsia="SimSun" w:hAnsi="SimSun" w:cs="SimSun"/>
                <w:sz w:val="18"/>
                <w:szCs w:val="18"/>
              </w:rPr>
              <w:t>阳极</w:t>
            </w:r>
          </w:p>
          <w:p>
            <w:pPr>
              <w:spacing w:before="97" w:line="219" w:lineRule="auto"/>
              <w:ind w:left="114"/>
              <w:rPr>
                <w:rFonts w:ascii="SimSun" w:eastAsia="SimSun" w:hAnsi="SimSun" w:cs="SimSun"/>
                <w:sz w:val="18"/>
                <w:szCs w:val="18"/>
              </w:rPr>
            </w:pPr>
            <w:r>
              <w:rPr>
                <w:rFonts w:ascii="SimSun" w:eastAsia="SimSun" w:hAnsi="SimSun" w:cs="SimSun"/>
                <w:spacing w:val="7"/>
                <w:sz w:val="18"/>
                <w:szCs w:val="18"/>
              </w:rPr>
              <w:t>靶材</w:t>
            </w:r>
          </w:p>
          <w:p>
            <w:pPr>
              <w:spacing w:before="98" w:line="220" w:lineRule="auto"/>
              <w:ind w:left="216"/>
              <w:rPr>
                <w:rFonts w:ascii="SimSun" w:eastAsia="SimSun" w:hAnsi="SimSun" w:cs="SimSun"/>
                <w:sz w:val="18"/>
                <w:szCs w:val="18"/>
              </w:rPr>
            </w:pPr>
            <w:r>
              <w:rPr>
                <w:rFonts w:ascii="SimSun" w:eastAsia="SimSun" w:hAnsi="SimSun" w:cs="SimSun"/>
                <w:sz w:val="18"/>
                <w:szCs w:val="18"/>
              </w:rPr>
              <w:t>料</w:t>
            </w:r>
          </w:p>
        </w:tc>
        <w:tc>
          <w:tcPr>
            <w:tcW w:w="1281" w:type="dxa"/>
            <w:vAlign w:val="top"/>
          </w:tcPr>
          <w:p>
            <w:pPr>
              <w:spacing w:line="319" w:lineRule="auto"/>
              <w:rPr>
                <w:rFonts w:ascii="Arial"/>
                <w:sz w:val="21"/>
              </w:rPr>
            </w:pPr>
          </w:p>
          <w:p>
            <w:pPr>
              <w:spacing w:before="59" w:line="223" w:lineRule="auto"/>
              <w:ind w:left="543"/>
              <w:rPr>
                <w:rFonts w:ascii="SimSun" w:eastAsia="SimSun" w:hAnsi="SimSun" w:cs="SimSun"/>
                <w:sz w:val="18"/>
                <w:szCs w:val="18"/>
              </w:rPr>
            </w:pPr>
            <w:r>
              <w:rPr>
                <w:rFonts w:ascii="SimSun" w:eastAsia="SimSun" w:hAnsi="SimSun" w:cs="SimSun"/>
                <w:sz w:val="18"/>
                <w:szCs w:val="18"/>
              </w:rPr>
              <w:t>银</w:t>
            </w:r>
          </w:p>
        </w:tc>
        <w:tc>
          <w:tcPr>
            <w:tcW w:w="917" w:type="dxa"/>
            <w:vAlign w:val="top"/>
          </w:tcPr>
          <w:p>
            <w:pPr>
              <w:spacing w:line="319" w:lineRule="auto"/>
              <w:rPr>
                <w:rFonts w:ascii="Arial"/>
                <w:sz w:val="21"/>
              </w:rPr>
            </w:pPr>
          </w:p>
          <w:p>
            <w:pPr>
              <w:spacing w:before="59" w:line="223" w:lineRule="auto"/>
              <w:ind w:left="360"/>
              <w:rPr>
                <w:rFonts w:ascii="SimSun" w:eastAsia="SimSun" w:hAnsi="SimSun" w:cs="SimSun"/>
                <w:sz w:val="18"/>
                <w:szCs w:val="18"/>
              </w:rPr>
            </w:pPr>
            <w:r>
              <w:rPr>
                <w:rFonts w:ascii="SimSun" w:eastAsia="SimSun" w:hAnsi="SimSun" w:cs="SimSun"/>
                <w:sz w:val="18"/>
                <w:szCs w:val="18"/>
              </w:rPr>
              <w:t>银</w:t>
            </w:r>
          </w:p>
        </w:tc>
        <w:tc>
          <w:tcPr>
            <w:tcW w:w="1319" w:type="dxa"/>
            <w:vAlign w:val="top"/>
          </w:tcPr>
          <w:p>
            <w:pPr>
              <w:spacing w:line="319" w:lineRule="auto"/>
              <w:rPr>
                <w:rFonts w:ascii="Arial"/>
                <w:sz w:val="21"/>
              </w:rPr>
            </w:pPr>
          </w:p>
          <w:p>
            <w:pPr>
              <w:spacing w:before="59" w:line="223" w:lineRule="auto"/>
              <w:ind w:left="564"/>
              <w:rPr>
                <w:rFonts w:ascii="SimSun" w:eastAsia="SimSun" w:hAnsi="SimSun" w:cs="SimSun"/>
                <w:sz w:val="18"/>
                <w:szCs w:val="18"/>
              </w:rPr>
            </w:pPr>
            <w:r>
              <w:rPr>
                <w:rFonts w:ascii="SimSun" w:eastAsia="SimSun" w:hAnsi="SimSun" w:cs="SimSun"/>
                <w:sz w:val="18"/>
                <w:szCs w:val="18"/>
              </w:rPr>
              <w:t>银</w:t>
            </w:r>
          </w:p>
        </w:tc>
        <w:tc>
          <w:tcPr>
            <w:tcW w:w="1154" w:type="dxa"/>
            <w:vAlign w:val="top"/>
          </w:tcPr>
          <w:p>
            <w:pPr>
              <w:spacing w:line="319" w:lineRule="auto"/>
              <w:rPr>
                <w:rFonts w:ascii="Arial"/>
                <w:sz w:val="21"/>
              </w:rPr>
            </w:pPr>
          </w:p>
          <w:p>
            <w:pPr>
              <w:spacing w:before="59" w:line="223" w:lineRule="auto"/>
              <w:ind w:left="481"/>
              <w:rPr>
                <w:rFonts w:ascii="SimSun" w:eastAsia="SimSun" w:hAnsi="SimSun" w:cs="SimSun"/>
                <w:sz w:val="18"/>
                <w:szCs w:val="18"/>
              </w:rPr>
            </w:pPr>
            <w:r>
              <w:rPr>
                <w:rFonts w:ascii="SimSun" w:eastAsia="SimSun" w:hAnsi="SimSun" w:cs="SimSun"/>
                <w:sz w:val="18"/>
                <w:szCs w:val="18"/>
              </w:rPr>
              <w:t>银</w:t>
            </w:r>
          </w:p>
        </w:tc>
        <w:tc>
          <w:tcPr>
            <w:tcW w:w="1334" w:type="dxa"/>
            <w:vAlign w:val="top"/>
          </w:tcPr>
          <w:p>
            <w:pPr>
              <w:spacing w:line="319" w:lineRule="auto"/>
              <w:rPr>
                <w:rFonts w:ascii="Arial"/>
                <w:sz w:val="21"/>
              </w:rPr>
            </w:pPr>
          </w:p>
          <w:p>
            <w:pPr>
              <w:spacing w:before="58" w:line="227" w:lineRule="auto"/>
              <w:ind w:left="571"/>
              <w:rPr>
                <w:rFonts w:ascii="SimSun" w:eastAsia="SimSun" w:hAnsi="SimSun" w:cs="SimSun"/>
                <w:sz w:val="18"/>
                <w:szCs w:val="18"/>
              </w:rPr>
            </w:pPr>
            <w:r>
              <w:rPr>
                <w:rFonts w:ascii="SimSun" w:eastAsia="SimSun" w:hAnsi="SimSun" w:cs="SimSun"/>
                <w:sz w:val="18"/>
                <w:szCs w:val="18"/>
              </w:rPr>
              <w:t>铑</w:t>
            </w:r>
          </w:p>
        </w:tc>
        <w:tc>
          <w:tcPr>
            <w:tcW w:w="1306" w:type="dxa"/>
            <w:vAlign w:val="top"/>
          </w:tcPr>
          <w:p>
            <w:pPr>
              <w:spacing w:line="319" w:lineRule="auto"/>
              <w:rPr>
                <w:rFonts w:ascii="Arial"/>
                <w:sz w:val="21"/>
              </w:rPr>
            </w:pPr>
          </w:p>
          <w:p>
            <w:pPr>
              <w:spacing w:before="59" w:line="223" w:lineRule="auto"/>
              <w:ind w:left="559"/>
              <w:rPr>
                <w:rFonts w:ascii="SimSun" w:eastAsia="SimSun" w:hAnsi="SimSun" w:cs="SimSun"/>
                <w:sz w:val="18"/>
                <w:szCs w:val="18"/>
              </w:rPr>
            </w:pPr>
            <w:r>
              <w:rPr>
                <w:rFonts w:ascii="SimSun" w:eastAsia="SimSun" w:hAnsi="SimSun" w:cs="SimSun"/>
                <w:sz w:val="18"/>
                <w:szCs w:val="18"/>
              </w:rPr>
              <w:t>银</w:t>
            </w:r>
          </w:p>
        </w:tc>
        <w:tc>
          <w:tcPr>
            <w:tcW w:w="1324" w:type="dxa"/>
            <w:vAlign w:val="top"/>
          </w:tcPr>
          <w:p>
            <w:pPr>
              <w:spacing w:line="319" w:lineRule="auto"/>
              <w:rPr>
                <w:rFonts w:ascii="Arial"/>
                <w:sz w:val="21"/>
              </w:rPr>
            </w:pPr>
          </w:p>
          <w:p>
            <w:pPr>
              <w:spacing w:before="58" w:line="220" w:lineRule="auto"/>
              <w:ind w:left="565"/>
              <w:rPr>
                <w:rFonts w:ascii="SimSun" w:eastAsia="SimSun" w:hAnsi="SimSun" w:cs="SimSun"/>
                <w:sz w:val="18"/>
                <w:szCs w:val="18"/>
              </w:rPr>
            </w:pPr>
            <w:r>
              <w:rPr>
                <w:rFonts w:ascii="SimSun" w:eastAsia="SimSun" w:hAnsi="SimSun" w:cs="SimSun"/>
                <w:sz w:val="18"/>
                <w:szCs w:val="18"/>
              </w:rPr>
              <w:t>钨</w:t>
            </w:r>
          </w:p>
        </w:tc>
      </w:tr>
      <w:tr>
        <w:tblPrEx>
          <w:tblW w:w="9659" w:type="dxa"/>
          <w:tblInd w:w="2" w:type="dxa"/>
          <w:tblLayout w:type="fixed"/>
        </w:tblPrEx>
        <w:trPr>
          <w:trHeight w:val="629"/>
        </w:trPr>
        <w:tc>
          <w:tcPr>
            <w:tcW w:w="396" w:type="dxa"/>
            <w:vMerge/>
            <w:tcBorders>
              <w:top w:val="nil"/>
              <w:bottom w:val="nil"/>
            </w:tcBorders>
            <w:textDirection w:val="tbRlV"/>
            <w:vAlign w:val="top"/>
          </w:tcPr>
          <w:p>
            <w:pPr>
              <w:rPr>
                <w:rFonts w:ascii="Arial"/>
                <w:sz w:val="21"/>
              </w:rPr>
            </w:pPr>
          </w:p>
        </w:tc>
        <w:tc>
          <w:tcPr>
            <w:tcW w:w="628" w:type="dxa"/>
            <w:vAlign w:val="top"/>
          </w:tcPr>
          <w:p>
            <w:pPr>
              <w:spacing w:before="68" w:line="345" w:lineRule="exact"/>
              <w:ind w:left="118"/>
              <w:rPr>
                <w:rFonts w:ascii="SimSun" w:eastAsia="SimSun" w:hAnsi="SimSun" w:cs="SimSun"/>
                <w:sz w:val="18"/>
                <w:szCs w:val="18"/>
              </w:rPr>
            </w:pPr>
            <w:r>
              <w:rPr>
                <w:rFonts w:ascii="SimSun" w:eastAsia="SimSun" w:hAnsi="SimSun" w:cs="SimSun"/>
                <w:spacing w:val="5"/>
                <w:position w:val="12"/>
                <w:sz w:val="18"/>
                <w:szCs w:val="18"/>
              </w:rPr>
              <w:t>功率</w:t>
            </w:r>
          </w:p>
          <w:p>
            <w:pPr>
              <w:pStyle w:val="TableText"/>
              <w:spacing w:line="183" w:lineRule="auto"/>
              <w:ind w:left="221"/>
              <w:rPr>
                <w:sz w:val="18"/>
                <w:szCs w:val="18"/>
              </w:rPr>
            </w:pPr>
            <w:r>
              <w:rPr>
                <w:sz w:val="18"/>
                <w:szCs w:val="18"/>
              </w:rPr>
              <w:t>W</w:t>
            </w:r>
          </w:p>
        </w:tc>
        <w:tc>
          <w:tcPr>
            <w:tcW w:w="1281" w:type="dxa"/>
            <w:vAlign w:val="top"/>
          </w:tcPr>
          <w:p>
            <w:pPr>
              <w:pStyle w:val="TableText"/>
              <w:spacing w:before="255" w:line="186" w:lineRule="auto"/>
              <w:ind w:left="590"/>
              <w:rPr>
                <w:sz w:val="18"/>
                <w:szCs w:val="18"/>
              </w:rPr>
            </w:pPr>
            <w:r>
              <w:rPr>
                <w:sz w:val="18"/>
                <w:szCs w:val="18"/>
              </w:rPr>
              <w:t>2</w:t>
            </w:r>
          </w:p>
        </w:tc>
        <w:tc>
          <w:tcPr>
            <w:tcW w:w="917" w:type="dxa"/>
            <w:vAlign w:val="top"/>
          </w:tcPr>
          <w:p>
            <w:pPr>
              <w:pStyle w:val="TableText"/>
              <w:spacing w:before="255" w:line="186" w:lineRule="auto"/>
              <w:ind w:left="373"/>
              <w:rPr>
                <w:sz w:val="18"/>
                <w:szCs w:val="18"/>
              </w:rPr>
            </w:pPr>
            <w:r>
              <w:rPr>
                <w:spacing w:val="-3"/>
                <w:sz w:val="18"/>
                <w:szCs w:val="18"/>
              </w:rPr>
              <w:t>10</w:t>
            </w:r>
          </w:p>
        </w:tc>
        <w:tc>
          <w:tcPr>
            <w:tcW w:w="1319" w:type="dxa"/>
            <w:vAlign w:val="top"/>
          </w:tcPr>
          <w:p>
            <w:pPr>
              <w:pStyle w:val="TableText"/>
              <w:spacing w:before="255" w:line="186" w:lineRule="auto"/>
              <w:ind w:left="609"/>
              <w:rPr>
                <w:sz w:val="18"/>
                <w:szCs w:val="18"/>
              </w:rPr>
            </w:pPr>
            <w:r>
              <w:rPr>
                <w:sz w:val="18"/>
                <w:szCs w:val="18"/>
              </w:rPr>
              <w:t>4</w:t>
            </w:r>
          </w:p>
        </w:tc>
        <w:tc>
          <w:tcPr>
            <w:tcW w:w="1154" w:type="dxa"/>
            <w:vAlign w:val="top"/>
          </w:tcPr>
          <w:p>
            <w:pPr>
              <w:pStyle w:val="TableText"/>
              <w:spacing w:before="257" w:line="183" w:lineRule="auto"/>
              <w:ind w:left="532"/>
              <w:rPr>
                <w:sz w:val="18"/>
                <w:szCs w:val="18"/>
              </w:rPr>
            </w:pPr>
            <w:r>
              <w:rPr>
                <w:sz w:val="18"/>
                <w:szCs w:val="18"/>
              </w:rPr>
              <w:t>5</w:t>
            </w:r>
          </w:p>
        </w:tc>
        <w:tc>
          <w:tcPr>
            <w:tcW w:w="1334" w:type="dxa"/>
            <w:vAlign w:val="top"/>
          </w:tcPr>
          <w:p>
            <w:pPr>
              <w:pStyle w:val="TableText"/>
              <w:spacing w:before="255" w:line="186" w:lineRule="auto"/>
              <w:ind w:left="586"/>
              <w:rPr>
                <w:sz w:val="18"/>
                <w:szCs w:val="18"/>
              </w:rPr>
            </w:pPr>
            <w:r>
              <w:rPr>
                <w:spacing w:val="-3"/>
                <w:sz w:val="18"/>
                <w:szCs w:val="18"/>
              </w:rPr>
              <w:t>12</w:t>
            </w:r>
          </w:p>
        </w:tc>
        <w:tc>
          <w:tcPr>
            <w:tcW w:w="1306" w:type="dxa"/>
            <w:vAlign w:val="top"/>
          </w:tcPr>
          <w:p>
            <w:pPr>
              <w:pStyle w:val="TableText"/>
              <w:spacing w:before="255" w:line="186" w:lineRule="auto"/>
              <w:ind w:left="572"/>
              <w:rPr>
                <w:sz w:val="18"/>
                <w:szCs w:val="18"/>
              </w:rPr>
            </w:pPr>
            <w:r>
              <w:rPr>
                <w:spacing w:val="-3"/>
                <w:sz w:val="18"/>
                <w:szCs w:val="18"/>
              </w:rPr>
              <w:t>10</w:t>
            </w:r>
          </w:p>
        </w:tc>
        <w:tc>
          <w:tcPr>
            <w:tcW w:w="1324" w:type="dxa"/>
            <w:vAlign w:val="top"/>
          </w:tcPr>
          <w:p>
            <w:pPr>
              <w:pStyle w:val="TableText"/>
              <w:spacing w:before="255" w:line="186" w:lineRule="auto"/>
              <w:ind w:left="567"/>
              <w:rPr>
                <w:sz w:val="18"/>
                <w:szCs w:val="18"/>
              </w:rPr>
            </w:pPr>
            <w:r>
              <w:rPr>
                <w:spacing w:val="1"/>
                <w:sz w:val="18"/>
                <w:szCs w:val="18"/>
              </w:rPr>
              <w:t>50</w:t>
            </w:r>
          </w:p>
        </w:tc>
      </w:tr>
      <w:tr>
        <w:tblPrEx>
          <w:tblW w:w="9659" w:type="dxa"/>
          <w:tblInd w:w="2" w:type="dxa"/>
          <w:tblLayout w:type="fixed"/>
        </w:tblPrEx>
        <w:trPr>
          <w:trHeight w:val="941"/>
        </w:trPr>
        <w:tc>
          <w:tcPr>
            <w:tcW w:w="396" w:type="dxa"/>
            <w:vMerge/>
            <w:tcBorders>
              <w:top w:val="nil"/>
              <w:bottom w:val="nil"/>
            </w:tcBorders>
            <w:textDirection w:val="tbRlV"/>
            <w:vAlign w:val="top"/>
          </w:tcPr>
          <w:p>
            <w:pPr>
              <w:rPr>
                <w:rFonts w:ascii="Arial"/>
                <w:sz w:val="21"/>
              </w:rPr>
            </w:pPr>
          </w:p>
        </w:tc>
        <w:tc>
          <w:tcPr>
            <w:tcW w:w="628" w:type="dxa"/>
            <w:vAlign w:val="top"/>
          </w:tcPr>
          <w:p>
            <w:pPr>
              <w:spacing w:before="68" w:line="312" w:lineRule="exact"/>
              <w:ind w:left="117"/>
              <w:rPr>
                <w:rFonts w:ascii="SimSun" w:eastAsia="SimSun" w:hAnsi="SimSun" w:cs="SimSun"/>
                <w:sz w:val="18"/>
                <w:szCs w:val="18"/>
              </w:rPr>
            </w:pPr>
            <w:r>
              <w:rPr>
                <w:rFonts w:ascii="SimSun" w:eastAsia="SimSun" w:hAnsi="SimSun" w:cs="SimSun"/>
                <w:spacing w:val="6"/>
                <w:position w:val="10"/>
                <w:sz w:val="18"/>
                <w:szCs w:val="18"/>
              </w:rPr>
              <w:t>最大</w:t>
            </w:r>
          </w:p>
          <w:p>
            <w:pPr>
              <w:spacing w:line="223" w:lineRule="auto"/>
              <w:ind w:left="136"/>
              <w:rPr>
                <w:rFonts w:ascii="SimSun" w:eastAsia="SimSun" w:hAnsi="SimSun" w:cs="SimSun"/>
                <w:sz w:val="18"/>
                <w:szCs w:val="18"/>
              </w:rPr>
            </w:pPr>
            <w:r>
              <w:rPr>
                <w:rFonts w:ascii="SimSun" w:eastAsia="SimSun" w:hAnsi="SimSun" w:cs="SimSun"/>
                <w:spacing w:val="-2"/>
                <w:sz w:val="18"/>
                <w:szCs w:val="18"/>
              </w:rPr>
              <w:t>电压</w:t>
            </w:r>
          </w:p>
          <w:p>
            <w:pPr>
              <w:pStyle w:val="TableText"/>
              <w:spacing w:before="121" w:line="190" w:lineRule="auto"/>
              <w:ind w:left="188"/>
              <w:rPr>
                <w:sz w:val="18"/>
                <w:szCs w:val="18"/>
              </w:rPr>
            </w:pPr>
            <w:r>
              <w:rPr>
                <w:spacing w:val="4"/>
                <w:sz w:val="18"/>
                <w:szCs w:val="18"/>
              </w:rPr>
              <w:t>kV</w:t>
            </w:r>
          </w:p>
        </w:tc>
        <w:tc>
          <w:tcPr>
            <w:tcW w:w="1281" w:type="dxa"/>
            <w:vAlign w:val="top"/>
          </w:tcPr>
          <w:p>
            <w:pPr>
              <w:spacing w:line="357" w:lineRule="auto"/>
              <w:rPr>
                <w:rFonts w:ascii="Arial"/>
                <w:sz w:val="21"/>
              </w:rPr>
            </w:pPr>
          </w:p>
          <w:p>
            <w:pPr>
              <w:pStyle w:val="TableText"/>
              <w:spacing w:before="52" w:line="186" w:lineRule="auto"/>
              <w:ind w:left="544"/>
              <w:rPr>
                <w:sz w:val="18"/>
                <w:szCs w:val="18"/>
              </w:rPr>
            </w:pPr>
            <w:r>
              <w:rPr>
                <w:spacing w:val="1"/>
                <w:sz w:val="18"/>
                <w:szCs w:val="18"/>
              </w:rPr>
              <w:t>50</w:t>
            </w:r>
          </w:p>
        </w:tc>
        <w:tc>
          <w:tcPr>
            <w:tcW w:w="917" w:type="dxa"/>
            <w:vAlign w:val="top"/>
          </w:tcPr>
          <w:p>
            <w:pPr>
              <w:spacing w:line="357" w:lineRule="auto"/>
              <w:rPr>
                <w:rFonts w:ascii="Arial"/>
                <w:sz w:val="21"/>
              </w:rPr>
            </w:pPr>
          </w:p>
          <w:p>
            <w:pPr>
              <w:pStyle w:val="TableText"/>
              <w:spacing w:before="52" w:line="186" w:lineRule="auto"/>
              <w:ind w:left="355"/>
              <w:rPr>
                <w:sz w:val="18"/>
                <w:szCs w:val="18"/>
              </w:rPr>
            </w:pPr>
            <w:r>
              <w:rPr>
                <w:spacing w:val="3"/>
                <w:sz w:val="18"/>
                <w:szCs w:val="18"/>
              </w:rPr>
              <w:t>45</w:t>
            </w:r>
          </w:p>
        </w:tc>
        <w:tc>
          <w:tcPr>
            <w:tcW w:w="1319" w:type="dxa"/>
            <w:vAlign w:val="top"/>
          </w:tcPr>
          <w:p>
            <w:pPr>
              <w:spacing w:line="357" w:lineRule="auto"/>
              <w:rPr>
                <w:rFonts w:ascii="Arial"/>
                <w:sz w:val="21"/>
              </w:rPr>
            </w:pPr>
          </w:p>
          <w:p>
            <w:pPr>
              <w:pStyle w:val="TableText"/>
              <w:spacing w:before="52" w:line="186" w:lineRule="auto"/>
              <w:ind w:left="565"/>
              <w:rPr>
                <w:sz w:val="18"/>
                <w:szCs w:val="18"/>
              </w:rPr>
            </w:pPr>
            <w:r>
              <w:rPr>
                <w:spacing w:val="1"/>
                <w:sz w:val="18"/>
                <w:szCs w:val="18"/>
              </w:rPr>
              <w:t>50</w:t>
            </w:r>
          </w:p>
        </w:tc>
        <w:tc>
          <w:tcPr>
            <w:tcW w:w="1154" w:type="dxa"/>
            <w:vAlign w:val="top"/>
          </w:tcPr>
          <w:p>
            <w:pPr>
              <w:spacing w:line="357" w:lineRule="auto"/>
              <w:rPr>
                <w:rFonts w:ascii="Arial"/>
                <w:sz w:val="21"/>
              </w:rPr>
            </w:pPr>
          </w:p>
          <w:p>
            <w:pPr>
              <w:pStyle w:val="TableText"/>
              <w:spacing w:before="52" w:line="186" w:lineRule="auto"/>
              <w:ind w:left="482"/>
              <w:rPr>
                <w:sz w:val="18"/>
                <w:szCs w:val="18"/>
              </w:rPr>
            </w:pPr>
            <w:r>
              <w:rPr>
                <w:spacing w:val="1"/>
                <w:sz w:val="18"/>
                <w:szCs w:val="18"/>
              </w:rPr>
              <w:t>50</w:t>
            </w:r>
          </w:p>
        </w:tc>
        <w:tc>
          <w:tcPr>
            <w:tcW w:w="1334" w:type="dxa"/>
            <w:vAlign w:val="top"/>
          </w:tcPr>
          <w:p>
            <w:pPr>
              <w:spacing w:line="357" w:lineRule="auto"/>
              <w:rPr>
                <w:rFonts w:ascii="Arial"/>
                <w:sz w:val="21"/>
              </w:rPr>
            </w:pPr>
          </w:p>
          <w:p>
            <w:pPr>
              <w:pStyle w:val="TableText"/>
              <w:spacing w:before="52" w:line="186" w:lineRule="auto"/>
              <w:ind w:left="572"/>
              <w:rPr>
                <w:sz w:val="18"/>
                <w:szCs w:val="18"/>
              </w:rPr>
            </w:pPr>
            <w:r>
              <w:rPr>
                <w:spacing w:val="2"/>
                <w:sz w:val="18"/>
                <w:szCs w:val="18"/>
              </w:rPr>
              <w:t>70</w:t>
            </w:r>
          </w:p>
        </w:tc>
        <w:tc>
          <w:tcPr>
            <w:tcW w:w="1306" w:type="dxa"/>
            <w:vAlign w:val="top"/>
          </w:tcPr>
          <w:p>
            <w:pPr>
              <w:spacing w:line="353" w:lineRule="auto"/>
              <w:rPr>
                <w:rFonts w:ascii="Arial"/>
                <w:sz w:val="21"/>
              </w:rPr>
            </w:pPr>
          </w:p>
          <w:p>
            <w:pPr>
              <w:pStyle w:val="TableText"/>
              <w:spacing w:before="52" w:line="190" w:lineRule="auto"/>
              <w:ind w:left="437"/>
              <w:rPr>
                <w:sz w:val="18"/>
                <w:szCs w:val="18"/>
              </w:rPr>
            </w:pPr>
            <w:r>
              <w:rPr>
                <w:spacing w:val="11"/>
                <w:sz w:val="18"/>
                <w:szCs w:val="18"/>
              </w:rPr>
              <w:t>50</w:t>
            </w:r>
            <w:r>
              <w:rPr>
                <w:sz w:val="18"/>
                <w:szCs w:val="18"/>
              </w:rPr>
              <w:t>kV</w:t>
            </w:r>
          </w:p>
        </w:tc>
        <w:tc>
          <w:tcPr>
            <w:tcW w:w="1324" w:type="dxa"/>
            <w:vAlign w:val="top"/>
          </w:tcPr>
          <w:p>
            <w:pPr>
              <w:spacing w:line="357" w:lineRule="auto"/>
              <w:rPr>
                <w:rFonts w:ascii="Arial"/>
                <w:sz w:val="21"/>
              </w:rPr>
            </w:pPr>
          </w:p>
          <w:p>
            <w:pPr>
              <w:pStyle w:val="TableText"/>
              <w:spacing w:before="52" w:line="186" w:lineRule="auto"/>
              <w:ind w:left="567"/>
              <w:rPr>
                <w:sz w:val="18"/>
                <w:szCs w:val="18"/>
              </w:rPr>
            </w:pPr>
            <w:r>
              <w:rPr>
                <w:spacing w:val="1"/>
                <w:sz w:val="18"/>
                <w:szCs w:val="18"/>
              </w:rPr>
              <w:t>50</w:t>
            </w:r>
          </w:p>
        </w:tc>
      </w:tr>
      <w:tr>
        <w:tblPrEx>
          <w:tblW w:w="9659" w:type="dxa"/>
          <w:tblInd w:w="2" w:type="dxa"/>
          <w:tblLayout w:type="fixed"/>
        </w:tblPrEx>
        <w:trPr>
          <w:trHeight w:val="940"/>
        </w:trPr>
        <w:tc>
          <w:tcPr>
            <w:tcW w:w="396" w:type="dxa"/>
            <w:vMerge/>
            <w:tcBorders>
              <w:top w:val="nil"/>
              <w:bottom w:val="nil"/>
            </w:tcBorders>
            <w:textDirection w:val="tbRlV"/>
            <w:vAlign w:val="top"/>
          </w:tcPr>
          <w:p>
            <w:pPr>
              <w:rPr>
                <w:rFonts w:ascii="Arial"/>
                <w:sz w:val="21"/>
              </w:rPr>
            </w:pPr>
          </w:p>
        </w:tc>
        <w:tc>
          <w:tcPr>
            <w:tcW w:w="628" w:type="dxa"/>
            <w:vAlign w:val="top"/>
          </w:tcPr>
          <w:p>
            <w:pPr>
              <w:spacing w:before="68" w:line="312" w:lineRule="exact"/>
              <w:ind w:left="272"/>
              <w:rPr>
                <w:rFonts w:ascii="SimSun" w:eastAsia="SimSun" w:hAnsi="SimSun" w:cs="SimSun"/>
                <w:sz w:val="18"/>
                <w:szCs w:val="18"/>
              </w:rPr>
            </w:pPr>
            <w:r>
              <w:rPr>
                <w:rFonts w:ascii="SimSun" w:eastAsia="SimSun" w:hAnsi="SimSun" w:cs="SimSun"/>
                <w:position w:val="10"/>
                <w:sz w:val="18"/>
                <w:szCs w:val="18"/>
              </w:rPr>
              <w:t>光</w:t>
            </w:r>
          </w:p>
          <w:p>
            <w:pPr>
              <w:spacing w:line="218" w:lineRule="auto"/>
              <w:ind w:left="114"/>
              <w:rPr>
                <w:rFonts w:ascii="SimSun" w:eastAsia="SimSun" w:hAnsi="SimSun" w:cs="SimSun"/>
                <w:sz w:val="18"/>
                <w:szCs w:val="18"/>
              </w:rPr>
            </w:pPr>
            <w:r>
              <w:rPr>
                <w:rFonts w:ascii="SimSun" w:eastAsia="SimSun" w:hAnsi="SimSun" w:cs="SimSun"/>
                <w:spacing w:val="7"/>
                <w:sz w:val="18"/>
                <w:szCs w:val="18"/>
              </w:rPr>
              <w:t>源供</w:t>
            </w:r>
          </w:p>
          <w:p>
            <w:pPr>
              <w:spacing w:before="98" w:line="220" w:lineRule="auto"/>
              <w:ind w:left="115"/>
              <w:rPr>
                <w:rFonts w:ascii="SimSun" w:eastAsia="SimSun" w:hAnsi="SimSun" w:cs="SimSun"/>
                <w:sz w:val="18"/>
                <w:szCs w:val="18"/>
              </w:rPr>
            </w:pPr>
            <w:r>
              <w:rPr>
                <w:rFonts w:ascii="SimSun" w:eastAsia="SimSun" w:hAnsi="SimSun" w:cs="SimSun"/>
                <w:spacing w:val="7"/>
                <w:sz w:val="18"/>
                <w:szCs w:val="18"/>
              </w:rPr>
              <w:t>应商</w:t>
            </w:r>
          </w:p>
        </w:tc>
        <w:tc>
          <w:tcPr>
            <w:tcW w:w="1281" w:type="dxa"/>
            <w:vAlign w:val="top"/>
          </w:tcPr>
          <w:p>
            <w:pPr>
              <w:spacing w:before="224" w:line="220" w:lineRule="auto"/>
              <w:ind w:left="443"/>
              <w:rPr>
                <w:rFonts w:ascii="SimSun" w:eastAsia="SimSun" w:hAnsi="SimSun" w:cs="SimSun"/>
                <w:sz w:val="18"/>
                <w:szCs w:val="18"/>
              </w:rPr>
            </w:pPr>
            <w:r>
              <w:rPr>
                <w:rFonts w:ascii="SimSun" w:eastAsia="SimSun" w:hAnsi="SimSun" w:cs="SimSun"/>
                <w:spacing w:val="6"/>
                <w:sz w:val="18"/>
                <w:szCs w:val="18"/>
              </w:rPr>
              <w:t>美国</w:t>
            </w:r>
          </w:p>
          <w:p>
            <w:pPr>
              <w:pStyle w:val="TableText"/>
              <w:spacing w:before="127" w:line="186" w:lineRule="auto"/>
              <w:ind w:left="222"/>
              <w:rPr>
                <w:sz w:val="18"/>
                <w:szCs w:val="18"/>
              </w:rPr>
            </w:pPr>
            <w:r>
              <w:rPr>
                <w:spacing w:val="8"/>
                <w:sz w:val="18"/>
                <w:szCs w:val="18"/>
              </w:rPr>
              <w:t>MOXTEK</w:t>
            </w:r>
          </w:p>
        </w:tc>
        <w:tc>
          <w:tcPr>
            <w:tcW w:w="917" w:type="dxa"/>
            <w:vAlign w:val="top"/>
          </w:tcPr>
          <w:p>
            <w:pPr>
              <w:spacing w:before="68" w:line="220" w:lineRule="auto"/>
              <w:ind w:left="259"/>
              <w:rPr>
                <w:rFonts w:ascii="SimSun" w:eastAsia="SimSun" w:hAnsi="SimSun" w:cs="SimSun"/>
                <w:sz w:val="18"/>
                <w:szCs w:val="18"/>
              </w:rPr>
            </w:pPr>
            <w:r>
              <w:rPr>
                <w:rFonts w:ascii="SimSun" w:eastAsia="SimSun" w:hAnsi="SimSun" w:cs="SimSun"/>
                <w:spacing w:val="6"/>
                <w:sz w:val="18"/>
                <w:szCs w:val="18"/>
              </w:rPr>
              <w:t>美国</w:t>
            </w:r>
          </w:p>
          <w:p>
            <w:pPr>
              <w:pStyle w:val="TableText"/>
              <w:spacing w:before="127" w:line="186" w:lineRule="auto"/>
              <w:ind w:left="107"/>
              <w:rPr>
                <w:sz w:val="18"/>
                <w:szCs w:val="18"/>
              </w:rPr>
            </w:pPr>
            <w:r>
              <w:rPr>
                <w:spacing w:val="8"/>
                <w:sz w:val="18"/>
                <w:szCs w:val="18"/>
              </w:rPr>
              <w:t>MOXTE</w:t>
            </w:r>
          </w:p>
          <w:p>
            <w:pPr>
              <w:pStyle w:val="TableText"/>
              <w:spacing w:before="154" w:line="183" w:lineRule="auto"/>
              <w:ind w:left="386"/>
              <w:rPr>
                <w:sz w:val="18"/>
                <w:szCs w:val="18"/>
              </w:rPr>
            </w:pPr>
            <w:r>
              <w:rPr>
                <w:sz w:val="18"/>
                <w:szCs w:val="18"/>
              </w:rPr>
              <w:t>K</w:t>
            </w:r>
          </w:p>
        </w:tc>
        <w:tc>
          <w:tcPr>
            <w:tcW w:w="1319" w:type="dxa"/>
            <w:vAlign w:val="top"/>
          </w:tcPr>
          <w:p>
            <w:pPr>
              <w:spacing w:line="359" w:lineRule="auto"/>
              <w:rPr>
                <w:rFonts w:ascii="Arial"/>
                <w:sz w:val="21"/>
              </w:rPr>
            </w:pPr>
          </w:p>
          <w:p>
            <w:pPr>
              <w:pStyle w:val="TableText"/>
              <w:spacing w:before="52" w:line="183" w:lineRule="auto"/>
              <w:ind w:left="335"/>
              <w:rPr>
                <w:sz w:val="18"/>
                <w:szCs w:val="18"/>
              </w:rPr>
            </w:pPr>
            <w:r>
              <w:rPr>
                <w:spacing w:val="9"/>
                <w:sz w:val="18"/>
                <w:szCs w:val="18"/>
              </w:rPr>
              <w:t>Newton</w:t>
            </w:r>
          </w:p>
        </w:tc>
        <w:tc>
          <w:tcPr>
            <w:tcW w:w="1154" w:type="dxa"/>
            <w:vAlign w:val="top"/>
          </w:tcPr>
          <w:p>
            <w:pPr>
              <w:spacing w:before="224" w:line="220" w:lineRule="auto"/>
              <w:ind w:left="381"/>
              <w:rPr>
                <w:rFonts w:ascii="SimSun" w:eastAsia="SimSun" w:hAnsi="SimSun" w:cs="SimSun"/>
                <w:sz w:val="18"/>
                <w:szCs w:val="18"/>
              </w:rPr>
            </w:pPr>
            <w:r>
              <w:rPr>
                <w:rFonts w:ascii="SimSun" w:eastAsia="SimSun" w:hAnsi="SimSun" w:cs="SimSun"/>
                <w:spacing w:val="6"/>
                <w:sz w:val="18"/>
                <w:szCs w:val="18"/>
              </w:rPr>
              <w:t>美国</w:t>
            </w:r>
          </w:p>
          <w:p>
            <w:pPr>
              <w:pStyle w:val="TableText"/>
              <w:spacing w:before="127" w:line="186" w:lineRule="auto"/>
              <w:ind w:left="159"/>
              <w:rPr>
                <w:sz w:val="18"/>
                <w:szCs w:val="18"/>
              </w:rPr>
            </w:pPr>
            <w:r>
              <w:rPr>
                <w:spacing w:val="8"/>
                <w:sz w:val="18"/>
                <w:szCs w:val="18"/>
              </w:rPr>
              <w:t>MOXTEK</w:t>
            </w:r>
          </w:p>
        </w:tc>
        <w:tc>
          <w:tcPr>
            <w:tcW w:w="1334" w:type="dxa"/>
            <w:vAlign w:val="top"/>
          </w:tcPr>
          <w:p>
            <w:pPr>
              <w:spacing w:before="224" w:line="220" w:lineRule="auto"/>
              <w:ind w:left="473"/>
              <w:rPr>
                <w:rFonts w:ascii="SimSun" w:eastAsia="SimSun" w:hAnsi="SimSun" w:cs="SimSun"/>
                <w:sz w:val="18"/>
                <w:szCs w:val="18"/>
              </w:rPr>
            </w:pPr>
            <w:r>
              <w:rPr>
                <w:rFonts w:ascii="SimSun" w:eastAsia="SimSun" w:hAnsi="SimSun" w:cs="SimSun"/>
                <w:spacing w:val="6"/>
                <w:sz w:val="18"/>
                <w:szCs w:val="18"/>
              </w:rPr>
              <w:t>美国</w:t>
            </w:r>
          </w:p>
          <w:p>
            <w:pPr>
              <w:pStyle w:val="TableText"/>
              <w:spacing w:before="127" w:line="186" w:lineRule="auto"/>
              <w:ind w:left="251"/>
              <w:rPr>
                <w:sz w:val="18"/>
                <w:szCs w:val="18"/>
              </w:rPr>
            </w:pPr>
            <w:r>
              <w:rPr>
                <w:spacing w:val="8"/>
                <w:sz w:val="18"/>
                <w:szCs w:val="18"/>
              </w:rPr>
              <w:t>MOXTEK</w:t>
            </w:r>
          </w:p>
        </w:tc>
        <w:tc>
          <w:tcPr>
            <w:tcW w:w="1306" w:type="dxa"/>
            <w:vAlign w:val="top"/>
          </w:tcPr>
          <w:p>
            <w:pPr>
              <w:spacing w:before="223" w:line="220" w:lineRule="auto"/>
              <w:ind w:left="158"/>
              <w:rPr>
                <w:rFonts w:ascii="SimSun" w:eastAsia="SimSun" w:hAnsi="SimSun" w:cs="SimSun"/>
                <w:sz w:val="18"/>
                <w:szCs w:val="18"/>
              </w:rPr>
            </w:pPr>
            <w:r>
              <w:rPr>
                <w:rFonts w:ascii="SimSun" w:eastAsia="SimSun" w:hAnsi="SimSun" w:cs="SimSun"/>
                <w:spacing w:val="16"/>
                <w:sz w:val="18"/>
                <w:szCs w:val="18"/>
              </w:rPr>
              <w:t>马尔文帕纳</w:t>
            </w:r>
          </w:p>
          <w:p>
            <w:pPr>
              <w:pStyle w:val="TableText"/>
              <w:spacing w:before="98" w:line="210" w:lineRule="auto"/>
              <w:ind w:left="385"/>
              <w:rPr>
                <w:sz w:val="18"/>
                <w:szCs w:val="18"/>
              </w:rPr>
            </w:pPr>
            <w:r>
              <w:rPr>
                <w:rFonts w:ascii="SimSun" w:eastAsia="SimSun" w:hAnsi="SimSun" w:cs="SimSun"/>
                <w:spacing w:val="13"/>
                <w:sz w:val="18"/>
                <w:szCs w:val="18"/>
              </w:rPr>
              <w:t>科</w:t>
            </w:r>
            <w:r>
              <w:rPr>
                <w:spacing w:val="13"/>
                <w:sz w:val="18"/>
                <w:szCs w:val="18"/>
              </w:rPr>
              <w:t>(</w:t>
            </w:r>
            <w:r>
              <w:rPr>
                <w:rFonts w:ascii="SimSun" w:eastAsia="SimSun" w:hAnsi="SimSun" w:cs="SimSun"/>
                <w:spacing w:val="13"/>
                <w:sz w:val="18"/>
                <w:szCs w:val="18"/>
              </w:rPr>
              <w:t>荷</w:t>
            </w:r>
            <w:r>
              <w:rPr>
                <w:spacing w:val="13"/>
                <w:sz w:val="18"/>
                <w:szCs w:val="18"/>
              </w:rPr>
              <w:t>)</w:t>
            </w:r>
          </w:p>
        </w:tc>
        <w:tc>
          <w:tcPr>
            <w:tcW w:w="1324" w:type="dxa"/>
            <w:vAlign w:val="top"/>
          </w:tcPr>
          <w:p>
            <w:pPr>
              <w:spacing w:line="319" w:lineRule="auto"/>
              <w:rPr>
                <w:rFonts w:ascii="Arial"/>
                <w:sz w:val="21"/>
              </w:rPr>
            </w:pPr>
          </w:p>
          <w:p>
            <w:pPr>
              <w:spacing w:before="58" w:line="220" w:lineRule="auto"/>
              <w:ind w:left="261"/>
              <w:rPr>
                <w:rFonts w:ascii="SimSun" w:eastAsia="SimSun" w:hAnsi="SimSun" w:cs="SimSun"/>
                <w:sz w:val="18"/>
                <w:szCs w:val="18"/>
              </w:rPr>
            </w:pPr>
            <w:r>
              <w:rPr>
                <w:rFonts w:ascii="SimSun" w:eastAsia="SimSun" w:hAnsi="SimSun" w:cs="SimSun"/>
                <w:spacing w:val="16"/>
                <w:sz w:val="18"/>
                <w:szCs w:val="18"/>
              </w:rPr>
              <w:t>浙江国产</w:t>
            </w:r>
          </w:p>
        </w:tc>
      </w:tr>
      <w:tr>
        <w:tblPrEx>
          <w:tblW w:w="9659" w:type="dxa"/>
          <w:tblInd w:w="2" w:type="dxa"/>
          <w:tblLayout w:type="fixed"/>
        </w:tblPrEx>
        <w:trPr>
          <w:trHeight w:val="1879"/>
        </w:trPr>
        <w:tc>
          <w:tcPr>
            <w:tcW w:w="396" w:type="dxa"/>
            <w:vMerge/>
            <w:tcBorders>
              <w:top w:val="nil"/>
              <w:bottom w:val="nil"/>
            </w:tcBorders>
            <w:textDirection w:val="tbRlV"/>
            <w:vAlign w:val="top"/>
          </w:tcPr>
          <w:p>
            <w:pPr>
              <w:rPr>
                <w:rFonts w:ascii="Arial"/>
                <w:sz w:val="21"/>
              </w:rPr>
            </w:pPr>
          </w:p>
        </w:tc>
        <w:tc>
          <w:tcPr>
            <w:tcW w:w="628" w:type="dxa"/>
            <w:vAlign w:val="top"/>
          </w:tcPr>
          <w:p>
            <w:pPr>
              <w:spacing w:line="322" w:lineRule="auto"/>
              <w:rPr>
                <w:rFonts w:ascii="Arial"/>
                <w:sz w:val="21"/>
              </w:rPr>
            </w:pPr>
          </w:p>
          <w:p>
            <w:pPr>
              <w:spacing w:before="59" w:line="221" w:lineRule="auto"/>
              <w:ind w:left="114"/>
              <w:rPr>
                <w:rFonts w:ascii="SimSun" w:eastAsia="SimSun" w:hAnsi="SimSun" w:cs="SimSun"/>
                <w:sz w:val="18"/>
                <w:szCs w:val="18"/>
              </w:rPr>
            </w:pPr>
            <w:r>
              <w:rPr>
                <w:rFonts w:ascii="SimSun" w:eastAsia="SimSun" w:hAnsi="SimSun" w:cs="SimSun"/>
                <w:spacing w:val="7"/>
                <w:sz w:val="18"/>
                <w:szCs w:val="18"/>
              </w:rPr>
              <w:t>探测</w:t>
            </w:r>
          </w:p>
          <w:p>
            <w:pPr>
              <w:spacing w:before="96" w:line="222" w:lineRule="auto"/>
              <w:ind w:left="115"/>
              <w:rPr>
                <w:rFonts w:ascii="SimSun" w:eastAsia="SimSun" w:hAnsi="SimSun" w:cs="SimSun"/>
                <w:sz w:val="18"/>
                <w:szCs w:val="18"/>
              </w:rPr>
            </w:pPr>
            <w:r>
              <w:rPr>
                <w:rFonts w:ascii="SimSun" w:eastAsia="SimSun" w:hAnsi="SimSun" w:cs="SimSun"/>
                <w:spacing w:val="7"/>
                <w:sz w:val="18"/>
                <w:szCs w:val="18"/>
              </w:rPr>
              <w:t>器及</w:t>
            </w:r>
          </w:p>
          <w:p>
            <w:pPr>
              <w:spacing w:before="94" w:line="220" w:lineRule="auto"/>
              <w:ind w:left="117"/>
              <w:rPr>
                <w:rFonts w:ascii="SimSun" w:eastAsia="SimSun" w:hAnsi="SimSun" w:cs="SimSun"/>
                <w:sz w:val="18"/>
                <w:szCs w:val="18"/>
              </w:rPr>
            </w:pPr>
            <w:r>
              <w:rPr>
                <w:rFonts w:ascii="SimSun" w:eastAsia="SimSun" w:hAnsi="SimSun" w:cs="SimSun"/>
                <w:spacing w:val="6"/>
                <w:sz w:val="18"/>
                <w:szCs w:val="18"/>
              </w:rPr>
              <w:t>分辨</w:t>
            </w:r>
          </w:p>
          <w:p>
            <w:pPr>
              <w:spacing w:before="97" w:line="220" w:lineRule="auto"/>
              <w:ind w:left="217"/>
              <w:rPr>
                <w:rFonts w:ascii="SimSun" w:eastAsia="SimSun" w:hAnsi="SimSun" w:cs="SimSun"/>
                <w:sz w:val="18"/>
                <w:szCs w:val="18"/>
              </w:rPr>
            </w:pPr>
            <w:r>
              <w:rPr>
                <w:rFonts w:ascii="SimSun" w:eastAsia="SimSun" w:hAnsi="SimSun" w:cs="SimSun"/>
                <w:sz w:val="18"/>
                <w:szCs w:val="18"/>
              </w:rPr>
              <w:t>率</w:t>
            </w:r>
          </w:p>
        </w:tc>
        <w:tc>
          <w:tcPr>
            <w:tcW w:w="1281" w:type="dxa"/>
            <w:vAlign w:val="top"/>
          </w:tcPr>
          <w:p>
            <w:pPr>
              <w:pStyle w:val="TableText"/>
              <w:spacing w:before="101" w:line="186" w:lineRule="auto"/>
              <w:ind w:left="357"/>
              <w:rPr>
                <w:sz w:val="18"/>
                <w:szCs w:val="18"/>
              </w:rPr>
            </w:pPr>
            <w:r>
              <w:rPr>
                <w:spacing w:val="24"/>
                <w:sz w:val="18"/>
                <w:szCs w:val="18"/>
              </w:rPr>
              <w:t>25mm²</w:t>
            </w:r>
          </w:p>
          <w:p>
            <w:pPr>
              <w:pStyle w:val="TableText"/>
              <w:spacing w:before="121" w:line="227" w:lineRule="auto"/>
              <w:ind w:left="144"/>
              <w:rPr>
                <w:rFonts w:ascii="SimSun" w:eastAsia="SimSun" w:hAnsi="SimSun" w:cs="SimSun"/>
                <w:sz w:val="18"/>
                <w:szCs w:val="18"/>
              </w:rPr>
            </w:pPr>
            <w:r>
              <w:rPr>
                <w:sz w:val="18"/>
                <w:szCs w:val="18"/>
              </w:rPr>
              <w:t>GOLDD</w:t>
            </w:r>
            <w:r>
              <w:rPr>
                <w:spacing w:val="29"/>
                <w:sz w:val="18"/>
                <w:szCs w:val="18"/>
              </w:rPr>
              <w:t>+</w:t>
            </w:r>
            <w:r>
              <w:rPr>
                <w:rFonts w:ascii="SimSun" w:eastAsia="SimSun" w:hAnsi="SimSun" w:cs="SimSun"/>
                <w:spacing w:val="29"/>
                <w:sz w:val="18"/>
                <w:szCs w:val="18"/>
              </w:rPr>
              <w:t>型</w:t>
            </w:r>
          </w:p>
          <w:p>
            <w:pPr>
              <w:pStyle w:val="TableText"/>
              <w:spacing w:before="120" w:line="186" w:lineRule="auto"/>
              <w:ind w:left="451"/>
              <w:rPr>
                <w:sz w:val="18"/>
                <w:szCs w:val="18"/>
              </w:rPr>
            </w:pPr>
            <w:r>
              <w:rPr>
                <w:spacing w:val="4"/>
                <w:sz w:val="18"/>
                <w:szCs w:val="18"/>
              </w:rPr>
              <w:t>SDD</w:t>
            </w:r>
          </w:p>
          <w:p>
            <w:pPr>
              <w:pStyle w:val="TableText"/>
              <w:spacing w:before="148" w:line="190" w:lineRule="auto"/>
              <w:ind w:left="263"/>
              <w:rPr>
                <w:sz w:val="18"/>
                <w:szCs w:val="18"/>
              </w:rPr>
            </w:pPr>
            <w:r>
              <w:rPr>
                <w:spacing w:val="14"/>
                <w:sz w:val="18"/>
                <w:szCs w:val="18"/>
              </w:rPr>
              <w:t>@5.9</w:t>
            </w:r>
            <w:r>
              <w:rPr>
                <w:sz w:val="18"/>
                <w:szCs w:val="18"/>
              </w:rPr>
              <w:t>keV</w:t>
            </w:r>
          </w:p>
          <w:p>
            <w:pPr>
              <w:pStyle w:val="TableText"/>
              <w:spacing w:before="151" w:line="186" w:lineRule="auto"/>
              <w:ind w:left="410"/>
              <w:rPr>
                <w:sz w:val="18"/>
                <w:szCs w:val="18"/>
              </w:rPr>
            </w:pPr>
            <w:r>
              <w:rPr>
                <w:spacing w:val="8"/>
                <w:sz w:val="18"/>
                <w:szCs w:val="18"/>
              </w:rPr>
              <w:t>160</w:t>
            </w:r>
            <w:r>
              <w:rPr>
                <w:sz w:val="18"/>
                <w:szCs w:val="18"/>
              </w:rPr>
              <w:t>ev</w:t>
            </w:r>
          </w:p>
          <w:p>
            <w:pPr>
              <w:pStyle w:val="TableText"/>
              <w:spacing w:before="155" w:line="183" w:lineRule="auto"/>
              <w:ind w:left="337"/>
              <w:rPr>
                <w:sz w:val="18"/>
                <w:szCs w:val="18"/>
              </w:rPr>
            </w:pPr>
            <w:r>
              <w:rPr>
                <w:spacing w:val="7"/>
                <w:sz w:val="18"/>
                <w:szCs w:val="18"/>
              </w:rPr>
              <w:t>FWHM</w:t>
            </w:r>
          </w:p>
        </w:tc>
        <w:tc>
          <w:tcPr>
            <w:tcW w:w="917" w:type="dxa"/>
            <w:vAlign w:val="top"/>
          </w:tcPr>
          <w:p>
            <w:pPr>
              <w:pStyle w:val="TableText"/>
              <w:spacing w:before="101" w:line="186" w:lineRule="auto"/>
              <w:ind w:left="173"/>
              <w:rPr>
                <w:sz w:val="18"/>
                <w:szCs w:val="18"/>
              </w:rPr>
            </w:pPr>
            <w:r>
              <w:rPr>
                <w:spacing w:val="24"/>
                <w:sz w:val="18"/>
                <w:szCs w:val="18"/>
              </w:rPr>
              <w:t>25mm²</w:t>
            </w:r>
          </w:p>
          <w:p>
            <w:pPr>
              <w:pStyle w:val="TableText"/>
              <w:spacing w:before="151" w:line="186" w:lineRule="auto"/>
              <w:ind w:left="267"/>
              <w:rPr>
                <w:sz w:val="18"/>
                <w:szCs w:val="18"/>
              </w:rPr>
            </w:pPr>
            <w:r>
              <w:rPr>
                <w:spacing w:val="4"/>
                <w:sz w:val="18"/>
                <w:szCs w:val="18"/>
              </w:rPr>
              <w:t>SDD</w:t>
            </w:r>
          </w:p>
          <w:p>
            <w:pPr>
              <w:pStyle w:val="TableText"/>
              <w:spacing w:before="148" w:line="190" w:lineRule="auto"/>
              <w:ind w:left="242"/>
              <w:rPr>
                <w:sz w:val="18"/>
                <w:szCs w:val="18"/>
              </w:rPr>
            </w:pPr>
            <w:r>
              <w:rPr>
                <w:spacing w:val="5"/>
                <w:sz w:val="18"/>
                <w:szCs w:val="18"/>
              </w:rPr>
              <w:t>@5.9</w:t>
            </w:r>
          </w:p>
          <w:p>
            <w:pPr>
              <w:pStyle w:val="TableText"/>
              <w:spacing w:before="147" w:line="190" w:lineRule="auto"/>
              <w:ind w:left="288"/>
              <w:rPr>
                <w:sz w:val="18"/>
                <w:szCs w:val="18"/>
              </w:rPr>
            </w:pPr>
            <w:r>
              <w:rPr>
                <w:spacing w:val="5"/>
                <w:sz w:val="18"/>
                <w:szCs w:val="18"/>
              </w:rPr>
              <w:t>keV</w:t>
            </w:r>
          </w:p>
          <w:p>
            <w:pPr>
              <w:pStyle w:val="TableText"/>
              <w:spacing w:before="152" w:line="186" w:lineRule="auto"/>
              <w:ind w:left="226"/>
              <w:rPr>
                <w:sz w:val="18"/>
                <w:szCs w:val="18"/>
              </w:rPr>
            </w:pPr>
            <w:r>
              <w:rPr>
                <w:spacing w:val="8"/>
                <w:sz w:val="18"/>
                <w:szCs w:val="18"/>
              </w:rPr>
              <w:t>145</w:t>
            </w:r>
            <w:r>
              <w:rPr>
                <w:sz w:val="18"/>
                <w:szCs w:val="18"/>
              </w:rPr>
              <w:t>ev</w:t>
            </w:r>
          </w:p>
          <w:p>
            <w:pPr>
              <w:pStyle w:val="TableText"/>
              <w:spacing w:before="155" w:line="183" w:lineRule="auto"/>
              <w:ind w:left="153"/>
              <w:rPr>
                <w:sz w:val="18"/>
                <w:szCs w:val="18"/>
              </w:rPr>
            </w:pPr>
            <w:r>
              <w:rPr>
                <w:spacing w:val="7"/>
                <w:sz w:val="18"/>
                <w:szCs w:val="18"/>
              </w:rPr>
              <w:t>FWHM</w:t>
            </w:r>
          </w:p>
        </w:tc>
        <w:tc>
          <w:tcPr>
            <w:tcW w:w="1319" w:type="dxa"/>
            <w:vAlign w:val="top"/>
          </w:tcPr>
          <w:p>
            <w:pPr>
              <w:spacing w:line="360" w:lineRule="auto"/>
              <w:rPr>
                <w:rFonts w:ascii="Arial"/>
                <w:sz w:val="21"/>
              </w:rPr>
            </w:pPr>
          </w:p>
          <w:p>
            <w:pPr>
              <w:pStyle w:val="TableText"/>
              <w:spacing w:before="51" w:line="186" w:lineRule="auto"/>
              <w:ind w:left="375"/>
              <w:rPr>
                <w:sz w:val="18"/>
                <w:szCs w:val="18"/>
              </w:rPr>
            </w:pPr>
            <w:r>
              <w:rPr>
                <w:spacing w:val="24"/>
                <w:sz w:val="18"/>
                <w:szCs w:val="18"/>
              </w:rPr>
              <w:t>25mm²</w:t>
            </w:r>
          </w:p>
          <w:p>
            <w:pPr>
              <w:pStyle w:val="TableText"/>
              <w:spacing w:before="151" w:line="312" w:lineRule="exact"/>
              <w:ind w:left="529"/>
              <w:rPr>
                <w:sz w:val="18"/>
                <w:szCs w:val="18"/>
              </w:rPr>
            </w:pPr>
            <w:r>
              <w:rPr>
                <w:spacing w:val="3"/>
                <w:position w:val="13"/>
                <w:sz w:val="18"/>
                <w:szCs w:val="18"/>
              </w:rPr>
              <w:t>SDD</w:t>
            </w:r>
          </w:p>
          <w:p>
            <w:pPr>
              <w:pStyle w:val="TableText"/>
              <w:spacing w:line="186" w:lineRule="auto"/>
              <w:ind w:left="428"/>
              <w:rPr>
                <w:sz w:val="18"/>
                <w:szCs w:val="18"/>
              </w:rPr>
            </w:pPr>
            <w:r>
              <w:rPr>
                <w:spacing w:val="8"/>
                <w:sz w:val="18"/>
                <w:szCs w:val="18"/>
              </w:rPr>
              <w:t>135</w:t>
            </w:r>
            <w:r>
              <w:rPr>
                <w:sz w:val="18"/>
                <w:szCs w:val="18"/>
              </w:rPr>
              <w:t>ev</w:t>
            </w:r>
          </w:p>
          <w:p>
            <w:pPr>
              <w:pStyle w:val="TableText"/>
              <w:spacing w:before="154" w:line="183" w:lineRule="auto"/>
              <w:ind w:left="357"/>
              <w:rPr>
                <w:sz w:val="18"/>
                <w:szCs w:val="18"/>
              </w:rPr>
            </w:pPr>
            <w:r>
              <w:rPr>
                <w:spacing w:val="7"/>
                <w:sz w:val="18"/>
                <w:szCs w:val="18"/>
              </w:rPr>
              <w:t>FWHM</w:t>
            </w:r>
          </w:p>
        </w:tc>
        <w:tc>
          <w:tcPr>
            <w:tcW w:w="1154" w:type="dxa"/>
            <w:vAlign w:val="top"/>
          </w:tcPr>
          <w:p>
            <w:pPr>
              <w:pStyle w:val="TableText"/>
              <w:spacing w:before="88" w:line="302" w:lineRule="auto"/>
              <w:ind w:left="161" w:right="174" w:firstLine="113"/>
              <w:rPr>
                <w:sz w:val="18"/>
                <w:szCs w:val="18"/>
              </w:rPr>
            </w:pPr>
            <w:r>
              <w:rPr>
                <w:spacing w:val="12"/>
                <w:sz w:val="18"/>
                <w:szCs w:val="18"/>
              </w:rPr>
              <w:t>25</w:t>
            </w:r>
            <w:r>
              <w:rPr>
                <w:sz w:val="18"/>
                <w:szCs w:val="18"/>
              </w:rPr>
              <w:t>mm</w:t>
            </w:r>
            <w:r>
              <w:rPr>
                <w:rFonts w:ascii="SimSun" w:eastAsia="SimSun" w:hAnsi="SimSun" w:cs="SimSun"/>
                <w:spacing w:val="12"/>
                <w:sz w:val="18"/>
                <w:szCs w:val="18"/>
              </w:rPr>
              <w:t>²</w:t>
            </w:r>
            <w:r>
              <w:rPr>
                <w:rFonts w:ascii="SimSun" w:eastAsia="SimSun" w:hAnsi="SimSun" w:cs="SimSun"/>
                <w:sz w:val="18"/>
                <w:szCs w:val="18"/>
              </w:rPr>
              <w:t xml:space="preserve">  </w:t>
            </w:r>
            <w:r>
              <w:rPr>
                <w:spacing w:val="11"/>
                <w:sz w:val="18"/>
                <w:szCs w:val="18"/>
              </w:rPr>
              <w:t>GOLDD+</w:t>
            </w:r>
            <w:r>
              <w:rPr>
                <w:sz w:val="18"/>
                <w:szCs w:val="18"/>
              </w:rPr>
              <w:t xml:space="preserve"> </w:t>
            </w:r>
            <w:r>
              <w:rPr>
                <w:rFonts w:ascii="SimSun" w:eastAsia="SimSun" w:hAnsi="SimSun" w:cs="SimSun"/>
                <w:spacing w:val="-5"/>
                <w:sz w:val="18"/>
                <w:szCs w:val="18"/>
              </w:rPr>
              <w:t xml:space="preserve">型 </w:t>
            </w:r>
            <w:r>
              <w:rPr>
                <w:spacing w:val="-5"/>
                <w:sz w:val="18"/>
                <w:szCs w:val="18"/>
              </w:rPr>
              <w:t>SDD</w:t>
            </w:r>
            <w:r>
              <w:rPr>
                <w:spacing w:val="-14"/>
                <w:sz w:val="18"/>
                <w:szCs w:val="18"/>
              </w:rPr>
              <w:t xml:space="preserve"> </w:t>
            </w:r>
            <w:r>
              <w:rPr>
                <w:rFonts w:ascii="SimSun" w:eastAsia="SimSun" w:hAnsi="SimSun" w:cs="SimSun"/>
                <w:spacing w:val="-5"/>
                <w:sz w:val="18"/>
                <w:szCs w:val="18"/>
              </w:rPr>
              <w:t>，</w:t>
            </w:r>
            <w:r>
              <w:rPr>
                <w:rFonts w:ascii="SimSun" w:eastAsia="SimSun" w:hAnsi="SimSun" w:cs="SimSun"/>
                <w:sz w:val="18"/>
                <w:szCs w:val="18"/>
              </w:rPr>
              <w:t xml:space="preserve"> </w:t>
            </w:r>
            <w:r>
              <w:rPr>
                <w:spacing w:val="12"/>
                <w:sz w:val="18"/>
                <w:szCs w:val="18"/>
              </w:rPr>
              <w:t>@5.9</w:t>
            </w:r>
            <w:r>
              <w:rPr>
                <w:spacing w:val="27"/>
                <w:w w:val="101"/>
                <w:sz w:val="18"/>
                <w:szCs w:val="18"/>
              </w:rPr>
              <w:t xml:space="preserve"> </w:t>
            </w:r>
            <w:r>
              <w:rPr>
                <w:sz w:val="18"/>
                <w:szCs w:val="18"/>
              </w:rPr>
              <w:t>keV</w:t>
            </w:r>
          </w:p>
          <w:p>
            <w:pPr>
              <w:pStyle w:val="TableText"/>
              <w:spacing w:before="151" w:line="315" w:lineRule="exact"/>
              <w:ind w:left="348"/>
              <w:rPr>
                <w:sz w:val="18"/>
                <w:szCs w:val="18"/>
              </w:rPr>
            </w:pPr>
            <w:r>
              <w:rPr>
                <w:spacing w:val="8"/>
                <w:position w:val="13"/>
                <w:sz w:val="18"/>
                <w:szCs w:val="18"/>
              </w:rPr>
              <w:t>150</w:t>
            </w:r>
            <w:r>
              <w:rPr>
                <w:position w:val="13"/>
                <w:sz w:val="18"/>
                <w:szCs w:val="18"/>
              </w:rPr>
              <w:t>ev</w:t>
            </w:r>
          </w:p>
          <w:p>
            <w:pPr>
              <w:pStyle w:val="TableText"/>
              <w:spacing w:line="183" w:lineRule="auto"/>
              <w:ind w:left="274"/>
              <w:rPr>
                <w:sz w:val="18"/>
                <w:szCs w:val="18"/>
              </w:rPr>
            </w:pPr>
            <w:r>
              <w:rPr>
                <w:spacing w:val="7"/>
                <w:sz w:val="18"/>
                <w:szCs w:val="18"/>
              </w:rPr>
              <w:t>FWHM</w:t>
            </w:r>
          </w:p>
        </w:tc>
        <w:tc>
          <w:tcPr>
            <w:tcW w:w="1334" w:type="dxa"/>
            <w:vAlign w:val="top"/>
          </w:tcPr>
          <w:p>
            <w:pPr>
              <w:spacing w:line="360" w:lineRule="auto"/>
              <w:rPr>
                <w:rFonts w:ascii="Arial"/>
                <w:sz w:val="21"/>
              </w:rPr>
            </w:pPr>
          </w:p>
          <w:p>
            <w:pPr>
              <w:pStyle w:val="TableText"/>
              <w:spacing w:before="51" w:line="186" w:lineRule="auto"/>
              <w:ind w:left="391"/>
              <w:rPr>
                <w:sz w:val="18"/>
                <w:szCs w:val="18"/>
              </w:rPr>
            </w:pPr>
            <w:r>
              <w:rPr>
                <w:spacing w:val="23"/>
                <w:sz w:val="18"/>
                <w:szCs w:val="18"/>
              </w:rPr>
              <w:t>50mm²</w:t>
            </w:r>
          </w:p>
          <w:p>
            <w:pPr>
              <w:pStyle w:val="TableText"/>
              <w:spacing w:before="148" w:line="190" w:lineRule="auto"/>
              <w:ind w:left="235"/>
              <w:rPr>
                <w:sz w:val="18"/>
                <w:szCs w:val="18"/>
              </w:rPr>
            </w:pPr>
            <w:r>
              <w:rPr>
                <w:spacing w:val="5"/>
                <w:sz w:val="18"/>
                <w:szCs w:val="18"/>
              </w:rPr>
              <w:t>Cube</w:t>
            </w:r>
            <w:r>
              <w:rPr>
                <w:spacing w:val="35"/>
                <w:w w:val="101"/>
                <w:sz w:val="18"/>
                <w:szCs w:val="18"/>
              </w:rPr>
              <w:t xml:space="preserve"> </w:t>
            </w:r>
            <w:r>
              <w:rPr>
                <w:spacing w:val="5"/>
                <w:sz w:val="18"/>
                <w:szCs w:val="18"/>
              </w:rPr>
              <w:t>SDD</w:t>
            </w:r>
          </w:p>
          <w:p>
            <w:pPr>
              <w:pStyle w:val="TableText"/>
              <w:spacing w:before="148" w:line="190" w:lineRule="auto"/>
              <w:ind w:left="290"/>
              <w:rPr>
                <w:sz w:val="18"/>
                <w:szCs w:val="18"/>
              </w:rPr>
            </w:pPr>
            <w:r>
              <w:rPr>
                <w:spacing w:val="14"/>
                <w:sz w:val="18"/>
                <w:szCs w:val="18"/>
              </w:rPr>
              <w:t>@5.9</w:t>
            </w:r>
            <w:r>
              <w:rPr>
                <w:sz w:val="18"/>
                <w:szCs w:val="18"/>
              </w:rPr>
              <w:t>keV</w:t>
            </w:r>
          </w:p>
          <w:p>
            <w:pPr>
              <w:pStyle w:val="TableText"/>
              <w:spacing w:before="151" w:line="186" w:lineRule="auto"/>
              <w:ind w:left="137"/>
              <w:rPr>
                <w:sz w:val="18"/>
                <w:szCs w:val="18"/>
              </w:rPr>
            </w:pPr>
            <w:r>
              <w:rPr>
                <w:spacing w:val="22"/>
                <w:sz w:val="18"/>
                <w:szCs w:val="18"/>
              </w:rPr>
              <w:t>129</w:t>
            </w:r>
            <w:r>
              <w:rPr>
                <w:sz w:val="18"/>
                <w:szCs w:val="18"/>
              </w:rPr>
              <w:t>evFWHM</w:t>
            </w:r>
          </w:p>
        </w:tc>
        <w:tc>
          <w:tcPr>
            <w:tcW w:w="1306" w:type="dxa"/>
            <w:vAlign w:val="top"/>
          </w:tcPr>
          <w:p>
            <w:pPr>
              <w:pStyle w:val="TableText"/>
              <w:spacing w:before="101" w:line="186" w:lineRule="auto"/>
              <w:ind w:left="370"/>
              <w:rPr>
                <w:sz w:val="18"/>
                <w:szCs w:val="18"/>
              </w:rPr>
            </w:pPr>
            <w:r>
              <w:rPr>
                <w:spacing w:val="6"/>
                <w:sz w:val="18"/>
                <w:szCs w:val="18"/>
              </w:rPr>
              <w:t>10</w:t>
            </w:r>
            <w:r>
              <w:rPr>
                <w:sz w:val="18"/>
                <w:szCs w:val="18"/>
              </w:rPr>
              <w:t>mm</w:t>
            </w:r>
            <w:r>
              <w:rPr>
                <w:spacing w:val="6"/>
                <w:sz w:val="18"/>
                <w:szCs w:val="18"/>
              </w:rPr>
              <w:t>2</w:t>
            </w:r>
          </w:p>
          <w:p>
            <w:pPr>
              <w:pStyle w:val="TableText"/>
              <w:spacing w:before="151" w:line="186" w:lineRule="auto"/>
              <w:ind w:left="524"/>
              <w:rPr>
                <w:sz w:val="18"/>
                <w:szCs w:val="18"/>
              </w:rPr>
            </w:pPr>
            <w:r>
              <w:rPr>
                <w:spacing w:val="3"/>
                <w:sz w:val="18"/>
                <w:szCs w:val="18"/>
              </w:rPr>
              <w:t>SDD</w:t>
            </w:r>
          </w:p>
          <w:p>
            <w:pPr>
              <w:pStyle w:val="TableText"/>
              <w:spacing w:before="148" w:line="315" w:lineRule="exact"/>
              <w:ind w:left="276"/>
              <w:rPr>
                <w:sz w:val="18"/>
                <w:szCs w:val="18"/>
              </w:rPr>
            </w:pPr>
            <w:r>
              <w:rPr>
                <w:spacing w:val="14"/>
                <w:position w:val="13"/>
                <w:sz w:val="18"/>
                <w:szCs w:val="18"/>
              </w:rPr>
              <w:t>@5.9</w:t>
            </w:r>
            <w:r>
              <w:rPr>
                <w:position w:val="13"/>
                <w:sz w:val="18"/>
                <w:szCs w:val="18"/>
              </w:rPr>
              <w:t>keV</w:t>
            </w:r>
          </w:p>
          <w:p>
            <w:pPr>
              <w:pStyle w:val="TableText"/>
              <w:spacing w:line="185" w:lineRule="auto"/>
              <w:ind w:left="406"/>
              <w:rPr>
                <w:sz w:val="18"/>
                <w:szCs w:val="18"/>
              </w:rPr>
            </w:pPr>
            <w:r>
              <w:rPr>
                <w:spacing w:val="7"/>
                <w:sz w:val="18"/>
                <w:szCs w:val="18"/>
              </w:rPr>
              <w:t>130</w:t>
            </w:r>
            <w:r>
              <w:rPr>
                <w:sz w:val="18"/>
                <w:szCs w:val="18"/>
              </w:rPr>
              <w:t>eV</w:t>
            </w:r>
          </w:p>
          <w:p>
            <w:pPr>
              <w:pStyle w:val="TableText"/>
              <w:spacing w:before="155" w:line="183" w:lineRule="auto"/>
              <w:ind w:left="352"/>
              <w:rPr>
                <w:sz w:val="18"/>
                <w:szCs w:val="18"/>
              </w:rPr>
            </w:pPr>
            <w:r>
              <w:rPr>
                <w:spacing w:val="8"/>
                <w:sz w:val="18"/>
                <w:szCs w:val="18"/>
              </w:rPr>
              <w:t>FWMH</w:t>
            </w:r>
          </w:p>
          <w:p>
            <w:pPr>
              <w:pStyle w:val="TableText"/>
              <w:spacing w:before="121" w:line="210" w:lineRule="auto"/>
              <w:ind w:left="119"/>
              <w:rPr>
                <w:rFonts w:ascii="SimSun" w:eastAsia="SimSun" w:hAnsi="SimSun" w:cs="SimSun"/>
                <w:sz w:val="18"/>
                <w:szCs w:val="18"/>
              </w:rPr>
            </w:pPr>
            <w:r>
              <w:rPr>
                <w:rFonts w:ascii="SimSun" w:eastAsia="SimSun" w:hAnsi="SimSun" w:cs="SimSun"/>
                <w:spacing w:val="14"/>
                <w:sz w:val="18"/>
                <w:szCs w:val="18"/>
              </w:rPr>
              <w:t>（</w:t>
            </w:r>
            <w:r>
              <w:rPr>
                <w:spacing w:val="14"/>
                <w:sz w:val="18"/>
                <w:szCs w:val="18"/>
              </w:rPr>
              <w:t>1500</w:t>
            </w:r>
            <w:r>
              <w:rPr>
                <w:sz w:val="18"/>
                <w:szCs w:val="18"/>
              </w:rPr>
              <w:t>kcps</w:t>
            </w:r>
            <w:r>
              <w:rPr>
                <w:rFonts w:ascii="SimSun" w:eastAsia="SimSun" w:hAnsi="SimSun" w:cs="SimSun"/>
                <w:spacing w:val="14"/>
                <w:sz w:val="18"/>
                <w:szCs w:val="18"/>
              </w:rPr>
              <w:t>）</w:t>
            </w:r>
          </w:p>
        </w:tc>
        <w:tc>
          <w:tcPr>
            <w:tcW w:w="1324" w:type="dxa"/>
            <w:vAlign w:val="top"/>
          </w:tcPr>
          <w:p>
            <w:pPr>
              <w:pStyle w:val="TableText"/>
              <w:spacing w:before="257" w:line="360" w:lineRule="auto"/>
              <w:ind w:left="201" w:right="213" w:firstLine="176"/>
              <w:rPr>
                <w:sz w:val="18"/>
                <w:szCs w:val="18"/>
              </w:rPr>
            </w:pPr>
            <w:r>
              <w:rPr>
                <w:spacing w:val="20"/>
                <w:sz w:val="18"/>
                <w:szCs w:val="18"/>
              </w:rPr>
              <w:t xml:space="preserve">25mm²  </w:t>
            </w:r>
            <w:r>
              <w:rPr>
                <w:spacing w:val="4"/>
                <w:sz w:val="18"/>
                <w:szCs w:val="18"/>
              </w:rPr>
              <w:t>FAST</w:t>
            </w:r>
            <w:r>
              <w:rPr>
                <w:spacing w:val="29"/>
                <w:w w:val="101"/>
                <w:sz w:val="18"/>
                <w:szCs w:val="18"/>
              </w:rPr>
              <w:t xml:space="preserve"> </w:t>
            </w:r>
            <w:r>
              <w:rPr>
                <w:spacing w:val="4"/>
                <w:sz w:val="18"/>
                <w:szCs w:val="18"/>
              </w:rPr>
              <w:t>SDD</w:t>
            </w:r>
          </w:p>
          <w:p>
            <w:pPr>
              <w:pStyle w:val="TableText"/>
              <w:spacing w:line="189" w:lineRule="auto"/>
              <w:ind w:left="255"/>
              <w:rPr>
                <w:sz w:val="18"/>
                <w:szCs w:val="18"/>
              </w:rPr>
            </w:pPr>
            <w:r>
              <w:rPr>
                <w:spacing w:val="9"/>
                <w:sz w:val="18"/>
                <w:szCs w:val="18"/>
              </w:rPr>
              <w:t>@5.9</w:t>
            </w:r>
            <w:r>
              <w:rPr>
                <w:spacing w:val="29"/>
                <w:sz w:val="18"/>
                <w:szCs w:val="18"/>
              </w:rPr>
              <w:t xml:space="preserve"> </w:t>
            </w:r>
            <w:r>
              <w:rPr>
                <w:sz w:val="18"/>
                <w:szCs w:val="18"/>
              </w:rPr>
              <w:t>keV</w:t>
            </w:r>
          </w:p>
          <w:p>
            <w:pPr>
              <w:pStyle w:val="TableText"/>
              <w:spacing w:before="151" w:line="186" w:lineRule="auto"/>
              <w:ind w:left="431"/>
              <w:rPr>
                <w:sz w:val="18"/>
                <w:szCs w:val="18"/>
              </w:rPr>
            </w:pPr>
            <w:r>
              <w:rPr>
                <w:spacing w:val="8"/>
                <w:sz w:val="18"/>
                <w:szCs w:val="18"/>
              </w:rPr>
              <w:t>125</w:t>
            </w:r>
            <w:r>
              <w:rPr>
                <w:sz w:val="18"/>
                <w:szCs w:val="18"/>
              </w:rPr>
              <w:t>ev</w:t>
            </w:r>
          </w:p>
          <w:p>
            <w:pPr>
              <w:pStyle w:val="TableText"/>
              <w:spacing w:before="154" w:line="183" w:lineRule="auto"/>
              <w:ind w:left="360"/>
              <w:rPr>
                <w:sz w:val="18"/>
                <w:szCs w:val="18"/>
              </w:rPr>
            </w:pPr>
            <w:r>
              <w:rPr>
                <w:spacing w:val="7"/>
                <w:sz w:val="18"/>
                <w:szCs w:val="18"/>
              </w:rPr>
              <w:t>FWHM</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0" w:history="1">
        <w:r>
          <w:rPr>
            <w:rFonts w:ascii="SimSun" w:eastAsia="SimSun" w:hAnsi="SimSun" w:cs="SimSun"/>
            <w:b/>
            <w:bCs/>
            <w:noProof w:val="0"/>
            <w:snapToGrid/>
            <w:color w:val="0000EE"/>
            <w:kern w:val="0"/>
            <w:sz w:val="30"/>
            <w:szCs w:val="30"/>
            <w:u w:val="single" w:color="0000EE"/>
          </w:rPr>
          <w:t>https://d.book118.com/046104213134010035</w:t>
        </w:r>
      </w:hyperlink>
    </w:p>
    <w:p/>
    <w:sectPr>
      <w:footerReference w:type="default" r:id="rId71"/>
      <w:pgSz w:w="11907" w:h="16839"/>
      <w:pgMar w:top="1431" w:right="1121" w:bottom="1357" w:left="1120" w:header="0" w:footer="1197" w:gutter="0"/>
      <w:pgNumType w:start="3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6"/>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63"/>
      <w:rPr>
        <w:sz w:val="14"/>
        <w:szCs w:val="14"/>
      </w:rPr>
    </w:pPr>
    <w:r>
      <w:rPr>
        <w:spacing w:val="-4"/>
        <w:sz w:val="14"/>
        <w:szCs w:val="14"/>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63"/>
      <w:rPr>
        <w:sz w:val="14"/>
        <w:szCs w:val="14"/>
      </w:rPr>
    </w:pPr>
    <w:r>
      <w:rPr>
        <w:spacing w:val="-4"/>
        <w:sz w:val="14"/>
        <w:szCs w:val="14"/>
      </w:rPr>
      <w:t>15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6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6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6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Times New Roman" w:eastAsia="Times New Roman" w:hAnsi="Times New Roman" w:cs="Times New Roma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image" Target="media/image1.png" /><Relationship Id="rId31" Type="http://schemas.openxmlformats.org/officeDocument/2006/relationships/image" Target="media/image2.png" /><Relationship Id="rId32" Type="http://schemas.openxmlformats.org/officeDocument/2006/relationships/image" Target="media/image3.png" /><Relationship Id="rId33" Type="http://schemas.openxmlformats.org/officeDocument/2006/relationships/image" Target="media/image4.png" /><Relationship Id="rId34" Type="http://schemas.openxmlformats.org/officeDocument/2006/relationships/image" Target="media/image5.png" /><Relationship Id="rId35" Type="http://schemas.openxmlformats.org/officeDocument/2006/relationships/image" Target="media/image6.png" /><Relationship Id="rId36" Type="http://schemas.openxmlformats.org/officeDocument/2006/relationships/image" Target="media/image7.png" /><Relationship Id="rId37" Type="http://schemas.openxmlformats.org/officeDocument/2006/relationships/image" Target="media/image8.png" /><Relationship Id="rId38" Type="http://schemas.openxmlformats.org/officeDocument/2006/relationships/image" Target="media/image9.png" /><Relationship Id="rId39" Type="http://schemas.openxmlformats.org/officeDocument/2006/relationships/image" Target="media/image10.png" /><Relationship Id="rId4" Type="http://schemas.openxmlformats.org/officeDocument/2006/relationships/footer" Target="footer1.xml" /><Relationship Id="rId40" Type="http://schemas.openxmlformats.org/officeDocument/2006/relationships/image" Target="media/image11.png" /><Relationship Id="rId41" Type="http://schemas.openxmlformats.org/officeDocument/2006/relationships/image" Target="media/image12.png" /><Relationship Id="rId42" Type="http://schemas.openxmlformats.org/officeDocument/2006/relationships/image" Target="media/image13.png" /><Relationship Id="rId43" Type="http://schemas.openxmlformats.org/officeDocument/2006/relationships/image" Target="media/image14.png" /><Relationship Id="rId44" Type="http://schemas.openxmlformats.org/officeDocument/2006/relationships/image" Target="media/image15.png" /><Relationship Id="rId45" Type="http://schemas.openxmlformats.org/officeDocument/2006/relationships/image" Target="media/image16.png" /><Relationship Id="rId46" Type="http://schemas.openxmlformats.org/officeDocument/2006/relationships/image" Target="media/image17.png" /><Relationship Id="rId47" Type="http://schemas.openxmlformats.org/officeDocument/2006/relationships/image" Target="media/image18.png" /><Relationship Id="rId48" Type="http://schemas.openxmlformats.org/officeDocument/2006/relationships/image" Target="media/image19.png" /><Relationship Id="rId49" Type="http://schemas.openxmlformats.org/officeDocument/2006/relationships/image" Target="media/image20.png" /><Relationship Id="rId5" Type="http://schemas.openxmlformats.org/officeDocument/2006/relationships/footer" Target="footer2.xml" /><Relationship Id="rId50" Type="http://schemas.openxmlformats.org/officeDocument/2006/relationships/image" Target="media/image21.png" /><Relationship Id="rId51" Type="http://schemas.openxmlformats.org/officeDocument/2006/relationships/image" Target="media/image22.png" /><Relationship Id="rId52" Type="http://schemas.openxmlformats.org/officeDocument/2006/relationships/image" Target="media/image23.png" /><Relationship Id="rId53" Type="http://schemas.openxmlformats.org/officeDocument/2006/relationships/image" Target="media/image24.png" /><Relationship Id="rId54" Type="http://schemas.openxmlformats.org/officeDocument/2006/relationships/image" Target="media/image25.png" /><Relationship Id="rId55" Type="http://schemas.openxmlformats.org/officeDocument/2006/relationships/image" Target="media/image26.png" /><Relationship Id="rId56" Type="http://schemas.openxmlformats.org/officeDocument/2006/relationships/image" Target="media/image27.png" /><Relationship Id="rId57" Type="http://schemas.openxmlformats.org/officeDocument/2006/relationships/image" Target="media/image28.png" /><Relationship Id="rId58" Type="http://schemas.openxmlformats.org/officeDocument/2006/relationships/footer" Target="footer27.xml" /><Relationship Id="rId59" Type="http://schemas.openxmlformats.org/officeDocument/2006/relationships/image" Target="media/image29.png" /><Relationship Id="rId6" Type="http://schemas.openxmlformats.org/officeDocument/2006/relationships/footer" Target="footer3.xml" /><Relationship Id="rId60" Type="http://schemas.openxmlformats.org/officeDocument/2006/relationships/footer" Target="footer28.xml" /><Relationship Id="rId61" Type="http://schemas.openxmlformats.org/officeDocument/2006/relationships/image" Target="media/image30.jpeg" /><Relationship Id="rId62" Type="http://schemas.openxmlformats.org/officeDocument/2006/relationships/footer" Target="footer29.xml" /><Relationship Id="rId63" Type="http://schemas.openxmlformats.org/officeDocument/2006/relationships/footer" Target="footer30.xml" /><Relationship Id="rId64" Type="http://schemas.openxmlformats.org/officeDocument/2006/relationships/footer" Target="footer31.xml" /><Relationship Id="rId65" Type="http://schemas.openxmlformats.org/officeDocument/2006/relationships/footer" Target="footer32.xml" /><Relationship Id="rId66" Type="http://schemas.openxmlformats.org/officeDocument/2006/relationships/footer" Target="footer33.xml" /><Relationship Id="rId67" Type="http://schemas.openxmlformats.org/officeDocument/2006/relationships/footer" Target="footer34.xml" /><Relationship Id="rId68" Type="http://schemas.openxmlformats.org/officeDocument/2006/relationships/footer" Target="footer35.xml" /><Relationship Id="rId69" Type="http://schemas.openxmlformats.org/officeDocument/2006/relationships/footer" Target="footer36.xml" /><Relationship Id="rId7" Type="http://schemas.openxmlformats.org/officeDocument/2006/relationships/footer" Target="footer4.xml" /><Relationship Id="rId70" Type="http://schemas.openxmlformats.org/officeDocument/2006/relationships/hyperlink" Target="https://d.book118.com/046104213134010035" TargetMode="External" /><Relationship Id="rId71" Type="http://schemas.openxmlformats.org/officeDocument/2006/relationships/footer" Target="footer37.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2024-01-19T20:29:41Z</vt:filetime>
  </property>
  <property fmtid="{D5CDD505-2E9C-101B-9397-08002B2CF9AE}" pid="3" name="CRO">
    <vt:lpwstr>wqlLaW5nc29mdCBQREYgdG8gV1BTIDkw</vt:lpwstr>
  </property>
  <property fmtid="{D5CDD505-2E9C-101B-9397-08002B2CF9AE}" pid="4" name="UsrData">
    <vt:lpwstr>65aa6b2a0ee0c1001fbac89ewl</vt:lpwstr>
  </property>
</Properties>
</file>