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r>
        <w:pict>
          <v:group id="_x0000_s1025" style="width:893pt;height:1248pt;margin-top:0;margin-left:0;mso-position-horizontal-relative:page;mso-position-vertical-relative:page;position:absolute;z-index:-251658240" coordorigin="0,0" coordsize="17860,24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7860;height:24960;position:absolute" stroked="f">
              <v:imagedata r:id="rId4" o:title=""/>
            </v:shape>
            <v:shape id="_x0000_s1027" type="#_x0000_t75" style="width:1460;height:2460;left:2700;position:absolute;top:2420" stroked="f">
              <v:imagedata r:id="rId5" o:title=""/>
            </v:shape>
            <v:shape id="_x0000_s1028" type="#_x0000_t75" style="width:1380;height:2340;left:4240;position:absolute;top:2480" stroked="f">
              <v:imagedata r:id="rId6" o:title=""/>
            </v:shape>
            <v:shape id="_x0000_s1029" type="#_x0000_t75" style="width:5960;height:2620;left:5760;position:absolute;top:2460" stroked="f">
              <v:imagedata r:id="rId7" o:title=""/>
            </v:shape>
            <v:shape id="_x0000_s1030" type="#_x0000_t75" style="width:13155;height:3699;left:2700;position:absolute;top:9860" stroked="f">
              <v:imagedata r:id="rId8" o:title=""/>
            </v:shape>
          </v:group>
        </w:pic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9"/>
        <w:rPr>
          <w:rFonts w:ascii="Times New Roman"/>
          <w:sz w:val="24"/>
        </w:rPr>
      </w:pPr>
    </w:p>
    <w:tbl>
      <w:tblPr>
        <w:tblStyle w:val="TableNormal"/>
        <w:tblW w:w="0" w:type="auto"/>
        <w:jc w:val="left"/>
        <w:tblInd w:w="2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305"/>
        <w:gridCol w:w="3923"/>
        <w:gridCol w:w="3065"/>
      </w:tblGrid>
      <w:tr>
        <w:tblPrEx>
          <w:tblW w:w="0" w:type="auto"/>
          <w:jc w:val="left"/>
          <w:tblInd w:w="2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70"/>
          <w:jc w:val="left"/>
        </w:trPr>
        <w:tc>
          <w:tcPr>
            <w:tcW w:w="4305" w:type="dxa"/>
          </w:tcPr>
          <w:p>
            <w:pPr>
              <w:pStyle w:val="TableParagraph"/>
              <w:spacing w:line="758" w:lineRule="exact"/>
              <w:ind w:left="50"/>
              <w:rPr>
                <w:rFonts w:ascii="Times New Roman" w:eastAsia="Times New Roman" w:hAnsi="Times New Roman"/>
                <w:b/>
                <w:sz w:val="48"/>
              </w:rPr>
            </w:pPr>
            <w:r>
              <w:rPr>
                <w:b/>
                <w:sz w:val="48"/>
              </w:rPr>
              <w:t xml:space="preserve">团队名称: </w:t>
            </w:r>
            <w:r>
              <w:rPr>
                <w:rFonts w:ascii="Times New Roman" w:eastAsia="Times New Roman" w:hAnsi="Times New Roman"/>
                <w:b/>
                <w:sz w:val="48"/>
              </w:rPr>
              <w:t>“</w:t>
            </w:r>
            <w:r>
              <w:rPr>
                <w:b/>
                <w:sz w:val="48"/>
              </w:rPr>
              <w:t>Unit C</w:t>
            </w:r>
            <w:r>
              <w:rPr>
                <w:rFonts w:ascii="Times New Roman" w:eastAsia="Times New Roman" w:hAnsi="Times New Roman"/>
                <w:b/>
                <w:sz w:val="48"/>
              </w:rPr>
              <w:t>”</w:t>
            </w:r>
          </w:p>
        </w:tc>
        <w:tc>
          <w:tcPr>
            <w:tcW w:w="3923" w:type="dxa"/>
          </w:tcPr>
          <w:p>
            <w:pPr>
              <w:pStyle w:val="TableParagraph"/>
              <w:spacing w:line="758" w:lineRule="exact"/>
              <w:ind w:left="159"/>
              <w:rPr>
                <w:b/>
                <w:sz w:val="48"/>
              </w:rPr>
            </w:pPr>
            <w:r>
              <w:rPr>
                <w:b/>
                <w:sz w:val="48"/>
              </w:rPr>
              <w:t>团队</w:t>
            </w:r>
          </w:p>
        </w:tc>
        <w:tc>
          <w:tcPr>
            <w:tcW w:w="3065" w:type="dxa"/>
          </w:tcPr>
          <w:p>
            <w:pPr>
              <w:pStyle w:val="TableParagraph"/>
              <w:rPr>
                <w:rFonts w:ascii="Times New Roman"/>
                <w:sz w:val="46"/>
              </w:rPr>
            </w:pPr>
          </w:p>
        </w:tc>
      </w:tr>
      <w:tr>
        <w:tblPrEx>
          <w:tblW w:w="0" w:type="auto"/>
          <w:jc w:val="left"/>
          <w:tblInd w:w="238" w:type="dxa"/>
          <w:tblLayout w:type="fixed"/>
          <w:tblCellMar>
            <w:top w:w="0" w:type="dxa"/>
            <w:left w:w="0" w:type="dxa"/>
            <w:bottom w:w="0" w:type="dxa"/>
            <w:right w:w="0" w:type="dxa"/>
          </w:tblCellMar>
          <w:tblLook w:val="01E0"/>
        </w:tblPrEx>
        <w:trPr>
          <w:trHeight w:val="945"/>
          <w:jc w:val="left"/>
        </w:trPr>
        <w:tc>
          <w:tcPr>
            <w:tcW w:w="4305" w:type="dxa"/>
          </w:tcPr>
          <w:p>
            <w:pPr>
              <w:pStyle w:val="TableParagraph"/>
              <w:tabs>
                <w:tab w:val="left" w:pos="1496"/>
              </w:tabs>
              <w:spacing w:before="169"/>
              <w:ind w:left="50"/>
              <w:rPr>
                <w:rFonts w:ascii="新宋体" w:eastAsia="新宋体" w:hint="eastAsia"/>
                <w:b/>
                <w:sz w:val="48"/>
              </w:rPr>
            </w:pPr>
            <w:r>
              <w:rPr>
                <w:rFonts w:ascii="新宋体" w:eastAsia="新宋体" w:hint="eastAsia"/>
                <w:b/>
                <w:sz w:val="48"/>
              </w:rPr>
              <w:t>队</w:t>
              <w:tab/>
              <w:t>长：王岳军</w:t>
            </w:r>
          </w:p>
        </w:tc>
        <w:tc>
          <w:tcPr>
            <w:tcW w:w="3923" w:type="dxa"/>
          </w:tcPr>
          <w:p>
            <w:pPr>
              <w:pStyle w:val="TableParagraph"/>
              <w:spacing w:before="169"/>
              <w:ind w:left="83"/>
              <w:rPr>
                <w:rFonts w:ascii="新宋体" w:eastAsia="新宋体" w:hint="eastAsia"/>
                <w:b/>
                <w:sz w:val="48"/>
              </w:rPr>
            </w:pPr>
            <w:r>
              <w:rPr>
                <w:rFonts w:ascii="新宋体" w:eastAsia="新宋体" w:hint="eastAsia"/>
                <w:b/>
                <w:sz w:val="48"/>
              </w:rPr>
              <w:t>经济与金融学院</w:t>
            </w:r>
          </w:p>
        </w:tc>
        <w:tc>
          <w:tcPr>
            <w:tcW w:w="3065" w:type="dxa"/>
          </w:tcPr>
          <w:p>
            <w:pPr>
              <w:pStyle w:val="TableParagraph"/>
              <w:spacing w:before="169"/>
              <w:ind w:right="47"/>
              <w:jc w:val="right"/>
              <w:rPr>
                <w:rFonts w:ascii="新宋体" w:eastAsia="新宋体" w:hint="eastAsia"/>
                <w:b/>
                <w:sz w:val="48"/>
              </w:rPr>
            </w:pPr>
            <w:r>
              <w:rPr>
                <w:rFonts w:ascii="新宋体" w:eastAsia="新宋体" w:hint="eastAsia"/>
                <w:b/>
                <w:sz w:val="48"/>
              </w:rPr>
              <w:t>07 物流管理</w:t>
            </w:r>
          </w:p>
        </w:tc>
      </w:tr>
      <w:tr>
        <w:tblPrEx>
          <w:tblW w:w="0" w:type="auto"/>
          <w:jc w:val="left"/>
          <w:tblInd w:w="238" w:type="dxa"/>
          <w:tblLayout w:type="fixed"/>
          <w:tblCellMar>
            <w:top w:w="0" w:type="dxa"/>
            <w:left w:w="0" w:type="dxa"/>
            <w:bottom w:w="0" w:type="dxa"/>
            <w:right w:w="0" w:type="dxa"/>
          </w:tblCellMar>
          <w:tblLook w:val="01E0"/>
        </w:tblPrEx>
        <w:trPr>
          <w:trHeight w:val="936"/>
          <w:jc w:val="left"/>
        </w:trPr>
        <w:tc>
          <w:tcPr>
            <w:tcW w:w="4305" w:type="dxa"/>
          </w:tcPr>
          <w:p>
            <w:pPr>
              <w:pStyle w:val="TableParagraph"/>
              <w:tabs>
                <w:tab w:val="left" w:pos="1496"/>
              </w:tabs>
              <w:spacing w:before="160"/>
              <w:ind w:left="50"/>
              <w:rPr>
                <w:rFonts w:ascii="新宋体" w:eastAsia="新宋体" w:hint="eastAsia"/>
                <w:b/>
                <w:sz w:val="48"/>
              </w:rPr>
            </w:pPr>
            <w:r>
              <w:rPr>
                <w:rFonts w:ascii="新宋体" w:eastAsia="新宋体" w:hint="eastAsia"/>
                <w:b/>
                <w:sz w:val="48"/>
              </w:rPr>
              <w:t>队</w:t>
              <w:tab/>
              <w:t>员：陈丽娟</w:t>
            </w:r>
          </w:p>
        </w:tc>
        <w:tc>
          <w:tcPr>
            <w:tcW w:w="3923" w:type="dxa"/>
          </w:tcPr>
          <w:p>
            <w:pPr>
              <w:pStyle w:val="TableParagraph"/>
              <w:spacing w:before="160"/>
              <w:ind w:left="83"/>
              <w:rPr>
                <w:rFonts w:ascii="新宋体" w:eastAsia="新宋体" w:hint="eastAsia"/>
                <w:b/>
                <w:sz w:val="48"/>
              </w:rPr>
            </w:pPr>
            <w:r>
              <w:rPr>
                <w:rFonts w:ascii="新宋体" w:eastAsia="新宋体" w:hint="eastAsia"/>
                <w:b/>
                <w:sz w:val="48"/>
              </w:rPr>
              <w:t>经济与金融学院</w:t>
            </w:r>
          </w:p>
        </w:tc>
        <w:tc>
          <w:tcPr>
            <w:tcW w:w="3065" w:type="dxa"/>
          </w:tcPr>
          <w:p>
            <w:pPr>
              <w:pStyle w:val="TableParagraph"/>
              <w:spacing w:before="160"/>
              <w:ind w:right="47"/>
              <w:jc w:val="right"/>
              <w:rPr>
                <w:rFonts w:ascii="新宋体" w:eastAsia="新宋体" w:hint="eastAsia"/>
                <w:b/>
                <w:sz w:val="48"/>
              </w:rPr>
            </w:pPr>
            <w:r>
              <w:rPr>
                <w:rFonts w:ascii="新宋体" w:eastAsia="新宋体" w:hint="eastAsia"/>
                <w:b/>
                <w:sz w:val="48"/>
              </w:rPr>
              <w:t>07 物流管理</w:t>
            </w:r>
          </w:p>
        </w:tc>
      </w:tr>
      <w:tr>
        <w:tblPrEx>
          <w:tblW w:w="0" w:type="auto"/>
          <w:jc w:val="left"/>
          <w:tblInd w:w="238" w:type="dxa"/>
          <w:tblLayout w:type="fixed"/>
          <w:tblCellMar>
            <w:top w:w="0" w:type="dxa"/>
            <w:left w:w="0" w:type="dxa"/>
            <w:bottom w:w="0" w:type="dxa"/>
            <w:right w:w="0" w:type="dxa"/>
          </w:tblCellMar>
          <w:tblLook w:val="01E0"/>
        </w:tblPrEx>
        <w:trPr>
          <w:trHeight w:val="707"/>
          <w:jc w:val="left"/>
        </w:trPr>
        <w:tc>
          <w:tcPr>
            <w:tcW w:w="4305" w:type="dxa"/>
          </w:tcPr>
          <w:p>
            <w:pPr>
              <w:pStyle w:val="TableParagraph"/>
              <w:spacing w:before="160" w:line="527" w:lineRule="exact"/>
              <w:ind w:left="2461"/>
              <w:rPr>
                <w:rFonts w:ascii="新宋体" w:eastAsia="新宋体" w:hint="eastAsia"/>
                <w:b/>
                <w:sz w:val="48"/>
              </w:rPr>
            </w:pPr>
            <w:r>
              <w:rPr>
                <w:rFonts w:ascii="新宋体" w:eastAsia="新宋体" w:hint="eastAsia"/>
                <w:b/>
                <w:sz w:val="48"/>
              </w:rPr>
              <w:t>徐少兵</w:t>
            </w:r>
          </w:p>
        </w:tc>
        <w:tc>
          <w:tcPr>
            <w:tcW w:w="3923" w:type="dxa"/>
          </w:tcPr>
          <w:p>
            <w:pPr>
              <w:pStyle w:val="TableParagraph"/>
              <w:spacing w:before="160" w:line="527" w:lineRule="exact"/>
              <w:ind w:left="83"/>
              <w:rPr>
                <w:rFonts w:ascii="新宋体" w:eastAsia="新宋体" w:hint="eastAsia"/>
                <w:b/>
                <w:sz w:val="48"/>
              </w:rPr>
            </w:pPr>
            <w:r>
              <w:rPr>
                <w:rFonts w:ascii="新宋体" w:eastAsia="新宋体" w:hint="eastAsia"/>
                <w:b/>
                <w:sz w:val="48"/>
              </w:rPr>
              <w:t>工商管理学院</w:t>
            </w:r>
          </w:p>
        </w:tc>
        <w:tc>
          <w:tcPr>
            <w:tcW w:w="3065" w:type="dxa"/>
          </w:tcPr>
          <w:p>
            <w:pPr>
              <w:pStyle w:val="TableParagraph"/>
              <w:spacing w:before="160" w:line="527" w:lineRule="exact"/>
              <w:ind w:right="47"/>
              <w:jc w:val="right"/>
              <w:rPr>
                <w:rFonts w:ascii="新宋体" w:eastAsia="新宋体" w:hint="eastAsia"/>
                <w:b/>
                <w:sz w:val="48"/>
              </w:rPr>
            </w:pPr>
            <w:r>
              <w:rPr>
                <w:rFonts w:ascii="新宋体" w:eastAsia="新宋体" w:hint="eastAsia"/>
                <w:b/>
                <w:sz w:val="48"/>
              </w:rPr>
              <w:t>07 市场营销</w:t>
            </w:r>
          </w:p>
        </w:tc>
      </w:tr>
    </w:tbl>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10"/>
        <w:rPr>
          <w:rFonts w:ascii="Times New Roman"/>
          <w:sz w:val="17"/>
        </w:rPr>
      </w:pPr>
    </w:p>
    <w:p>
      <w:pPr>
        <w:pStyle w:val="Heading2"/>
        <w:spacing w:before="37"/>
        <w:ind w:left="0" w:right="587"/>
        <w:jc w:val="right"/>
      </w:pPr>
      <w:r>
        <w:t>2009-11-27</w:t>
      </w:r>
    </w:p>
    <w:p>
      <w:pPr>
        <w:spacing w:after="0"/>
        <w:jc w:val="right"/>
        <w:sectPr>
          <w:type w:val="continuous"/>
          <w:pgSz w:w="17860" w:h="25260"/>
          <w:pgMar w:top="2420" w:right="2380" w:bottom="280" w:left="2420" w:header="708" w:footer="708"/>
          <w:cols w:space="708"/>
        </w:sectPr>
      </w:pPr>
    </w:p>
    <w:p>
      <w:pPr>
        <w:pStyle w:val="Title"/>
      </w:pPr>
      <w:r>
        <w:t>目录</w:t>
      </w:r>
    </w:p>
    <w:p>
      <w:pPr>
        <w:pStyle w:val="BodyText"/>
        <w:spacing w:before="10"/>
        <w:rPr>
          <w:b/>
          <w:sz w:val="96"/>
        </w:rPr>
      </w:pPr>
    </w:p>
    <w:sdt>
      <w:sdtPr>
        <w:id w:val="1933431433"/>
        <w:docPartObj>
          <w:docPartGallery w:val="Table of Contents"/>
          <w:docPartUnique/>
        </w:docPartObj>
      </w:sdtPr>
      <w:sdtContent>
        <w:p>
          <w:pPr>
            <w:pStyle w:val="TOC2"/>
            <w:tabs>
              <w:tab w:val="left" w:pos="1180"/>
              <w:tab w:val="right" w:leader="dot" w:pos="12342"/>
            </w:tabs>
          </w:pPr>
          <w:r>
            <w:t>摘</w:t>
            <w:tab/>
            <w:t>要</w:t>
            <w:tab/>
            <w:t>2</w:t>
          </w:r>
        </w:p>
        <w:p>
          <w:pPr>
            <w:pStyle w:val="TOC8"/>
          </w:pPr>
          <w:hyperlink w:anchor="_TOC_250017" w:history="1">
            <w:r>
              <w:t>上篇：战略篇【4M】</w:t>
            </w:r>
          </w:hyperlink>
        </w:p>
        <w:p>
          <w:pPr>
            <w:pStyle w:val="TOC1"/>
            <w:tabs>
              <w:tab w:val="right" w:leader="dot" w:pos="12184"/>
            </w:tabs>
            <w:spacing w:before="265"/>
            <w:rPr>
              <w:b w:val="0"/>
              <w:i w:val="0"/>
              <w:sz w:val="36"/>
            </w:rPr>
          </w:pPr>
          <w:r>
            <w:rPr>
              <w:rFonts w:ascii="黑体" w:eastAsia="黑体" w:hint="eastAsia"/>
              <w:b w:val="0"/>
              <w:i w:val="0"/>
              <w:sz w:val="36"/>
            </w:rPr>
            <w:t>一、</w:t>
          </w:r>
          <w:r>
            <w:rPr>
              <w:b w:val="0"/>
              <w:i w:val="0"/>
              <w:sz w:val="36"/>
            </w:rPr>
            <w:t>邮政贺卡市场调查</w:t>
          </w:r>
          <w:r>
            <w:rPr>
              <w:i w:val="0"/>
              <w:sz w:val="36"/>
            </w:rPr>
            <w:t>（Market</w:t>
          </w:r>
          <w:r>
            <w:rPr>
              <w:i w:val="0"/>
              <w:spacing w:val="-3"/>
              <w:sz w:val="36"/>
            </w:rPr>
            <w:t xml:space="preserve"> </w:t>
          </w:r>
          <w:r>
            <w:rPr>
              <w:i w:val="0"/>
              <w:spacing w:val="2"/>
              <w:sz w:val="36"/>
            </w:rPr>
            <w:t>Rearch）</w:t>
            <w:tab/>
          </w:r>
          <w:r>
            <w:rPr>
              <w:b w:val="0"/>
              <w:i w:val="0"/>
              <w:sz w:val="36"/>
            </w:rPr>
            <w:t>3</w:t>
          </w:r>
        </w:p>
        <w:p>
          <w:pPr>
            <w:pStyle w:val="TOC1"/>
            <w:tabs>
              <w:tab w:val="right" w:leader="dot" w:pos="12281"/>
            </w:tabs>
            <w:spacing w:before="7"/>
            <w:rPr>
              <w:b w:val="0"/>
              <w:i w:val="0"/>
              <w:sz w:val="36"/>
            </w:rPr>
          </w:pPr>
          <w:r>
            <w:rPr>
              <w:b w:val="0"/>
              <w:i w:val="0"/>
              <w:sz w:val="36"/>
            </w:rPr>
            <w:t>二、市场分析</w:t>
          </w:r>
          <w:r>
            <w:rPr>
              <w:i w:val="0"/>
              <w:sz w:val="36"/>
            </w:rPr>
            <w:t>(Market</w:t>
          </w:r>
          <w:r>
            <w:rPr>
              <w:i w:val="0"/>
              <w:spacing w:val="-3"/>
              <w:sz w:val="36"/>
            </w:rPr>
            <w:t xml:space="preserve"> </w:t>
          </w:r>
          <w:r>
            <w:rPr>
              <w:i w:val="0"/>
              <w:sz w:val="36"/>
            </w:rPr>
            <w:t>Analyse)—SWOT</w:t>
          </w:r>
          <w:r>
            <w:rPr>
              <w:i w:val="0"/>
              <w:spacing w:val="-84"/>
              <w:sz w:val="36"/>
            </w:rPr>
            <w:t xml:space="preserve"> </w:t>
          </w:r>
          <w:r>
            <w:rPr>
              <w:b w:val="0"/>
              <w:i w:val="0"/>
              <w:sz w:val="36"/>
            </w:rPr>
            <w:t>分析…</w:t>
            <w:tab/>
            <w:t>5</w:t>
          </w:r>
        </w:p>
        <w:p>
          <w:pPr>
            <w:pStyle w:val="TOC1"/>
            <w:tabs>
              <w:tab w:val="right" w:leader="dot" w:pos="12256"/>
            </w:tabs>
            <w:spacing w:before="7" w:line="360" w:lineRule="exact"/>
            <w:rPr>
              <w:b w:val="0"/>
              <w:i w:val="0"/>
              <w:sz w:val="36"/>
            </w:rPr>
          </w:pPr>
          <w:r>
            <w:rPr>
              <w:b w:val="0"/>
              <w:i w:val="0"/>
              <w:sz w:val="36"/>
            </w:rPr>
            <w:t>三、</w:t>
          </w:r>
          <w:r>
            <w:rPr>
              <w:i w:val="0"/>
              <w:sz w:val="36"/>
            </w:rPr>
            <w:t>STP</w:t>
          </w:r>
          <w:r>
            <w:rPr>
              <w:i w:val="0"/>
              <w:spacing w:val="-86"/>
              <w:sz w:val="36"/>
            </w:rPr>
            <w:t xml:space="preserve"> </w:t>
          </w:r>
          <w:r>
            <w:rPr>
              <w:b w:val="0"/>
              <w:i w:val="0"/>
              <w:sz w:val="36"/>
            </w:rPr>
            <w:t>营销战略结构…</w:t>
            <w:tab/>
            <w:t>6</w:t>
          </w:r>
        </w:p>
        <w:p>
          <w:pPr>
            <w:pStyle w:val="TOC9"/>
          </w:pPr>
          <w:hyperlink w:anchor="_TOC_250016" w:history="1">
            <w:r>
              <w:t>下篇：战术篇【4P</w:t>
            </w:r>
            <w:r>
              <w:rPr>
                <w:position w:val="15"/>
                <w:sz w:val="66"/>
              </w:rPr>
              <w:t>+</w:t>
            </w:r>
            <w:r>
              <w:t>SCM】</w:t>
            </w:r>
          </w:hyperlink>
        </w:p>
        <w:p>
          <w:pPr>
            <w:pStyle w:val="TOC1"/>
            <w:tabs>
              <w:tab w:val="right" w:leader="dot" w:pos="12357"/>
            </w:tabs>
            <w:spacing w:before="201"/>
            <w:rPr>
              <w:b w:val="0"/>
              <w:i w:val="0"/>
              <w:sz w:val="36"/>
            </w:rPr>
          </w:pPr>
          <w:r>
            <w:rPr>
              <w:b w:val="0"/>
              <w:i w:val="0"/>
              <w:sz w:val="36"/>
            </w:rPr>
            <w:t>四、产品策略</w:t>
          </w:r>
          <w:r>
            <w:rPr>
              <w:i w:val="0"/>
              <w:sz w:val="36"/>
            </w:rPr>
            <w:t>（Product）</w:t>
            <w:tab/>
          </w:r>
          <w:r>
            <w:rPr>
              <w:b w:val="0"/>
              <w:i w:val="0"/>
              <w:sz w:val="36"/>
            </w:rPr>
            <w:t>7</w:t>
          </w:r>
        </w:p>
        <w:p>
          <w:pPr>
            <w:pStyle w:val="TOC3"/>
            <w:tabs>
              <w:tab w:val="right" w:leader="dot" w:pos="12436"/>
            </w:tabs>
            <w:spacing w:before="7" w:line="478" w:lineRule="exact"/>
          </w:pPr>
          <w:hyperlink w:anchor="_TOC_250015" w:history="1">
            <w:r>
              <w:t>1、实施产品独特卖点的背景</w:t>
              <w:tab/>
              <w:t>7</w:t>
            </w:r>
          </w:hyperlink>
        </w:p>
        <w:p>
          <w:pPr>
            <w:pStyle w:val="TOC3"/>
            <w:tabs>
              <w:tab w:val="right" w:leader="dot" w:pos="12436"/>
            </w:tabs>
            <w:rPr>
              <w:sz w:val="36"/>
            </w:rPr>
          </w:pPr>
          <w:hyperlink w:anchor="_TOC_250014" w:history="1">
            <w:r>
              <w:t>2、产品策略</w:t>
              <w:tab/>
            </w:r>
            <w:r>
              <w:rPr>
                <w:position w:val="4"/>
                <w:sz w:val="36"/>
              </w:rPr>
              <w:t>7</w:t>
            </w:r>
          </w:hyperlink>
        </w:p>
        <w:p>
          <w:pPr>
            <w:pStyle w:val="TOC7"/>
            <w:numPr>
              <w:ilvl w:val="1"/>
              <w:numId w:val="15"/>
            </w:numPr>
            <w:tabs>
              <w:tab w:val="left" w:pos="1703"/>
              <w:tab w:val="right" w:leader="dot" w:pos="12411"/>
            </w:tabs>
            <w:spacing w:before="0" w:after="0" w:line="468" w:lineRule="exact"/>
            <w:ind w:left="1702" w:right="0" w:hanging="635"/>
            <w:jc w:val="left"/>
            <w:rPr>
              <w:sz w:val="36"/>
            </w:rPr>
          </w:pPr>
          <w:hyperlink w:anchor="_TOC_250013" w:history="1">
            <w:r>
              <w:t>产品品牌策略</w:t>
              <w:tab/>
            </w:r>
            <w:r>
              <w:rPr>
                <w:position w:val="4"/>
                <w:sz w:val="36"/>
              </w:rPr>
              <w:t>7</w:t>
            </w:r>
          </w:hyperlink>
        </w:p>
        <w:p>
          <w:pPr>
            <w:pStyle w:val="TOC7"/>
            <w:numPr>
              <w:ilvl w:val="1"/>
              <w:numId w:val="15"/>
            </w:numPr>
            <w:tabs>
              <w:tab w:val="left" w:pos="1703"/>
              <w:tab w:val="right" w:leader="dot" w:pos="12389"/>
            </w:tabs>
            <w:spacing w:before="0" w:after="0" w:line="468" w:lineRule="exact"/>
            <w:ind w:left="1702" w:right="0" w:hanging="635"/>
            <w:jc w:val="left"/>
          </w:pPr>
          <w:hyperlink w:anchor="_TOC_250012" w:history="1">
            <w:r>
              <w:t>产品整体概念</w:t>
              <w:tab/>
              <w:t>8</w:t>
            </w:r>
          </w:hyperlink>
        </w:p>
        <w:p>
          <w:pPr>
            <w:pStyle w:val="TOC7"/>
            <w:numPr>
              <w:ilvl w:val="1"/>
              <w:numId w:val="15"/>
            </w:numPr>
            <w:tabs>
              <w:tab w:val="left" w:pos="1703"/>
              <w:tab w:val="right" w:leader="dot" w:pos="12479"/>
            </w:tabs>
            <w:spacing w:before="0" w:after="0" w:line="468" w:lineRule="exact"/>
            <w:ind w:left="1702" w:right="0" w:hanging="635"/>
            <w:jc w:val="left"/>
          </w:pPr>
          <w:hyperlink w:anchor="_TOC_250011" w:history="1">
            <w:r>
              <w:t>产品组合</w:t>
              <w:tab/>
              <w:t>8</w:t>
            </w:r>
          </w:hyperlink>
        </w:p>
        <w:p>
          <w:pPr>
            <w:pStyle w:val="TOC7"/>
            <w:numPr>
              <w:ilvl w:val="1"/>
              <w:numId w:val="15"/>
            </w:numPr>
            <w:tabs>
              <w:tab w:val="left" w:pos="1703"/>
              <w:tab w:val="right" w:leader="dot" w:pos="12411"/>
            </w:tabs>
            <w:spacing w:before="0" w:after="0" w:line="468" w:lineRule="exact"/>
            <w:ind w:left="1702" w:right="0" w:hanging="635"/>
            <w:jc w:val="left"/>
            <w:rPr>
              <w:sz w:val="36"/>
            </w:rPr>
          </w:pPr>
          <w:hyperlink w:anchor="_TOC_250010" w:history="1">
            <w:r>
              <w:t>产品包装策略</w:t>
              <w:tab/>
            </w:r>
            <w:r>
              <w:rPr>
                <w:position w:val="4"/>
                <w:sz w:val="36"/>
              </w:rPr>
              <w:t>8</w:t>
            </w:r>
          </w:hyperlink>
        </w:p>
        <w:p>
          <w:pPr>
            <w:pStyle w:val="TOC1"/>
            <w:tabs>
              <w:tab w:val="right" w:leader="dot" w:pos="12508"/>
            </w:tabs>
            <w:spacing w:line="468" w:lineRule="exact"/>
            <w:rPr>
              <w:b w:val="0"/>
              <w:i w:val="0"/>
              <w:sz w:val="31"/>
            </w:rPr>
          </w:pPr>
          <w:r>
            <w:rPr>
              <w:b w:val="0"/>
              <w:i w:val="0"/>
              <w:sz w:val="36"/>
            </w:rPr>
            <w:t>五、价格策略</w:t>
          </w:r>
          <w:r>
            <w:rPr>
              <w:i w:val="0"/>
              <w:sz w:val="36"/>
            </w:rPr>
            <w:t>（Price）</w:t>
            <w:tab/>
          </w:r>
          <w:r>
            <w:rPr>
              <w:b w:val="0"/>
              <w:i w:val="0"/>
              <w:position w:val="-3"/>
              <w:sz w:val="31"/>
            </w:rPr>
            <w:t>8</w:t>
          </w:r>
        </w:p>
        <w:p>
          <w:pPr>
            <w:pStyle w:val="TOC3"/>
            <w:tabs>
              <w:tab w:val="right" w:leader="dot" w:pos="12458"/>
            </w:tabs>
            <w:rPr>
              <w:sz w:val="36"/>
            </w:rPr>
          </w:pPr>
          <w:hyperlink w:anchor="_TOC_250009" w:history="1">
            <w:r>
              <w:rPr>
                <w:spacing w:val="-4"/>
              </w:rPr>
              <w:t>1</w:t>
            </w:r>
            <w:r>
              <w:t>、明确贺卡定价程序</w:t>
              <w:tab/>
            </w:r>
            <w:r>
              <w:rPr>
                <w:position w:val="4"/>
                <w:sz w:val="36"/>
              </w:rPr>
              <w:t>8</w:t>
            </w:r>
          </w:hyperlink>
        </w:p>
        <w:p>
          <w:pPr>
            <w:pStyle w:val="TOC3"/>
            <w:tabs>
              <w:tab w:val="right" w:leader="dot" w:pos="12591"/>
            </w:tabs>
            <w:ind w:left="820"/>
          </w:pPr>
          <w:hyperlink w:anchor="_TOC_250008" w:history="1">
            <w:r>
              <w:t>2、定价策略</w:t>
              <w:tab/>
              <w:t>10</w:t>
            </w:r>
          </w:hyperlink>
        </w:p>
        <w:p>
          <w:pPr>
            <w:pStyle w:val="TOC7"/>
            <w:numPr>
              <w:ilvl w:val="1"/>
              <w:numId w:val="13"/>
            </w:numPr>
            <w:tabs>
              <w:tab w:val="left" w:pos="1699"/>
              <w:tab w:val="right" w:leader="dot" w:pos="12501"/>
            </w:tabs>
            <w:spacing w:before="0" w:after="0" w:line="468" w:lineRule="exact"/>
            <w:ind w:left="1699" w:right="0" w:hanging="627"/>
            <w:jc w:val="left"/>
          </w:pPr>
          <w:r>
            <w:t>成本导向定价法</w:t>
            <w:tab/>
            <w:t>10</w:t>
          </w:r>
        </w:p>
        <w:p>
          <w:pPr>
            <w:pStyle w:val="TOC7"/>
            <w:numPr>
              <w:ilvl w:val="1"/>
              <w:numId w:val="13"/>
            </w:numPr>
            <w:tabs>
              <w:tab w:val="left" w:pos="1699"/>
              <w:tab w:val="right" w:leader="dot" w:pos="12501"/>
            </w:tabs>
            <w:spacing w:before="0" w:after="0" w:line="468" w:lineRule="exact"/>
            <w:ind w:left="1699" w:right="0" w:hanging="627"/>
            <w:jc w:val="left"/>
          </w:pPr>
          <w:r>
            <w:t>需求导向定价法</w:t>
            <w:tab/>
            <w:t>10</w:t>
          </w:r>
        </w:p>
        <w:p>
          <w:pPr>
            <w:pStyle w:val="TOC7"/>
            <w:numPr>
              <w:ilvl w:val="1"/>
              <w:numId w:val="13"/>
            </w:numPr>
            <w:tabs>
              <w:tab w:val="left" w:pos="1699"/>
              <w:tab w:val="right" w:leader="dot" w:pos="12591"/>
            </w:tabs>
            <w:spacing w:before="0" w:after="0" w:line="468" w:lineRule="exact"/>
            <w:ind w:left="1699" w:right="0" w:hanging="627"/>
            <w:jc w:val="left"/>
          </w:pPr>
          <w:r>
            <w:t>灵活的折扣定价技巧</w:t>
            <w:tab/>
            <w:t>10</w:t>
          </w:r>
        </w:p>
        <w:p>
          <w:pPr>
            <w:pStyle w:val="TOC1"/>
            <w:tabs>
              <w:tab w:val="right" w:leader="dot" w:pos="12670"/>
            </w:tabs>
            <w:spacing w:line="468" w:lineRule="exact"/>
            <w:rPr>
              <w:b w:val="0"/>
              <w:i w:val="0"/>
              <w:sz w:val="31"/>
            </w:rPr>
          </w:pPr>
          <w:r>
            <w:rPr>
              <w:b w:val="0"/>
              <w:i w:val="0"/>
              <w:sz w:val="36"/>
            </w:rPr>
            <w:t>六、销售渠道策略</w:t>
          </w:r>
          <w:r>
            <w:rPr>
              <w:i w:val="0"/>
              <w:sz w:val="36"/>
            </w:rPr>
            <w:t>（Place）</w:t>
            <w:tab/>
          </w:r>
          <w:r>
            <w:rPr>
              <w:b w:val="0"/>
              <w:i w:val="0"/>
              <w:position w:val="-3"/>
              <w:sz w:val="31"/>
            </w:rPr>
            <w:t>11</w:t>
          </w:r>
        </w:p>
        <w:p>
          <w:pPr>
            <w:pStyle w:val="TOC6"/>
            <w:tabs>
              <w:tab w:val="right" w:leader="dot" w:pos="12638"/>
            </w:tabs>
          </w:pPr>
          <w:hyperlink w:anchor="_TOC_250007" w:history="1">
            <w:r>
              <w:t>1、直接分销渠道</w:t>
              <w:tab/>
              <w:t>11</w:t>
            </w:r>
          </w:hyperlink>
        </w:p>
        <w:p>
          <w:pPr>
            <w:pStyle w:val="TOC5"/>
            <w:tabs>
              <w:tab w:val="right" w:leader="dot" w:pos="12591"/>
            </w:tabs>
          </w:pPr>
          <w:r>
            <w:rPr>
              <w:spacing w:val="-4"/>
            </w:rPr>
            <w:t>2</w:t>
          </w:r>
          <w:r>
            <w:t>、间接分销渠道</w:t>
            <w:tab/>
            <w:t>13</w:t>
          </w:r>
        </w:p>
        <w:p>
          <w:pPr>
            <w:pStyle w:val="TOC5"/>
            <w:tabs>
              <w:tab w:val="right" w:leader="dot" w:pos="12591"/>
            </w:tabs>
          </w:pPr>
          <w:hyperlink w:anchor="_TOC_250006" w:history="1">
            <w:r>
              <w:rPr>
                <w:spacing w:val="-4"/>
              </w:rPr>
              <w:t>3</w:t>
            </w:r>
            <w:r>
              <w:t>、自建分销渠道</w:t>
              <w:tab/>
              <w:t>14</w:t>
            </w:r>
          </w:hyperlink>
        </w:p>
        <w:p>
          <w:pPr>
            <w:pStyle w:val="TOC1"/>
            <w:tabs>
              <w:tab w:val="right" w:leader="dot" w:pos="12497"/>
            </w:tabs>
            <w:spacing w:line="467" w:lineRule="exact"/>
            <w:rPr>
              <w:b w:val="0"/>
              <w:i w:val="0"/>
              <w:sz w:val="31"/>
            </w:rPr>
          </w:pPr>
          <w:hyperlink w:anchor="_TOC_250005" w:history="1">
            <w:r>
              <w:rPr>
                <w:b w:val="0"/>
                <w:i w:val="0"/>
                <w:sz w:val="36"/>
              </w:rPr>
              <w:t>七、促销与沟通策略</w:t>
            </w:r>
            <w:r>
              <w:rPr>
                <w:i w:val="0"/>
                <w:sz w:val="36"/>
              </w:rPr>
              <w:t>（Promotion</w:t>
            </w:r>
            <w:r>
              <w:rPr>
                <w:i w:val="0"/>
                <w:spacing w:val="-4"/>
                <w:sz w:val="36"/>
              </w:rPr>
              <w:t xml:space="preserve"> </w:t>
            </w:r>
            <w:r>
              <w:rPr>
                <w:i w:val="0"/>
                <w:sz w:val="36"/>
              </w:rPr>
              <w:t>and</w:t>
            </w:r>
            <w:r>
              <w:rPr>
                <w:i w:val="0"/>
                <w:spacing w:val="-3"/>
                <w:sz w:val="36"/>
              </w:rPr>
              <w:t xml:space="preserve"> </w:t>
            </w:r>
            <w:r>
              <w:rPr>
                <w:i w:val="0"/>
                <w:spacing w:val="2"/>
                <w:sz w:val="36"/>
              </w:rPr>
              <w:t>Communication）</w:t>
              <w:tab/>
            </w:r>
            <w:r>
              <w:rPr>
                <w:b w:val="0"/>
                <w:i w:val="0"/>
                <w:position w:val="-3"/>
                <w:sz w:val="31"/>
              </w:rPr>
              <w:t>15</w:t>
            </w:r>
          </w:hyperlink>
        </w:p>
        <w:p>
          <w:pPr>
            <w:pStyle w:val="TOC3"/>
            <w:tabs>
              <w:tab w:val="right" w:leader="dot" w:pos="12461"/>
            </w:tabs>
          </w:pPr>
          <w:hyperlink w:anchor="_TOC_250004" w:history="1">
            <w:r>
              <w:t>1、人员销售策划及广告创意促销策</w:t>
            </w:r>
            <w:r>
              <w:rPr>
                <w:spacing w:val="-25"/>
              </w:rPr>
              <w:t>略</w:t>
              <w:tab/>
            </w:r>
            <w:r>
              <w:t>15</w:t>
            </w:r>
          </w:hyperlink>
        </w:p>
        <w:p>
          <w:pPr>
            <w:pStyle w:val="TOC3"/>
            <w:tabs>
              <w:tab w:val="right" w:leader="dot" w:pos="12548"/>
            </w:tabs>
            <w:spacing w:line="469" w:lineRule="exact"/>
            <w:ind w:left="820"/>
          </w:pPr>
          <w:hyperlink w:anchor="_TOC_250003" w:history="1">
            <w:r>
              <w:t>2、销售促进策略</w:t>
            </w:r>
            <w:r>
              <w:rPr>
                <w:spacing w:val="-5"/>
              </w:rPr>
              <w:t>（SP）</w:t>
              <w:tab/>
            </w:r>
            <w:r>
              <w:t>17</w:t>
            </w:r>
          </w:hyperlink>
        </w:p>
        <w:p>
          <w:pPr>
            <w:pStyle w:val="TOC1"/>
            <w:tabs>
              <w:tab w:val="right" w:leader="dot" w:pos="12486"/>
            </w:tabs>
            <w:spacing w:line="468" w:lineRule="exact"/>
            <w:rPr>
              <w:b w:val="0"/>
              <w:i w:val="0"/>
              <w:sz w:val="31"/>
            </w:rPr>
          </w:pPr>
          <w:hyperlink w:anchor="_TOC_250002" w:history="1">
            <w:r>
              <w:rPr>
                <w:b w:val="0"/>
                <w:i w:val="0"/>
                <w:sz w:val="36"/>
              </w:rPr>
              <w:t>八、供应链管理</w:t>
            </w:r>
            <w:r>
              <w:rPr>
                <w:i w:val="0"/>
                <w:sz w:val="36"/>
              </w:rPr>
              <w:t>（SCM）</w:t>
            </w:r>
            <w:r>
              <w:rPr>
                <w:b w:val="0"/>
                <w:i w:val="0"/>
                <w:sz w:val="36"/>
              </w:rPr>
              <w:t>执行与控制…</w:t>
              <w:tab/>
            </w:r>
            <w:r>
              <w:rPr>
                <w:b w:val="0"/>
                <w:i w:val="0"/>
                <w:position w:val="-3"/>
                <w:sz w:val="31"/>
              </w:rPr>
              <w:t>18</w:t>
            </w:r>
          </w:hyperlink>
        </w:p>
        <w:p>
          <w:pPr>
            <w:pStyle w:val="TOC4"/>
            <w:tabs>
              <w:tab w:val="right" w:leader="dot" w:pos="12458"/>
            </w:tabs>
            <w:rPr>
              <w:b w:val="0"/>
              <w:i w:val="0"/>
              <w:sz w:val="31"/>
            </w:rPr>
          </w:pPr>
          <w:hyperlink w:anchor="_TOC_250001" w:history="1">
            <w:r>
              <w:rPr>
                <w:b w:val="0"/>
                <w:i w:val="0"/>
                <w:sz w:val="31"/>
              </w:rPr>
              <w:t>1、</w:t>
            </w:r>
            <w:r>
              <w:rPr>
                <w:b w:val="0"/>
                <w:i w:val="0"/>
                <w:position w:val="4"/>
                <w:sz w:val="36"/>
              </w:rPr>
              <w:t>SCM</w:t>
            </w:r>
            <w:r>
              <w:rPr>
                <w:b w:val="0"/>
                <w:i w:val="0"/>
                <w:spacing w:val="-90"/>
                <w:position w:val="4"/>
                <w:sz w:val="36"/>
              </w:rPr>
              <w:t xml:space="preserve"> </w:t>
            </w:r>
            <w:r>
              <w:rPr>
                <w:b w:val="0"/>
                <w:i w:val="0"/>
                <w:sz w:val="31"/>
              </w:rPr>
              <w:t>环境下的营销与控制</w:t>
              <w:tab/>
              <w:t>18</w:t>
            </w:r>
          </w:hyperlink>
        </w:p>
        <w:p>
          <w:pPr>
            <w:pStyle w:val="TOC4"/>
            <w:tabs>
              <w:tab w:val="right" w:leader="dot" w:pos="12548"/>
            </w:tabs>
            <w:spacing w:line="478" w:lineRule="exact"/>
            <w:rPr>
              <w:b w:val="0"/>
              <w:i w:val="0"/>
              <w:sz w:val="31"/>
            </w:rPr>
          </w:pPr>
          <w:r>
            <w:rPr>
              <w:b w:val="0"/>
              <w:i w:val="0"/>
              <w:sz w:val="31"/>
            </w:rPr>
            <w:t>2、</w:t>
          </w:r>
          <w:r>
            <w:rPr>
              <w:b w:val="0"/>
              <w:i w:val="0"/>
              <w:position w:val="4"/>
              <w:sz w:val="36"/>
            </w:rPr>
            <w:t>SCM</w:t>
          </w:r>
          <w:r>
            <w:rPr>
              <w:b w:val="0"/>
              <w:i w:val="0"/>
              <w:spacing w:val="-90"/>
              <w:position w:val="4"/>
              <w:sz w:val="36"/>
            </w:rPr>
            <w:t xml:space="preserve"> </w:t>
          </w:r>
          <w:r>
            <w:rPr>
              <w:b w:val="0"/>
              <w:i w:val="0"/>
              <w:sz w:val="31"/>
            </w:rPr>
            <w:t>执行与绩效评价</w:t>
            <w:tab/>
            <w:t>19</w:t>
          </w:r>
        </w:p>
        <w:p>
          <w:pPr>
            <w:pStyle w:val="TOC1"/>
            <w:tabs>
              <w:tab w:val="right" w:leader="dot" w:pos="12479"/>
            </w:tabs>
            <w:spacing w:before="448" w:line="478" w:lineRule="exact"/>
            <w:rPr>
              <w:b w:val="0"/>
              <w:i w:val="0"/>
              <w:sz w:val="31"/>
            </w:rPr>
          </w:pPr>
          <w:hyperlink w:anchor="_TOC_250000" w:history="1">
            <w:r>
              <w:rPr>
                <w:b w:val="0"/>
                <w:i w:val="0"/>
                <w:sz w:val="36"/>
              </w:rPr>
              <w:t>结束语…</w:t>
              <w:tab/>
            </w:r>
            <w:r>
              <w:rPr>
                <w:b w:val="0"/>
                <w:i w:val="0"/>
                <w:position w:val="-3"/>
                <w:sz w:val="31"/>
              </w:rPr>
              <w:t>20</w:t>
            </w:r>
          </w:hyperlink>
        </w:p>
        <w:p>
          <w:pPr>
            <w:pStyle w:val="TOC1"/>
            <w:tabs>
              <w:tab w:val="right" w:leader="dot" w:pos="12479"/>
            </w:tabs>
            <w:spacing w:line="478" w:lineRule="exact"/>
            <w:rPr>
              <w:b w:val="0"/>
              <w:i w:val="0"/>
              <w:sz w:val="31"/>
            </w:rPr>
          </w:pPr>
          <w:r>
            <w:rPr>
              <w:b w:val="0"/>
              <w:i w:val="0"/>
              <w:sz w:val="36"/>
            </w:rPr>
            <w:t>附件…</w:t>
            <w:tab/>
          </w:r>
          <w:r>
            <w:rPr>
              <w:b w:val="0"/>
              <w:i w:val="0"/>
              <w:position w:val="-3"/>
              <w:sz w:val="31"/>
            </w:rPr>
            <w:t>22</w:t>
          </w:r>
        </w:p>
      </w:sdtContent>
    </w:sdt>
    <w:p>
      <w:pPr>
        <w:spacing w:after="0" w:line="478" w:lineRule="exact"/>
        <w:rPr>
          <w:sz w:val="31"/>
        </w:rPr>
        <w:sectPr>
          <w:pgSz w:w="17860" w:h="25260"/>
          <w:pgMar w:top="1640" w:right="2380" w:bottom="280" w:left="2420" w:header="708" w:footer="708"/>
          <w:pgNumType w:start="2"/>
          <w:cols w:space="708"/>
        </w:sectPr>
      </w:pPr>
    </w:p>
    <w:p>
      <w:pPr>
        <w:pStyle w:val="BodyText"/>
      </w:pPr>
    </w:p>
    <w:p>
      <w:pPr>
        <w:pStyle w:val="BodyText"/>
        <w:spacing w:before="4"/>
        <w:rPr>
          <w:sz w:val="37"/>
        </w:rPr>
      </w:pPr>
    </w:p>
    <w:p>
      <w:pPr>
        <w:pStyle w:val="BodyText"/>
        <w:spacing w:before="1"/>
        <w:ind w:left="280"/>
      </w:pPr>
      <w:r>
        <w:t>摘要：</w:t>
      </w:r>
    </w:p>
    <w:p>
      <w:pPr>
        <w:pStyle w:val="BodyText"/>
        <w:spacing w:before="240" w:line="364" w:lineRule="auto"/>
        <w:ind w:left="280" w:right="176" w:firstLine="719"/>
      </w:pPr>
      <w:r>
        <w:rPr>
          <w:spacing w:val="-8"/>
        </w:rPr>
        <w:t>邮政贺卡业务一直是邮政函件的高效业务，为拟定泉州邮政贺卡营销市场的</w:t>
      </w:r>
      <w:r>
        <w:rPr>
          <w:spacing w:val="-9"/>
        </w:rPr>
        <w:t>进一步开发计划，我们团队提供了一个贺卡营销方案设计，本设计主要分为上、</w:t>
      </w:r>
      <w:r>
        <w:t>下两个篇章：其一是战略篇</w:t>
      </w:r>
      <w:r>
        <w:rPr>
          <w:spacing w:val="-47"/>
        </w:rPr>
        <w:t>（</w:t>
      </w:r>
      <w:r>
        <w:t>4M</w:t>
      </w:r>
      <w:r>
        <w:rPr>
          <w:spacing w:val="-180"/>
        </w:rPr>
        <w:t>）</w:t>
      </w:r>
      <w:r>
        <w:t>；其二是战术篇</w:t>
      </w:r>
      <w:r>
        <w:rPr>
          <w:spacing w:val="-47"/>
        </w:rPr>
        <w:t>（</w:t>
      </w:r>
      <w:r>
        <w:t>4P+SCM</w:t>
      </w:r>
      <w:r>
        <w:rPr>
          <w:spacing w:val="-180"/>
        </w:rPr>
        <w:t>）</w:t>
      </w:r>
      <w:r>
        <w:t>。战略上，我们先针</w:t>
      </w:r>
      <w:r>
        <w:rPr>
          <w:spacing w:val="-10"/>
        </w:rPr>
        <w:t xml:space="preserve">对泉州邮政贺卡的市场作了初步的调查与分析，继而有效地利用 </w:t>
      </w:r>
      <w:r>
        <w:t>STP</w:t>
      </w:r>
      <w:r>
        <w:rPr>
          <w:spacing w:val="-16"/>
        </w:rPr>
        <w:t xml:space="preserve"> 营销战略结</w:t>
      </w:r>
      <w:r>
        <w:rPr>
          <w:spacing w:val="-17"/>
        </w:rPr>
        <w:t>构作出不同层次的营销规划；战术上，分别从产品策略、价格策略、销售渠道策</w:t>
      </w:r>
      <w:r>
        <w:rPr>
          <w:spacing w:val="-13"/>
        </w:rPr>
        <w:t>略、促销与沟通策略以及供应链管理执行与控制对邮政贺卡的销售方式进行不同</w:t>
      </w:r>
      <w:r>
        <w:rPr>
          <w:spacing w:val="-16"/>
        </w:rPr>
        <w:t>角度地定性分析，以此在一定程度上为邮政贺卡市场的业务拓宽提供有效的解决</w:t>
      </w:r>
      <w:r>
        <w:rPr>
          <w:spacing w:val="-20"/>
        </w:rPr>
        <w:t xml:space="preserve">方案；同时，正值华侨大学“喜迎 </w:t>
      </w:r>
      <w:r>
        <w:t>50</w:t>
      </w:r>
      <w:r>
        <w:rPr>
          <w:spacing w:val="-9"/>
        </w:rPr>
        <w:t xml:space="preserve"> 华诞”之际，为广大华大学子及校友提供</w:t>
      </w:r>
    </w:p>
    <w:p>
      <w:pPr>
        <w:pStyle w:val="BodyText"/>
        <w:spacing w:before="8" w:line="364" w:lineRule="auto"/>
        <w:ind w:left="280" w:right="319"/>
      </w:pPr>
      <w:r>
        <w:rPr>
          <w:spacing w:val="-3"/>
        </w:rPr>
        <w:t xml:space="preserve">一个表达对母校的感激之情的平台，满足莘莘学子为 </w:t>
      </w:r>
      <w:r>
        <w:t>50</w:t>
      </w:r>
      <w:r>
        <w:rPr>
          <w:spacing w:val="-10"/>
        </w:rPr>
        <w:t xml:space="preserve"> 华诞添光彩献出微薄力</w:t>
      </w:r>
      <w:r>
        <w:t>量的愿望，我们针对华大校内市场作了一份具体的贺卡促销方案。</w:t>
      </w:r>
    </w:p>
    <w:p>
      <w:pPr>
        <w:pStyle w:val="BodyText"/>
        <w:spacing w:before="2"/>
        <w:ind w:left="1000"/>
      </w:pPr>
      <w:r>
        <w:t>最后，在结束语部分提供了方案设计的可行性分析和局限性分析。</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0"/>
        <w:rPr>
          <w:sz w:val="40"/>
        </w:rPr>
      </w:pPr>
    </w:p>
    <w:p>
      <w:pPr>
        <w:pStyle w:val="BodyText"/>
        <w:tabs>
          <w:tab w:val="left" w:pos="3564"/>
          <w:tab w:val="left" w:pos="5540"/>
          <w:tab w:val="left" w:pos="7521"/>
          <w:tab w:val="left" w:pos="10221"/>
        </w:tabs>
        <w:ind w:left="280"/>
      </w:pPr>
      <w:r>
        <w:rPr>
          <w:b/>
        </w:rPr>
        <w:t>关键字</w:t>
      </w:r>
      <w:r>
        <w:rPr>
          <w:b/>
          <w:spacing w:val="-137"/>
        </w:rPr>
        <w:t>：</w:t>
      </w:r>
      <w:r>
        <w:t>邮政贺卡</w:t>
        <w:tab/>
        <w:t>产品策略</w:t>
        <w:tab/>
        <w:t>价格策略</w:t>
        <w:tab/>
        <w:t>销售渠道策略</w:t>
        <w:tab/>
        <w:t>促销与沟通策略</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Heading1"/>
        <w:spacing w:before="246"/>
        <w:ind w:left="2891"/>
      </w:pPr>
      <w:bookmarkStart w:id="0" w:name="_TOC_250017"/>
      <w:bookmarkEnd w:id="0"/>
      <w:r>
        <w:t>上篇：战略篇【4M】</w:t>
      </w:r>
    </w:p>
    <w:p>
      <w:pPr>
        <w:pStyle w:val="BodyText"/>
        <w:rPr>
          <w:b/>
          <w:sz w:val="65"/>
        </w:rPr>
      </w:pPr>
    </w:p>
    <w:p>
      <w:pPr>
        <w:tabs>
          <w:tab w:val="left" w:pos="1540"/>
        </w:tabs>
        <w:spacing w:before="0"/>
        <w:ind w:left="280" w:right="0" w:firstLine="0"/>
        <w:jc w:val="left"/>
        <w:rPr>
          <w:b/>
          <w:sz w:val="45"/>
        </w:rPr>
      </w:pPr>
      <w:r>
        <w:rPr>
          <w:rFonts w:ascii="黑体" w:eastAsia="黑体" w:hint="eastAsia"/>
          <w:sz w:val="45"/>
        </w:rPr>
        <w:t>一、</w:t>
        <w:tab/>
      </w:r>
      <w:r>
        <w:rPr>
          <w:sz w:val="45"/>
        </w:rPr>
        <w:t>邮政贺卡市场调查</w:t>
      </w:r>
      <w:r>
        <w:rPr>
          <w:b/>
          <w:sz w:val="45"/>
        </w:rPr>
        <w:t>（Market</w:t>
      </w:r>
      <w:r>
        <w:rPr>
          <w:b/>
          <w:spacing w:val="-3"/>
          <w:sz w:val="45"/>
        </w:rPr>
        <w:t xml:space="preserve"> </w:t>
      </w:r>
      <w:r>
        <w:rPr>
          <w:b/>
          <w:spacing w:val="2"/>
          <w:sz w:val="45"/>
        </w:rPr>
        <w:t>Rearch）</w:t>
      </w:r>
    </w:p>
    <w:p>
      <w:pPr>
        <w:spacing w:after="0"/>
        <w:jc w:val="left"/>
        <w:rPr>
          <w:sz w:val="45"/>
        </w:rPr>
        <w:sectPr>
          <w:pgSz w:w="17860" w:h="25260"/>
          <w:pgMar w:top="2420" w:right="2380" w:bottom="280" w:left="2420" w:header="708" w:footer="708"/>
          <w:pgNumType w:start="3"/>
          <w:cols w:space="708"/>
        </w:sectPr>
      </w:pPr>
    </w:p>
    <w:p>
      <w:pPr>
        <w:pStyle w:val="Heading4"/>
        <w:spacing w:line="655" w:lineRule="exact"/>
        <w:ind w:left="910"/>
        <w:rPr>
          <w:rFonts w:ascii="新宋体" w:eastAsia="新宋体" w:hint="eastAsia"/>
        </w:rPr>
      </w:pPr>
      <w:r>
        <w:t>1、</w:t>
      </w:r>
      <w:r>
        <w:rPr>
          <w:rFonts w:ascii="新宋体" w:eastAsia="新宋体" w:hint="eastAsia"/>
        </w:rPr>
        <w:t>贺卡市场状况</w:t>
      </w:r>
    </w:p>
    <w:p>
      <w:pPr>
        <w:pStyle w:val="BodyText"/>
        <w:rPr>
          <w:b/>
          <w:sz w:val="56"/>
        </w:rPr>
      </w:pPr>
    </w:p>
    <w:p>
      <w:pPr>
        <w:pStyle w:val="BodyText"/>
        <w:spacing w:before="1" w:line="364" w:lineRule="auto"/>
        <w:ind w:left="280" w:right="178" w:firstLine="719"/>
      </w:pPr>
      <w:r>
        <w:rPr>
          <w:spacing w:val="-1"/>
        </w:rPr>
        <w:t>贺卡是一种社会性、大众化的交际媒体，是人们沟通感情，表达尊重，增进</w:t>
      </w:r>
      <w:r>
        <w:rPr>
          <w:spacing w:val="-13"/>
        </w:rPr>
        <w:t>友谊的载体，是日常生活中，特别是节日中不可或缺的礼仪工具，有着众多的消</w:t>
      </w:r>
      <w:r>
        <w:rPr>
          <w:spacing w:val="-14"/>
        </w:rPr>
        <w:t>费人群。中国邮政贺卡市场经过多年的培育，已构成了集团需求与个体需求、宣传需求与礼品需求等融合交错的新型多元化的消费结构。</w:t>
      </w:r>
    </w:p>
    <w:p>
      <w:pPr>
        <w:pStyle w:val="Heading4"/>
        <w:spacing w:before="302"/>
        <w:ind w:left="1004"/>
        <w:rPr>
          <w:rFonts w:ascii="新宋体" w:eastAsia="新宋体" w:hint="eastAsia"/>
        </w:rPr>
      </w:pPr>
      <w:r>
        <w:rPr>
          <w:rFonts w:ascii="新宋体" w:eastAsia="新宋体" w:hint="eastAsia"/>
        </w:rPr>
        <w:t>2、贺卡市场需求的构成</w:t>
      </w:r>
    </w:p>
    <w:p>
      <w:pPr>
        <w:pStyle w:val="BodyText"/>
        <w:spacing w:before="5"/>
        <w:rPr>
          <w:b/>
          <w:sz w:val="33"/>
        </w:rPr>
      </w:pPr>
    </w:p>
    <w:p>
      <w:pPr>
        <w:pStyle w:val="BodyText"/>
        <w:ind w:left="1000"/>
      </w:pPr>
      <w:r>
        <w:t>（1）集团市场的消费心理</w:t>
      </w:r>
    </w:p>
    <w:p>
      <w:pPr>
        <w:pStyle w:val="BodyText"/>
        <w:spacing w:before="9"/>
        <w:rPr>
          <w:sz w:val="42"/>
        </w:rPr>
      </w:pPr>
    </w:p>
    <w:p>
      <w:pPr>
        <w:pStyle w:val="BodyText"/>
        <w:spacing w:before="1" w:line="364" w:lineRule="auto"/>
        <w:ind w:left="280" w:right="133" w:firstLine="719"/>
      </w:pPr>
      <w:r>
        <w:rPr>
          <w:spacing w:val="-9"/>
        </w:rPr>
        <w:t xml:space="preserve">从中国邮政广告公司 </w:t>
      </w:r>
      <w:r>
        <w:t>2008</w:t>
      </w:r>
      <w:r>
        <w:rPr>
          <w:spacing w:val="-10"/>
        </w:rPr>
        <w:t xml:space="preserve"> 年邮政定制型贺卡的审核中发现，大约有近六成</w:t>
      </w:r>
      <w:r>
        <w:rPr>
          <w:spacing w:val="-16"/>
        </w:rPr>
        <w:t>的定制型企业制作的贺卡是个性化图案。企业定制贺卡大致有以下几种用途：企</w:t>
      </w:r>
      <w:r>
        <w:rPr>
          <w:spacing w:val="-18"/>
        </w:rPr>
        <w:t>业用来公关的礼品，企业用来进行其产品形象、企业形象的宣传，企业用来产品</w:t>
      </w:r>
      <w:r>
        <w:rPr>
          <w:spacing w:val="-23"/>
        </w:rPr>
        <w:t xml:space="preserve">促销赠送的礼品。所选择的贺卡图案有：企业标志性建筑，企业标识，企业产品， </w:t>
      </w:r>
      <w:r>
        <w:rPr>
          <w:spacing w:val="-12"/>
        </w:rPr>
        <w:t>具象的生肖、中国传统文化图案等。集团需求有两个基本层面，宣传需求与礼品需求，它们是定制型贺卡消费者消费心理形成与消费行为构成的两个直接动力。</w:t>
      </w:r>
      <w:r>
        <w:rPr>
          <w:spacing w:val="-17"/>
        </w:rPr>
        <w:t>鉴于集团用户的多元化消费结构，中国邮政贺卡的设计必须以新的理念，不断满</w:t>
      </w:r>
      <w:r>
        <w:rPr>
          <w:spacing w:val="-20"/>
        </w:rPr>
        <w:t xml:space="preserve">足市场的个性化需求。集团市场对贺卡消费需求可接受度如图 </w:t>
      </w:r>
      <w:r>
        <w:t>1—1</w:t>
      </w:r>
      <w:r>
        <w:rPr>
          <w:spacing w:val="-23"/>
        </w:rPr>
        <w:t xml:space="preserve"> 所示：</w:t>
      </w:r>
    </w:p>
    <w:p>
      <w:pPr>
        <w:pStyle w:val="BodyText"/>
        <w:spacing w:before="9"/>
        <w:rPr>
          <w:sz w:val="13"/>
        </w:rPr>
      </w:pPr>
      <w:r>
        <w:pict>
          <v:group id="_x0000_s1031" style="width:596pt;height:315pt;margin-top:10.76pt;margin-left:154pt;mso-position-horizontal-relative:page;mso-wrap-distance-left:0;mso-wrap-distance-right:0;position:absolute;z-index:-251657216" coordorigin="3080,215" coordsize="11920,6300">
            <v:shape id="_x0000_s1032" type="#_x0000_t75" style="width:11920;height:6300;left:3080;position:absolute;top:215" stroked="f">
              <v:imagedata r:id="rId9" o:title=""/>
            </v:shape>
            <v:shapetype id="_x0000_t202" coordsize="21600,21600" o:spt="202" path="m,l,21600r21600,l21600,xe">
              <v:stroke joinstyle="miter"/>
              <v:path gradientshapeok="t" o:connecttype="rect"/>
            </v:shapetype>
            <v:shape id="_x0000_s1033" type="#_x0000_t202" style="width:738;height:359;left:7404;position:absolute;top:731" filled="f" stroked="f">
              <v:textbox inset="0,0,0,0">
                <w:txbxContent>
                  <w:p>
                    <w:pPr>
                      <w:spacing w:before="0" w:line="359" w:lineRule="exact"/>
                      <w:ind w:left="0" w:right="0" w:firstLine="0"/>
                      <w:jc w:val="left"/>
                      <w:rPr>
                        <w:rFonts w:ascii="宋体"/>
                        <w:sz w:val="36"/>
                      </w:rPr>
                    </w:pPr>
                    <w:r>
                      <w:rPr>
                        <w:rFonts w:ascii="宋体"/>
                        <w:sz w:val="36"/>
                      </w:rPr>
                      <w:t>54.5</w:t>
                    </w:r>
                  </w:p>
                </w:txbxContent>
              </v:textbox>
            </v:shape>
            <v:shape id="_x0000_s1034" type="#_x0000_t202" style="width:379;height:1681;left:3939;position:absolute;top:1515" filled="f" stroked="f">
              <v:textbox inset="0,0,0,0">
                <w:txbxContent>
                  <w:p>
                    <w:pPr>
                      <w:spacing w:before="0" w:line="410" w:lineRule="exact"/>
                      <w:ind w:left="0" w:right="0" w:firstLine="0"/>
                      <w:jc w:val="left"/>
                      <w:rPr>
                        <w:rFonts w:ascii="宋体"/>
                        <w:sz w:val="36"/>
                      </w:rPr>
                    </w:pPr>
                    <w:r>
                      <w:rPr>
                        <w:rFonts w:ascii="宋体"/>
                        <w:sz w:val="36"/>
                      </w:rPr>
                      <w:t>60</w:t>
                    </w:r>
                  </w:p>
                  <w:p>
                    <w:pPr>
                      <w:spacing w:before="211"/>
                      <w:ind w:left="0" w:right="0" w:firstLine="0"/>
                      <w:jc w:val="left"/>
                      <w:rPr>
                        <w:rFonts w:ascii="宋体"/>
                        <w:sz w:val="36"/>
                      </w:rPr>
                    </w:pPr>
                    <w:r>
                      <w:rPr>
                        <w:rFonts w:ascii="宋体"/>
                        <w:sz w:val="36"/>
                      </w:rPr>
                      <w:t>50</w:t>
                    </w:r>
                  </w:p>
                  <w:p>
                    <w:pPr>
                      <w:spacing w:before="188" w:line="410" w:lineRule="exact"/>
                      <w:ind w:left="0" w:right="0" w:firstLine="0"/>
                      <w:jc w:val="left"/>
                      <w:rPr>
                        <w:rFonts w:ascii="宋体"/>
                        <w:sz w:val="36"/>
                      </w:rPr>
                    </w:pPr>
                    <w:r>
                      <w:rPr>
                        <w:rFonts w:ascii="宋体"/>
                        <w:sz w:val="36"/>
                      </w:rPr>
                      <w:t>40</w:t>
                    </w:r>
                  </w:p>
                </w:txbxContent>
              </v:textbox>
            </v:shape>
            <v:shape id="_x0000_s1035" type="#_x0000_t202" style="width:738;height:359;left:9425;position:absolute;top:2547" filled="f" stroked="f">
              <v:textbox inset="0,0,0,0">
                <w:txbxContent>
                  <w:p>
                    <w:pPr>
                      <w:spacing w:before="0" w:line="359" w:lineRule="exact"/>
                      <w:ind w:left="0" w:right="0" w:firstLine="0"/>
                      <w:jc w:val="left"/>
                      <w:rPr>
                        <w:rFonts w:ascii="宋体"/>
                        <w:sz w:val="36"/>
                      </w:rPr>
                    </w:pPr>
                    <w:r>
                      <w:rPr>
                        <w:rFonts w:ascii="宋体"/>
                        <w:sz w:val="36"/>
                      </w:rPr>
                      <w:t>27.3</w:t>
                    </w:r>
                  </w:p>
                </w:txbxContent>
              </v:textbox>
            </v:shape>
            <v:shape id="_x0000_s1036" type="#_x0000_t202" style="width:379;height:359;left:3939;position:absolute;top:3510" filled="f" stroked="f">
              <v:textbox inset="0,0,0,0">
                <w:txbxContent>
                  <w:p>
                    <w:pPr>
                      <w:spacing w:before="0" w:line="359" w:lineRule="exact"/>
                      <w:ind w:left="0" w:right="0" w:firstLine="0"/>
                      <w:jc w:val="left"/>
                      <w:rPr>
                        <w:rFonts w:ascii="宋体"/>
                        <w:sz w:val="36"/>
                      </w:rPr>
                    </w:pPr>
                    <w:r>
                      <w:rPr>
                        <w:rFonts w:ascii="宋体"/>
                        <w:sz w:val="36"/>
                      </w:rPr>
                      <w:t>30</w:t>
                    </w:r>
                  </w:p>
                </w:txbxContent>
              </v:textbox>
            </v:shape>
            <v:shape id="_x0000_s1037" type="#_x0000_t202" style="width:379;height:830;left:14406;position:absolute;top:2972" filled="f" stroked="f">
              <v:textbox inset="0,0,0,0">
                <w:txbxContent>
                  <w:p>
                    <w:pPr>
                      <w:spacing w:before="0" w:line="410" w:lineRule="exact"/>
                      <w:ind w:left="0" w:right="0" w:firstLine="0"/>
                      <w:jc w:val="left"/>
                      <w:rPr>
                        <w:rFonts w:ascii="宋体" w:eastAsia="宋体" w:hint="eastAsia"/>
                        <w:sz w:val="36"/>
                      </w:rPr>
                    </w:pPr>
                    <w:r>
                      <w:rPr>
                        <w:rFonts w:ascii="宋体" w:eastAsia="宋体" w:hint="eastAsia"/>
                        <w:w w:val="99"/>
                        <w:sz w:val="36"/>
                      </w:rPr>
                      <w:t>是</w:t>
                    </w:r>
                  </w:p>
                  <w:p>
                    <w:pPr>
                      <w:spacing w:before="9" w:line="410" w:lineRule="exact"/>
                      <w:ind w:left="0" w:right="0" w:firstLine="0"/>
                      <w:jc w:val="left"/>
                      <w:rPr>
                        <w:rFonts w:ascii="宋体" w:eastAsia="宋体" w:hint="eastAsia"/>
                        <w:sz w:val="36"/>
                      </w:rPr>
                    </w:pPr>
                    <w:r>
                      <w:rPr>
                        <w:rFonts w:ascii="宋体" w:eastAsia="宋体" w:hint="eastAsia"/>
                        <w:w w:val="99"/>
                        <w:sz w:val="36"/>
                      </w:rPr>
                      <w:t>否</w:t>
                    </w:r>
                  </w:p>
                </w:txbxContent>
              </v:textbox>
            </v:shape>
            <v:shape id="_x0000_s1038" type="#_x0000_t202" style="width:393;height:1681;left:3939;position:absolute;top:4183" filled="f" stroked="f">
              <v:textbox inset="0,0,0,0">
                <w:txbxContent>
                  <w:p>
                    <w:pPr>
                      <w:spacing w:before="0" w:line="410" w:lineRule="exact"/>
                      <w:ind w:left="0" w:right="31" w:firstLine="0"/>
                      <w:jc w:val="right"/>
                      <w:rPr>
                        <w:rFonts w:ascii="宋体"/>
                        <w:sz w:val="36"/>
                      </w:rPr>
                    </w:pPr>
                    <w:r>
                      <w:rPr>
                        <w:rFonts w:ascii="宋体"/>
                        <w:w w:val="95"/>
                        <w:sz w:val="36"/>
                      </w:rPr>
                      <w:t>20</w:t>
                    </w:r>
                  </w:p>
                  <w:p>
                    <w:pPr>
                      <w:spacing w:before="188"/>
                      <w:ind w:left="0" w:right="31" w:firstLine="0"/>
                      <w:jc w:val="right"/>
                      <w:rPr>
                        <w:rFonts w:ascii="宋体"/>
                        <w:sz w:val="36"/>
                      </w:rPr>
                    </w:pPr>
                    <w:r>
                      <w:rPr>
                        <w:rFonts w:ascii="宋体"/>
                        <w:w w:val="95"/>
                        <w:sz w:val="36"/>
                      </w:rPr>
                      <w:t>10</w:t>
                    </w:r>
                  </w:p>
                  <w:p>
                    <w:pPr>
                      <w:spacing w:before="211" w:line="410" w:lineRule="exact"/>
                      <w:ind w:left="0" w:right="18" w:firstLine="0"/>
                      <w:jc w:val="right"/>
                      <w:rPr>
                        <w:rFonts w:ascii="宋体"/>
                        <w:sz w:val="36"/>
                      </w:rPr>
                    </w:pPr>
                    <w:r>
                      <w:rPr>
                        <w:rFonts w:ascii="宋体"/>
                        <w:w w:val="99"/>
                        <w:sz w:val="36"/>
                      </w:rPr>
                      <w:t>0</w:t>
                    </w:r>
                  </w:p>
                </w:txbxContent>
              </v:textbox>
            </v:shape>
            <v:shape id="_x0000_s1039" type="#_x0000_t202" style="width:200;height:359;left:7789;position:absolute;top:5751" filled="f" stroked="f">
              <v:textbox inset="0,0,0,0">
                <w:txbxContent>
                  <w:p>
                    <w:pPr>
                      <w:spacing w:before="0" w:line="359" w:lineRule="exact"/>
                      <w:ind w:left="0" w:right="0" w:firstLine="0"/>
                      <w:jc w:val="left"/>
                      <w:rPr>
                        <w:rFonts w:ascii="宋体"/>
                        <w:sz w:val="36"/>
                      </w:rPr>
                    </w:pPr>
                    <w:r>
                      <w:rPr>
                        <w:rFonts w:ascii="宋体"/>
                        <w:w w:val="99"/>
                        <w:sz w:val="36"/>
                      </w:rPr>
                      <w:t>1</w:t>
                    </w:r>
                  </w:p>
                </w:txbxContent>
              </v:textbox>
            </v:shape>
            <w10:wrap type="topAndBottom"/>
          </v:group>
        </w:pict>
      </w:r>
    </w:p>
    <w:p>
      <w:pPr>
        <w:spacing w:after="0"/>
        <w:rPr>
          <w:sz w:val="13"/>
        </w:rPr>
        <w:sectPr>
          <w:pgSz w:w="17860" w:h="25260"/>
          <w:pgMar w:top="1940" w:right="2380" w:bottom="280" w:left="2420" w:header="708" w:footer="708"/>
          <w:pgNumType w:start="4"/>
          <w:cols w:space="708"/>
        </w:sectPr>
      </w:pPr>
    </w:p>
    <w:p>
      <w:pPr>
        <w:pStyle w:val="BodyText"/>
        <w:spacing w:before="35"/>
        <w:ind w:left="2981" w:right="2479"/>
        <w:jc w:val="center"/>
      </w:pPr>
      <w:r>
        <w:t>图 1-1 集团市场对贺卡消费需求可接受度</w:t>
      </w:r>
    </w:p>
    <w:p>
      <w:pPr>
        <w:pStyle w:val="BodyText"/>
        <w:spacing w:before="9"/>
        <w:rPr>
          <w:sz w:val="51"/>
        </w:rPr>
      </w:pPr>
    </w:p>
    <w:p>
      <w:pPr>
        <w:pStyle w:val="ListParagraph"/>
        <w:numPr>
          <w:ilvl w:val="0"/>
          <w:numId w:val="12"/>
        </w:numPr>
        <w:tabs>
          <w:tab w:val="left" w:pos="1901"/>
        </w:tabs>
        <w:spacing w:before="0" w:after="0" w:line="240" w:lineRule="auto"/>
        <w:ind w:left="1900" w:right="0" w:hanging="1081"/>
        <w:jc w:val="left"/>
        <w:rPr>
          <w:sz w:val="36"/>
        </w:rPr>
      </w:pPr>
      <w:r>
        <w:rPr>
          <w:sz w:val="36"/>
        </w:rPr>
        <w:t>个人需求的消费心理</w:t>
      </w:r>
    </w:p>
    <w:p>
      <w:pPr>
        <w:pStyle w:val="BodyText"/>
        <w:spacing w:before="5"/>
        <w:rPr>
          <w:sz w:val="51"/>
        </w:rPr>
      </w:pPr>
    </w:p>
    <w:p>
      <w:pPr>
        <w:pStyle w:val="BodyText"/>
        <w:spacing w:line="364" w:lineRule="auto"/>
        <w:ind w:left="280" w:right="178" w:firstLine="719"/>
      </w:pPr>
      <w:r>
        <w:t>由于民族、信仰、生活方式、文化水平、经济条件、生活环境、兴趣爱好及个人的情感、偏好等诸多方面的差异，使得消费者购买贺卡的动机千差万别。</w:t>
      </w:r>
    </w:p>
    <w:p>
      <w:pPr>
        <w:pStyle w:val="BodyText"/>
        <w:rPr>
          <w:sz w:val="33"/>
        </w:rPr>
      </w:pPr>
    </w:p>
    <w:p>
      <w:pPr>
        <w:pStyle w:val="BodyText"/>
        <w:spacing w:before="1" w:line="364" w:lineRule="auto"/>
        <w:ind w:left="280" w:right="320" w:firstLine="539"/>
        <w:jc w:val="both"/>
      </w:pPr>
      <w:r>
        <w:t>——</w:t>
      </w:r>
      <w:r>
        <w:rPr>
          <w:b/>
          <w:spacing w:val="2"/>
        </w:rPr>
        <w:t>交往心理</w:t>
      </w:r>
      <w:r>
        <w:t>。交往就是社交，社交需求包括对亲情、爱情、友情、商情关</w:t>
      </w:r>
      <w:r>
        <w:rPr>
          <w:spacing w:val="-15"/>
        </w:rPr>
        <w:t>系的需求。只有满足以上需求，贺卡才会被人们视为寻找和建立温馨和谐人际关</w:t>
      </w:r>
      <w:r>
        <w:t>系的载体，才会成为他们社交往来的工具。</w:t>
      </w:r>
    </w:p>
    <w:p>
      <w:pPr>
        <w:pStyle w:val="BodyText"/>
        <w:spacing w:before="1"/>
        <w:rPr>
          <w:sz w:val="33"/>
        </w:rPr>
      </w:pPr>
    </w:p>
    <w:p>
      <w:pPr>
        <w:pStyle w:val="BodyText"/>
        <w:ind w:left="1000"/>
      </w:pPr>
      <w:r>
        <w:t>——</w:t>
      </w:r>
      <w:r>
        <w:rPr>
          <w:b/>
        </w:rPr>
        <w:t>求实心理</w:t>
      </w:r>
      <w:r>
        <w:t>。消费者购卡的主要目的是为了追求贺卡的使用价值。</w:t>
      </w:r>
    </w:p>
    <w:p>
      <w:pPr>
        <w:pStyle w:val="BodyText"/>
        <w:spacing w:before="5"/>
        <w:rPr>
          <w:sz w:val="51"/>
        </w:rPr>
      </w:pPr>
    </w:p>
    <w:p>
      <w:pPr>
        <w:pStyle w:val="BodyText"/>
        <w:spacing w:line="364" w:lineRule="auto"/>
        <w:ind w:left="280" w:right="169" w:firstLine="719"/>
      </w:pPr>
      <w:r>
        <w:t>——</w:t>
      </w:r>
      <w:r>
        <w:rPr>
          <w:b/>
          <w:spacing w:val="1"/>
        </w:rPr>
        <w:t>尊重心理</w:t>
      </w:r>
      <w:r>
        <w:rPr>
          <w:spacing w:val="-1"/>
        </w:rPr>
        <w:t>。在贺卡使用的群体中，有大量的贺卡是寄给长辈、领导、老</w:t>
      </w:r>
      <w:r>
        <w:rPr>
          <w:spacing w:val="-10"/>
        </w:rPr>
        <w:t>师等被尊重的人群。他们十分关心自己邮寄的贺卡在品质上、内涵上、祝福语的表达方式上能否得到对方的认可。</w:t>
      </w:r>
    </w:p>
    <w:p>
      <w:pPr>
        <w:pStyle w:val="BodyText"/>
        <w:spacing w:before="1"/>
        <w:rPr>
          <w:sz w:val="33"/>
        </w:rPr>
      </w:pPr>
    </w:p>
    <w:p>
      <w:pPr>
        <w:pStyle w:val="BodyText"/>
        <w:spacing w:line="364" w:lineRule="auto"/>
        <w:ind w:left="280" w:right="166" w:firstLine="359"/>
      </w:pPr>
      <w:r>
        <w:t>——</w:t>
      </w:r>
      <w:r>
        <w:rPr>
          <w:b/>
          <w:spacing w:val="2"/>
        </w:rPr>
        <w:t>认同心理</w:t>
      </w:r>
      <w:r>
        <w:rPr>
          <w:spacing w:val="-1"/>
        </w:rPr>
        <w:t>。许多消费者在市场中选购适合自己身份、年龄、职业、地位、</w:t>
      </w:r>
      <w:r>
        <w:rPr>
          <w:spacing w:val="-12"/>
        </w:rPr>
        <w:t>气质与风度的贺卡。在这里，贺卡成为一种不同年龄、不同身份的人不同喜好的象征，成为一种自我情感的表达化方式，一定要传达着这方面的内容。</w:t>
      </w:r>
    </w:p>
    <w:p>
      <w:pPr>
        <w:pStyle w:val="BodyText"/>
        <w:spacing w:before="2"/>
        <w:rPr>
          <w:sz w:val="33"/>
        </w:rPr>
      </w:pPr>
    </w:p>
    <w:p>
      <w:pPr>
        <w:pStyle w:val="BodyText"/>
        <w:spacing w:line="364" w:lineRule="auto"/>
        <w:ind w:left="280" w:right="169"/>
        <w:jc w:val="both"/>
      </w:pPr>
      <w:r>
        <w:t>——</w:t>
      </w:r>
      <w:r>
        <w:rPr>
          <w:b/>
          <w:spacing w:val="1"/>
        </w:rPr>
        <w:t>从众心理</w:t>
      </w:r>
      <w:r>
        <w:rPr>
          <w:spacing w:val="-1"/>
        </w:rPr>
        <w:t>。在购买动机上，从众现象也很普遍，对方给你寄一张贺卡，你可</w:t>
      </w:r>
      <w:r>
        <w:rPr>
          <w:spacing w:val="-10"/>
        </w:rPr>
        <w:t>能就要“投桃报李”、“礼尚往来”地回寄一张。个人市场对贺卡的消费需求可</w:t>
      </w:r>
      <w:r>
        <w:rPr>
          <w:spacing w:val="-24"/>
        </w:rPr>
        <w:t xml:space="preserve">接受度如图 </w:t>
      </w:r>
      <w:r>
        <w:t>1-2</w:t>
      </w:r>
      <w:r>
        <w:rPr>
          <w:spacing w:val="-23"/>
        </w:rPr>
        <w:t xml:space="preserve"> 所示：</w:t>
      </w:r>
    </w:p>
    <w:p>
      <w:pPr>
        <w:pStyle w:val="BodyText"/>
        <w:spacing w:before="5"/>
        <w:rPr>
          <w:sz w:val="10"/>
        </w:rPr>
      </w:pPr>
      <w:r>
        <w:pict>
          <v:group id="_x0000_s1040" style="width:568pt;height:283pt;margin-top:8.63pt;margin-left:155pt;mso-position-horizontal-relative:page;mso-wrap-distance-left:0;mso-wrap-distance-right:0;position:absolute;z-index:-251656192" coordorigin="3100,173" coordsize="11360,5660">
            <v:shape id="_x0000_s1041" type="#_x0000_t75" style="width:11360;height:5660;left:3100;position:absolute;top:172" stroked="f">
              <v:imagedata r:id="rId10" o:title=""/>
            </v:shape>
            <v:shape id="_x0000_s1042" type="#_x0000_t202" style="width:647;height:418;left:4155;position:absolute;top:2169" filled="f" stroked="f">
              <v:textbox inset="0,0,0,0">
                <w:txbxContent>
                  <w:p>
                    <w:pPr>
                      <w:spacing w:before="0" w:line="418" w:lineRule="exact"/>
                      <w:ind w:left="0" w:right="0" w:firstLine="0"/>
                      <w:jc w:val="left"/>
                      <w:rPr>
                        <w:rFonts w:ascii="宋体"/>
                        <w:sz w:val="41"/>
                      </w:rPr>
                    </w:pPr>
                    <w:r>
                      <w:rPr>
                        <w:rFonts w:ascii="宋体"/>
                        <w:sz w:val="41"/>
                      </w:rPr>
                      <w:t>46%</w:t>
                    </w:r>
                  </w:p>
                </w:txbxContent>
              </v:textbox>
            </v:shape>
            <v:shape id="_x0000_s1043" type="#_x0000_t202" style="width:334;height:314;left:13897;position:absolute;top:2683" filled="f" stroked="f">
              <v:textbox inset="0,0,0,0">
                <w:txbxContent>
                  <w:p>
                    <w:pPr>
                      <w:spacing w:before="0" w:line="314" w:lineRule="exact"/>
                      <w:ind w:left="0" w:right="0" w:firstLine="0"/>
                      <w:jc w:val="left"/>
                      <w:rPr>
                        <w:rFonts w:ascii="宋体" w:eastAsia="宋体" w:hint="eastAsia"/>
                        <w:sz w:val="31"/>
                      </w:rPr>
                    </w:pPr>
                    <w:r>
                      <w:rPr>
                        <w:rFonts w:ascii="宋体" w:eastAsia="宋体" w:hint="eastAsia"/>
                        <w:w w:val="101"/>
                        <w:sz w:val="31"/>
                      </w:rPr>
                      <w:t>是</w:t>
                    </w:r>
                  </w:p>
                </w:txbxContent>
              </v:textbox>
            </v:shape>
            <v:shape id="_x0000_s1044" type="#_x0000_t202" style="width:647;height:418;left:11634;position:absolute;top:3298" filled="f" stroked="f">
              <v:textbox inset="0,0,0,0">
                <w:txbxContent>
                  <w:p>
                    <w:pPr>
                      <w:spacing w:before="0" w:line="418" w:lineRule="exact"/>
                      <w:ind w:left="0" w:right="0" w:firstLine="0"/>
                      <w:jc w:val="left"/>
                      <w:rPr>
                        <w:rFonts w:ascii="宋体"/>
                        <w:sz w:val="41"/>
                      </w:rPr>
                    </w:pPr>
                    <w:r>
                      <w:rPr>
                        <w:rFonts w:ascii="宋体"/>
                        <w:sz w:val="41"/>
                      </w:rPr>
                      <w:t>54%</w:t>
                    </w:r>
                  </w:p>
                </w:txbxContent>
              </v:textbox>
            </v:shape>
            <v:shape id="_x0000_s1045" type="#_x0000_t202" style="width:334;height:314;left:13897;position:absolute;top:3100" filled="f" stroked="f">
              <v:textbox inset="0,0,0,0">
                <w:txbxContent>
                  <w:p>
                    <w:pPr>
                      <w:spacing w:before="0" w:line="314" w:lineRule="exact"/>
                      <w:ind w:left="0" w:right="0" w:firstLine="0"/>
                      <w:jc w:val="left"/>
                      <w:rPr>
                        <w:rFonts w:ascii="宋体" w:eastAsia="宋体" w:hint="eastAsia"/>
                        <w:sz w:val="31"/>
                      </w:rPr>
                    </w:pPr>
                    <w:r>
                      <w:rPr>
                        <w:rFonts w:ascii="宋体" w:eastAsia="宋体" w:hint="eastAsia"/>
                        <w:w w:val="101"/>
                        <w:sz w:val="31"/>
                      </w:rPr>
                      <w:t>否</w:t>
                    </w:r>
                  </w:p>
                </w:txbxContent>
              </v:textbox>
            </v:shape>
            <w10:wrap type="topAndBottom"/>
          </v:group>
        </w:pict>
      </w:r>
    </w:p>
    <w:p>
      <w:pPr>
        <w:spacing w:after="0"/>
        <w:rPr>
          <w:sz w:val="10"/>
        </w:rPr>
        <w:sectPr>
          <w:pgSz w:w="17860" w:h="25260"/>
          <w:pgMar w:top="1920" w:right="2380" w:bottom="280" w:left="2420" w:header="708" w:footer="708"/>
          <w:pgNumType w:start="5"/>
          <w:cols w:space="708"/>
        </w:sectPr>
      </w:pPr>
    </w:p>
    <w:p>
      <w:pPr>
        <w:pStyle w:val="BodyText"/>
        <w:spacing w:before="35"/>
        <w:ind w:left="2892" w:right="2929"/>
        <w:jc w:val="center"/>
      </w:pPr>
      <w:r>
        <w:t>图 1-2 个人市场对贺卡的消费需求可接受度</w:t>
      </w:r>
    </w:p>
    <w:p>
      <w:pPr>
        <w:pStyle w:val="BodyText"/>
        <w:spacing w:before="9"/>
        <w:rPr>
          <w:sz w:val="51"/>
        </w:rPr>
      </w:pPr>
    </w:p>
    <w:p>
      <w:pPr>
        <w:pStyle w:val="ListParagraph"/>
        <w:numPr>
          <w:ilvl w:val="0"/>
          <w:numId w:val="12"/>
        </w:numPr>
        <w:tabs>
          <w:tab w:val="left" w:pos="1722"/>
        </w:tabs>
        <w:spacing w:before="0" w:after="0" w:line="240" w:lineRule="auto"/>
        <w:ind w:left="1721" w:right="0" w:hanging="902"/>
        <w:jc w:val="left"/>
        <w:rPr>
          <w:sz w:val="36"/>
        </w:rPr>
      </w:pPr>
      <w:r>
        <w:rPr>
          <w:sz w:val="36"/>
        </w:rPr>
        <w:t>学生需求消费心理</w:t>
      </w:r>
    </w:p>
    <w:p>
      <w:pPr>
        <w:pStyle w:val="BodyText"/>
        <w:spacing w:before="5"/>
        <w:rPr>
          <w:sz w:val="51"/>
        </w:rPr>
      </w:pPr>
    </w:p>
    <w:p>
      <w:pPr>
        <w:pStyle w:val="BodyText"/>
        <w:spacing w:line="364" w:lineRule="auto"/>
        <w:ind w:left="280" w:right="140" w:firstLine="719"/>
      </w:pPr>
      <w:r>
        <w:t>在圣诞、元旦、春节、情人节来临之际，当今个性化时代朝气蓬勃的学生会向远方的同学、老师、家人等寄去节日的祝福，表达自己诚挚的情感：向同学传</w:t>
      </w:r>
      <w:r>
        <w:rPr>
          <w:spacing w:val="-10"/>
        </w:rPr>
        <w:t>递自己的真挚友情，勾起对往日一起欢声笑语、同窗苦读的快乐时光的回忆，表</w:t>
      </w:r>
      <w:r>
        <w:rPr>
          <w:spacing w:val="-17"/>
        </w:rPr>
        <w:t>达对同学美好生活和光明前景的祝福；向老师、家长捎去祝福的同时，表达自己</w:t>
      </w:r>
      <w:r>
        <w:rPr>
          <w:spacing w:val="-24"/>
        </w:rPr>
        <w:t>对老师教书育人、对父母养育的恩情，传递自己的感谢之情。学生群体标榜个性、</w:t>
      </w:r>
      <w:r>
        <w:rPr>
          <w:spacing w:val="-12"/>
        </w:rPr>
        <w:t>追求时尚，是一类有共同特征的贺卡潜在目标群体，他们会通过寄发贺卡来张扬自己的热情，彰显自己的个性。</w:t>
      </w:r>
    </w:p>
    <w:p>
      <w:pPr>
        <w:pStyle w:val="BodyText"/>
        <w:spacing w:before="6"/>
        <w:rPr>
          <w:sz w:val="33"/>
        </w:rPr>
      </w:pPr>
    </w:p>
    <w:p>
      <w:pPr>
        <w:pStyle w:val="BodyText"/>
        <w:spacing w:line="364" w:lineRule="auto"/>
        <w:ind w:left="280" w:right="137" w:firstLine="719"/>
      </w:pPr>
      <w:r>
        <w:rPr>
          <w:spacing w:val="-11"/>
        </w:rPr>
        <w:t>由于学生群体很特殊，他们对贺卡产品有独特的喜好，学生群体买贺卡主要</w:t>
      </w:r>
      <w:r>
        <w:rPr>
          <w:spacing w:val="-15"/>
        </w:rPr>
        <w:t>用来向同学、老师、家长等寄递，针对不同的寄递对象他们会选择不同的贺卡产品。在向老师、家长邮寄贺卡时，他们主要是表达祝福，所以他们会选择彰显吉</w:t>
      </w:r>
      <w:r>
        <w:rPr>
          <w:spacing w:val="-19"/>
        </w:rPr>
        <w:t xml:space="preserve">祥、喜庆、尊贵的贺卡型产品，目前邮政贺卡产品已基本能满足这一需求。然而， </w:t>
      </w:r>
      <w:r>
        <w:rPr>
          <w:spacing w:val="-9"/>
        </w:rPr>
        <w:t>学生寄递贺卡最主要的对象是同学、朋友，在给他们选择产品时邮政贺卡就显露出很多不足，邮政贺卡的颜色、外形、价格、质量都难以符合学生的口味，他们不仅需求独特，而且要求颇多，学生喜欢颜色新颖、外形独特、风格鲜明、价格低廉的贺卡。在颜色上，他们喜欢蓝色、紫色、粉色、黄色等融合流行的色彩； 在外形上，他们倾向于立体、镂空、可爱等加载创意的不规则外形的贺卡；在主题上，他们偏好于动漫、风光、星座等风格鲜明的贺卡；而在价格上，他们又很实际地选择普卡、信卡、自创卡等价格相对低廉的品种；此外，他们还对功能有</w:t>
      </w:r>
      <w:r>
        <w:rPr>
          <w:spacing w:val="-14"/>
        </w:rPr>
        <w:t>特殊要求，希望以信卡封闭的形式保护他们的私人信息，同时建议自创型贺卡有打印后加膜以免磨损。</w:t>
      </w:r>
    </w:p>
    <w:p>
      <w:pPr>
        <w:pStyle w:val="BodyText"/>
        <w:spacing w:before="4"/>
        <w:rPr>
          <w:sz w:val="32"/>
        </w:rPr>
      </w:pPr>
    </w:p>
    <w:p>
      <w:pPr>
        <w:spacing w:before="1"/>
        <w:ind w:left="280" w:right="0" w:firstLine="0"/>
        <w:jc w:val="left"/>
        <w:rPr>
          <w:sz w:val="45"/>
        </w:rPr>
      </w:pPr>
      <w:r>
        <w:rPr>
          <w:spacing w:val="-1"/>
          <w:sz w:val="45"/>
        </w:rPr>
        <w:t xml:space="preserve">二、市场分析 </w:t>
      </w:r>
      <w:r>
        <w:rPr>
          <w:b/>
          <w:sz w:val="45"/>
        </w:rPr>
        <w:t xml:space="preserve">(Market </w:t>
      </w:r>
      <w:r>
        <w:rPr>
          <w:b/>
          <w:spacing w:val="2"/>
          <w:sz w:val="45"/>
        </w:rPr>
        <w:t>Analyse)—SWOT</w:t>
      </w:r>
      <w:r>
        <w:rPr>
          <w:b/>
          <w:spacing w:val="-113"/>
          <w:sz w:val="45"/>
        </w:rPr>
        <w:t xml:space="preserve"> </w:t>
      </w:r>
      <w:r>
        <w:rPr>
          <w:sz w:val="45"/>
        </w:rPr>
        <w:t>分析</w:t>
      </w:r>
    </w:p>
    <w:p>
      <w:pPr>
        <w:pStyle w:val="BodyText"/>
        <w:spacing w:before="379" w:line="364" w:lineRule="auto"/>
        <w:ind w:left="280" w:right="176" w:firstLine="719"/>
      </w:pPr>
      <w:r>
        <w:t>SWOT 分析思想最早由安索夫提出的，是指将与研究对象相关的内部优势、</w:t>
      </w:r>
      <w:r>
        <w:rPr>
          <w:spacing w:val="-1"/>
        </w:rPr>
        <w:t>劣势、机会和威胁等，通过调查列举出来，并依照矩阵形式排列，然后动用系统</w:t>
      </w:r>
      <w:r>
        <w:rPr>
          <w:spacing w:val="-12"/>
        </w:rPr>
        <w:t>分析的思想，把各种因素相互匹配起来加以分析，从中得出一系列相应的带有决策性的结论。</w:t>
      </w:r>
    </w:p>
    <w:p>
      <w:pPr>
        <w:spacing w:after="0" w:line="364" w:lineRule="auto"/>
        <w:sectPr>
          <w:pgSz w:w="17860" w:h="25260"/>
          <w:pgMar w:top="1920" w:right="2380" w:bottom="280" w:left="2420" w:header="708" w:footer="708"/>
          <w:pgNumType w:start="6"/>
          <w:cols w:space="708"/>
        </w:sectPr>
      </w:pPr>
    </w:p>
    <w:p>
      <w:pPr>
        <w:pStyle w:val="BodyText"/>
        <w:spacing w:before="35" w:line="364" w:lineRule="auto"/>
        <w:ind w:left="1360" w:right="1609" w:hanging="1080"/>
      </w:pPr>
      <w:r>
        <w:rPr>
          <w:b/>
        </w:rPr>
        <w:t>优势：</w:t>
      </w:r>
      <w:r>
        <w:t>1.以学生的视角来设计，设计风格独特符合学生对贺卡的需求。2.以泉州邮政举办活动，品牌影响力较大。</w:t>
      </w:r>
    </w:p>
    <w:p>
      <w:pPr>
        <w:pStyle w:val="ListParagraph"/>
        <w:numPr>
          <w:ilvl w:val="0"/>
          <w:numId w:val="16"/>
        </w:numPr>
        <w:tabs>
          <w:tab w:val="left" w:pos="1722"/>
        </w:tabs>
        <w:spacing w:before="3" w:after="0" w:line="240" w:lineRule="auto"/>
        <w:ind w:left="1721" w:right="0" w:hanging="362"/>
        <w:jc w:val="left"/>
        <w:rPr>
          <w:sz w:val="36"/>
        </w:rPr>
      </w:pPr>
      <w:r>
        <w:rPr>
          <w:sz w:val="36"/>
        </w:rPr>
        <w:t>对高校市场比较熟悉。</w:t>
      </w:r>
    </w:p>
    <w:p>
      <w:pPr>
        <w:pStyle w:val="ListParagraph"/>
        <w:numPr>
          <w:ilvl w:val="0"/>
          <w:numId w:val="16"/>
        </w:numPr>
        <w:tabs>
          <w:tab w:val="left" w:pos="1722"/>
        </w:tabs>
        <w:spacing w:before="240" w:after="0" w:line="240" w:lineRule="auto"/>
        <w:ind w:left="1721" w:right="0" w:hanging="362"/>
        <w:jc w:val="left"/>
        <w:rPr>
          <w:sz w:val="36"/>
        </w:rPr>
      </w:pPr>
      <w:r>
        <w:rPr>
          <w:sz w:val="36"/>
        </w:rPr>
        <w:t>邮政贺卡便捷性较强</w:t>
      </w:r>
    </w:p>
    <w:p>
      <w:pPr>
        <w:pStyle w:val="BodyText"/>
        <w:spacing w:before="241" w:line="364" w:lineRule="auto"/>
        <w:ind w:left="1360" w:right="5209" w:hanging="1080"/>
      </w:pPr>
      <w:r>
        <w:rPr>
          <w:b/>
        </w:rPr>
        <w:t>劣势：</w:t>
      </w:r>
      <w:r>
        <w:t>1.营销资金不足，营销团队经营仍欠缺。2.渠道实力较弱。</w:t>
      </w:r>
    </w:p>
    <w:p>
      <w:pPr>
        <w:pStyle w:val="ListParagraph"/>
        <w:numPr>
          <w:ilvl w:val="0"/>
          <w:numId w:val="10"/>
        </w:numPr>
        <w:tabs>
          <w:tab w:val="left" w:pos="1722"/>
        </w:tabs>
        <w:spacing w:before="2" w:after="0" w:line="240" w:lineRule="auto"/>
        <w:ind w:left="1721" w:right="0" w:hanging="362"/>
        <w:jc w:val="left"/>
        <w:rPr>
          <w:sz w:val="36"/>
        </w:rPr>
      </w:pPr>
      <w:r>
        <w:rPr>
          <w:sz w:val="36"/>
        </w:rPr>
        <w:t>贺卡品牌影响力较小，知名度不高。</w:t>
      </w:r>
    </w:p>
    <w:p>
      <w:pPr>
        <w:pStyle w:val="ListParagraph"/>
        <w:numPr>
          <w:ilvl w:val="0"/>
          <w:numId w:val="10"/>
        </w:numPr>
        <w:tabs>
          <w:tab w:val="left" w:pos="1722"/>
        </w:tabs>
        <w:spacing w:before="241" w:after="0" w:line="240" w:lineRule="auto"/>
        <w:ind w:left="1721" w:right="0" w:hanging="362"/>
        <w:jc w:val="left"/>
        <w:rPr>
          <w:sz w:val="36"/>
        </w:rPr>
      </w:pPr>
      <w:r>
        <w:rPr>
          <w:sz w:val="36"/>
        </w:rPr>
        <w:t>邮政贺卡邮递要一定等待时间和费用</w:t>
      </w:r>
    </w:p>
    <w:p>
      <w:pPr>
        <w:pStyle w:val="BodyText"/>
        <w:spacing w:before="241" w:line="364" w:lineRule="auto"/>
        <w:ind w:left="1360" w:right="1969" w:hanging="1080"/>
      </w:pPr>
      <w:r>
        <w:rPr>
          <w:b/>
        </w:rPr>
        <w:t>机会：</w:t>
      </w:r>
      <w:r>
        <w:t>1.目前还没有出现强势的贺卡品牌，我们仍有一定市场空间。2.与电子贺卡相比，纸质贺卡仍有市场。</w:t>
      </w:r>
    </w:p>
    <w:p>
      <w:pPr>
        <w:pStyle w:val="BodyText"/>
        <w:spacing w:before="2" w:line="364" w:lineRule="auto"/>
        <w:ind w:left="280" w:right="3058" w:firstLine="1080"/>
      </w:pPr>
      <w:r>
        <w:t>3.现代人对真情的意识增强，更加重视传递一份真情。</w:t>
      </w:r>
      <w:r>
        <w:rPr>
          <w:b/>
        </w:rPr>
        <w:t>威胁：</w:t>
      </w:r>
      <w:r>
        <w:t>1.电子贺卡的出现挤占了大部分纸质贺卡市场。</w:t>
      </w:r>
    </w:p>
    <w:p>
      <w:pPr>
        <w:pStyle w:val="ListParagraph"/>
        <w:numPr>
          <w:ilvl w:val="0"/>
          <w:numId w:val="9"/>
        </w:numPr>
        <w:tabs>
          <w:tab w:val="left" w:pos="1722"/>
        </w:tabs>
        <w:spacing w:before="2" w:after="0" w:line="240" w:lineRule="auto"/>
        <w:ind w:left="1721" w:right="0" w:hanging="362"/>
        <w:jc w:val="left"/>
        <w:rPr>
          <w:sz w:val="36"/>
        </w:rPr>
      </w:pPr>
      <w:r>
        <w:rPr>
          <w:sz w:val="36"/>
        </w:rPr>
        <w:t>环保观念的增强，人们开始有意识地减少使用纸质贺卡。</w:t>
      </w:r>
    </w:p>
    <w:p>
      <w:pPr>
        <w:pStyle w:val="ListParagraph"/>
        <w:numPr>
          <w:ilvl w:val="0"/>
          <w:numId w:val="9"/>
        </w:numPr>
        <w:tabs>
          <w:tab w:val="left" w:pos="1722"/>
        </w:tabs>
        <w:spacing w:before="241" w:after="0" w:line="240" w:lineRule="auto"/>
        <w:ind w:left="1721" w:right="0" w:hanging="362"/>
        <w:jc w:val="left"/>
        <w:rPr>
          <w:sz w:val="36"/>
        </w:rPr>
      </w:pPr>
      <w:r>
        <w:rPr>
          <w:spacing w:val="-12"/>
          <w:sz w:val="36"/>
        </w:rPr>
        <w:t>人们对于使用贺卡的频率越来越少。、</w:t>
      </w:r>
    </w:p>
    <w:p>
      <w:pPr>
        <w:pStyle w:val="ListParagraph"/>
        <w:numPr>
          <w:ilvl w:val="0"/>
          <w:numId w:val="9"/>
        </w:numPr>
        <w:tabs>
          <w:tab w:val="left" w:pos="1722"/>
        </w:tabs>
        <w:spacing w:before="240" w:after="0" w:line="240" w:lineRule="auto"/>
        <w:ind w:left="1721" w:right="0" w:hanging="362"/>
        <w:jc w:val="left"/>
        <w:rPr>
          <w:sz w:val="36"/>
        </w:rPr>
      </w:pPr>
      <w:r>
        <w:rPr>
          <w:sz w:val="36"/>
        </w:rPr>
        <w:t>人们传达问候祝福的方式多样化</w:t>
      </w:r>
    </w:p>
    <w:p>
      <w:pPr>
        <w:pStyle w:val="BodyText"/>
      </w:pPr>
    </w:p>
    <w:p>
      <w:pPr>
        <w:pStyle w:val="BodyText"/>
      </w:pPr>
    </w:p>
    <w:p>
      <w:pPr>
        <w:spacing w:before="236"/>
        <w:ind w:left="338" w:right="0" w:firstLine="0"/>
        <w:jc w:val="left"/>
        <w:rPr>
          <w:sz w:val="45"/>
        </w:rPr>
      </w:pPr>
      <w:r>
        <w:rPr>
          <w:sz w:val="45"/>
        </w:rPr>
        <w:t>三、</w:t>
      </w:r>
      <w:r>
        <w:rPr>
          <w:b/>
          <w:sz w:val="45"/>
        </w:rPr>
        <w:t>STP</w:t>
      </w:r>
      <w:r>
        <w:rPr>
          <w:b/>
          <w:spacing w:val="-111"/>
          <w:sz w:val="45"/>
        </w:rPr>
        <w:t xml:space="preserve"> </w:t>
      </w:r>
      <w:r>
        <w:rPr>
          <w:sz w:val="45"/>
        </w:rPr>
        <w:t>营销战略结构</w:t>
      </w:r>
    </w:p>
    <w:p>
      <w:pPr>
        <w:pStyle w:val="Heading4"/>
        <w:spacing w:before="379"/>
        <w:ind w:left="849"/>
        <w:rPr>
          <w:rFonts w:ascii="新宋体" w:eastAsia="新宋体" w:hint="eastAsia"/>
        </w:rPr>
      </w:pPr>
      <w:r>
        <w:rPr>
          <w:rFonts w:ascii="新宋体" w:eastAsia="新宋体" w:hint="eastAsia"/>
        </w:rPr>
        <w:t>市场细分：</w:t>
      </w:r>
    </w:p>
    <w:p>
      <w:pPr>
        <w:pStyle w:val="ListParagraph"/>
        <w:numPr>
          <w:ilvl w:val="0"/>
          <w:numId w:val="8"/>
        </w:numPr>
        <w:tabs>
          <w:tab w:val="left" w:pos="821"/>
        </w:tabs>
        <w:spacing w:before="240" w:after="0" w:line="364" w:lineRule="auto"/>
        <w:ind w:left="280" w:right="358" w:firstLine="0"/>
        <w:jc w:val="left"/>
        <w:rPr>
          <w:sz w:val="36"/>
        </w:rPr>
      </w:pPr>
      <w:r>
        <w:rPr>
          <w:spacing w:val="-1"/>
          <w:sz w:val="36"/>
        </w:rPr>
        <w:t>感谢型贺卡市场，商户及商场在年末及大的传统节日如春节，中秋节，端午</w:t>
      </w:r>
      <w:r>
        <w:rPr>
          <w:sz w:val="36"/>
        </w:rPr>
        <w:t>节等发送贺卡给顾客，合作伙伴，感谢这一年的合作。</w:t>
      </w:r>
    </w:p>
    <w:p>
      <w:pPr>
        <w:pStyle w:val="ListParagraph"/>
        <w:numPr>
          <w:ilvl w:val="0"/>
          <w:numId w:val="8"/>
        </w:numPr>
        <w:tabs>
          <w:tab w:val="left" w:pos="821"/>
        </w:tabs>
        <w:spacing w:before="2" w:after="0" w:line="364" w:lineRule="auto"/>
        <w:ind w:left="280" w:right="358" w:firstLine="0"/>
        <w:jc w:val="left"/>
        <w:rPr>
          <w:sz w:val="36"/>
        </w:rPr>
      </w:pPr>
      <w:r>
        <w:rPr>
          <w:spacing w:val="-1"/>
          <w:sz w:val="36"/>
        </w:rPr>
        <w:t>商业，企业单位消费者在尾牙前夕及传统节日表达对员工在这一年来的辛苦</w:t>
      </w:r>
      <w:r>
        <w:rPr>
          <w:sz w:val="36"/>
        </w:rPr>
        <w:t>工作的肯定和认可。</w:t>
      </w:r>
    </w:p>
    <w:p>
      <w:pPr>
        <w:pStyle w:val="ListParagraph"/>
        <w:numPr>
          <w:ilvl w:val="0"/>
          <w:numId w:val="8"/>
        </w:numPr>
        <w:tabs>
          <w:tab w:val="left" w:pos="821"/>
        </w:tabs>
        <w:spacing w:before="2" w:after="0" w:line="364" w:lineRule="auto"/>
        <w:ind w:left="280" w:right="358" w:firstLine="0"/>
        <w:jc w:val="left"/>
        <w:rPr>
          <w:sz w:val="36"/>
        </w:rPr>
      </w:pPr>
      <w:r>
        <w:rPr>
          <w:spacing w:val="-1"/>
          <w:sz w:val="36"/>
        </w:rPr>
        <w:t>消费者在传统节日及西方重大节日期间，表达对亲朋好友，同学，老师的节</w:t>
      </w:r>
      <w:r>
        <w:rPr>
          <w:sz w:val="36"/>
        </w:rPr>
        <w:t>日祝福，问候；</w:t>
      </w:r>
    </w:p>
    <w:p>
      <w:pPr>
        <w:pStyle w:val="ListParagraph"/>
        <w:numPr>
          <w:ilvl w:val="0"/>
          <w:numId w:val="8"/>
        </w:numPr>
        <w:tabs>
          <w:tab w:val="left" w:pos="821"/>
        </w:tabs>
        <w:spacing w:before="3" w:after="0" w:line="364" w:lineRule="auto"/>
        <w:ind w:left="280" w:right="358" w:firstLine="0"/>
        <w:jc w:val="left"/>
        <w:rPr>
          <w:sz w:val="36"/>
        </w:rPr>
      </w:pPr>
      <w:r>
        <w:rPr>
          <w:spacing w:val="-1"/>
          <w:sz w:val="36"/>
        </w:rPr>
        <w:t>中国传统节日，西方节日，生日，庆典活动等重大节日庆典活动所形成的贺</w:t>
      </w:r>
      <w:r>
        <w:rPr>
          <w:sz w:val="36"/>
        </w:rPr>
        <w:t>卡消费市场</w:t>
      </w:r>
    </w:p>
    <w:p>
      <w:pPr>
        <w:pStyle w:val="ListParagraph"/>
        <w:numPr>
          <w:ilvl w:val="0"/>
          <w:numId w:val="8"/>
        </w:numPr>
        <w:tabs>
          <w:tab w:val="left" w:pos="821"/>
        </w:tabs>
        <w:spacing w:before="2" w:after="0" w:line="240" w:lineRule="auto"/>
        <w:ind w:left="820" w:right="0" w:hanging="541"/>
        <w:jc w:val="left"/>
        <w:rPr>
          <w:sz w:val="36"/>
        </w:rPr>
      </w:pPr>
      <w:r>
        <w:rPr>
          <w:sz w:val="36"/>
        </w:rPr>
        <w:t>消费者偏好：邮政贺卡，普通节日贺卡，生日贺卡，庆典贺卡，贺年卡</w:t>
      </w:r>
    </w:p>
    <w:p>
      <w:pPr>
        <w:pStyle w:val="ListParagraph"/>
        <w:numPr>
          <w:ilvl w:val="0"/>
          <w:numId w:val="8"/>
        </w:numPr>
        <w:tabs>
          <w:tab w:val="left" w:pos="821"/>
        </w:tabs>
        <w:spacing w:before="240" w:after="0" w:line="364" w:lineRule="auto"/>
        <w:ind w:left="280" w:right="3958" w:firstLine="0"/>
        <w:jc w:val="left"/>
        <w:rPr>
          <w:b/>
          <w:sz w:val="36"/>
        </w:rPr>
      </w:pPr>
      <w:r>
        <w:rPr>
          <w:spacing w:val="-1"/>
          <w:sz w:val="36"/>
        </w:rPr>
        <w:t>消费行为：电子贺卡，纸质贺卡，短信，礼品，电话</w:t>
      </w:r>
      <w:r>
        <w:rPr>
          <w:b/>
          <w:sz w:val="36"/>
        </w:rPr>
        <w:t>目标市场选择：</w:t>
      </w:r>
    </w:p>
    <w:p>
      <w:pPr>
        <w:spacing w:after="0" w:line="364" w:lineRule="auto"/>
        <w:jc w:val="left"/>
        <w:rPr>
          <w:sz w:val="36"/>
        </w:rPr>
        <w:sectPr>
          <w:pgSz w:w="17860" w:h="25260"/>
          <w:pgMar w:top="1920" w:right="2380" w:bottom="280" w:left="2420" w:header="708" w:footer="708"/>
          <w:pgNumType w:start="7"/>
          <w:cols w:space="708"/>
        </w:sectPr>
      </w:pPr>
    </w:p>
    <w:p>
      <w:pPr>
        <w:pStyle w:val="BodyText"/>
        <w:spacing w:before="35" w:line="364" w:lineRule="auto"/>
        <w:ind w:left="280" w:right="352" w:firstLine="709"/>
      </w:pPr>
      <w:r>
        <w:t>①大中城市，16—24 岁高校学生在传统节日及西方重大节日期间，表达对亲朋好友，同学，老师的节日祝福，问候；</w:t>
      </w:r>
    </w:p>
    <w:p>
      <w:pPr>
        <w:pStyle w:val="BodyText"/>
        <w:spacing w:before="3" w:line="364" w:lineRule="auto"/>
        <w:ind w:left="280" w:right="176" w:firstLine="719"/>
      </w:pPr>
      <w:r>
        <w:rPr>
          <w:spacing w:val="-13"/>
        </w:rPr>
        <w:t xml:space="preserve">②喜迎学校 </w:t>
      </w:r>
      <w:r>
        <w:t>50</w:t>
      </w:r>
      <w:r>
        <w:rPr>
          <w:spacing w:val="-9"/>
        </w:rPr>
        <w:t xml:space="preserve"> 年华诞这一庆典活动，无形中形成了一个巨大的邮政贺卡消</w:t>
      </w:r>
      <w:r>
        <w:rPr>
          <w:spacing w:val="-10"/>
        </w:rPr>
        <w:t>费市场。与这次庆典活动有关的消费群体包括学校，学院，学生团体，学生，校</w:t>
      </w:r>
      <w:r>
        <w:rPr>
          <w:spacing w:val="-7"/>
        </w:rPr>
        <w:t>友，企业等，其中学生团体，学生将是我们的主要消费者。。</w:t>
      </w:r>
    </w:p>
    <w:p>
      <w:pPr>
        <w:pStyle w:val="Heading4"/>
        <w:spacing w:before="2"/>
        <w:rPr>
          <w:rFonts w:ascii="新宋体" w:eastAsia="新宋体" w:hint="eastAsia"/>
        </w:rPr>
      </w:pPr>
      <w:r>
        <w:rPr>
          <w:rFonts w:ascii="新宋体" w:eastAsia="新宋体" w:hint="eastAsia"/>
        </w:rPr>
        <w:t>市场定位：</w:t>
      </w:r>
    </w:p>
    <w:p>
      <w:pPr>
        <w:pStyle w:val="BodyText"/>
        <w:spacing w:before="241" w:line="364" w:lineRule="auto"/>
        <w:ind w:left="280" w:right="176" w:firstLine="705"/>
      </w:pPr>
      <w:r>
        <w:t xml:space="preserve">邮你邮我，传递浓浓情意. 邮政贺卡传递的不仅仅是一张设计精美的卡片， </w:t>
      </w:r>
      <w:r>
        <w:rPr>
          <w:spacing w:val="-11"/>
        </w:rPr>
        <w:t>而是它所承载着亲情，友情，战友情等情感诉求。一张小小的贺卡拉近了你我的</w:t>
      </w:r>
      <w:r>
        <w:rPr>
          <w:spacing w:val="-15"/>
        </w:rPr>
        <w:t>距离，减少了人与人之间的距离感。我们把邮政贺卡定位为传递人与人之间的情</w:t>
      </w:r>
      <w:r>
        <w:rPr>
          <w:spacing w:val="-16"/>
        </w:rPr>
        <w:t>意的一种媒介，一种沟通的桥梁。这边有我，那边有你，一张小小的贺卡传递着</w:t>
      </w:r>
      <w:r>
        <w:t>浓浓情意.</w:t>
      </w:r>
    </w:p>
    <w:p>
      <w:pPr>
        <w:pStyle w:val="BodyText"/>
      </w:pPr>
    </w:p>
    <w:p>
      <w:pPr>
        <w:pStyle w:val="BodyText"/>
        <w:spacing w:before="7"/>
        <w:rPr>
          <w:sz w:val="37"/>
        </w:rPr>
      </w:pPr>
    </w:p>
    <w:p>
      <w:pPr>
        <w:pStyle w:val="Heading1"/>
      </w:pPr>
      <w:bookmarkStart w:id="1" w:name="_TOC_250016"/>
      <w:r>
        <w:t>下篇：战术篇【4P</w:t>
      </w:r>
      <w:bookmarkEnd w:id="1"/>
      <w:r>
        <w:rPr>
          <w:vertAlign w:val="superscript"/>
        </w:rPr>
        <w:t>+ SCM】</w:t>
      </w:r>
    </w:p>
    <w:p>
      <w:pPr>
        <w:spacing w:before="301"/>
        <w:ind w:left="280" w:right="0" w:firstLine="0"/>
        <w:jc w:val="left"/>
        <w:rPr>
          <w:b/>
          <w:sz w:val="45"/>
        </w:rPr>
      </w:pPr>
      <w:r>
        <w:rPr>
          <w:sz w:val="45"/>
        </w:rPr>
        <w:t>四、产品策略</w:t>
      </w:r>
      <w:r>
        <w:rPr>
          <w:b/>
          <w:sz w:val="45"/>
        </w:rPr>
        <w:t>（Product）</w:t>
      </w:r>
    </w:p>
    <w:p>
      <w:pPr>
        <w:pStyle w:val="BodyText"/>
        <w:spacing w:before="5"/>
        <w:rPr>
          <w:b/>
          <w:sz w:val="31"/>
        </w:rPr>
      </w:pPr>
    </w:p>
    <w:p>
      <w:pPr>
        <w:pStyle w:val="Heading3"/>
        <w:spacing w:before="1"/>
        <w:ind w:left="1000"/>
      </w:pPr>
      <w:bookmarkStart w:id="2" w:name="_TOC_250015"/>
      <w:bookmarkEnd w:id="2"/>
      <w:r>
        <w:t>1、实施产品独特卖点的背景</w:t>
      </w:r>
    </w:p>
    <w:p>
      <w:pPr>
        <w:pStyle w:val="BodyText"/>
        <w:spacing w:before="374" w:line="364" w:lineRule="auto"/>
        <w:ind w:left="547" w:right="270" w:firstLine="273"/>
        <w:jc w:val="both"/>
      </w:pPr>
      <w:r>
        <w:t>当今经济的困惑不是短缺而是过剩。对于卖方，这代表激烈的竞争；对于买方，这意味着选择过剩。我们需要不断思考新的增值特征和利益点，从而与其他同类产品特征区隔开来，吸引更多目标顾客群。顾客价值即为顾客从市场提供的商品中发现的利益和获得这些利益的成本之间的差额。我们所能做的就是满足顾客利益并减少顾客获得邮政贺卡所付出的成本。邮政贺卡属于异质选购品，在产品特色和服务上的区别比价格更重要。它的销售者必须有大量的品种花色，以满足不同的偏好；因此，在贺卡的卖点上，独特性和可获得性在一定程度上显得尤为重要。</w:t>
      </w:r>
    </w:p>
    <w:p>
      <w:pPr>
        <w:pStyle w:val="Heading3"/>
        <w:spacing w:before="32"/>
        <w:ind w:left="798"/>
      </w:pPr>
      <w:bookmarkStart w:id="3" w:name="_TOC_250014"/>
      <w:bookmarkEnd w:id="3"/>
      <w:r>
        <w:t>2、产品策略</w:t>
      </w:r>
    </w:p>
    <w:p>
      <w:pPr>
        <w:pStyle w:val="Heading4"/>
        <w:numPr>
          <w:ilvl w:val="1"/>
          <w:numId w:val="17"/>
        </w:numPr>
        <w:tabs>
          <w:tab w:val="left" w:pos="1627"/>
        </w:tabs>
        <w:spacing w:before="374" w:after="0" w:line="240" w:lineRule="auto"/>
        <w:ind w:left="1627" w:right="0" w:hanging="638"/>
        <w:jc w:val="both"/>
        <w:rPr>
          <w:rFonts w:ascii="新宋体" w:eastAsia="新宋体" w:hint="eastAsia"/>
        </w:rPr>
      </w:pPr>
      <w:bookmarkStart w:id="4" w:name="_TOC_250013"/>
      <w:bookmarkEnd w:id="4"/>
      <w:r>
        <w:rPr>
          <w:rFonts w:ascii="新宋体" w:eastAsia="新宋体" w:hint="eastAsia"/>
        </w:rPr>
        <w:t>产品品牌策略</w:t>
      </w:r>
    </w:p>
    <w:p>
      <w:pPr>
        <w:pStyle w:val="BodyText"/>
        <w:spacing w:before="241" w:line="364" w:lineRule="auto"/>
        <w:ind w:left="280" w:right="176" w:firstLine="629"/>
        <w:jc w:val="both"/>
      </w:pPr>
      <w:r>
        <w:t>作为中国邮政的延伸品牌，邮政贺卡依托‘中国邮政’这样强势邮政品牌， 推广贺卡，减少销售阻力，节省广告投入，又吸引忠实的和有利的顾客。从另一个层面上，又强化了‘中国邮政’在高校的品牌影响力。</w:t>
      </w:r>
    </w:p>
    <w:p>
      <w:pPr>
        <w:spacing w:after="0" w:line="364" w:lineRule="auto"/>
        <w:jc w:val="both"/>
        <w:sectPr>
          <w:pgSz w:w="17860" w:h="25260"/>
          <w:pgMar w:top="1920" w:right="2380" w:bottom="280" w:left="2420" w:header="708" w:footer="708"/>
          <w:pgNumType w:start="8"/>
          <w:cols w:space="708"/>
        </w:sectPr>
      </w:pPr>
    </w:p>
    <w:p>
      <w:pPr>
        <w:pStyle w:val="Heading4"/>
        <w:numPr>
          <w:ilvl w:val="1"/>
          <w:numId w:val="7"/>
        </w:numPr>
        <w:tabs>
          <w:tab w:val="left" w:pos="1447"/>
        </w:tabs>
        <w:spacing w:before="35" w:after="0" w:line="240" w:lineRule="auto"/>
        <w:ind w:left="1447" w:right="0" w:hanging="638"/>
        <w:jc w:val="left"/>
        <w:rPr>
          <w:rFonts w:ascii="新宋体" w:eastAsia="新宋体" w:hint="eastAsia"/>
        </w:rPr>
      </w:pPr>
      <w:bookmarkStart w:id="5" w:name="_TOC_250012"/>
      <w:bookmarkEnd w:id="5"/>
      <w:r>
        <w:rPr>
          <w:rFonts w:ascii="新宋体" w:eastAsia="新宋体" w:hint="eastAsia"/>
        </w:rPr>
        <w:t>产品整体概念</w:t>
      </w:r>
    </w:p>
    <w:p>
      <w:pPr>
        <w:pStyle w:val="BodyText"/>
        <w:spacing w:before="242" w:line="364" w:lineRule="auto"/>
        <w:ind w:left="280" w:right="367" w:firstLine="529"/>
      </w:pPr>
      <w:r>
        <w:t>邮政贺卡作为一种传递情感，传达问候，祝福的卡片，其核心利益就是拉近人与人之间的距离感，感受贺卡所寄托的浓浓情意。</w:t>
      </w:r>
    </w:p>
    <w:p>
      <w:pPr>
        <w:pStyle w:val="Heading4"/>
        <w:numPr>
          <w:ilvl w:val="1"/>
          <w:numId w:val="7"/>
        </w:numPr>
        <w:tabs>
          <w:tab w:val="left" w:pos="1447"/>
        </w:tabs>
        <w:spacing w:before="1" w:after="0" w:line="240" w:lineRule="auto"/>
        <w:ind w:left="1447" w:right="0" w:hanging="638"/>
        <w:jc w:val="left"/>
        <w:rPr>
          <w:rFonts w:ascii="新宋体" w:eastAsia="新宋体" w:hint="eastAsia"/>
        </w:rPr>
      </w:pPr>
      <w:bookmarkStart w:id="6" w:name="_TOC_250011"/>
      <w:bookmarkEnd w:id="6"/>
      <w:r>
        <w:rPr>
          <w:rFonts w:ascii="新宋体" w:eastAsia="新宋体" w:hint="eastAsia"/>
        </w:rPr>
        <w:t>产品组合</w:t>
      </w:r>
    </w:p>
    <w:p>
      <w:pPr>
        <w:pStyle w:val="BodyText"/>
        <w:tabs>
          <w:tab w:val="left" w:leader="hyphen" w:pos="2080"/>
        </w:tabs>
        <w:spacing w:before="241" w:line="364" w:lineRule="auto"/>
        <w:ind w:left="280" w:right="263" w:firstLine="539"/>
      </w:pPr>
      <w:r>
        <w:t>贺卡+蛋糕，贺</w:t>
      </w:r>
      <w:r>
        <w:rPr>
          <w:spacing w:val="-28"/>
        </w:rPr>
        <w:t>卡</w:t>
      </w:r>
      <w:r>
        <w:t>+礼品，贺</w:t>
      </w:r>
      <w:r>
        <w:rPr>
          <w:spacing w:val="-29"/>
        </w:rPr>
        <w:t>卡</w:t>
      </w:r>
      <w:r>
        <w:t>+邮票+信封，贺</w:t>
      </w:r>
      <w:r>
        <w:rPr>
          <w:spacing w:val="-29"/>
        </w:rPr>
        <w:t>卡</w:t>
      </w:r>
      <w:r>
        <w:t>+服务（咨询如何写即‘使</w:t>
      </w:r>
      <w:r>
        <w:rPr>
          <w:spacing w:val="-17"/>
        </w:rPr>
        <w:t>用</w:t>
      </w:r>
      <w:r>
        <w:t>指南’</w:t>
        <w:tab/>
        <w:t>商业用户）</w:t>
      </w:r>
    </w:p>
    <w:p>
      <w:pPr>
        <w:pStyle w:val="Heading4"/>
        <w:numPr>
          <w:ilvl w:val="1"/>
          <w:numId w:val="7"/>
        </w:numPr>
        <w:tabs>
          <w:tab w:val="left" w:pos="1458"/>
        </w:tabs>
        <w:spacing w:before="2" w:after="0" w:line="240" w:lineRule="auto"/>
        <w:ind w:left="1457" w:right="0" w:hanging="638"/>
        <w:jc w:val="left"/>
        <w:rPr>
          <w:rFonts w:ascii="新宋体" w:eastAsia="新宋体" w:hint="eastAsia"/>
        </w:rPr>
      </w:pPr>
      <w:bookmarkStart w:id="7" w:name="_TOC_250010"/>
      <w:bookmarkEnd w:id="7"/>
      <w:r>
        <w:rPr>
          <w:rFonts w:ascii="新宋体" w:eastAsia="新宋体" w:hint="eastAsia"/>
        </w:rPr>
        <w:t>产品包装策略</w:t>
      </w:r>
    </w:p>
    <w:p>
      <w:pPr>
        <w:pStyle w:val="BodyText"/>
        <w:spacing w:before="241" w:line="364" w:lineRule="auto"/>
        <w:ind w:left="280" w:right="317" w:firstLine="719"/>
      </w:pPr>
      <w:r>
        <w:rPr>
          <w:spacing w:val="-14"/>
        </w:rPr>
        <w:t>附赠品包装：①在贺卡自有包装内附赠一张精美信纸以方便顾客拟定贺卡的</w:t>
      </w:r>
      <w:r>
        <w:rPr>
          <w:spacing w:val="-1"/>
        </w:rPr>
        <w:t>草稿 ②贺卡使用指南。</w:t>
      </w:r>
    </w:p>
    <w:p>
      <w:pPr>
        <w:pStyle w:val="BodyText"/>
      </w:pPr>
    </w:p>
    <w:p>
      <w:pPr>
        <w:pStyle w:val="BodyText"/>
        <w:spacing w:before="9"/>
        <w:rPr>
          <w:sz w:val="35"/>
        </w:rPr>
      </w:pPr>
    </w:p>
    <w:p>
      <w:pPr>
        <w:spacing w:before="0"/>
        <w:ind w:left="280" w:right="0" w:firstLine="0"/>
        <w:jc w:val="left"/>
        <w:rPr>
          <w:b/>
          <w:sz w:val="45"/>
        </w:rPr>
      </w:pPr>
      <w:r>
        <w:rPr>
          <w:sz w:val="45"/>
        </w:rPr>
        <w:t>五、价格策略</w:t>
      </w:r>
      <w:r>
        <w:rPr>
          <w:b/>
          <w:sz w:val="45"/>
        </w:rPr>
        <w:t>（Price）</w:t>
      </w:r>
    </w:p>
    <w:p>
      <w:pPr>
        <w:pStyle w:val="BodyText"/>
        <w:spacing w:before="6"/>
        <w:rPr>
          <w:b/>
          <w:sz w:val="31"/>
        </w:rPr>
      </w:pPr>
    </w:p>
    <w:p>
      <w:pPr>
        <w:pStyle w:val="Heading3"/>
        <w:ind w:left="804"/>
      </w:pPr>
      <w:bookmarkStart w:id="8" w:name="_TOC_250009"/>
      <w:bookmarkEnd w:id="8"/>
      <w:r>
        <w:t>1、明确贺卡定价程序</w:t>
      </w:r>
    </w:p>
    <w:p>
      <w:pPr>
        <w:pStyle w:val="BodyText"/>
        <w:spacing w:before="374" w:line="364" w:lineRule="auto"/>
        <w:ind w:left="280" w:right="176" w:firstLine="899"/>
      </w:pPr>
      <w:r>
        <w:t>为了合理制定贺卡价格，必须在全面考虑到各方面影响因素的基础上按照科学的定价程序进行，以免在定价过程中造成一系列不必要的成本和资源浪费。为此，须明确该邮政贺卡在定价中的重要程序。</w:t>
      </w:r>
    </w:p>
    <w:p>
      <w:pPr>
        <w:pStyle w:val="Heading4"/>
        <w:spacing w:line="642" w:lineRule="exact"/>
        <w:rPr>
          <w:rFonts w:ascii="新宋体" w:eastAsia="新宋体" w:hint="eastAsia"/>
        </w:rPr>
      </w:pPr>
      <w:r>
        <w:rPr>
          <w:spacing w:val="-1"/>
          <w:w w:val="95"/>
        </w:rPr>
        <w:t>（</w:t>
      </w:r>
      <w:r>
        <w:rPr>
          <w:w w:val="95"/>
        </w:rPr>
        <w:t>一）</w:t>
      </w:r>
      <w:r>
        <w:rPr>
          <w:rFonts w:ascii="新宋体" w:eastAsia="新宋体" w:hint="eastAsia"/>
          <w:w w:val="95"/>
        </w:rPr>
        <w:t>确定价格目标</w:t>
      </w:r>
    </w:p>
    <w:p>
      <w:pPr>
        <w:pStyle w:val="BodyText"/>
        <w:spacing w:before="297" w:line="364" w:lineRule="auto"/>
        <w:ind w:left="280" w:right="141" w:firstLine="719"/>
      </w:pPr>
      <w:r>
        <w:rPr>
          <w:spacing w:val="-20"/>
        </w:rPr>
        <w:t xml:space="preserve">在销售贺卡的过程中，确定相应的价格目标。如泉州邮政在发行贺卡的同时， </w:t>
      </w:r>
      <w:r>
        <w:rPr>
          <w:spacing w:val="-7"/>
        </w:rPr>
        <w:t>势必会确保邮政窗口零售点的市场份额，而要获得明显的销售优势，往往需要在</w:t>
      </w:r>
      <w:r>
        <w:rPr>
          <w:spacing w:val="-14"/>
        </w:rPr>
        <w:t>价格方面明确目标，最好同贺卡批发商、零售商在销售过程中达到价格均衡，防止价格的恶性竞争。</w:t>
      </w:r>
    </w:p>
    <w:p>
      <w:pPr>
        <w:pStyle w:val="Heading4"/>
        <w:spacing w:line="642" w:lineRule="exact"/>
        <w:rPr>
          <w:rFonts w:ascii="新宋体" w:eastAsia="新宋体" w:hint="eastAsia"/>
        </w:rPr>
      </w:pPr>
      <w:r>
        <w:t>（二）</w:t>
      </w:r>
      <w:r>
        <w:rPr>
          <w:rFonts w:ascii="新宋体" w:eastAsia="新宋体" w:hint="eastAsia"/>
        </w:rPr>
        <w:t>需求测定与分析</w:t>
      </w:r>
    </w:p>
    <w:p>
      <w:pPr>
        <w:pStyle w:val="BodyText"/>
        <w:spacing w:before="297" w:line="364" w:lineRule="auto"/>
        <w:ind w:left="280" w:right="137" w:firstLine="719"/>
      </w:pPr>
      <w:r>
        <w:rPr>
          <w:spacing w:val="-11"/>
        </w:rPr>
        <w:t>在正常情况下，市场需求肯定会按照与价格相反的方向变动，价格上升，需求减少；价格降低，需求增加。就特殊情况下，如季节性反应、节日促销等，产</w:t>
      </w:r>
      <w:r>
        <w:rPr>
          <w:spacing w:val="-21"/>
        </w:rPr>
        <w:t xml:space="preserve">品提价后，其销售量却很有可能增加。此时，销售贺卡必须抓住潜在的市场机会， </w:t>
      </w:r>
      <w:r>
        <w:t>在过节（中秋节、圣诞节、元旦节等）前后期间，不但要关注市场的需求量，还可以在价格上做足文章。</w:t>
      </w:r>
    </w:p>
    <w:p>
      <w:pPr>
        <w:pStyle w:val="ListParagraph"/>
        <w:numPr>
          <w:ilvl w:val="0"/>
          <w:numId w:val="6"/>
        </w:numPr>
        <w:tabs>
          <w:tab w:val="left" w:pos="1361"/>
        </w:tabs>
        <w:spacing w:before="0" w:after="0" w:line="644" w:lineRule="exact"/>
        <w:ind w:left="1360" w:right="0" w:hanging="1081"/>
        <w:jc w:val="left"/>
        <w:rPr>
          <w:sz w:val="36"/>
        </w:rPr>
      </w:pPr>
      <w:r>
        <w:rPr>
          <w:spacing w:val="-13"/>
          <w:sz w:val="36"/>
        </w:rPr>
        <w:t>测定价格水平。在一定的价格水平下，将贺卡可能达到的销售数量和贺卡</w:t>
      </w:r>
    </w:p>
    <w:p>
      <w:pPr>
        <w:spacing w:after="0" w:line="644" w:lineRule="exact"/>
        <w:jc w:val="left"/>
        <w:rPr>
          <w:sz w:val="36"/>
        </w:rPr>
        <w:sectPr>
          <w:pgSz w:w="17860" w:h="25260"/>
          <w:pgMar w:top="1920" w:right="2380" w:bottom="280" w:left="2420" w:header="708" w:footer="708"/>
          <w:pgNumType w:start="9"/>
          <w:cols w:space="708"/>
        </w:sectPr>
      </w:pPr>
    </w:p>
    <w:p>
      <w:pPr>
        <w:pStyle w:val="BodyText"/>
        <w:spacing w:before="35" w:line="364" w:lineRule="auto"/>
        <w:ind w:left="1360" w:right="178"/>
      </w:pPr>
      <w:r>
        <w:t>供应能力相比较，若供应不足，则可适当考虑定较高价格；反之，也可以定较低价格。</w:t>
      </w:r>
    </w:p>
    <w:p>
      <w:pPr>
        <w:pStyle w:val="ListParagraph"/>
        <w:numPr>
          <w:ilvl w:val="0"/>
          <w:numId w:val="6"/>
        </w:numPr>
        <w:tabs>
          <w:tab w:val="left" w:pos="1361"/>
        </w:tabs>
        <w:spacing w:before="0" w:after="0" w:line="641" w:lineRule="exact"/>
        <w:ind w:left="1360" w:right="0" w:hanging="1081"/>
        <w:jc w:val="left"/>
        <w:rPr>
          <w:sz w:val="36"/>
        </w:rPr>
      </w:pPr>
      <w:r>
        <w:rPr>
          <w:sz w:val="36"/>
        </w:rPr>
        <w:t>测定与分析需求的价格弹性。在定价的过程中必须根据需求的价格弹性</w:t>
      </w:r>
    </w:p>
    <w:p>
      <w:pPr>
        <w:pStyle w:val="BodyText"/>
        <w:spacing w:before="297"/>
        <w:ind w:left="1360"/>
      </w:pPr>
      <w:r>
        <w:t>（</w:t>
      </w:r>
      <w:r>
        <w:rPr>
          <w:spacing w:val="-30"/>
        </w:rPr>
        <w:t xml:space="preserve">如图 </w:t>
      </w:r>
      <w:r>
        <w:t>5.1</w:t>
      </w:r>
      <w:r>
        <w:rPr>
          <w:spacing w:val="-30"/>
        </w:rPr>
        <w:t xml:space="preserve"> 所示</w:t>
      </w:r>
      <w:r>
        <w:rPr>
          <w:spacing w:val="-179"/>
        </w:rPr>
        <w:t>）</w:t>
      </w:r>
      <w:r>
        <w:t>，即了解市场需求再对价格作出变动。</w:t>
      </w:r>
    </w:p>
    <w:p>
      <w:pPr>
        <w:pStyle w:val="BodyText"/>
        <w:spacing w:before="2"/>
        <w:rPr>
          <w:sz w:val="26"/>
        </w:rPr>
      </w:pPr>
    </w:p>
    <w:p>
      <w:pPr>
        <w:spacing w:before="0" w:line="330" w:lineRule="exact"/>
        <w:ind w:left="313" w:right="0" w:firstLine="0"/>
        <w:jc w:val="left"/>
        <w:rPr>
          <w:rFonts w:ascii="宋体" w:eastAsia="宋体" w:hint="eastAsia"/>
          <w:sz w:val="31"/>
        </w:rPr>
      </w:pPr>
      <w:r>
        <w:pict>
          <v:group id="_x0000_s1046" style="width:227pt;height:176pt;margin-top:6.5pt;margin-left:505pt;mso-position-horizontal-relative:page;position:absolute;z-index:-251655168" coordorigin="10100,130" coordsize="4540,3520">
            <v:shape id="_x0000_s1047" type="#_x0000_t75" style="width:4540;height:3520;left:10100;position:absolute;top:130" stroked="f">
              <v:imagedata r:id="rId11" o:title=""/>
            </v:shape>
            <v:shape id="_x0000_s1048" type="#_x0000_t202" style="width:161;height:337;left:11619;position:absolute;top:1242" filled="f" stroked="f">
              <v:textbox inset="0,0,0,0">
                <w:txbxContent>
                  <w:p>
                    <w:pPr>
                      <w:spacing w:before="0" w:line="337" w:lineRule="exact"/>
                      <w:ind w:left="0" w:right="0" w:firstLine="0"/>
                      <w:jc w:val="left"/>
                      <w:rPr>
                        <w:rFonts w:ascii="Arial"/>
                        <w:sz w:val="31"/>
                      </w:rPr>
                    </w:pPr>
                    <w:r>
                      <w:rPr>
                        <w:rFonts w:ascii="Arial"/>
                        <w:w w:val="81"/>
                        <w:sz w:val="31"/>
                      </w:rPr>
                      <w:t>a</w:t>
                    </w:r>
                  </w:p>
                </w:txbxContent>
              </v:textbox>
            </v:shape>
            <v:shape id="_x0000_s1049" type="#_x0000_t202" style="width:179;height:337;left:12188;position:absolute;top:1854" filled="f" stroked="f">
              <v:textbox inset="0,0,0,0">
                <w:txbxContent>
                  <w:p>
                    <w:pPr>
                      <w:spacing w:before="0" w:line="337" w:lineRule="exact"/>
                      <w:ind w:left="0" w:right="0" w:firstLine="0"/>
                      <w:jc w:val="left"/>
                      <w:rPr>
                        <w:rFonts w:ascii="Arial"/>
                        <w:sz w:val="31"/>
                      </w:rPr>
                    </w:pPr>
                    <w:r>
                      <w:rPr>
                        <w:rFonts w:ascii="Arial"/>
                        <w:w w:val="91"/>
                        <w:sz w:val="31"/>
                      </w:rPr>
                      <w:t>b</w:t>
                    </w:r>
                  </w:p>
                </w:txbxContent>
              </v:textbox>
            </v:shape>
            <v:shape id="_x0000_s1050" type="#_x0000_t202" style="width:249;height:337;left:13413;position:absolute;top:2571" filled="f" stroked="f">
              <v:textbox inset="0,0,0,0">
                <w:txbxContent>
                  <w:p>
                    <w:pPr>
                      <w:spacing w:before="0" w:line="337" w:lineRule="exact"/>
                      <w:ind w:left="0" w:right="0" w:firstLine="0"/>
                      <w:jc w:val="left"/>
                      <w:rPr>
                        <w:rFonts w:ascii="Arial"/>
                        <w:sz w:val="31"/>
                      </w:rPr>
                    </w:pPr>
                    <w:r>
                      <w:rPr>
                        <w:rFonts w:ascii="Arial"/>
                        <w:w w:val="102"/>
                        <w:sz w:val="31"/>
                      </w:rPr>
                      <w:t>D</w:t>
                    </w:r>
                  </w:p>
                </w:txbxContent>
              </v:textbox>
            </v:shape>
          </v:group>
        </w:pict>
      </w:r>
      <w:r>
        <w:pict>
          <v:group id="_x0000_s1051" style="width:252pt;height:175pt;margin-top:5.5pt;margin-left:157pt;mso-position-horizontal-relative:page;position:absolute;z-index:-251654144" coordorigin="3140,110" coordsize="5040,3500">
            <v:shape id="_x0000_s1052" type="#_x0000_t75" style="width:5040;height:3500;left:3140;position:absolute;top:110" stroked="f">
              <v:imagedata r:id="rId12" o:title=""/>
            </v:shape>
            <v:shape id="_x0000_s1053" type="#_x0000_t202" style="width:161;height:337;left:4090;position:absolute;top:907" filled="f" stroked="f">
              <v:textbox inset="0,0,0,0">
                <w:txbxContent>
                  <w:p>
                    <w:pPr>
                      <w:spacing w:before="0" w:line="337" w:lineRule="exact"/>
                      <w:ind w:left="0" w:right="0" w:firstLine="0"/>
                      <w:jc w:val="left"/>
                      <w:rPr>
                        <w:rFonts w:ascii="Arial"/>
                        <w:sz w:val="31"/>
                      </w:rPr>
                    </w:pPr>
                    <w:r>
                      <w:rPr>
                        <w:rFonts w:ascii="Arial"/>
                        <w:w w:val="81"/>
                        <w:sz w:val="31"/>
                      </w:rPr>
                      <w:t>a</w:t>
                    </w:r>
                  </w:p>
                </w:txbxContent>
              </v:textbox>
            </v:shape>
            <v:shape id="_x0000_s1054" type="#_x0000_t202" style="width:179;height:337;left:4651;position:absolute;top:1231" filled="f" stroked="f">
              <v:textbox inset="0,0,0,0">
                <w:txbxContent>
                  <w:p>
                    <w:pPr>
                      <w:spacing w:before="0" w:line="337" w:lineRule="exact"/>
                      <w:ind w:left="0" w:right="0" w:firstLine="0"/>
                      <w:jc w:val="left"/>
                      <w:rPr>
                        <w:rFonts w:ascii="Arial"/>
                        <w:sz w:val="31"/>
                      </w:rPr>
                    </w:pPr>
                    <w:r>
                      <w:rPr>
                        <w:rFonts w:ascii="Arial"/>
                        <w:w w:val="91"/>
                        <w:sz w:val="31"/>
                      </w:rPr>
                      <w:t>b</w:t>
                    </w:r>
                  </w:p>
                </w:txbxContent>
              </v:textbox>
            </v:shape>
            <v:shape id="_x0000_s1055" type="#_x0000_t202" style="width:302;height:337;left:5418;position:absolute;top:1757" filled="f" stroked="f">
              <v:textbox inset="0,0,0,0">
                <w:txbxContent>
                  <w:p>
                    <w:pPr>
                      <w:spacing w:before="0" w:line="337" w:lineRule="exact"/>
                      <w:ind w:left="0" w:right="0" w:firstLine="0"/>
                      <w:jc w:val="left"/>
                      <w:rPr>
                        <w:rFonts w:ascii="Arial"/>
                        <w:sz w:val="31"/>
                      </w:rPr>
                    </w:pPr>
                    <w:r>
                      <w:rPr>
                        <w:rFonts w:ascii="Arial"/>
                        <w:w w:val="109"/>
                        <w:sz w:val="31"/>
                      </w:rPr>
                      <w:t>M</w:t>
                    </w:r>
                  </w:p>
                </w:txbxContent>
              </v:textbox>
            </v:shape>
            <v:shape id="_x0000_s1056" type="#_x0000_t202" style="width:161;height:337;left:6179;position:absolute;top:2268" filled="f" stroked="f">
              <v:textbox inset="0,0,0,0">
                <w:txbxContent>
                  <w:p>
                    <w:pPr>
                      <w:spacing w:before="0" w:line="337" w:lineRule="exact"/>
                      <w:ind w:left="0" w:right="0" w:firstLine="0"/>
                      <w:jc w:val="left"/>
                      <w:rPr>
                        <w:rFonts w:ascii="Arial"/>
                        <w:sz w:val="31"/>
                      </w:rPr>
                    </w:pPr>
                    <w:r>
                      <w:rPr>
                        <w:rFonts w:ascii="Arial"/>
                        <w:w w:val="81"/>
                        <w:sz w:val="31"/>
                      </w:rPr>
                      <w:t>e</w:t>
                    </w:r>
                  </w:p>
                </w:txbxContent>
              </v:textbox>
            </v:shape>
            <v:shape id="_x0000_s1057" type="#_x0000_t202" style="width:126;height:337;left:6791;position:absolute;top:2654" filled="f" stroked="f">
              <v:textbox inset="0,0,0,0">
                <w:txbxContent>
                  <w:p>
                    <w:pPr>
                      <w:spacing w:before="0" w:line="337" w:lineRule="exact"/>
                      <w:ind w:left="0" w:right="0" w:firstLine="0"/>
                      <w:jc w:val="left"/>
                      <w:rPr>
                        <w:rFonts w:ascii="Arial"/>
                        <w:sz w:val="31"/>
                      </w:rPr>
                    </w:pPr>
                    <w:r>
                      <w:rPr>
                        <w:rFonts w:ascii="Arial"/>
                        <w:w w:val="122"/>
                        <w:sz w:val="31"/>
                      </w:rPr>
                      <w:t>f</w:t>
                    </w:r>
                  </w:p>
                </w:txbxContent>
              </v:textbox>
            </v:shape>
            <v:shape id="_x0000_s1058" type="#_x0000_t202" style="width:249;height:337;left:7381;position:absolute;top:3021" filled="f" stroked="f">
              <v:textbox inset="0,0,0,0">
                <w:txbxContent>
                  <w:p>
                    <w:pPr>
                      <w:spacing w:before="0" w:line="337" w:lineRule="exact"/>
                      <w:ind w:left="0" w:right="0" w:firstLine="0"/>
                      <w:jc w:val="left"/>
                      <w:rPr>
                        <w:rFonts w:ascii="Arial"/>
                        <w:sz w:val="31"/>
                      </w:rPr>
                    </w:pPr>
                    <w:r>
                      <w:rPr>
                        <w:rFonts w:ascii="Arial"/>
                        <w:w w:val="102"/>
                        <w:sz w:val="31"/>
                      </w:rPr>
                      <w:t>D</w:t>
                    </w:r>
                  </w:p>
                </w:txbxContent>
              </v:textbox>
            </v:shape>
          </v:group>
        </w:pict>
      </w:r>
      <w:r>
        <w:rPr>
          <w:rFonts w:ascii="宋体" w:eastAsia="宋体" w:hint="eastAsia"/>
          <w:w w:val="102"/>
          <w:sz w:val="31"/>
        </w:rPr>
        <w:t>价</w:t>
      </w:r>
    </w:p>
    <w:p>
      <w:pPr>
        <w:tabs>
          <w:tab w:val="left" w:pos="7334"/>
        </w:tabs>
        <w:spacing w:before="0" w:line="182" w:lineRule="auto"/>
        <w:ind w:left="313" w:right="0" w:firstLine="0"/>
        <w:jc w:val="left"/>
        <w:rPr>
          <w:rFonts w:ascii="宋体" w:eastAsia="宋体" w:hint="eastAsia"/>
          <w:sz w:val="31"/>
        </w:rPr>
      </w:pPr>
      <w:r>
        <w:rPr>
          <w:rFonts w:ascii="宋体" w:eastAsia="宋体" w:hint="eastAsia"/>
          <w:position w:val="-20"/>
          <w:sz w:val="31"/>
        </w:rPr>
        <w:t>格</w:t>
        <w:tab/>
      </w:r>
      <w:r>
        <w:rPr>
          <w:rFonts w:ascii="宋体" w:eastAsia="宋体" w:hint="eastAsia"/>
          <w:sz w:val="31"/>
        </w:rPr>
        <w:t>价</w:t>
      </w:r>
    </w:p>
    <w:p>
      <w:pPr>
        <w:spacing w:before="0" w:line="326" w:lineRule="exact"/>
        <w:ind w:left="1926" w:right="0" w:firstLine="0"/>
        <w:jc w:val="center"/>
        <w:rPr>
          <w:rFonts w:ascii="宋体" w:eastAsia="宋体" w:hint="eastAsia"/>
          <w:sz w:val="31"/>
        </w:rPr>
      </w:pPr>
      <w:r>
        <w:rPr>
          <w:rFonts w:ascii="宋体" w:eastAsia="宋体" w:hint="eastAsia"/>
          <w:w w:val="102"/>
          <w:sz w:val="31"/>
        </w:rPr>
        <w:t>格</w: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2"/>
        <w:rPr>
          <w:rFonts w:ascii="宋体"/>
          <w:sz w:val="16"/>
        </w:rPr>
      </w:pPr>
    </w:p>
    <w:p>
      <w:pPr>
        <w:spacing w:after="0"/>
        <w:rPr>
          <w:rFonts w:ascii="宋体"/>
          <w:sz w:val="16"/>
        </w:rPr>
        <w:sectPr>
          <w:pgSz w:w="17860" w:h="25260"/>
          <w:pgMar w:top="1920" w:right="2380" w:bottom="280" w:left="2420" w:header="708" w:footer="708"/>
          <w:pgNumType w:start="10"/>
          <w:cols w:space="708"/>
        </w:sectPr>
      </w:pPr>
    </w:p>
    <w:p>
      <w:pPr>
        <w:tabs>
          <w:tab w:val="left" w:pos="1392"/>
        </w:tabs>
        <w:spacing w:before="92"/>
        <w:ind w:left="755" w:right="0" w:firstLine="0"/>
        <w:jc w:val="left"/>
        <w:rPr>
          <w:rFonts w:ascii="宋体" w:eastAsia="宋体" w:hint="eastAsia"/>
          <w:sz w:val="31"/>
        </w:rPr>
      </w:pPr>
      <w:r>
        <w:rPr>
          <w:rFonts w:ascii="Arial" w:eastAsia="Arial"/>
          <w:position w:val="20"/>
          <w:sz w:val="31"/>
        </w:rPr>
        <w:t>0</w:t>
        <w:tab/>
      </w:r>
      <w:r>
        <w:rPr>
          <w:rFonts w:ascii="Arial" w:eastAsia="Arial"/>
          <w:sz w:val="31"/>
        </w:rPr>
        <w:t>(a)</w:t>
      </w:r>
      <w:r>
        <w:rPr>
          <w:rFonts w:ascii="Arial" w:eastAsia="Arial"/>
          <w:spacing w:val="85"/>
          <w:sz w:val="31"/>
        </w:rPr>
        <w:t xml:space="preserve"> </w:t>
      </w:r>
      <w:r>
        <w:rPr>
          <w:rFonts w:ascii="宋体" w:eastAsia="宋体" w:hint="eastAsia"/>
          <w:sz w:val="31"/>
        </w:rPr>
        <w:t>直线式需求曲线</w:t>
      </w:r>
    </w:p>
    <w:p>
      <w:pPr>
        <w:tabs>
          <w:tab w:val="left" w:pos="3546"/>
        </w:tabs>
        <w:spacing w:before="130"/>
        <w:ind w:left="1155" w:right="0" w:firstLine="0"/>
        <w:jc w:val="left"/>
        <w:rPr>
          <w:rFonts w:ascii="Arial" w:eastAsia="Arial"/>
          <w:sz w:val="31"/>
        </w:rPr>
      </w:pPr>
      <w:r>
        <w:br w:type="column"/>
      </w:r>
      <w:r>
        <w:rPr>
          <w:rFonts w:ascii="宋体" w:eastAsia="宋体" w:hint="eastAsia"/>
          <w:sz w:val="31"/>
        </w:rPr>
        <w:t>数量</w:t>
        <w:tab/>
      </w:r>
      <w:r>
        <w:rPr>
          <w:rFonts w:ascii="Arial" w:eastAsia="Arial"/>
          <w:position w:val="9"/>
          <w:sz w:val="31"/>
        </w:rPr>
        <w:t>0</w:t>
      </w:r>
    </w:p>
    <w:p>
      <w:pPr>
        <w:tabs>
          <w:tab w:val="left" w:pos="1781"/>
        </w:tabs>
        <w:spacing w:before="283"/>
        <w:ind w:left="755" w:right="0" w:firstLine="0"/>
        <w:jc w:val="left"/>
        <w:rPr>
          <w:rFonts w:ascii="宋体" w:eastAsia="宋体" w:hint="eastAsia"/>
          <w:sz w:val="31"/>
        </w:rPr>
      </w:pPr>
      <w:r>
        <w:rPr>
          <w:rFonts w:ascii="宋体" w:eastAsia="宋体" w:hint="eastAsia"/>
          <w:sz w:val="31"/>
        </w:rPr>
        <w:t>图</w:t>
      </w:r>
      <w:r>
        <w:rPr>
          <w:rFonts w:ascii="Arial" w:eastAsia="Arial"/>
          <w:sz w:val="31"/>
        </w:rPr>
        <w:t>5.1</w:t>
        <w:tab/>
      </w:r>
      <w:r>
        <w:rPr>
          <w:rFonts w:ascii="宋体" w:eastAsia="宋体" w:hint="eastAsia"/>
          <w:sz w:val="31"/>
        </w:rPr>
        <w:t>需求的价格弹</w:t>
      </w:r>
      <w:r>
        <w:rPr>
          <w:rFonts w:ascii="宋体" w:eastAsia="宋体" w:hint="eastAsia"/>
          <w:spacing w:val="-20"/>
          <w:sz w:val="31"/>
        </w:rPr>
        <w:t>性</w:t>
      </w:r>
    </w:p>
    <w:p>
      <w:pPr>
        <w:pStyle w:val="ListParagraph"/>
        <w:numPr>
          <w:ilvl w:val="0"/>
          <w:numId w:val="5"/>
        </w:numPr>
        <w:tabs>
          <w:tab w:val="left" w:pos="872"/>
          <w:tab w:val="left" w:pos="3705"/>
        </w:tabs>
        <w:spacing w:before="196" w:after="0" w:line="240" w:lineRule="auto"/>
        <w:ind w:left="871" w:right="0" w:hanging="527"/>
        <w:jc w:val="left"/>
        <w:rPr>
          <w:rFonts w:ascii="宋体" w:eastAsia="宋体" w:hint="eastAsia"/>
          <w:sz w:val="31"/>
        </w:rPr>
      </w:pPr>
      <w:r>
        <w:rPr>
          <w:rFonts w:ascii="宋体" w:eastAsia="宋体" w:hint="eastAsia"/>
          <w:w w:val="102"/>
          <w:sz w:val="31"/>
        </w:rPr>
        <w:br w:type="column"/>
      </w:r>
      <w:r>
        <w:rPr>
          <w:rFonts w:ascii="宋体" w:eastAsia="宋体" w:hint="eastAsia"/>
          <w:sz w:val="31"/>
        </w:rPr>
        <w:t>曲线式需求曲线</w:t>
        <w:tab/>
      </w:r>
      <w:r>
        <w:rPr>
          <w:rFonts w:ascii="宋体" w:eastAsia="宋体" w:hint="eastAsia"/>
          <w:position w:val="16"/>
          <w:sz w:val="31"/>
        </w:rPr>
        <w:t>数量</w:t>
      </w:r>
    </w:p>
    <w:p>
      <w:pPr>
        <w:spacing w:after="0" w:line="240" w:lineRule="auto"/>
        <w:jc w:val="left"/>
        <w:rPr>
          <w:rFonts w:ascii="宋体" w:eastAsia="宋体" w:hint="eastAsia"/>
          <w:sz w:val="31"/>
        </w:rPr>
        <w:sectPr>
          <w:type w:val="continuous"/>
          <w:pgSz w:w="17860" w:h="25260"/>
          <w:pgMar w:top="2420" w:right="2380" w:bottom="280" w:left="2420" w:header="708" w:footer="708"/>
          <w:pgNumType w:start="11"/>
          <w:cols w:num="3" w:space="708" w:equalWidth="0">
            <w:col w:w="4159" w:space="47"/>
            <w:col w:w="4000" w:space="39"/>
            <w:col w:w="4815" w:space="0"/>
          </w:cols>
        </w:sectPr>
      </w:pPr>
    </w:p>
    <w:p>
      <w:pPr>
        <w:pStyle w:val="BodyText"/>
        <w:spacing w:before="9"/>
        <w:rPr>
          <w:rFonts w:ascii="宋体"/>
          <w:sz w:val="24"/>
        </w:rPr>
      </w:pPr>
    </w:p>
    <w:p>
      <w:pPr>
        <w:pStyle w:val="Heading4"/>
        <w:spacing w:before="6"/>
        <w:rPr>
          <w:rFonts w:ascii="新宋体" w:eastAsia="新宋体" w:hint="eastAsia"/>
        </w:rPr>
      </w:pPr>
      <w:r>
        <w:t>（三）</w:t>
      </w:r>
      <w:r>
        <w:rPr>
          <w:rFonts w:ascii="新宋体" w:eastAsia="新宋体" w:hint="eastAsia"/>
        </w:rPr>
        <w:t>预估成本额</w:t>
      </w:r>
    </w:p>
    <w:p>
      <w:pPr>
        <w:pStyle w:val="BodyText"/>
        <w:spacing w:before="297" w:line="364" w:lineRule="auto"/>
        <w:ind w:left="280" w:right="137" w:firstLine="719"/>
      </w:pPr>
      <w:r>
        <w:rPr>
          <w:spacing w:val="-13"/>
        </w:rPr>
        <w:t>即要求预估贺卡从制作出来到销售过程中的成本费用，包括产品材料、制作、</w:t>
      </w:r>
      <w:r>
        <w:t>宣传、管理等成本费用。以此作为参照，作大概的成本估算。</w:t>
      </w:r>
    </w:p>
    <w:p>
      <w:pPr>
        <w:pStyle w:val="BodyText"/>
        <w:spacing w:line="641" w:lineRule="exact"/>
        <w:ind w:left="280"/>
      </w:pPr>
      <w:r>
        <w:rPr>
          <w:rFonts w:ascii="微软雅黑" w:eastAsia="微软雅黑" w:hint="eastAsia"/>
        </w:rPr>
        <w:t>（四）</w:t>
      </w:r>
      <w:r>
        <w:t>分析同类、同行竞争者的价格</w:t>
      </w:r>
    </w:p>
    <w:p>
      <w:pPr>
        <w:pStyle w:val="BodyText"/>
        <w:spacing w:before="298" w:line="364" w:lineRule="auto"/>
        <w:ind w:left="280" w:right="322" w:firstLine="719"/>
      </w:pPr>
      <w:r>
        <w:rPr>
          <w:spacing w:val="-11"/>
        </w:rPr>
        <w:t>根据市场调查的贺卡价格，不仅仅是同种贺卡的销售商，还是同类贺卡的竞</w:t>
      </w:r>
      <w:r>
        <w:t>争者，都必须了解相应贺卡在不同种类、规格、包装的价格态势。</w:t>
      </w:r>
    </w:p>
    <w:p>
      <w:pPr>
        <w:pStyle w:val="Heading4"/>
        <w:spacing w:line="641" w:lineRule="exact"/>
        <w:rPr>
          <w:rFonts w:ascii="新宋体" w:eastAsia="新宋体" w:hint="eastAsia"/>
        </w:rPr>
      </w:pPr>
      <w:r>
        <w:t>（五）</w:t>
      </w:r>
      <w:r>
        <w:rPr>
          <w:rFonts w:ascii="新宋体" w:eastAsia="新宋体" w:hint="eastAsia"/>
        </w:rPr>
        <w:t>选择定价方法及确定价格</w:t>
      </w:r>
    </w:p>
    <w:p>
      <w:pPr>
        <w:pStyle w:val="BodyText"/>
        <w:spacing w:before="297" w:line="364" w:lineRule="auto"/>
        <w:ind w:left="280" w:right="176" w:firstLine="719"/>
      </w:pPr>
      <w:r>
        <w:pict>
          <v:group id="_x0000_s1059" style="width:582pt;height:236pt;margin-top:125.79pt;margin-left:172pt;mso-position-horizontal-relative:page;mso-wrap-distance-left:0;mso-wrap-distance-right:0;position:absolute;z-index:-251653120" coordorigin="3440,2516" coordsize="11640,4720">
            <v:shape id="_x0000_s1060" type="#_x0000_t75" style="width:11640;height:4720;left:3440;position:absolute;top:2515" stroked="f">
              <v:imagedata r:id="rId13" o:title=""/>
            </v:shape>
            <v:shape id="_x0000_s1061" type="#_x0000_t202" style="width:971;height:317;left:4101;position:absolute;top:3453"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低价格</w:t>
                    </w:r>
                  </w:p>
                </w:txbxContent>
              </v:textbox>
            </v:shape>
            <v:shape id="_x0000_s1062" type="#_x0000_t202" style="width:971;height:317;left:13553;position:absolute;top:3453"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高价格</w:t>
                    </w:r>
                  </w:p>
                </w:txbxContent>
              </v:textbox>
            </v:shape>
            <v:shape id="_x0000_s1063" type="#_x0000_t202" style="width:654;height:785;left:6801;position:absolute;top:4386"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sz w:val="31"/>
                      </w:rPr>
                      <w:t>贺卡</w:t>
                    </w:r>
                  </w:p>
                  <w:p>
                    <w:pPr>
                      <w:spacing w:before="71" w:line="355" w:lineRule="exact"/>
                      <w:ind w:left="0" w:right="0" w:firstLine="0"/>
                      <w:jc w:val="left"/>
                      <w:rPr>
                        <w:rFonts w:ascii="宋体" w:eastAsia="宋体" w:hint="eastAsia"/>
                        <w:sz w:val="31"/>
                      </w:rPr>
                    </w:pPr>
                    <w:r>
                      <w:rPr>
                        <w:rFonts w:ascii="宋体" w:eastAsia="宋体" w:hint="eastAsia"/>
                        <w:sz w:val="31"/>
                      </w:rPr>
                      <w:t>成本</w:t>
                    </w:r>
                  </w:p>
                </w:txbxContent>
              </v:textbox>
            </v:shape>
            <v:shape id="_x0000_s1064" type="#_x0000_t202" style="width:1460;height:1253;left:8263;position:absolute;top:4152"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sz w:val="31"/>
                      </w:rPr>
                      <w:t>竞争者价</w:t>
                    </w:r>
                  </w:p>
                  <w:p>
                    <w:pPr>
                      <w:spacing w:before="8" w:line="460" w:lineRule="atLeast"/>
                      <w:ind w:left="0" w:right="18" w:firstLine="0"/>
                      <w:jc w:val="left"/>
                      <w:rPr>
                        <w:rFonts w:ascii="宋体" w:eastAsia="宋体" w:hint="eastAsia"/>
                        <w:sz w:val="31"/>
                      </w:rPr>
                    </w:pPr>
                    <w:r>
                      <w:rPr>
                        <w:rFonts w:ascii="宋体" w:eastAsia="宋体" w:hint="eastAsia"/>
                        <w:sz w:val="31"/>
                      </w:rPr>
                      <w:t>格及同类替 代 品</w:t>
                    </w:r>
                  </w:p>
                </w:txbxContent>
              </v:textbox>
            </v:shape>
            <v:shape id="_x0000_s1065" type="#_x0000_t202" style="width:1604;height:782;left:10424;position:absolute;top:4152"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sz w:val="31"/>
                      </w:rPr>
                      <w:t>消费者感受</w:t>
                    </w:r>
                  </w:p>
                  <w:p>
                    <w:pPr>
                      <w:spacing w:before="67" w:line="355" w:lineRule="exact"/>
                      <w:ind w:left="0" w:right="0" w:firstLine="0"/>
                      <w:jc w:val="left"/>
                      <w:rPr>
                        <w:rFonts w:ascii="宋体" w:eastAsia="宋体" w:hint="eastAsia"/>
                        <w:sz w:val="31"/>
                      </w:rPr>
                    </w:pPr>
                    <w:r>
                      <w:rPr>
                        <w:rFonts w:ascii="宋体" w:eastAsia="宋体" w:hint="eastAsia"/>
                        <w:sz w:val="31"/>
                      </w:rPr>
                      <w:t>的产品价值</w:t>
                    </w:r>
                  </w:p>
                </w:txbxContent>
              </v:textbox>
            </v:shape>
            <v:shape id="_x0000_s1066" type="#_x0000_t202" style="width:1604;height:785;left:3942;position:absolute;top:5556"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sz w:val="31"/>
                      </w:rPr>
                      <w:t>此价格下无</w:t>
                    </w:r>
                  </w:p>
                  <w:p>
                    <w:pPr>
                      <w:spacing w:before="71" w:line="355" w:lineRule="exact"/>
                      <w:ind w:left="0" w:right="0" w:firstLine="0"/>
                      <w:jc w:val="left"/>
                      <w:rPr>
                        <w:rFonts w:ascii="宋体" w:eastAsia="宋体" w:hint="eastAsia"/>
                        <w:sz w:val="31"/>
                      </w:rPr>
                    </w:pPr>
                    <w:r>
                      <w:rPr>
                        <w:rFonts w:ascii="宋体" w:eastAsia="宋体" w:hint="eastAsia"/>
                        <w:sz w:val="31"/>
                      </w:rPr>
                      <w:t>利可图</w:t>
                    </w:r>
                  </w:p>
                </w:txbxContent>
              </v:textbox>
            </v:shape>
            <v:shape id="_x0000_s1067" type="#_x0000_t202" style="width:1460;height:785;left:13120;position:absolute;top:5790"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sz w:val="31"/>
                      </w:rPr>
                      <w:t>此价格无</w:t>
                    </w:r>
                  </w:p>
                  <w:p>
                    <w:pPr>
                      <w:spacing w:before="71" w:line="355" w:lineRule="exact"/>
                      <w:ind w:left="0" w:right="0" w:firstLine="0"/>
                      <w:jc w:val="left"/>
                      <w:rPr>
                        <w:rFonts w:ascii="宋体" w:eastAsia="宋体" w:hint="eastAsia"/>
                        <w:sz w:val="31"/>
                      </w:rPr>
                    </w:pPr>
                    <w:r>
                      <w:rPr>
                        <w:rFonts w:ascii="宋体" w:eastAsia="宋体" w:hint="eastAsia"/>
                        <w:sz w:val="31"/>
                      </w:rPr>
                      <w:t>人问津</w:t>
                    </w:r>
                  </w:p>
                </w:txbxContent>
              </v:textbox>
            </v:shape>
            <w10:wrap type="topAndBottom"/>
          </v:group>
        </w:pict>
      </w:r>
      <w:r>
        <w:t>在确定贺卡价格之前须考虑三个主要因素（</w:t>
      </w:r>
      <w:r>
        <w:rPr>
          <w:spacing w:val="-24"/>
        </w:rPr>
        <w:t xml:space="preserve">如图 </w:t>
      </w:r>
      <w:r>
        <w:t>5.2</w:t>
      </w:r>
      <w:r>
        <w:rPr>
          <w:spacing w:val="-24"/>
        </w:rPr>
        <w:t xml:space="preserve"> 所示</w:t>
      </w:r>
      <w:r>
        <w:rPr>
          <w:spacing w:val="-180"/>
        </w:rPr>
        <w:t>）</w:t>
      </w:r>
      <w:r>
        <w:t>：即产品成本是</w:t>
      </w:r>
      <w:r>
        <w:rPr>
          <w:spacing w:val="-1"/>
        </w:rPr>
        <w:t>定价的下限，消费者对产品的感受是定价的上限、竞争者的价格波动。因此，贺</w:t>
      </w:r>
      <w:r>
        <w:t>卡在定价上可以采用</w:t>
      </w:r>
      <w:r>
        <w:rPr>
          <w:b/>
          <w:spacing w:val="1"/>
        </w:rPr>
        <w:t>成本导向定价法</w:t>
      </w:r>
      <w:r>
        <w:t>和</w:t>
      </w:r>
      <w:r>
        <w:rPr>
          <w:b/>
          <w:spacing w:val="2"/>
        </w:rPr>
        <w:t>需求导向定价法</w:t>
      </w:r>
      <w:r>
        <w:t>。</w:t>
      </w:r>
    </w:p>
    <w:p>
      <w:pPr>
        <w:spacing w:after="0" w:line="364" w:lineRule="auto"/>
        <w:sectPr>
          <w:type w:val="continuous"/>
          <w:pgSz w:w="17860" w:h="25260"/>
          <w:pgMar w:top="2420" w:right="2380" w:bottom="280" w:left="2420" w:header="708" w:footer="708"/>
          <w:pgNumType w:start="12"/>
          <w:cols w:space="708"/>
        </w:sectPr>
      </w:pPr>
    </w:p>
    <w:p>
      <w:pPr>
        <w:pStyle w:val="BodyText"/>
        <w:tabs>
          <w:tab w:val="left" w:pos="1349"/>
        </w:tabs>
        <w:spacing w:before="35"/>
        <w:ind w:right="35"/>
        <w:jc w:val="center"/>
      </w:pPr>
      <w:r>
        <w:t>图</w:t>
      </w:r>
      <w:r>
        <w:rPr>
          <w:spacing w:val="-90"/>
        </w:rPr>
        <w:t xml:space="preserve"> </w:t>
      </w:r>
      <w:r>
        <w:t>5.2</w:t>
        <w:tab/>
        <w:t>定价的三个主要考虑因素</w:t>
      </w:r>
    </w:p>
    <w:p>
      <w:pPr>
        <w:pStyle w:val="BodyText"/>
        <w:rPr>
          <w:sz w:val="20"/>
        </w:rPr>
      </w:pPr>
    </w:p>
    <w:p>
      <w:pPr>
        <w:pStyle w:val="BodyText"/>
        <w:rPr>
          <w:sz w:val="20"/>
        </w:rPr>
      </w:pPr>
    </w:p>
    <w:p>
      <w:pPr>
        <w:pStyle w:val="BodyText"/>
        <w:rPr>
          <w:sz w:val="20"/>
        </w:rPr>
      </w:pPr>
    </w:p>
    <w:p>
      <w:pPr>
        <w:pStyle w:val="BodyText"/>
        <w:rPr>
          <w:sz w:val="20"/>
        </w:rPr>
      </w:pPr>
    </w:p>
    <w:p>
      <w:pPr>
        <w:pStyle w:val="Heading3"/>
        <w:spacing w:before="177"/>
        <w:ind w:left="914"/>
      </w:pPr>
      <w:bookmarkStart w:id="9" w:name="_TOC_250008"/>
      <w:bookmarkEnd w:id="9"/>
      <w:r>
        <w:t>2、定价策略</w:t>
      </w:r>
    </w:p>
    <w:p>
      <w:pPr>
        <w:pStyle w:val="Heading4"/>
        <w:spacing w:before="374"/>
        <w:ind w:left="820"/>
        <w:rPr>
          <w:rFonts w:ascii="新宋体" w:eastAsia="新宋体" w:hint="eastAsia"/>
        </w:rPr>
      </w:pPr>
      <w:r>
        <w:rPr>
          <w:rFonts w:ascii="新宋体" w:eastAsia="新宋体" w:hint="eastAsia"/>
        </w:rPr>
        <w:t>（一）成本加成定价法</w:t>
      </w:r>
    </w:p>
    <w:p>
      <w:pPr>
        <w:pStyle w:val="BodyText"/>
        <w:spacing w:before="240" w:line="364" w:lineRule="auto"/>
        <w:ind w:left="280" w:right="318" w:firstLine="719"/>
      </w:pPr>
      <w:r>
        <w:rPr>
          <w:spacing w:val="-13"/>
        </w:rPr>
        <w:t>首先要确定单位贺卡的总成本</w:t>
      </w:r>
      <w:r>
        <w:t>（包括单位变动成本和平均分摊的固定成本</w:t>
      </w:r>
      <w:r>
        <w:rPr>
          <w:spacing w:val="-168"/>
        </w:rPr>
        <w:t>）</w:t>
      </w:r>
      <w:r>
        <w:rPr>
          <w:spacing w:val="-8"/>
        </w:rPr>
        <w:t>,</w:t>
      </w:r>
      <w:r>
        <w:t>然后在单位贺卡总成本基础上加上一定比例的利润从而形成单位销售价格。即</w:t>
      </w:r>
    </w:p>
    <w:p>
      <w:pPr>
        <w:pStyle w:val="BodyText"/>
        <w:spacing w:before="2"/>
        <w:ind w:left="3200"/>
      </w:pPr>
      <w:r>
        <w:t>单位贺卡价格=单位总成本</w:t>
      </w:r>
      <w:r>
        <w:rPr>
          <w:position w:val="-3"/>
          <w:sz w:val="31"/>
        </w:rPr>
        <w:t>ⅹ</w:t>
      </w:r>
      <w:r>
        <w:t>（1+成本加成率）</w:t>
      </w:r>
    </w:p>
    <w:p>
      <w:pPr>
        <w:pStyle w:val="BodyText"/>
        <w:spacing w:before="216"/>
        <w:ind w:left="2980"/>
      </w:pPr>
      <w:r>
        <w:t>【成本加成率=（售价—进价）/进货成本</w:t>
      </w:r>
      <w:r>
        <w:rPr>
          <w:position w:val="-3"/>
          <w:sz w:val="31"/>
        </w:rPr>
        <w:t>ⅹ</w:t>
      </w:r>
      <w:r>
        <w:t>100%】</w:t>
      </w:r>
    </w:p>
    <w:p>
      <w:pPr>
        <w:pStyle w:val="BodyText"/>
        <w:spacing w:before="214" w:line="364" w:lineRule="auto"/>
        <w:ind w:left="280" w:right="316"/>
      </w:pPr>
      <w:r>
        <w:rPr>
          <w:spacing w:val="-10"/>
        </w:rPr>
        <w:t xml:space="preserve">如：现有印刷贺卡 </w:t>
      </w:r>
      <w:r>
        <w:t>1000</w:t>
      </w:r>
      <w:r>
        <w:rPr>
          <w:spacing w:val="-17"/>
        </w:rPr>
        <w:t xml:space="preserve"> 张，其单位变动成本 </w:t>
      </w:r>
      <w:r>
        <w:t>2</w:t>
      </w:r>
      <w:r>
        <w:rPr>
          <w:spacing w:val="-20"/>
        </w:rPr>
        <w:t xml:space="preserve"> 元，总固定成本 </w:t>
      </w:r>
      <w:r>
        <w:t>800</w:t>
      </w:r>
      <w:r>
        <w:rPr>
          <w:spacing w:val="-18"/>
        </w:rPr>
        <w:t xml:space="preserve"> 元，要求的</w:t>
      </w:r>
      <w:r>
        <w:rPr>
          <w:spacing w:val="-13"/>
        </w:rPr>
        <w:t xml:space="preserve">成本加成率是 </w:t>
      </w:r>
      <w:r>
        <w:t>20%，则该种贺卡单位价格=（0.8+2）</w:t>
      </w:r>
      <w:r>
        <w:rPr>
          <w:position w:val="-3"/>
          <w:sz w:val="31"/>
        </w:rPr>
        <w:t>ⅹ</w:t>
      </w:r>
      <w:r>
        <w:t>（1+20%）=3.36（元）</w:t>
      </w:r>
    </w:p>
    <w:p>
      <w:pPr>
        <w:pStyle w:val="BodyText"/>
        <w:spacing w:line="437" w:lineRule="exact"/>
        <w:ind w:left="1000"/>
      </w:pPr>
      <w:r>
        <w:t>这种以成本为导向的定价方法，是最普遍、最基本、最常用的产品定价法</w:t>
      </w:r>
    </w:p>
    <w:p>
      <w:pPr>
        <w:pStyle w:val="Heading4"/>
        <w:spacing w:before="241"/>
        <w:ind w:left="1000"/>
        <w:rPr>
          <w:rFonts w:ascii="新宋体" w:eastAsia="新宋体" w:hint="eastAsia"/>
        </w:rPr>
      </w:pPr>
      <w:r>
        <w:rPr>
          <w:rFonts w:ascii="新宋体" w:eastAsia="新宋体" w:hint="eastAsia"/>
        </w:rPr>
        <w:t>（二） 需求导向定价法</w:t>
      </w:r>
    </w:p>
    <w:p>
      <w:pPr>
        <w:pStyle w:val="BodyText"/>
        <w:spacing w:before="241"/>
        <w:ind w:left="1000"/>
      </w:pPr>
      <w:r>
        <w:t>（1）运用理解价值定价法</w:t>
      </w:r>
    </w:p>
    <w:p>
      <w:pPr>
        <w:pStyle w:val="BodyText"/>
        <w:spacing w:before="241" w:line="364" w:lineRule="auto"/>
        <w:ind w:left="280" w:right="176" w:firstLine="719"/>
      </w:pPr>
      <w:r>
        <w:rPr>
          <w:spacing w:val="-11"/>
        </w:rPr>
        <w:t>正确估计消费者所承认的价值，这样可以巧妙地利用市场营销组合中的非价</w:t>
      </w:r>
      <w:r>
        <w:rPr>
          <w:spacing w:val="-12"/>
        </w:rPr>
        <w:t>格变数，如产品的质量、服务特色、广告宣传、制作技巧及设计来影响购买者。</w:t>
      </w:r>
    </w:p>
    <w:p>
      <w:pPr>
        <w:pStyle w:val="BodyText"/>
        <w:spacing w:before="2" w:line="364" w:lineRule="auto"/>
        <w:ind w:left="280" w:right="176" w:firstLine="719"/>
      </w:pPr>
      <w:r>
        <w:rPr>
          <w:spacing w:val="-13"/>
        </w:rPr>
        <w:t>如：这邮政贺卡在制作方式可以根据用户需求和提供的素材而进行单独设计</w:t>
      </w:r>
      <w:r>
        <w:rPr>
          <w:spacing w:val="-15"/>
        </w:rPr>
        <w:t>制作，满足单位或个体客户的个性化心理；或者是那种满足广大消费者的购买需</w:t>
      </w:r>
      <w:r>
        <w:rPr>
          <w:spacing w:val="-16"/>
        </w:rPr>
        <w:t>求，在邮政各营业窗口均可购买到。因此，贺卡可以设计成普通信封型、节日贺</w:t>
      </w:r>
      <w:r>
        <w:rPr>
          <w:spacing w:val="-12"/>
        </w:rPr>
        <w:t>卡型、广告宣传卡型等多种类型；根据其不同层次的要求，在价格定位上也可以</w:t>
      </w:r>
      <w:r>
        <w:rPr>
          <w:spacing w:val="-17"/>
        </w:rPr>
        <w:t>由此发生价格差异。同样也可以采用数量折扣法，结合累计数量折扣和非累计数量折扣两种形式使用，还有现金折扣、季节折扣、折让等有效定价方法。</w:t>
      </w:r>
    </w:p>
    <w:p>
      <w:pPr>
        <w:pStyle w:val="ListParagraph"/>
        <w:numPr>
          <w:ilvl w:val="1"/>
          <w:numId w:val="5"/>
        </w:numPr>
        <w:tabs>
          <w:tab w:val="left" w:pos="1722"/>
        </w:tabs>
        <w:spacing w:before="6" w:after="0" w:line="364" w:lineRule="auto"/>
        <w:ind w:left="1000" w:right="8818" w:hanging="180"/>
        <w:jc w:val="left"/>
        <w:rPr>
          <w:sz w:val="36"/>
        </w:rPr>
      </w:pPr>
      <w:r>
        <w:rPr>
          <w:sz w:val="36"/>
        </w:rPr>
        <w:t xml:space="preserve">区分需求定价 </w:t>
      </w:r>
      <w:r>
        <w:rPr>
          <w:spacing w:val="-3"/>
          <w:sz w:val="36"/>
        </w:rPr>
        <w:t>区分的具体形式是：</w:t>
      </w:r>
    </w:p>
    <w:p>
      <w:pPr>
        <w:pStyle w:val="BodyText"/>
        <w:spacing w:before="2"/>
        <w:ind w:left="1000"/>
      </w:pPr>
      <w:r>
        <w:t>①不同的消费群体制定不同层次要求的价格；</w:t>
      </w:r>
    </w:p>
    <w:p>
      <w:pPr>
        <w:pStyle w:val="BodyText"/>
        <w:spacing w:before="241"/>
        <w:ind w:left="1000"/>
      </w:pPr>
      <w:r>
        <w:t>②对同一种类型贺卡可以制定不同档次的价格；</w:t>
      </w:r>
    </w:p>
    <w:p>
      <w:pPr>
        <w:pStyle w:val="BodyText"/>
        <w:spacing w:before="241"/>
        <w:ind w:left="1000"/>
      </w:pPr>
      <w:r>
        <w:t>③不同的地点可以制定不同的价格；</w:t>
      </w:r>
    </w:p>
    <w:p>
      <w:pPr>
        <w:pStyle w:val="BodyText"/>
        <w:spacing w:before="241"/>
        <w:ind w:left="1000"/>
      </w:pPr>
      <w:r>
        <w:t>④不同时间也可以制定不同的价格。</w:t>
      </w:r>
    </w:p>
    <w:p>
      <w:pPr>
        <w:pStyle w:val="Heading4"/>
        <w:spacing w:before="240"/>
        <w:ind w:left="820"/>
        <w:rPr>
          <w:rFonts w:ascii="新宋体" w:eastAsia="新宋体" w:hint="eastAsia"/>
        </w:rPr>
      </w:pPr>
      <w:r>
        <w:rPr>
          <w:rFonts w:ascii="新宋体" w:eastAsia="新宋体" w:hint="eastAsia"/>
        </w:rPr>
        <w:t>（三）灵活的折扣定价技巧</w:t>
      </w:r>
    </w:p>
    <w:p>
      <w:pPr>
        <w:pStyle w:val="BodyText"/>
        <w:spacing w:before="241"/>
        <w:ind w:left="1000"/>
      </w:pPr>
      <w:r>
        <w:t>同样也可以采用数量折扣法，结合累计数量折扣和非累计数量折扣两种形式</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4" w:history="1">
        <w:r>
          <w:rPr>
            <w:rFonts w:ascii="SimSun" w:eastAsia="SimSun" w:hAnsi="SimSun" w:cs="SimSun"/>
            <w:b/>
            <w:bCs/>
            <w:color w:val="0000EE"/>
            <w:sz w:val="30"/>
            <w:szCs w:val="30"/>
            <w:u w:val="single" w:color="0000EE"/>
          </w:rPr>
          <w:t>https://d.book118.com/046133000121010053</w:t>
        </w:r>
      </w:hyperlink>
    </w:p>
    <w:p>
      <w:pPr>
        <w:spacing w:after="0"/>
      </w:pPr>
    </w:p>
    <w:sectPr>
      <w:pgSz w:w="17860" w:h="25260"/>
      <w:pgMar w:top="1920" w:right="2380" w:bottom="280" w:left="2420" w:header="708" w:footer="708"/>
      <w:pgNumType w:start="1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新宋体">
    <w:altName w:val="新宋体"/>
    <w:charset w:val="86"/>
    <w:family w:val="modern"/>
    <w:pitch w:val="fixed"/>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华文行楷">
    <w:altName w:val="华文行楷"/>
    <w:charset w:val="86"/>
    <w:family w:val="auto"/>
    <w:pitch w:val="variable"/>
    <w:sig w:usb0="00000000" w:usb1="00000000" w:usb2="00000000" w:usb3="00000000" w:csb0="00040000" w:csb1="00000000"/>
  </w:font>
  <w:font w:name="华文新魏">
    <w:altName w:val="华文新魏"/>
    <w:charset w:val="86"/>
    <w:family w:val="auto"/>
    <w:pitch w:val="variable"/>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227E3"/>
    <w:multiLevelType w:val="hybridMultilevel"/>
    <w:tmpl w:val="00000000"/>
    <w:lvl w:ilvl="0">
      <w:start w:val="3"/>
      <w:numFmt w:val="decimal"/>
      <w:lvlText w:val="%1."/>
      <w:lvlJc w:val="left"/>
      <w:pPr>
        <w:ind w:left="1721" w:hanging="361"/>
        <w:jc w:val="left"/>
      </w:pPr>
      <w:rPr>
        <w:rFonts w:ascii="新宋体" w:eastAsia="新宋体" w:hAnsi="新宋体" w:cs="新宋体" w:hint="default"/>
        <w:spacing w:val="-1"/>
        <w:w w:val="100"/>
        <w:sz w:val="34"/>
        <w:szCs w:val="34"/>
      </w:rPr>
    </w:lvl>
    <w:lvl w:ilvl="1">
      <w:start w:val="0"/>
      <w:numFmt w:val="bullet"/>
      <w:lvlText w:val="•"/>
      <w:lvlJc w:val="left"/>
      <w:pPr>
        <w:ind w:left="2853" w:hanging="361"/>
      </w:pPr>
      <w:rPr>
        <w:rFonts w:hint="default"/>
      </w:rPr>
    </w:lvl>
    <w:lvl w:ilvl="2">
      <w:start w:val="0"/>
      <w:numFmt w:val="bullet"/>
      <w:lvlText w:val="•"/>
      <w:lvlJc w:val="left"/>
      <w:pPr>
        <w:ind w:left="3987" w:hanging="361"/>
      </w:pPr>
      <w:rPr>
        <w:rFonts w:hint="default"/>
      </w:rPr>
    </w:lvl>
    <w:lvl w:ilvl="3">
      <w:start w:val="0"/>
      <w:numFmt w:val="bullet"/>
      <w:lvlText w:val="•"/>
      <w:lvlJc w:val="left"/>
      <w:pPr>
        <w:ind w:left="5121" w:hanging="361"/>
      </w:pPr>
      <w:rPr>
        <w:rFonts w:hint="default"/>
      </w:rPr>
    </w:lvl>
    <w:lvl w:ilvl="4">
      <w:start w:val="0"/>
      <w:numFmt w:val="bullet"/>
      <w:lvlText w:val="•"/>
      <w:lvlJc w:val="left"/>
      <w:pPr>
        <w:ind w:left="6255" w:hanging="361"/>
      </w:pPr>
      <w:rPr>
        <w:rFonts w:hint="default"/>
      </w:rPr>
    </w:lvl>
    <w:lvl w:ilvl="5">
      <w:start w:val="0"/>
      <w:numFmt w:val="bullet"/>
      <w:lvlText w:val="•"/>
      <w:lvlJc w:val="left"/>
      <w:pPr>
        <w:ind w:left="7389" w:hanging="361"/>
      </w:pPr>
      <w:rPr>
        <w:rFonts w:hint="default"/>
      </w:rPr>
    </w:lvl>
    <w:lvl w:ilvl="6">
      <w:start w:val="0"/>
      <w:numFmt w:val="bullet"/>
      <w:lvlText w:val="•"/>
      <w:lvlJc w:val="left"/>
      <w:pPr>
        <w:ind w:left="8523" w:hanging="361"/>
      </w:pPr>
      <w:rPr>
        <w:rFonts w:hint="default"/>
      </w:rPr>
    </w:lvl>
    <w:lvl w:ilvl="7">
      <w:start w:val="0"/>
      <w:numFmt w:val="bullet"/>
      <w:lvlText w:val="•"/>
      <w:lvlJc w:val="left"/>
      <w:pPr>
        <w:ind w:left="9657" w:hanging="361"/>
      </w:pPr>
      <w:rPr>
        <w:rFonts w:hint="default"/>
      </w:rPr>
    </w:lvl>
    <w:lvl w:ilvl="8">
      <w:start w:val="0"/>
      <w:numFmt w:val="bullet"/>
      <w:lvlText w:val="•"/>
      <w:lvlJc w:val="left"/>
      <w:pPr>
        <w:ind w:left="10791" w:hanging="361"/>
      </w:pPr>
      <w:rPr>
        <w:rFonts w:hint="default"/>
      </w:rPr>
    </w:lvl>
  </w:abstractNum>
  <w:abstractNum w:abstractNumId="1">
    <w:nsid w:val="01694577"/>
    <w:multiLevelType w:val="hybridMultilevel"/>
    <w:tmpl w:val="00000000"/>
    <w:lvl w:ilvl="0">
      <w:start w:val="1"/>
      <w:numFmt w:val="decimal"/>
      <w:lvlText w:val="%1."/>
      <w:lvlJc w:val="left"/>
      <w:pPr>
        <w:ind w:left="280" w:hanging="540"/>
        <w:jc w:val="left"/>
      </w:pPr>
      <w:rPr>
        <w:rFonts w:ascii="新宋体" w:eastAsia="新宋体" w:hAnsi="新宋体" w:cs="新宋体" w:hint="default"/>
        <w:w w:val="100"/>
        <w:sz w:val="36"/>
        <w:szCs w:val="36"/>
      </w:rPr>
    </w:lvl>
    <w:lvl w:ilvl="1">
      <w:start w:val="0"/>
      <w:numFmt w:val="bullet"/>
      <w:lvlText w:val="•"/>
      <w:lvlJc w:val="left"/>
      <w:pPr>
        <w:ind w:left="1557" w:hanging="540"/>
      </w:pPr>
      <w:rPr>
        <w:rFonts w:hint="default"/>
      </w:rPr>
    </w:lvl>
    <w:lvl w:ilvl="2">
      <w:start w:val="0"/>
      <w:numFmt w:val="bullet"/>
      <w:lvlText w:val="•"/>
      <w:lvlJc w:val="left"/>
      <w:pPr>
        <w:ind w:left="2835" w:hanging="540"/>
      </w:pPr>
      <w:rPr>
        <w:rFonts w:hint="default"/>
      </w:rPr>
    </w:lvl>
    <w:lvl w:ilvl="3">
      <w:start w:val="0"/>
      <w:numFmt w:val="bullet"/>
      <w:lvlText w:val="•"/>
      <w:lvlJc w:val="left"/>
      <w:pPr>
        <w:ind w:left="4113" w:hanging="540"/>
      </w:pPr>
      <w:rPr>
        <w:rFonts w:hint="default"/>
      </w:rPr>
    </w:lvl>
    <w:lvl w:ilvl="4">
      <w:start w:val="0"/>
      <w:numFmt w:val="bullet"/>
      <w:lvlText w:val="•"/>
      <w:lvlJc w:val="left"/>
      <w:pPr>
        <w:ind w:left="5391" w:hanging="540"/>
      </w:pPr>
      <w:rPr>
        <w:rFonts w:hint="default"/>
      </w:rPr>
    </w:lvl>
    <w:lvl w:ilvl="5">
      <w:start w:val="0"/>
      <w:numFmt w:val="bullet"/>
      <w:lvlText w:val="•"/>
      <w:lvlJc w:val="left"/>
      <w:pPr>
        <w:ind w:left="6669" w:hanging="540"/>
      </w:pPr>
      <w:rPr>
        <w:rFonts w:hint="default"/>
      </w:rPr>
    </w:lvl>
    <w:lvl w:ilvl="6">
      <w:start w:val="0"/>
      <w:numFmt w:val="bullet"/>
      <w:lvlText w:val="•"/>
      <w:lvlJc w:val="left"/>
      <w:pPr>
        <w:ind w:left="7947" w:hanging="540"/>
      </w:pPr>
      <w:rPr>
        <w:rFonts w:hint="default"/>
      </w:rPr>
    </w:lvl>
    <w:lvl w:ilvl="7">
      <w:start w:val="0"/>
      <w:numFmt w:val="bullet"/>
      <w:lvlText w:val="•"/>
      <w:lvlJc w:val="left"/>
      <w:pPr>
        <w:ind w:left="9225" w:hanging="540"/>
      </w:pPr>
      <w:rPr>
        <w:rFonts w:hint="default"/>
      </w:rPr>
    </w:lvl>
    <w:lvl w:ilvl="8">
      <w:start w:val="0"/>
      <w:numFmt w:val="bullet"/>
      <w:lvlText w:val="•"/>
      <w:lvlJc w:val="left"/>
      <w:pPr>
        <w:ind w:left="10503" w:hanging="540"/>
      </w:pPr>
      <w:rPr>
        <w:rFonts w:hint="default"/>
      </w:rPr>
    </w:lvl>
  </w:abstractNum>
  <w:abstractNum w:abstractNumId="2">
    <w:nsid w:val="0B36764E"/>
    <w:multiLevelType w:val="hybridMultilevel"/>
    <w:tmpl w:val="00000000"/>
    <w:lvl w:ilvl="0">
      <w:start w:val="2"/>
      <w:numFmt w:val="decimal"/>
      <w:lvlText w:val="%1"/>
      <w:lvlJc w:val="left"/>
      <w:pPr>
        <w:ind w:left="1702" w:hanging="634"/>
        <w:jc w:val="left"/>
      </w:pPr>
      <w:rPr>
        <w:rFonts w:hint="default"/>
      </w:rPr>
    </w:lvl>
    <w:lvl w:ilvl="1">
      <w:start w:val="1"/>
      <w:numFmt w:val="decimal"/>
      <w:lvlText w:val="%1.%2"/>
      <w:lvlJc w:val="left"/>
      <w:pPr>
        <w:ind w:left="1702" w:hanging="634"/>
        <w:jc w:val="left"/>
      </w:pPr>
      <w:rPr>
        <w:rFonts w:ascii="新宋体" w:eastAsia="新宋体" w:hAnsi="新宋体" w:cs="新宋体" w:hint="default"/>
        <w:w w:val="102"/>
        <w:sz w:val="31"/>
        <w:szCs w:val="31"/>
      </w:rPr>
    </w:lvl>
    <w:lvl w:ilvl="2">
      <w:start w:val="0"/>
      <w:numFmt w:val="bullet"/>
      <w:lvlText w:val="•"/>
      <w:lvlJc w:val="left"/>
      <w:pPr>
        <w:ind w:left="3971" w:hanging="634"/>
      </w:pPr>
      <w:rPr>
        <w:rFonts w:hint="default"/>
      </w:rPr>
    </w:lvl>
    <w:lvl w:ilvl="3">
      <w:start w:val="0"/>
      <w:numFmt w:val="bullet"/>
      <w:lvlText w:val="•"/>
      <w:lvlJc w:val="left"/>
      <w:pPr>
        <w:ind w:left="5107" w:hanging="634"/>
      </w:pPr>
      <w:rPr>
        <w:rFonts w:hint="default"/>
      </w:rPr>
    </w:lvl>
    <w:lvl w:ilvl="4">
      <w:start w:val="0"/>
      <w:numFmt w:val="bullet"/>
      <w:lvlText w:val="•"/>
      <w:lvlJc w:val="left"/>
      <w:pPr>
        <w:ind w:left="6243" w:hanging="634"/>
      </w:pPr>
      <w:rPr>
        <w:rFonts w:hint="default"/>
      </w:rPr>
    </w:lvl>
    <w:lvl w:ilvl="5">
      <w:start w:val="0"/>
      <w:numFmt w:val="bullet"/>
      <w:lvlText w:val="•"/>
      <w:lvlJc w:val="left"/>
      <w:pPr>
        <w:ind w:left="7379" w:hanging="634"/>
      </w:pPr>
      <w:rPr>
        <w:rFonts w:hint="default"/>
      </w:rPr>
    </w:lvl>
    <w:lvl w:ilvl="6">
      <w:start w:val="0"/>
      <w:numFmt w:val="bullet"/>
      <w:lvlText w:val="•"/>
      <w:lvlJc w:val="left"/>
      <w:pPr>
        <w:ind w:left="8515" w:hanging="634"/>
      </w:pPr>
      <w:rPr>
        <w:rFonts w:hint="default"/>
      </w:rPr>
    </w:lvl>
    <w:lvl w:ilvl="7">
      <w:start w:val="0"/>
      <w:numFmt w:val="bullet"/>
      <w:lvlText w:val="•"/>
      <w:lvlJc w:val="left"/>
      <w:pPr>
        <w:ind w:left="9651" w:hanging="634"/>
      </w:pPr>
      <w:rPr>
        <w:rFonts w:hint="default"/>
      </w:rPr>
    </w:lvl>
    <w:lvl w:ilvl="8">
      <w:start w:val="0"/>
      <w:numFmt w:val="bullet"/>
      <w:lvlText w:val="•"/>
      <w:lvlJc w:val="left"/>
      <w:pPr>
        <w:ind w:left="10787" w:hanging="634"/>
      </w:pPr>
      <w:rPr>
        <w:rFonts w:hint="default"/>
      </w:rPr>
    </w:lvl>
  </w:abstractNum>
  <w:abstractNum w:abstractNumId="3">
    <w:nsid w:val="12AA48AA"/>
    <w:multiLevelType w:val="hybridMultilevel"/>
    <w:tmpl w:val="00000000"/>
    <w:lvl w:ilvl="0">
      <w:start w:val="1"/>
      <w:numFmt w:val="decimal"/>
      <w:lvlText w:val="%1."/>
      <w:lvlJc w:val="left"/>
      <w:pPr>
        <w:ind w:left="280" w:hanging="541"/>
        <w:jc w:val="left"/>
      </w:pPr>
      <w:rPr>
        <w:rFonts w:ascii="新宋体" w:eastAsia="新宋体" w:hAnsi="新宋体" w:cs="新宋体" w:hint="default"/>
        <w:spacing w:val="-47"/>
        <w:w w:val="100"/>
        <w:sz w:val="34"/>
        <w:szCs w:val="34"/>
      </w:rPr>
    </w:lvl>
    <w:lvl w:ilvl="1">
      <w:start w:val="0"/>
      <w:numFmt w:val="bullet"/>
      <w:lvlText w:val="•"/>
      <w:lvlJc w:val="left"/>
      <w:pPr>
        <w:ind w:left="1557" w:hanging="541"/>
      </w:pPr>
      <w:rPr>
        <w:rFonts w:hint="default"/>
      </w:rPr>
    </w:lvl>
    <w:lvl w:ilvl="2">
      <w:start w:val="0"/>
      <w:numFmt w:val="bullet"/>
      <w:lvlText w:val="•"/>
      <w:lvlJc w:val="left"/>
      <w:pPr>
        <w:ind w:left="2835" w:hanging="541"/>
      </w:pPr>
      <w:rPr>
        <w:rFonts w:hint="default"/>
      </w:rPr>
    </w:lvl>
    <w:lvl w:ilvl="3">
      <w:start w:val="0"/>
      <w:numFmt w:val="bullet"/>
      <w:lvlText w:val="•"/>
      <w:lvlJc w:val="left"/>
      <w:pPr>
        <w:ind w:left="4113" w:hanging="541"/>
      </w:pPr>
      <w:rPr>
        <w:rFonts w:hint="default"/>
      </w:rPr>
    </w:lvl>
    <w:lvl w:ilvl="4">
      <w:start w:val="0"/>
      <w:numFmt w:val="bullet"/>
      <w:lvlText w:val="•"/>
      <w:lvlJc w:val="left"/>
      <w:pPr>
        <w:ind w:left="5391" w:hanging="541"/>
      </w:pPr>
      <w:rPr>
        <w:rFonts w:hint="default"/>
      </w:rPr>
    </w:lvl>
    <w:lvl w:ilvl="5">
      <w:start w:val="0"/>
      <w:numFmt w:val="bullet"/>
      <w:lvlText w:val="•"/>
      <w:lvlJc w:val="left"/>
      <w:pPr>
        <w:ind w:left="6669" w:hanging="541"/>
      </w:pPr>
      <w:rPr>
        <w:rFonts w:hint="default"/>
      </w:rPr>
    </w:lvl>
    <w:lvl w:ilvl="6">
      <w:start w:val="0"/>
      <w:numFmt w:val="bullet"/>
      <w:lvlText w:val="•"/>
      <w:lvlJc w:val="left"/>
      <w:pPr>
        <w:ind w:left="7947" w:hanging="541"/>
      </w:pPr>
      <w:rPr>
        <w:rFonts w:hint="default"/>
      </w:rPr>
    </w:lvl>
    <w:lvl w:ilvl="7">
      <w:start w:val="0"/>
      <w:numFmt w:val="bullet"/>
      <w:lvlText w:val="•"/>
      <w:lvlJc w:val="left"/>
      <w:pPr>
        <w:ind w:left="9225" w:hanging="541"/>
      </w:pPr>
      <w:rPr>
        <w:rFonts w:hint="default"/>
      </w:rPr>
    </w:lvl>
    <w:lvl w:ilvl="8">
      <w:start w:val="0"/>
      <w:numFmt w:val="bullet"/>
      <w:lvlText w:val="•"/>
      <w:lvlJc w:val="left"/>
      <w:pPr>
        <w:ind w:left="10503" w:hanging="541"/>
      </w:pPr>
      <w:rPr>
        <w:rFonts w:hint="default"/>
      </w:rPr>
    </w:lvl>
  </w:abstractNum>
  <w:abstractNum w:abstractNumId="4">
    <w:nsid w:val="1549B770"/>
    <w:multiLevelType w:val="hybridMultilevel"/>
    <w:tmpl w:val="00000000"/>
    <w:lvl w:ilvl="0">
      <w:start w:val="3"/>
      <w:numFmt w:val="decimal"/>
      <w:lvlText w:val="%1."/>
      <w:lvlJc w:val="left"/>
      <w:pPr>
        <w:ind w:left="1721" w:hanging="361"/>
        <w:jc w:val="left"/>
      </w:pPr>
      <w:rPr>
        <w:rFonts w:ascii="新宋体" w:eastAsia="新宋体" w:hAnsi="新宋体" w:cs="新宋体" w:hint="default"/>
        <w:spacing w:val="-1"/>
        <w:w w:val="100"/>
        <w:sz w:val="34"/>
        <w:szCs w:val="34"/>
      </w:rPr>
    </w:lvl>
    <w:lvl w:ilvl="1">
      <w:start w:val="0"/>
      <w:numFmt w:val="bullet"/>
      <w:lvlText w:val="•"/>
      <w:lvlJc w:val="left"/>
      <w:pPr>
        <w:ind w:left="2853" w:hanging="361"/>
      </w:pPr>
      <w:rPr>
        <w:rFonts w:hint="default"/>
      </w:rPr>
    </w:lvl>
    <w:lvl w:ilvl="2">
      <w:start w:val="0"/>
      <w:numFmt w:val="bullet"/>
      <w:lvlText w:val="•"/>
      <w:lvlJc w:val="left"/>
      <w:pPr>
        <w:ind w:left="3987" w:hanging="361"/>
      </w:pPr>
      <w:rPr>
        <w:rFonts w:hint="default"/>
      </w:rPr>
    </w:lvl>
    <w:lvl w:ilvl="3">
      <w:start w:val="0"/>
      <w:numFmt w:val="bullet"/>
      <w:lvlText w:val="•"/>
      <w:lvlJc w:val="left"/>
      <w:pPr>
        <w:ind w:left="5121" w:hanging="361"/>
      </w:pPr>
      <w:rPr>
        <w:rFonts w:hint="default"/>
      </w:rPr>
    </w:lvl>
    <w:lvl w:ilvl="4">
      <w:start w:val="0"/>
      <w:numFmt w:val="bullet"/>
      <w:lvlText w:val="•"/>
      <w:lvlJc w:val="left"/>
      <w:pPr>
        <w:ind w:left="6255" w:hanging="361"/>
      </w:pPr>
      <w:rPr>
        <w:rFonts w:hint="default"/>
      </w:rPr>
    </w:lvl>
    <w:lvl w:ilvl="5">
      <w:start w:val="0"/>
      <w:numFmt w:val="bullet"/>
      <w:lvlText w:val="•"/>
      <w:lvlJc w:val="left"/>
      <w:pPr>
        <w:ind w:left="7389" w:hanging="361"/>
      </w:pPr>
      <w:rPr>
        <w:rFonts w:hint="default"/>
      </w:rPr>
    </w:lvl>
    <w:lvl w:ilvl="6">
      <w:start w:val="0"/>
      <w:numFmt w:val="bullet"/>
      <w:lvlText w:val="•"/>
      <w:lvlJc w:val="left"/>
      <w:pPr>
        <w:ind w:left="8523" w:hanging="361"/>
      </w:pPr>
      <w:rPr>
        <w:rFonts w:hint="default"/>
      </w:rPr>
    </w:lvl>
    <w:lvl w:ilvl="7">
      <w:start w:val="0"/>
      <w:numFmt w:val="bullet"/>
      <w:lvlText w:val="•"/>
      <w:lvlJc w:val="left"/>
      <w:pPr>
        <w:ind w:left="9657" w:hanging="361"/>
      </w:pPr>
      <w:rPr>
        <w:rFonts w:hint="default"/>
      </w:rPr>
    </w:lvl>
    <w:lvl w:ilvl="8">
      <w:start w:val="0"/>
      <w:numFmt w:val="bullet"/>
      <w:lvlText w:val="•"/>
      <w:lvlJc w:val="left"/>
      <w:pPr>
        <w:ind w:left="10791" w:hanging="361"/>
      </w:pPr>
      <w:rPr>
        <w:rFonts w:hint="default"/>
      </w:rPr>
    </w:lvl>
  </w:abstractNum>
  <w:abstractNum w:abstractNumId="5">
    <w:nsid w:val="2301D01D"/>
    <w:multiLevelType w:val="hybridMultilevel"/>
    <w:tmpl w:val="00000000"/>
    <w:lvl w:ilvl="0">
      <w:start w:val="1"/>
      <w:numFmt w:val="decimal"/>
      <w:lvlText w:val="（%1）"/>
      <w:lvlJc w:val="left"/>
      <w:pPr>
        <w:ind w:left="1360" w:hanging="1080"/>
        <w:jc w:val="left"/>
      </w:pPr>
      <w:rPr>
        <w:rFonts w:ascii="微软雅黑" w:eastAsia="微软雅黑" w:hAnsi="微软雅黑" w:cs="微软雅黑" w:hint="default"/>
        <w:spacing w:val="-1"/>
        <w:w w:val="100"/>
        <w:sz w:val="36"/>
        <w:szCs w:val="36"/>
      </w:rPr>
    </w:lvl>
    <w:lvl w:ilvl="1">
      <w:start w:val="0"/>
      <w:numFmt w:val="bullet"/>
      <w:lvlText w:val="•"/>
      <w:lvlJc w:val="left"/>
      <w:pPr>
        <w:ind w:left="1400" w:hanging="1080"/>
      </w:pPr>
      <w:rPr>
        <w:rFonts w:hint="default"/>
      </w:rPr>
    </w:lvl>
    <w:lvl w:ilvl="2">
      <w:start w:val="0"/>
      <w:numFmt w:val="bullet"/>
      <w:lvlText w:val="•"/>
      <w:lvlJc w:val="left"/>
      <w:pPr>
        <w:ind w:left="1706" w:hanging="1080"/>
      </w:pPr>
      <w:rPr>
        <w:rFonts w:hint="default"/>
      </w:rPr>
    </w:lvl>
    <w:lvl w:ilvl="3">
      <w:start w:val="0"/>
      <w:numFmt w:val="bullet"/>
      <w:lvlText w:val="•"/>
      <w:lvlJc w:val="left"/>
      <w:pPr>
        <w:ind w:left="2012" w:hanging="1080"/>
      </w:pPr>
      <w:rPr>
        <w:rFonts w:hint="default"/>
      </w:rPr>
    </w:lvl>
    <w:lvl w:ilvl="4">
      <w:start w:val="0"/>
      <w:numFmt w:val="bullet"/>
      <w:lvlText w:val="•"/>
      <w:lvlJc w:val="left"/>
      <w:pPr>
        <w:ind w:left="2319" w:hanging="1080"/>
      </w:pPr>
      <w:rPr>
        <w:rFonts w:hint="default"/>
      </w:rPr>
    </w:lvl>
    <w:lvl w:ilvl="5">
      <w:start w:val="0"/>
      <w:numFmt w:val="bullet"/>
      <w:lvlText w:val="•"/>
      <w:lvlJc w:val="left"/>
      <w:pPr>
        <w:ind w:left="2625" w:hanging="1080"/>
      </w:pPr>
      <w:rPr>
        <w:rFonts w:hint="default"/>
      </w:rPr>
    </w:lvl>
    <w:lvl w:ilvl="6">
      <w:start w:val="0"/>
      <w:numFmt w:val="bullet"/>
      <w:lvlText w:val="•"/>
      <w:lvlJc w:val="left"/>
      <w:pPr>
        <w:ind w:left="2932" w:hanging="1080"/>
      </w:pPr>
      <w:rPr>
        <w:rFonts w:hint="default"/>
      </w:rPr>
    </w:lvl>
    <w:lvl w:ilvl="7">
      <w:start w:val="0"/>
      <w:numFmt w:val="bullet"/>
      <w:lvlText w:val="•"/>
      <w:lvlJc w:val="left"/>
      <w:pPr>
        <w:ind w:left="3238" w:hanging="1080"/>
      </w:pPr>
      <w:rPr>
        <w:rFonts w:hint="default"/>
      </w:rPr>
    </w:lvl>
    <w:lvl w:ilvl="8">
      <w:start w:val="0"/>
      <w:numFmt w:val="bullet"/>
      <w:lvlText w:val="•"/>
      <w:lvlJc w:val="left"/>
      <w:pPr>
        <w:ind w:left="3545" w:hanging="1080"/>
      </w:pPr>
      <w:rPr>
        <w:rFonts w:hint="default"/>
      </w:rPr>
    </w:lvl>
  </w:abstractNum>
  <w:abstractNum w:abstractNumId="6">
    <w:nsid w:val="2634A723"/>
    <w:multiLevelType w:val="hybridMultilevel"/>
    <w:tmpl w:val="00000000"/>
    <w:lvl w:ilvl="0">
      <w:start w:val="1"/>
      <w:numFmt w:val="decimal"/>
      <w:lvlText w:val="%1."/>
      <w:lvlJc w:val="left"/>
      <w:pPr>
        <w:ind w:left="280" w:hanging="540"/>
        <w:jc w:val="left"/>
      </w:pPr>
      <w:rPr>
        <w:rFonts w:ascii="新宋体" w:eastAsia="新宋体" w:hAnsi="新宋体" w:cs="新宋体" w:hint="default"/>
        <w:w w:val="100"/>
        <w:sz w:val="36"/>
        <w:szCs w:val="36"/>
      </w:rPr>
    </w:lvl>
    <w:lvl w:ilvl="1">
      <w:start w:val="0"/>
      <w:numFmt w:val="bullet"/>
      <w:lvlText w:val="•"/>
      <w:lvlJc w:val="left"/>
      <w:pPr>
        <w:ind w:left="1557" w:hanging="540"/>
      </w:pPr>
      <w:rPr>
        <w:rFonts w:hint="default"/>
      </w:rPr>
    </w:lvl>
    <w:lvl w:ilvl="2">
      <w:start w:val="0"/>
      <w:numFmt w:val="bullet"/>
      <w:lvlText w:val="•"/>
      <w:lvlJc w:val="left"/>
      <w:pPr>
        <w:ind w:left="2835" w:hanging="540"/>
      </w:pPr>
      <w:rPr>
        <w:rFonts w:hint="default"/>
      </w:rPr>
    </w:lvl>
    <w:lvl w:ilvl="3">
      <w:start w:val="0"/>
      <w:numFmt w:val="bullet"/>
      <w:lvlText w:val="•"/>
      <w:lvlJc w:val="left"/>
      <w:pPr>
        <w:ind w:left="4113" w:hanging="540"/>
      </w:pPr>
      <w:rPr>
        <w:rFonts w:hint="default"/>
      </w:rPr>
    </w:lvl>
    <w:lvl w:ilvl="4">
      <w:start w:val="0"/>
      <w:numFmt w:val="bullet"/>
      <w:lvlText w:val="•"/>
      <w:lvlJc w:val="left"/>
      <w:pPr>
        <w:ind w:left="5391" w:hanging="540"/>
      </w:pPr>
      <w:rPr>
        <w:rFonts w:hint="default"/>
      </w:rPr>
    </w:lvl>
    <w:lvl w:ilvl="5">
      <w:start w:val="0"/>
      <w:numFmt w:val="bullet"/>
      <w:lvlText w:val="•"/>
      <w:lvlJc w:val="left"/>
      <w:pPr>
        <w:ind w:left="6669" w:hanging="540"/>
      </w:pPr>
      <w:rPr>
        <w:rFonts w:hint="default"/>
      </w:rPr>
    </w:lvl>
    <w:lvl w:ilvl="6">
      <w:start w:val="0"/>
      <w:numFmt w:val="bullet"/>
      <w:lvlText w:val="•"/>
      <w:lvlJc w:val="left"/>
      <w:pPr>
        <w:ind w:left="7947" w:hanging="540"/>
      </w:pPr>
      <w:rPr>
        <w:rFonts w:hint="default"/>
      </w:rPr>
    </w:lvl>
    <w:lvl w:ilvl="7">
      <w:start w:val="0"/>
      <w:numFmt w:val="bullet"/>
      <w:lvlText w:val="•"/>
      <w:lvlJc w:val="left"/>
      <w:pPr>
        <w:ind w:left="9225" w:hanging="540"/>
      </w:pPr>
      <w:rPr>
        <w:rFonts w:hint="default"/>
      </w:rPr>
    </w:lvl>
    <w:lvl w:ilvl="8">
      <w:start w:val="0"/>
      <w:numFmt w:val="bullet"/>
      <w:lvlText w:val="•"/>
      <w:lvlJc w:val="left"/>
      <w:pPr>
        <w:ind w:left="10503" w:hanging="540"/>
      </w:pPr>
      <w:rPr>
        <w:rFonts w:hint="default"/>
      </w:rPr>
    </w:lvl>
  </w:abstractNum>
  <w:abstractNum w:abstractNumId="7">
    <w:nsid w:val="3017B28A"/>
    <w:multiLevelType w:val="hybridMultilevel"/>
    <w:tmpl w:val="00000000"/>
    <w:lvl w:ilvl="0">
      <w:start w:val="2"/>
      <w:numFmt w:val="decimal"/>
      <w:lvlText w:val="%1"/>
      <w:lvlJc w:val="left"/>
      <w:pPr>
        <w:ind w:left="1627" w:hanging="638"/>
        <w:jc w:val="left"/>
      </w:pPr>
      <w:rPr>
        <w:rFonts w:hint="default"/>
      </w:rPr>
    </w:lvl>
    <w:lvl w:ilvl="1">
      <w:start w:val="1"/>
      <w:numFmt w:val="decimal"/>
      <w:lvlText w:val="%1.%2"/>
      <w:lvlJc w:val="left"/>
      <w:pPr>
        <w:ind w:left="1627" w:hanging="638"/>
        <w:jc w:val="right"/>
      </w:pPr>
      <w:rPr>
        <w:rFonts w:ascii="新宋体" w:eastAsia="新宋体" w:hAnsi="新宋体" w:cs="新宋体" w:hint="default"/>
        <w:b/>
        <w:bCs/>
        <w:w w:val="99"/>
        <w:sz w:val="36"/>
        <w:szCs w:val="36"/>
      </w:rPr>
    </w:lvl>
    <w:lvl w:ilvl="2">
      <w:start w:val="0"/>
      <w:numFmt w:val="bullet"/>
      <w:lvlText w:val="•"/>
      <w:lvlJc w:val="left"/>
      <w:pPr>
        <w:ind w:left="3907" w:hanging="638"/>
      </w:pPr>
      <w:rPr>
        <w:rFonts w:hint="default"/>
      </w:rPr>
    </w:lvl>
    <w:lvl w:ilvl="3">
      <w:start w:val="0"/>
      <w:numFmt w:val="bullet"/>
      <w:lvlText w:val="•"/>
      <w:lvlJc w:val="left"/>
      <w:pPr>
        <w:ind w:left="5051" w:hanging="638"/>
      </w:pPr>
      <w:rPr>
        <w:rFonts w:hint="default"/>
      </w:rPr>
    </w:lvl>
    <w:lvl w:ilvl="4">
      <w:start w:val="0"/>
      <w:numFmt w:val="bullet"/>
      <w:lvlText w:val="•"/>
      <w:lvlJc w:val="left"/>
      <w:pPr>
        <w:ind w:left="6195" w:hanging="638"/>
      </w:pPr>
      <w:rPr>
        <w:rFonts w:hint="default"/>
      </w:rPr>
    </w:lvl>
    <w:lvl w:ilvl="5">
      <w:start w:val="0"/>
      <w:numFmt w:val="bullet"/>
      <w:lvlText w:val="•"/>
      <w:lvlJc w:val="left"/>
      <w:pPr>
        <w:ind w:left="7339" w:hanging="638"/>
      </w:pPr>
      <w:rPr>
        <w:rFonts w:hint="default"/>
      </w:rPr>
    </w:lvl>
    <w:lvl w:ilvl="6">
      <w:start w:val="0"/>
      <w:numFmt w:val="bullet"/>
      <w:lvlText w:val="•"/>
      <w:lvlJc w:val="left"/>
      <w:pPr>
        <w:ind w:left="8483" w:hanging="638"/>
      </w:pPr>
      <w:rPr>
        <w:rFonts w:hint="default"/>
      </w:rPr>
    </w:lvl>
    <w:lvl w:ilvl="7">
      <w:start w:val="0"/>
      <w:numFmt w:val="bullet"/>
      <w:lvlText w:val="•"/>
      <w:lvlJc w:val="left"/>
      <w:pPr>
        <w:ind w:left="9627" w:hanging="638"/>
      </w:pPr>
      <w:rPr>
        <w:rFonts w:hint="default"/>
      </w:rPr>
    </w:lvl>
    <w:lvl w:ilvl="8">
      <w:start w:val="0"/>
      <w:numFmt w:val="bullet"/>
      <w:lvlText w:val="•"/>
      <w:lvlJc w:val="left"/>
      <w:pPr>
        <w:ind w:left="10771" w:hanging="638"/>
      </w:pPr>
      <w:rPr>
        <w:rFonts w:hint="default"/>
      </w:rPr>
    </w:lvl>
  </w:abstractNum>
  <w:abstractNum w:abstractNumId="8">
    <w:nsid w:val="3029AD0D"/>
    <w:multiLevelType w:val="hybridMultilevel"/>
    <w:tmpl w:val="00000000"/>
    <w:lvl w:ilvl="0">
      <w:start w:val="2"/>
      <w:numFmt w:val="decimal"/>
      <w:lvlText w:val="（%1）"/>
      <w:lvlJc w:val="left"/>
      <w:pPr>
        <w:ind w:left="1900" w:hanging="1080"/>
        <w:jc w:val="left"/>
      </w:pPr>
      <w:rPr>
        <w:rFonts w:ascii="新宋体" w:eastAsia="新宋体" w:hAnsi="新宋体" w:cs="新宋体" w:hint="default"/>
        <w:w w:val="100"/>
        <w:sz w:val="36"/>
        <w:szCs w:val="36"/>
      </w:rPr>
    </w:lvl>
    <w:lvl w:ilvl="1">
      <w:start w:val="0"/>
      <w:numFmt w:val="bullet"/>
      <w:lvlText w:val="•"/>
      <w:lvlJc w:val="left"/>
      <w:pPr>
        <w:ind w:left="3015" w:hanging="1080"/>
      </w:pPr>
      <w:rPr>
        <w:rFonts w:hint="default"/>
      </w:rPr>
    </w:lvl>
    <w:lvl w:ilvl="2">
      <w:start w:val="0"/>
      <w:numFmt w:val="bullet"/>
      <w:lvlText w:val="•"/>
      <w:lvlJc w:val="left"/>
      <w:pPr>
        <w:ind w:left="4131" w:hanging="1080"/>
      </w:pPr>
      <w:rPr>
        <w:rFonts w:hint="default"/>
      </w:rPr>
    </w:lvl>
    <w:lvl w:ilvl="3">
      <w:start w:val="0"/>
      <w:numFmt w:val="bullet"/>
      <w:lvlText w:val="•"/>
      <w:lvlJc w:val="left"/>
      <w:pPr>
        <w:ind w:left="5247" w:hanging="1080"/>
      </w:pPr>
      <w:rPr>
        <w:rFonts w:hint="default"/>
      </w:rPr>
    </w:lvl>
    <w:lvl w:ilvl="4">
      <w:start w:val="0"/>
      <w:numFmt w:val="bullet"/>
      <w:lvlText w:val="•"/>
      <w:lvlJc w:val="left"/>
      <w:pPr>
        <w:ind w:left="6363" w:hanging="1080"/>
      </w:pPr>
      <w:rPr>
        <w:rFonts w:hint="default"/>
      </w:rPr>
    </w:lvl>
    <w:lvl w:ilvl="5">
      <w:start w:val="0"/>
      <w:numFmt w:val="bullet"/>
      <w:lvlText w:val="•"/>
      <w:lvlJc w:val="left"/>
      <w:pPr>
        <w:ind w:left="7479" w:hanging="1080"/>
      </w:pPr>
      <w:rPr>
        <w:rFonts w:hint="default"/>
      </w:rPr>
    </w:lvl>
    <w:lvl w:ilvl="6">
      <w:start w:val="0"/>
      <w:numFmt w:val="bullet"/>
      <w:lvlText w:val="•"/>
      <w:lvlJc w:val="left"/>
      <w:pPr>
        <w:ind w:left="8595" w:hanging="1080"/>
      </w:pPr>
      <w:rPr>
        <w:rFonts w:hint="default"/>
      </w:rPr>
    </w:lvl>
    <w:lvl w:ilvl="7">
      <w:start w:val="0"/>
      <w:numFmt w:val="bullet"/>
      <w:lvlText w:val="•"/>
      <w:lvlJc w:val="left"/>
      <w:pPr>
        <w:ind w:left="9711" w:hanging="1080"/>
      </w:pPr>
      <w:rPr>
        <w:rFonts w:hint="default"/>
      </w:rPr>
    </w:lvl>
    <w:lvl w:ilvl="8">
      <w:start w:val="0"/>
      <w:numFmt w:val="bullet"/>
      <w:lvlText w:val="•"/>
      <w:lvlJc w:val="left"/>
      <w:pPr>
        <w:ind w:left="10827" w:hanging="1080"/>
      </w:pPr>
      <w:rPr>
        <w:rFonts w:hint="default"/>
      </w:rPr>
    </w:lvl>
  </w:abstractNum>
  <w:abstractNum w:abstractNumId="9">
    <w:nsid w:val="3C9714C7"/>
    <w:multiLevelType w:val="hybridMultilevel"/>
    <w:tmpl w:val="00000000"/>
    <w:lvl w:ilvl="0">
      <w:start w:val="2"/>
      <w:numFmt w:val="decimal"/>
      <w:lvlText w:val="%1"/>
      <w:lvlJc w:val="left"/>
      <w:pPr>
        <w:ind w:left="1627" w:hanging="638"/>
        <w:jc w:val="left"/>
      </w:pPr>
      <w:rPr>
        <w:rFonts w:hint="default"/>
      </w:rPr>
    </w:lvl>
    <w:lvl w:ilvl="1">
      <w:start w:val="1"/>
      <w:numFmt w:val="decimal"/>
      <w:lvlText w:val="%1.%2"/>
      <w:lvlJc w:val="left"/>
      <w:pPr>
        <w:ind w:left="1627" w:hanging="638"/>
        <w:jc w:val="right"/>
      </w:pPr>
      <w:rPr>
        <w:rFonts w:ascii="新宋体" w:eastAsia="新宋体" w:hAnsi="新宋体" w:cs="新宋体" w:hint="default"/>
        <w:b/>
        <w:bCs/>
        <w:w w:val="99"/>
        <w:sz w:val="36"/>
        <w:szCs w:val="36"/>
      </w:rPr>
    </w:lvl>
    <w:lvl w:ilvl="2">
      <w:start w:val="0"/>
      <w:numFmt w:val="bullet"/>
      <w:lvlText w:val="•"/>
      <w:lvlJc w:val="left"/>
      <w:pPr>
        <w:ind w:left="3907" w:hanging="638"/>
      </w:pPr>
      <w:rPr>
        <w:rFonts w:hint="default"/>
      </w:rPr>
    </w:lvl>
    <w:lvl w:ilvl="3">
      <w:start w:val="0"/>
      <w:numFmt w:val="bullet"/>
      <w:lvlText w:val="•"/>
      <w:lvlJc w:val="left"/>
      <w:pPr>
        <w:ind w:left="5051" w:hanging="638"/>
      </w:pPr>
      <w:rPr>
        <w:rFonts w:hint="default"/>
      </w:rPr>
    </w:lvl>
    <w:lvl w:ilvl="4">
      <w:start w:val="0"/>
      <w:numFmt w:val="bullet"/>
      <w:lvlText w:val="•"/>
      <w:lvlJc w:val="left"/>
      <w:pPr>
        <w:ind w:left="6195" w:hanging="638"/>
      </w:pPr>
      <w:rPr>
        <w:rFonts w:hint="default"/>
      </w:rPr>
    </w:lvl>
    <w:lvl w:ilvl="5">
      <w:start w:val="0"/>
      <w:numFmt w:val="bullet"/>
      <w:lvlText w:val="•"/>
      <w:lvlJc w:val="left"/>
      <w:pPr>
        <w:ind w:left="7339" w:hanging="638"/>
      </w:pPr>
      <w:rPr>
        <w:rFonts w:hint="default"/>
      </w:rPr>
    </w:lvl>
    <w:lvl w:ilvl="6">
      <w:start w:val="0"/>
      <w:numFmt w:val="bullet"/>
      <w:lvlText w:val="•"/>
      <w:lvlJc w:val="left"/>
      <w:pPr>
        <w:ind w:left="8483" w:hanging="638"/>
      </w:pPr>
      <w:rPr>
        <w:rFonts w:hint="default"/>
      </w:rPr>
    </w:lvl>
    <w:lvl w:ilvl="7">
      <w:start w:val="0"/>
      <w:numFmt w:val="bullet"/>
      <w:lvlText w:val="•"/>
      <w:lvlJc w:val="left"/>
      <w:pPr>
        <w:ind w:left="9627" w:hanging="638"/>
      </w:pPr>
      <w:rPr>
        <w:rFonts w:hint="default"/>
      </w:rPr>
    </w:lvl>
    <w:lvl w:ilvl="8">
      <w:start w:val="0"/>
      <w:numFmt w:val="bullet"/>
      <w:lvlText w:val="•"/>
      <w:lvlJc w:val="left"/>
      <w:pPr>
        <w:ind w:left="10771" w:hanging="638"/>
      </w:pPr>
      <w:rPr>
        <w:rFonts w:hint="default"/>
      </w:rPr>
    </w:lvl>
  </w:abstractNum>
  <w:abstractNum w:abstractNumId="10">
    <w:nsid w:val="4E002272"/>
    <w:multiLevelType w:val="hybridMultilevel"/>
    <w:tmpl w:val="00000000"/>
    <w:lvl w:ilvl="0">
      <w:start w:val="3"/>
      <w:numFmt w:val="decimal"/>
      <w:lvlText w:val="%1."/>
      <w:lvlJc w:val="left"/>
      <w:pPr>
        <w:ind w:left="1721" w:hanging="361"/>
        <w:jc w:val="left"/>
      </w:pPr>
      <w:rPr>
        <w:rFonts w:ascii="新宋体" w:eastAsia="新宋体" w:hAnsi="新宋体" w:cs="新宋体" w:hint="default"/>
        <w:spacing w:val="-1"/>
        <w:w w:val="100"/>
        <w:sz w:val="34"/>
        <w:szCs w:val="34"/>
      </w:rPr>
    </w:lvl>
    <w:lvl w:ilvl="1">
      <w:start w:val="0"/>
      <w:numFmt w:val="bullet"/>
      <w:lvlText w:val="•"/>
      <w:lvlJc w:val="left"/>
      <w:pPr>
        <w:ind w:left="2853" w:hanging="361"/>
      </w:pPr>
      <w:rPr>
        <w:rFonts w:hint="default"/>
      </w:rPr>
    </w:lvl>
    <w:lvl w:ilvl="2">
      <w:start w:val="0"/>
      <w:numFmt w:val="bullet"/>
      <w:lvlText w:val="•"/>
      <w:lvlJc w:val="left"/>
      <w:pPr>
        <w:ind w:left="3987" w:hanging="361"/>
      </w:pPr>
      <w:rPr>
        <w:rFonts w:hint="default"/>
      </w:rPr>
    </w:lvl>
    <w:lvl w:ilvl="3">
      <w:start w:val="0"/>
      <w:numFmt w:val="bullet"/>
      <w:lvlText w:val="•"/>
      <w:lvlJc w:val="left"/>
      <w:pPr>
        <w:ind w:left="5121" w:hanging="361"/>
      </w:pPr>
      <w:rPr>
        <w:rFonts w:hint="default"/>
      </w:rPr>
    </w:lvl>
    <w:lvl w:ilvl="4">
      <w:start w:val="0"/>
      <w:numFmt w:val="bullet"/>
      <w:lvlText w:val="•"/>
      <w:lvlJc w:val="left"/>
      <w:pPr>
        <w:ind w:left="6255" w:hanging="361"/>
      </w:pPr>
      <w:rPr>
        <w:rFonts w:hint="default"/>
      </w:rPr>
    </w:lvl>
    <w:lvl w:ilvl="5">
      <w:start w:val="0"/>
      <w:numFmt w:val="bullet"/>
      <w:lvlText w:val="•"/>
      <w:lvlJc w:val="left"/>
      <w:pPr>
        <w:ind w:left="7389" w:hanging="361"/>
      </w:pPr>
      <w:rPr>
        <w:rFonts w:hint="default"/>
      </w:rPr>
    </w:lvl>
    <w:lvl w:ilvl="6">
      <w:start w:val="0"/>
      <w:numFmt w:val="bullet"/>
      <w:lvlText w:val="•"/>
      <w:lvlJc w:val="left"/>
      <w:pPr>
        <w:ind w:left="8523" w:hanging="361"/>
      </w:pPr>
      <w:rPr>
        <w:rFonts w:hint="default"/>
      </w:rPr>
    </w:lvl>
    <w:lvl w:ilvl="7">
      <w:start w:val="0"/>
      <w:numFmt w:val="bullet"/>
      <w:lvlText w:val="•"/>
      <w:lvlJc w:val="left"/>
      <w:pPr>
        <w:ind w:left="9657" w:hanging="361"/>
      </w:pPr>
      <w:rPr>
        <w:rFonts w:hint="default"/>
      </w:rPr>
    </w:lvl>
    <w:lvl w:ilvl="8">
      <w:start w:val="0"/>
      <w:numFmt w:val="bullet"/>
      <w:lvlText w:val="•"/>
      <w:lvlJc w:val="left"/>
      <w:pPr>
        <w:ind w:left="10791" w:hanging="361"/>
      </w:pPr>
      <w:rPr>
        <w:rFonts w:hint="default"/>
      </w:rPr>
    </w:lvl>
  </w:abstractNum>
  <w:abstractNum w:abstractNumId="11">
    <w:nsid w:val="537F29E8"/>
    <w:multiLevelType w:val="hybridMultilevel"/>
    <w:tmpl w:val="00000000"/>
    <w:lvl w:ilvl="0">
      <w:start w:val="1"/>
      <w:numFmt w:val="decimal"/>
      <w:lvlText w:val="%1."/>
      <w:lvlJc w:val="left"/>
      <w:pPr>
        <w:ind w:left="641" w:hanging="361"/>
        <w:jc w:val="left"/>
      </w:pPr>
      <w:rPr>
        <w:rFonts w:ascii="新宋体" w:eastAsia="新宋体" w:hAnsi="新宋体" w:cs="新宋体" w:hint="default"/>
        <w:spacing w:val="-1"/>
        <w:w w:val="100"/>
        <w:sz w:val="34"/>
        <w:szCs w:val="34"/>
      </w:rPr>
    </w:lvl>
    <w:lvl w:ilvl="1">
      <w:start w:val="0"/>
      <w:numFmt w:val="bullet"/>
      <w:lvlText w:val="•"/>
      <w:lvlJc w:val="left"/>
      <w:pPr>
        <w:ind w:left="1881" w:hanging="361"/>
      </w:pPr>
      <w:rPr>
        <w:rFonts w:hint="default"/>
      </w:rPr>
    </w:lvl>
    <w:lvl w:ilvl="2">
      <w:start w:val="0"/>
      <w:numFmt w:val="bullet"/>
      <w:lvlText w:val="•"/>
      <w:lvlJc w:val="left"/>
      <w:pPr>
        <w:ind w:left="3123" w:hanging="361"/>
      </w:pPr>
      <w:rPr>
        <w:rFonts w:hint="default"/>
      </w:rPr>
    </w:lvl>
    <w:lvl w:ilvl="3">
      <w:start w:val="0"/>
      <w:numFmt w:val="bullet"/>
      <w:lvlText w:val="•"/>
      <w:lvlJc w:val="left"/>
      <w:pPr>
        <w:ind w:left="4365" w:hanging="361"/>
      </w:pPr>
      <w:rPr>
        <w:rFonts w:hint="default"/>
      </w:rPr>
    </w:lvl>
    <w:lvl w:ilvl="4">
      <w:start w:val="0"/>
      <w:numFmt w:val="bullet"/>
      <w:lvlText w:val="•"/>
      <w:lvlJc w:val="left"/>
      <w:pPr>
        <w:ind w:left="5607" w:hanging="361"/>
      </w:pPr>
      <w:rPr>
        <w:rFonts w:hint="default"/>
      </w:rPr>
    </w:lvl>
    <w:lvl w:ilvl="5">
      <w:start w:val="0"/>
      <w:numFmt w:val="bullet"/>
      <w:lvlText w:val="•"/>
      <w:lvlJc w:val="left"/>
      <w:pPr>
        <w:ind w:left="6849" w:hanging="361"/>
      </w:pPr>
      <w:rPr>
        <w:rFonts w:hint="default"/>
      </w:rPr>
    </w:lvl>
    <w:lvl w:ilvl="6">
      <w:start w:val="0"/>
      <w:numFmt w:val="bullet"/>
      <w:lvlText w:val="•"/>
      <w:lvlJc w:val="left"/>
      <w:pPr>
        <w:ind w:left="8091" w:hanging="361"/>
      </w:pPr>
      <w:rPr>
        <w:rFonts w:hint="default"/>
      </w:rPr>
    </w:lvl>
    <w:lvl w:ilvl="7">
      <w:start w:val="0"/>
      <w:numFmt w:val="bullet"/>
      <w:lvlText w:val="•"/>
      <w:lvlJc w:val="left"/>
      <w:pPr>
        <w:ind w:left="9333" w:hanging="361"/>
      </w:pPr>
      <w:rPr>
        <w:rFonts w:hint="default"/>
      </w:rPr>
    </w:lvl>
    <w:lvl w:ilvl="8">
      <w:start w:val="0"/>
      <w:numFmt w:val="bullet"/>
      <w:lvlText w:val="•"/>
      <w:lvlJc w:val="left"/>
      <w:pPr>
        <w:ind w:left="10575" w:hanging="361"/>
      </w:pPr>
      <w:rPr>
        <w:rFonts w:hint="default"/>
      </w:rPr>
    </w:lvl>
  </w:abstractNum>
  <w:abstractNum w:abstractNumId="12">
    <w:nsid w:val="58F47754"/>
    <w:multiLevelType w:val="hybridMultilevel"/>
    <w:tmpl w:val="00000000"/>
    <w:lvl w:ilvl="0">
      <w:start w:val="2"/>
      <w:numFmt w:val="lowerLetter"/>
      <w:lvlText w:val="(%1)"/>
      <w:lvlJc w:val="left"/>
      <w:pPr>
        <w:ind w:left="871" w:hanging="526"/>
        <w:jc w:val="left"/>
      </w:pPr>
      <w:rPr>
        <w:rFonts w:ascii="Arial" w:eastAsia="Arial" w:hAnsi="Arial" w:cs="Arial" w:hint="default"/>
        <w:w w:val="97"/>
        <w:sz w:val="31"/>
        <w:szCs w:val="31"/>
      </w:rPr>
    </w:lvl>
    <w:lvl w:ilvl="1">
      <w:start w:val="2"/>
      <w:numFmt w:val="decimal"/>
      <w:lvlText w:val="（%2）"/>
      <w:lvlJc w:val="left"/>
      <w:pPr>
        <w:ind w:left="1000" w:hanging="901"/>
        <w:jc w:val="left"/>
      </w:pPr>
      <w:rPr>
        <w:rFonts w:ascii="新宋体" w:eastAsia="新宋体" w:hAnsi="新宋体" w:cs="新宋体" w:hint="default"/>
        <w:w w:val="100"/>
        <w:sz w:val="34"/>
        <w:szCs w:val="34"/>
      </w:rPr>
    </w:lvl>
    <w:lvl w:ilvl="2">
      <w:start w:val="1"/>
      <w:numFmt w:val="decimal"/>
      <w:lvlText w:val="（%3）"/>
      <w:lvlJc w:val="left"/>
      <w:pPr>
        <w:ind w:left="280" w:hanging="901"/>
        <w:jc w:val="left"/>
      </w:pPr>
      <w:rPr>
        <w:rFonts w:ascii="新宋体" w:eastAsia="新宋体" w:hAnsi="新宋体" w:cs="新宋体" w:hint="default"/>
        <w:w w:val="100"/>
        <w:sz w:val="34"/>
        <w:szCs w:val="34"/>
      </w:rPr>
    </w:lvl>
    <w:lvl w:ilvl="3">
      <w:start w:val="0"/>
      <w:numFmt w:val="bullet"/>
      <w:lvlText w:val="•"/>
      <w:lvlJc w:val="left"/>
      <w:pPr>
        <w:ind w:left="1900" w:hanging="901"/>
      </w:pPr>
      <w:rPr>
        <w:rFonts w:hint="default"/>
      </w:rPr>
    </w:lvl>
    <w:lvl w:ilvl="4">
      <w:start w:val="0"/>
      <w:numFmt w:val="bullet"/>
      <w:lvlText w:val="•"/>
      <w:lvlJc w:val="left"/>
      <w:pPr>
        <w:ind w:left="2316" w:hanging="901"/>
      </w:pPr>
      <w:rPr>
        <w:rFonts w:hint="default"/>
      </w:rPr>
    </w:lvl>
    <w:lvl w:ilvl="5">
      <w:start w:val="0"/>
      <w:numFmt w:val="bullet"/>
      <w:lvlText w:val="•"/>
      <w:lvlJc w:val="left"/>
      <w:pPr>
        <w:ind w:left="2732" w:hanging="901"/>
      </w:pPr>
      <w:rPr>
        <w:rFonts w:hint="default"/>
      </w:rPr>
    </w:lvl>
    <w:lvl w:ilvl="6">
      <w:start w:val="0"/>
      <w:numFmt w:val="bullet"/>
      <w:lvlText w:val="•"/>
      <w:lvlJc w:val="left"/>
      <w:pPr>
        <w:ind w:left="3149" w:hanging="901"/>
      </w:pPr>
      <w:rPr>
        <w:rFonts w:hint="default"/>
      </w:rPr>
    </w:lvl>
    <w:lvl w:ilvl="7">
      <w:start w:val="0"/>
      <w:numFmt w:val="bullet"/>
      <w:lvlText w:val="•"/>
      <w:lvlJc w:val="left"/>
      <w:pPr>
        <w:ind w:left="3565" w:hanging="901"/>
      </w:pPr>
      <w:rPr>
        <w:rFonts w:hint="default"/>
      </w:rPr>
    </w:lvl>
    <w:lvl w:ilvl="8">
      <w:start w:val="0"/>
      <w:numFmt w:val="bullet"/>
      <w:lvlText w:val="•"/>
      <w:lvlJc w:val="left"/>
      <w:pPr>
        <w:ind w:left="3981" w:hanging="901"/>
      </w:pPr>
      <w:rPr>
        <w:rFonts w:hint="default"/>
      </w:rPr>
    </w:lvl>
  </w:abstractNum>
  <w:abstractNum w:abstractNumId="13">
    <w:nsid w:val="62D2212E"/>
    <w:multiLevelType w:val="hybridMultilevel"/>
    <w:tmpl w:val="00000000"/>
    <w:lvl w:ilvl="0">
      <w:start w:val="2"/>
      <w:numFmt w:val="decimal"/>
      <w:lvlText w:val="%1."/>
      <w:lvlJc w:val="left"/>
      <w:pPr>
        <w:ind w:left="1721" w:hanging="361"/>
        <w:jc w:val="left"/>
      </w:pPr>
      <w:rPr>
        <w:rFonts w:ascii="新宋体" w:eastAsia="新宋体" w:hAnsi="新宋体" w:cs="新宋体" w:hint="default"/>
        <w:spacing w:val="-1"/>
        <w:w w:val="100"/>
        <w:sz w:val="34"/>
        <w:szCs w:val="34"/>
      </w:rPr>
    </w:lvl>
    <w:lvl w:ilvl="1">
      <w:start w:val="0"/>
      <w:numFmt w:val="bullet"/>
      <w:lvlText w:val="•"/>
      <w:lvlJc w:val="left"/>
      <w:pPr>
        <w:ind w:left="2853" w:hanging="361"/>
      </w:pPr>
      <w:rPr>
        <w:rFonts w:hint="default"/>
      </w:rPr>
    </w:lvl>
    <w:lvl w:ilvl="2">
      <w:start w:val="0"/>
      <w:numFmt w:val="bullet"/>
      <w:lvlText w:val="•"/>
      <w:lvlJc w:val="left"/>
      <w:pPr>
        <w:ind w:left="3987" w:hanging="361"/>
      </w:pPr>
      <w:rPr>
        <w:rFonts w:hint="default"/>
      </w:rPr>
    </w:lvl>
    <w:lvl w:ilvl="3">
      <w:start w:val="0"/>
      <w:numFmt w:val="bullet"/>
      <w:lvlText w:val="•"/>
      <w:lvlJc w:val="left"/>
      <w:pPr>
        <w:ind w:left="5121" w:hanging="361"/>
      </w:pPr>
      <w:rPr>
        <w:rFonts w:hint="default"/>
      </w:rPr>
    </w:lvl>
    <w:lvl w:ilvl="4">
      <w:start w:val="0"/>
      <w:numFmt w:val="bullet"/>
      <w:lvlText w:val="•"/>
      <w:lvlJc w:val="left"/>
      <w:pPr>
        <w:ind w:left="6255" w:hanging="361"/>
      </w:pPr>
      <w:rPr>
        <w:rFonts w:hint="default"/>
      </w:rPr>
    </w:lvl>
    <w:lvl w:ilvl="5">
      <w:start w:val="0"/>
      <w:numFmt w:val="bullet"/>
      <w:lvlText w:val="•"/>
      <w:lvlJc w:val="left"/>
      <w:pPr>
        <w:ind w:left="7389" w:hanging="361"/>
      </w:pPr>
      <w:rPr>
        <w:rFonts w:hint="default"/>
      </w:rPr>
    </w:lvl>
    <w:lvl w:ilvl="6">
      <w:start w:val="0"/>
      <w:numFmt w:val="bullet"/>
      <w:lvlText w:val="•"/>
      <w:lvlJc w:val="left"/>
      <w:pPr>
        <w:ind w:left="8523" w:hanging="361"/>
      </w:pPr>
      <w:rPr>
        <w:rFonts w:hint="default"/>
      </w:rPr>
    </w:lvl>
    <w:lvl w:ilvl="7">
      <w:start w:val="0"/>
      <w:numFmt w:val="bullet"/>
      <w:lvlText w:val="•"/>
      <w:lvlJc w:val="left"/>
      <w:pPr>
        <w:ind w:left="9657" w:hanging="361"/>
      </w:pPr>
      <w:rPr>
        <w:rFonts w:hint="default"/>
      </w:rPr>
    </w:lvl>
    <w:lvl w:ilvl="8">
      <w:start w:val="0"/>
      <w:numFmt w:val="bullet"/>
      <w:lvlText w:val="•"/>
      <w:lvlJc w:val="left"/>
      <w:pPr>
        <w:ind w:left="10791" w:hanging="361"/>
      </w:pPr>
      <w:rPr>
        <w:rFonts w:hint="default"/>
      </w:rPr>
    </w:lvl>
  </w:abstractNum>
  <w:abstractNum w:abstractNumId="14">
    <w:nsid w:val="6BAE2913"/>
    <w:multiLevelType w:val="hybridMultilevel"/>
    <w:tmpl w:val="00000000"/>
    <w:lvl w:ilvl="0">
      <w:start w:val="1"/>
      <w:numFmt w:val="decimal"/>
      <w:lvlText w:val="%1."/>
      <w:lvlJc w:val="left"/>
      <w:pPr>
        <w:ind w:left="280" w:hanging="540"/>
        <w:jc w:val="left"/>
      </w:pPr>
      <w:rPr>
        <w:rFonts w:ascii="新宋体" w:eastAsia="新宋体" w:hAnsi="新宋体" w:cs="新宋体" w:hint="default"/>
        <w:w w:val="100"/>
        <w:sz w:val="36"/>
        <w:szCs w:val="36"/>
      </w:rPr>
    </w:lvl>
    <w:lvl w:ilvl="1">
      <w:start w:val="0"/>
      <w:numFmt w:val="bullet"/>
      <w:lvlText w:val="•"/>
      <w:lvlJc w:val="left"/>
      <w:pPr>
        <w:ind w:left="1557" w:hanging="540"/>
      </w:pPr>
      <w:rPr>
        <w:rFonts w:hint="default"/>
      </w:rPr>
    </w:lvl>
    <w:lvl w:ilvl="2">
      <w:start w:val="0"/>
      <w:numFmt w:val="bullet"/>
      <w:lvlText w:val="•"/>
      <w:lvlJc w:val="left"/>
      <w:pPr>
        <w:ind w:left="2835" w:hanging="540"/>
      </w:pPr>
      <w:rPr>
        <w:rFonts w:hint="default"/>
      </w:rPr>
    </w:lvl>
    <w:lvl w:ilvl="3">
      <w:start w:val="0"/>
      <w:numFmt w:val="bullet"/>
      <w:lvlText w:val="•"/>
      <w:lvlJc w:val="left"/>
      <w:pPr>
        <w:ind w:left="4113" w:hanging="540"/>
      </w:pPr>
      <w:rPr>
        <w:rFonts w:hint="default"/>
      </w:rPr>
    </w:lvl>
    <w:lvl w:ilvl="4">
      <w:start w:val="0"/>
      <w:numFmt w:val="bullet"/>
      <w:lvlText w:val="•"/>
      <w:lvlJc w:val="left"/>
      <w:pPr>
        <w:ind w:left="5391" w:hanging="540"/>
      </w:pPr>
      <w:rPr>
        <w:rFonts w:hint="default"/>
      </w:rPr>
    </w:lvl>
    <w:lvl w:ilvl="5">
      <w:start w:val="0"/>
      <w:numFmt w:val="bullet"/>
      <w:lvlText w:val="•"/>
      <w:lvlJc w:val="left"/>
      <w:pPr>
        <w:ind w:left="6669" w:hanging="540"/>
      </w:pPr>
      <w:rPr>
        <w:rFonts w:hint="default"/>
      </w:rPr>
    </w:lvl>
    <w:lvl w:ilvl="6">
      <w:start w:val="0"/>
      <w:numFmt w:val="bullet"/>
      <w:lvlText w:val="•"/>
      <w:lvlJc w:val="left"/>
      <w:pPr>
        <w:ind w:left="7947" w:hanging="540"/>
      </w:pPr>
      <w:rPr>
        <w:rFonts w:hint="default"/>
      </w:rPr>
    </w:lvl>
    <w:lvl w:ilvl="7">
      <w:start w:val="0"/>
      <w:numFmt w:val="bullet"/>
      <w:lvlText w:val="•"/>
      <w:lvlJc w:val="left"/>
      <w:pPr>
        <w:ind w:left="9225" w:hanging="540"/>
      </w:pPr>
      <w:rPr>
        <w:rFonts w:hint="default"/>
      </w:rPr>
    </w:lvl>
    <w:lvl w:ilvl="8">
      <w:start w:val="0"/>
      <w:numFmt w:val="bullet"/>
      <w:lvlText w:val="•"/>
      <w:lvlJc w:val="left"/>
      <w:pPr>
        <w:ind w:left="10503" w:hanging="540"/>
      </w:pPr>
      <w:rPr>
        <w:rFonts w:hint="default"/>
      </w:rPr>
    </w:lvl>
  </w:abstractNum>
  <w:abstractNum w:abstractNumId="15">
    <w:nsid w:val="6CDFD64A"/>
    <w:multiLevelType w:val="hybridMultilevel"/>
    <w:tmpl w:val="00000000"/>
    <w:lvl w:ilvl="0">
      <w:start w:val="2"/>
      <w:numFmt w:val="decimal"/>
      <w:lvlText w:val="%1"/>
      <w:lvlJc w:val="left"/>
      <w:pPr>
        <w:ind w:left="1702" w:hanging="634"/>
        <w:jc w:val="left"/>
      </w:pPr>
      <w:rPr>
        <w:rFonts w:hint="default"/>
      </w:rPr>
    </w:lvl>
    <w:lvl w:ilvl="1">
      <w:start w:val="1"/>
      <w:numFmt w:val="decimal"/>
      <w:lvlText w:val="%1.%2"/>
      <w:lvlJc w:val="left"/>
      <w:pPr>
        <w:ind w:left="1702" w:hanging="634"/>
        <w:jc w:val="left"/>
      </w:pPr>
      <w:rPr>
        <w:rFonts w:ascii="新宋体" w:eastAsia="新宋体" w:hAnsi="新宋体" w:cs="新宋体" w:hint="default"/>
        <w:w w:val="102"/>
        <w:sz w:val="31"/>
        <w:szCs w:val="31"/>
      </w:rPr>
    </w:lvl>
    <w:lvl w:ilvl="2">
      <w:start w:val="0"/>
      <w:numFmt w:val="bullet"/>
      <w:lvlText w:val="•"/>
      <w:lvlJc w:val="left"/>
      <w:pPr>
        <w:ind w:left="3971" w:hanging="634"/>
      </w:pPr>
      <w:rPr>
        <w:rFonts w:hint="default"/>
      </w:rPr>
    </w:lvl>
    <w:lvl w:ilvl="3">
      <w:start w:val="0"/>
      <w:numFmt w:val="bullet"/>
      <w:lvlText w:val="•"/>
      <w:lvlJc w:val="left"/>
      <w:pPr>
        <w:ind w:left="5107" w:hanging="634"/>
      </w:pPr>
      <w:rPr>
        <w:rFonts w:hint="default"/>
      </w:rPr>
    </w:lvl>
    <w:lvl w:ilvl="4">
      <w:start w:val="0"/>
      <w:numFmt w:val="bullet"/>
      <w:lvlText w:val="•"/>
      <w:lvlJc w:val="left"/>
      <w:pPr>
        <w:ind w:left="6243" w:hanging="634"/>
      </w:pPr>
      <w:rPr>
        <w:rFonts w:hint="default"/>
      </w:rPr>
    </w:lvl>
    <w:lvl w:ilvl="5">
      <w:start w:val="0"/>
      <w:numFmt w:val="bullet"/>
      <w:lvlText w:val="•"/>
      <w:lvlJc w:val="left"/>
      <w:pPr>
        <w:ind w:left="7379" w:hanging="634"/>
      </w:pPr>
      <w:rPr>
        <w:rFonts w:hint="default"/>
      </w:rPr>
    </w:lvl>
    <w:lvl w:ilvl="6">
      <w:start w:val="0"/>
      <w:numFmt w:val="bullet"/>
      <w:lvlText w:val="•"/>
      <w:lvlJc w:val="left"/>
      <w:pPr>
        <w:ind w:left="8515" w:hanging="634"/>
      </w:pPr>
      <w:rPr>
        <w:rFonts w:hint="default"/>
      </w:rPr>
    </w:lvl>
    <w:lvl w:ilvl="7">
      <w:start w:val="0"/>
      <w:numFmt w:val="bullet"/>
      <w:lvlText w:val="•"/>
      <w:lvlJc w:val="left"/>
      <w:pPr>
        <w:ind w:left="9651" w:hanging="634"/>
      </w:pPr>
      <w:rPr>
        <w:rFonts w:hint="default"/>
      </w:rPr>
    </w:lvl>
    <w:lvl w:ilvl="8">
      <w:start w:val="0"/>
      <w:numFmt w:val="bullet"/>
      <w:lvlText w:val="•"/>
      <w:lvlJc w:val="left"/>
      <w:pPr>
        <w:ind w:left="10787" w:hanging="634"/>
      </w:pPr>
      <w:rPr>
        <w:rFonts w:hint="default"/>
      </w:rPr>
    </w:lvl>
  </w:abstractNum>
  <w:abstractNum w:abstractNumId="16">
    <w:nsid w:val="72B2C9FE"/>
    <w:multiLevelType w:val="hybridMultilevel"/>
    <w:tmpl w:val="00000000"/>
    <w:lvl w:ilvl="0">
      <w:start w:val="2"/>
      <w:numFmt w:val="decimal"/>
      <w:lvlText w:val="%1"/>
      <w:lvlJc w:val="left"/>
      <w:pPr>
        <w:ind w:left="1699" w:hanging="627"/>
        <w:jc w:val="left"/>
      </w:pPr>
      <w:rPr>
        <w:rFonts w:hint="default"/>
      </w:rPr>
    </w:lvl>
    <w:lvl w:ilvl="1">
      <w:start w:val="1"/>
      <w:numFmt w:val="decimal"/>
      <w:lvlText w:val="%1.%2"/>
      <w:lvlJc w:val="left"/>
      <w:pPr>
        <w:ind w:left="1699" w:hanging="627"/>
        <w:jc w:val="left"/>
      </w:pPr>
      <w:rPr>
        <w:rFonts w:ascii="新宋体" w:eastAsia="新宋体" w:hAnsi="新宋体" w:cs="新宋体" w:hint="default"/>
        <w:w w:val="102"/>
        <w:sz w:val="31"/>
        <w:szCs w:val="31"/>
      </w:rPr>
    </w:lvl>
    <w:lvl w:ilvl="2">
      <w:start w:val="0"/>
      <w:numFmt w:val="bullet"/>
      <w:lvlText w:val="•"/>
      <w:lvlJc w:val="left"/>
      <w:pPr>
        <w:ind w:left="3971" w:hanging="627"/>
      </w:pPr>
      <w:rPr>
        <w:rFonts w:hint="default"/>
      </w:rPr>
    </w:lvl>
    <w:lvl w:ilvl="3">
      <w:start w:val="0"/>
      <w:numFmt w:val="bullet"/>
      <w:lvlText w:val="•"/>
      <w:lvlJc w:val="left"/>
      <w:pPr>
        <w:ind w:left="5107" w:hanging="627"/>
      </w:pPr>
      <w:rPr>
        <w:rFonts w:hint="default"/>
      </w:rPr>
    </w:lvl>
    <w:lvl w:ilvl="4">
      <w:start w:val="0"/>
      <w:numFmt w:val="bullet"/>
      <w:lvlText w:val="•"/>
      <w:lvlJc w:val="left"/>
      <w:pPr>
        <w:ind w:left="6243" w:hanging="627"/>
      </w:pPr>
      <w:rPr>
        <w:rFonts w:hint="default"/>
      </w:rPr>
    </w:lvl>
    <w:lvl w:ilvl="5">
      <w:start w:val="0"/>
      <w:numFmt w:val="bullet"/>
      <w:lvlText w:val="•"/>
      <w:lvlJc w:val="left"/>
      <w:pPr>
        <w:ind w:left="7379" w:hanging="627"/>
      </w:pPr>
      <w:rPr>
        <w:rFonts w:hint="default"/>
      </w:rPr>
    </w:lvl>
    <w:lvl w:ilvl="6">
      <w:start w:val="0"/>
      <w:numFmt w:val="bullet"/>
      <w:lvlText w:val="•"/>
      <w:lvlJc w:val="left"/>
      <w:pPr>
        <w:ind w:left="8515" w:hanging="627"/>
      </w:pPr>
      <w:rPr>
        <w:rFonts w:hint="default"/>
      </w:rPr>
    </w:lvl>
    <w:lvl w:ilvl="7">
      <w:start w:val="0"/>
      <w:numFmt w:val="bullet"/>
      <w:lvlText w:val="•"/>
      <w:lvlJc w:val="left"/>
      <w:pPr>
        <w:ind w:left="9651" w:hanging="627"/>
      </w:pPr>
      <w:rPr>
        <w:rFonts w:hint="default"/>
      </w:rPr>
    </w:lvl>
    <w:lvl w:ilvl="8">
      <w:start w:val="0"/>
      <w:numFmt w:val="bullet"/>
      <w:lvlText w:val="•"/>
      <w:lvlJc w:val="left"/>
      <w:pPr>
        <w:ind w:left="10787" w:hanging="627"/>
      </w:pPr>
      <w:rPr>
        <w:rFonts w:hint="default"/>
      </w:rPr>
    </w:lvl>
  </w:abstractNum>
  <w:num w:numId="1">
    <w:abstractNumId w:val="14"/>
  </w:num>
  <w:num w:numId="2">
    <w:abstractNumId w:val="1"/>
  </w:num>
  <w:num w:numId="3">
    <w:abstractNumId w:val="3"/>
  </w:num>
  <w:num w:numId="4">
    <w:abstractNumId w:val="11"/>
  </w:num>
  <w:num w:numId="5">
    <w:abstractNumId w:val="12"/>
  </w:num>
  <w:num w:numId="6">
    <w:abstractNumId w:val="5"/>
  </w:num>
  <w:num w:numId="7">
    <w:abstractNumId w:val="7"/>
  </w:num>
  <w:num w:numId="8">
    <w:abstractNumId w:val="6"/>
  </w:num>
  <w:num w:numId="9">
    <w:abstractNumId w:val="13"/>
  </w:num>
  <w:num w:numId="10">
    <w:abstractNumId w:val="4"/>
  </w:num>
  <w:num w:numId="11">
    <w:abstractNumId w:val="0"/>
  </w:num>
  <w:num w:numId="12">
    <w:abstractNumId w:val="8"/>
  </w:num>
  <w:num w:numId="13">
    <w:abstractNumId w:val="16"/>
  </w:num>
  <w:num w:numId="14">
    <w:abstractNumId w:val="15"/>
  </w:num>
  <w:num w:numId="15">
    <w:abstractNumId w:val="2"/>
  </w:num>
  <w:num w:numId="16">
    <w:abstractNumId w:val="10"/>
  </w:num>
  <w:num w:numId="17">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新宋体" w:eastAsia="新宋体" w:hAnsi="新宋体" w:cs="新宋体"/>
    </w:rPr>
  </w:style>
  <w:style w:type="paragraph" w:styleId="Heading1">
    <w:name w:val="heading 1"/>
    <w:basedOn w:val="Normal"/>
    <w:uiPriority w:val="1"/>
    <w:qFormat/>
    <w:pPr>
      <w:ind w:left="2890" w:right="2929"/>
      <w:jc w:val="center"/>
      <w:outlineLvl w:val="0"/>
    </w:pPr>
    <w:rPr>
      <w:rFonts w:ascii="新宋体" w:eastAsia="新宋体" w:hAnsi="新宋体" w:cs="新宋体"/>
      <w:b/>
      <w:bCs/>
      <w:sz w:val="48"/>
      <w:szCs w:val="48"/>
    </w:rPr>
  </w:style>
  <w:style w:type="paragraph" w:styleId="Heading2">
    <w:name w:val="heading 2"/>
    <w:basedOn w:val="Normal"/>
    <w:uiPriority w:val="1"/>
    <w:qFormat/>
    <w:pPr>
      <w:ind w:left="280"/>
      <w:outlineLvl w:val="1"/>
    </w:pPr>
    <w:rPr>
      <w:rFonts w:ascii="新宋体" w:eastAsia="新宋体" w:hAnsi="新宋体" w:cs="新宋体"/>
      <w:sz w:val="45"/>
      <w:szCs w:val="45"/>
    </w:rPr>
  </w:style>
  <w:style w:type="paragraph" w:styleId="Heading3">
    <w:name w:val="heading 3"/>
    <w:basedOn w:val="Normal"/>
    <w:uiPriority w:val="1"/>
    <w:qFormat/>
    <w:pPr>
      <w:ind w:left="899"/>
      <w:outlineLvl w:val="2"/>
    </w:pPr>
    <w:rPr>
      <w:rFonts w:ascii="新宋体" w:eastAsia="新宋体" w:hAnsi="新宋体" w:cs="新宋体"/>
      <w:b/>
      <w:bCs/>
      <w:sz w:val="42"/>
      <w:szCs w:val="42"/>
    </w:rPr>
  </w:style>
  <w:style w:type="paragraph" w:styleId="Heading4">
    <w:name w:val="heading 4"/>
    <w:basedOn w:val="Normal"/>
    <w:uiPriority w:val="1"/>
    <w:qFormat/>
    <w:pPr>
      <w:ind w:left="280"/>
      <w:outlineLvl w:val="3"/>
    </w:pPr>
    <w:rPr>
      <w:rFonts w:ascii="微软雅黑" w:eastAsia="微软雅黑" w:hAnsi="微软雅黑" w:cs="微软雅黑"/>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ind w:left="280"/>
    </w:pPr>
    <w:rPr>
      <w:rFonts w:ascii="新宋体" w:eastAsia="新宋体" w:hAnsi="新宋体" w:cs="新宋体"/>
      <w:b/>
      <w:bCs/>
      <w:i/>
    </w:rPr>
  </w:style>
  <w:style w:type="paragraph" w:styleId="TOC2">
    <w:name w:val="toc 2"/>
    <w:basedOn w:val="Normal"/>
    <w:uiPriority w:val="1"/>
    <w:qFormat/>
    <w:pPr>
      <w:spacing w:before="1"/>
      <w:ind w:left="460"/>
    </w:pPr>
    <w:rPr>
      <w:rFonts w:ascii="新宋体" w:eastAsia="新宋体" w:hAnsi="新宋体" w:cs="新宋体"/>
      <w:sz w:val="36"/>
      <w:szCs w:val="36"/>
    </w:rPr>
  </w:style>
  <w:style w:type="paragraph" w:styleId="TOC3">
    <w:name w:val="toc 3"/>
    <w:basedOn w:val="Normal"/>
    <w:uiPriority w:val="1"/>
    <w:qFormat/>
    <w:pPr>
      <w:spacing w:line="468" w:lineRule="exact"/>
      <w:ind w:left="824"/>
    </w:pPr>
    <w:rPr>
      <w:rFonts w:ascii="新宋体" w:eastAsia="新宋体" w:hAnsi="新宋体" w:cs="新宋体"/>
      <w:sz w:val="31"/>
      <w:szCs w:val="31"/>
    </w:rPr>
  </w:style>
  <w:style w:type="paragraph" w:styleId="TOC4">
    <w:name w:val="toc 4"/>
    <w:basedOn w:val="Normal"/>
    <w:uiPriority w:val="1"/>
    <w:qFormat/>
    <w:pPr>
      <w:spacing w:line="469" w:lineRule="exact"/>
      <w:ind w:left="820"/>
    </w:pPr>
    <w:rPr>
      <w:rFonts w:ascii="新宋体" w:eastAsia="新宋体" w:hAnsi="新宋体" w:cs="新宋体"/>
      <w:b/>
      <w:bCs/>
      <w:i/>
    </w:rPr>
  </w:style>
  <w:style w:type="paragraph" w:styleId="TOC5">
    <w:name w:val="toc 5"/>
    <w:basedOn w:val="Normal"/>
    <w:uiPriority w:val="1"/>
    <w:qFormat/>
    <w:pPr>
      <w:spacing w:line="468" w:lineRule="exact"/>
      <w:ind w:left="914"/>
    </w:pPr>
    <w:rPr>
      <w:rFonts w:ascii="新宋体" w:eastAsia="新宋体" w:hAnsi="新宋体" w:cs="新宋体"/>
      <w:sz w:val="31"/>
      <w:szCs w:val="31"/>
    </w:rPr>
  </w:style>
  <w:style w:type="paragraph" w:styleId="TOC6">
    <w:name w:val="toc 6"/>
    <w:basedOn w:val="Normal"/>
    <w:uiPriority w:val="1"/>
    <w:qFormat/>
    <w:pPr>
      <w:spacing w:line="468" w:lineRule="exact"/>
      <w:ind w:left="957"/>
    </w:pPr>
    <w:rPr>
      <w:rFonts w:ascii="新宋体" w:eastAsia="新宋体" w:hAnsi="新宋体" w:cs="新宋体"/>
      <w:sz w:val="31"/>
      <w:szCs w:val="31"/>
    </w:rPr>
  </w:style>
  <w:style w:type="paragraph" w:styleId="TOC7">
    <w:name w:val="toc 7"/>
    <w:basedOn w:val="Normal"/>
    <w:uiPriority w:val="1"/>
    <w:qFormat/>
    <w:pPr>
      <w:spacing w:line="468" w:lineRule="exact"/>
      <w:ind w:left="1702" w:hanging="635"/>
    </w:pPr>
    <w:rPr>
      <w:rFonts w:ascii="新宋体" w:eastAsia="新宋体" w:hAnsi="新宋体" w:cs="新宋体"/>
      <w:sz w:val="31"/>
      <w:szCs w:val="31"/>
    </w:rPr>
  </w:style>
  <w:style w:type="paragraph" w:styleId="TOC8">
    <w:name w:val="toc 8"/>
    <w:basedOn w:val="Normal"/>
    <w:uiPriority w:val="1"/>
    <w:qFormat/>
    <w:pPr>
      <w:spacing w:before="998"/>
      <w:ind w:left="2891" w:right="2929"/>
      <w:jc w:val="center"/>
    </w:pPr>
    <w:rPr>
      <w:rFonts w:ascii="新宋体" w:eastAsia="新宋体" w:hAnsi="新宋体" w:cs="新宋体"/>
      <w:b/>
      <w:bCs/>
      <w:sz w:val="48"/>
      <w:szCs w:val="48"/>
    </w:rPr>
  </w:style>
  <w:style w:type="paragraph" w:styleId="TOC9">
    <w:name w:val="toc 9"/>
    <w:basedOn w:val="Normal"/>
    <w:uiPriority w:val="1"/>
    <w:qFormat/>
    <w:pPr>
      <w:spacing w:line="844" w:lineRule="exact"/>
      <w:ind w:left="2981" w:right="2424"/>
      <w:jc w:val="center"/>
    </w:pPr>
    <w:rPr>
      <w:rFonts w:ascii="新宋体" w:eastAsia="新宋体" w:hAnsi="新宋体" w:cs="新宋体"/>
      <w:b/>
      <w:bCs/>
      <w:sz w:val="48"/>
      <w:szCs w:val="48"/>
    </w:rPr>
  </w:style>
  <w:style w:type="paragraph" w:styleId="BodyText">
    <w:name w:val="Body Text"/>
    <w:basedOn w:val="Normal"/>
    <w:uiPriority w:val="1"/>
    <w:qFormat/>
    <w:rPr>
      <w:rFonts w:ascii="新宋体" w:eastAsia="新宋体" w:hAnsi="新宋体" w:cs="新宋体"/>
      <w:sz w:val="36"/>
      <w:szCs w:val="36"/>
    </w:rPr>
  </w:style>
  <w:style w:type="paragraph" w:styleId="Title">
    <w:name w:val="Title"/>
    <w:basedOn w:val="Normal"/>
    <w:uiPriority w:val="1"/>
    <w:qFormat/>
    <w:pPr>
      <w:spacing w:line="828" w:lineRule="exact"/>
      <w:ind w:left="2884" w:right="2929"/>
      <w:jc w:val="center"/>
    </w:pPr>
    <w:rPr>
      <w:rFonts w:ascii="新宋体" w:eastAsia="新宋体" w:hAnsi="新宋体" w:cs="新宋体"/>
      <w:b/>
      <w:bCs/>
      <w:sz w:val="66"/>
      <w:szCs w:val="66"/>
    </w:rPr>
  </w:style>
  <w:style w:type="paragraph" w:styleId="ListParagraph">
    <w:name w:val="List Paragraph"/>
    <w:basedOn w:val="Normal"/>
    <w:uiPriority w:val="1"/>
    <w:qFormat/>
    <w:pPr>
      <w:ind w:left="280" w:hanging="362"/>
    </w:pPr>
    <w:rPr>
      <w:rFonts w:ascii="新宋体" w:eastAsia="新宋体" w:hAnsi="新宋体" w:cs="新宋体"/>
    </w:rPr>
  </w:style>
  <w:style w:type="paragraph" w:customStyle="1" w:styleId="TableParagraph">
    <w:name w:val="Table Paragraph"/>
    <w:basedOn w:val="Normal"/>
    <w:uiPriority w:val="1"/>
    <w:qFormat/>
    <w:rPr>
      <w:rFonts w:ascii="微软雅黑" w:eastAsia="微软雅黑" w:hAnsi="微软雅黑" w:cs="微软雅黑"/>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hyperlink" Target="https://d.book118.com/046133000121010053" TargetMode="External" /><Relationship Id="rId15" Type="http://schemas.openxmlformats.org/officeDocument/2006/relationships/theme" Target="theme/theme1.xml" /><Relationship Id="rId16" Type="http://schemas.openxmlformats.org/officeDocument/2006/relationships/numbering" Target="numbering.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2024-02-03T03:56:59Z</dcterms:created>
  <dcterms:modified xsi:type="dcterms:W3CDTF">2024-02-03T03:56:59Z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2022-11-27T00:00:00Z</vt:filetime>
  </property>
  <property fmtid="{D5CDD505-2E9C-101B-9397-08002B2CF9AE}" pid="3" name="LastSaved">
    <vt:filetime>2024-02-03T00:00:00Z</vt:filetime>
  </property>
</Properties>
</file>