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98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150" w:line="173" w:lineRule="auto"/>
        <w:ind w:left="53"/>
        <w:outlineLvl w:val="0"/>
        <w:rPr>
          <w:rFonts w:ascii="Microsoft YaHei" w:eastAsia="Microsoft YaHei" w:hAnsi="Microsoft YaHei" w:cs="Microsoft YaHei"/>
          <w:sz w:val="35"/>
          <w:szCs w:val="35"/>
        </w:rPr>
      </w:pPr>
      <w:r>
        <w:rPr>
          <w:rFonts w:ascii="Microsoft YaHei" w:eastAsia="Microsoft YaHei" w:hAnsi="Microsoft YaHei" w:cs="Microsoft YaHei"/>
          <w:b/>
          <w:bCs/>
          <w:color w:val="231F20"/>
          <w:spacing w:val="-25"/>
          <w:sz w:val="35"/>
          <w:szCs w:val="35"/>
        </w:rPr>
        <w:t>目录</w:t>
      </w:r>
    </w:p>
    <w:p>
      <w:pPr>
        <w:spacing w:before="52"/>
      </w:pPr>
    </w:p>
    <w:p>
      <w:pPr>
        <w:spacing w:before="51"/>
      </w:pPr>
    </w:p>
    <w:tbl>
      <w:tblPr>
        <w:tblStyle w:val="TableNormal"/>
        <w:tblW w:w="7143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4963"/>
        <w:gridCol w:w="2180"/>
      </w:tblGrid>
      <w:tr>
        <w:tblPrEx>
          <w:tblW w:w="7143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575"/>
        </w:trPr>
        <w:tc>
          <w:tcPr>
            <w:tcW w:w="4963" w:type="dxa"/>
            <w:tcBorders>
              <w:top w:val="single" w:sz="2" w:space="0" w:color="2E76BC"/>
            </w:tcBorders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72" w:lineRule="auto"/>
              <w:ind w:left="8"/>
            </w:pPr>
            <w:r>
              <w:rPr>
                <w:color w:val="231F20"/>
                <w:spacing w:val="5"/>
              </w:rPr>
              <w:t>第一章 液冷行业背景及技术优化方向</w:t>
            </w:r>
          </w:p>
        </w:tc>
        <w:tc>
          <w:tcPr>
            <w:tcW w:w="2180" w:type="dxa"/>
            <w:tcBorders>
              <w:top w:val="single" w:sz="2" w:space="0" w:color="2E76BC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 w:line="174" w:lineRule="auto"/>
              <w:ind w:right="30"/>
              <w:jc w:val="right"/>
            </w:pPr>
            <w:r>
              <w:rPr>
                <w:color w:val="231F20"/>
                <w:spacing w:val="-3"/>
              </w:rPr>
              <w:t>03</w:t>
            </w:r>
          </w:p>
        </w:tc>
      </w:tr>
      <w:tr>
        <w:tblPrEx>
          <w:tblW w:w="7143" w:type="dxa"/>
          <w:tblInd w:w="0" w:type="dxa"/>
          <w:tblLayout w:type="fixed"/>
        </w:tblPrEx>
        <w:trPr>
          <w:trHeight w:val="277"/>
        </w:trPr>
        <w:tc>
          <w:tcPr>
            <w:tcW w:w="4963" w:type="dxa"/>
            <w:vAlign w:val="top"/>
          </w:tcPr>
          <w:p>
            <w:pPr>
              <w:pStyle w:val="TableText"/>
              <w:spacing w:before="62" w:line="168" w:lineRule="auto"/>
              <w:ind w:left="16"/>
            </w:pPr>
            <w:r>
              <w:rPr>
                <w:color w:val="231F20"/>
                <w:spacing w:val="2"/>
              </w:rPr>
              <w:t>1.</w:t>
            </w:r>
            <w:r>
              <w:rPr>
                <w:color w:val="231F20"/>
                <w:spacing w:val="44"/>
                <w:w w:val="101"/>
              </w:rPr>
              <w:t xml:space="preserve"> </w:t>
            </w:r>
            <w:r>
              <w:rPr>
                <w:color w:val="231F20"/>
                <w:spacing w:val="2"/>
              </w:rPr>
              <w:t>液冷行业背景及政策</w:t>
            </w:r>
          </w:p>
        </w:tc>
        <w:tc>
          <w:tcPr>
            <w:tcW w:w="2180" w:type="dxa"/>
            <w:vAlign w:val="top"/>
          </w:tcPr>
          <w:p>
            <w:pPr>
              <w:pStyle w:val="TableText"/>
              <w:spacing w:before="40" w:line="174" w:lineRule="auto"/>
              <w:ind w:right="30"/>
              <w:jc w:val="right"/>
            </w:pPr>
            <w:r>
              <w:rPr>
                <w:color w:val="231F20"/>
                <w:spacing w:val="-3"/>
              </w:rPr>
              <w:t>04</w:t>
            </w:r>
          </w:p>
        </w:tc>
      </w:tr>
      <w:tr>
        <w:tblPrEx>
          <w:tblW w:w="7143" w:type="dxa"/>
          <w:tblInd w:w="0" w:type="dxa"/>
          <w:tblLayout w:type="fixed"/>
        </w:tblPrEx>
        <w:trPr>
          <w:trHeight w:val="280"/>
        </w:trPr>
        <w:tc>
          <w:tcPr>
            <w:tcW w:w="4963" w:type="dxa"/>
            <w:vAlign w:val="top"/>
          </w:tcPr>
          <w:p>
            <w:pPr>
              <w:pStyle w:val="TableText"/>
              <w:spacing w:before="65" w:line="168" w:lineRule="auto"/>
              <w:ind w:left="9"/>
            </w:pPr>
            <w:r>
              <w:rPr>
                <w:color w:val="231F20"/>
                <w:spacing w:val="5"/>
              </w:rPr>
              <w:t>2.</w:t>
            </w:r>
            <w:r>
              <w:rPr>
                <w:color w:val="231F20"/>
                <w:spacing w:val="50"/>
              </w:rPr>
              <w:t xml:space="preserve"> </w:t>
            </w:r>
            <w:r>
              <w:rPr>
                <w:color w:val="231F20"/>
                <w:spacing w:val="5"/>
              </w:rPr>
              <w:t>液冷数据中心主流技术介绍及对比</w:t>
            </w:r>
          </w:p>
        </w:tc>
        <w:tc>
          <w:tcPr>
            <w:tcW w:w="2180" w:type="dxa"/>
            <w:vAlign w:val="top"/>
          </w:tcPr>
          <w:p>
            <w:pPr>
              <w:pStyle w:val="TableText"/>
              <w:spacing w:before="43" w:line="174" w:lineRule="auto"/>
              <w:ind w:right="30"/>
              <w:jc w:val="right"/>
            </w:pPr>
            <w:r>
              <w:rPr>
                <w:color w:val="231F20"/>
                <w:spacing w:val="-3"/>
              </w:rPr>
              <w:t>07</w:t>
            </w:r>
          </w:p>
        </w:tc>
      </w:tr>
      <w:tr>
        <w:tblPrEx>
          <w:tblW w:w="7143" w:type="dxa"/>
          <w:tblInd w:w="0" w:type="dxa"/>
          <w:tblLayout w:type="fixed"/>
        </w:tblPrEx>
        <w:trPr>
          <w:trHeight w:val="279"/>
        </w:trPr>
        <w:tc>
          <w:tcPr>
            <w:tcW w:w="4963" w:type="dxa"/>
            <w:vAlign w:val="top"/>
          </w:tcPr>
          <w:p>
            <w:pPr>
              <w:pStyle w:val="TableText"/>
              <w:spacing w:before="67" w:line="166" w:lineRule="auto"/>
              <w:ind w:left="10"/>
            </w:pPr>
            <w:r>
              <w:rPr>
                <w:color w:val="231F20"/>
                <w:spacing w:val="4"/>
              </w:rPr>
              <w:t>3.</w:t>
            </w:r>
            <w:r>
              <w:rPr>
                <w:color w:val="231F20"/>
                <w:spacing w:val="56"/>
              </w:rPr>
              <w:t xml:space="preserve"> </w:t>
            </w:r>
            <w:r>
              <w:rPr>
                <w:color w:val="231F20"/>
                <w:spacing w:val="4"/>
              </w:rPr>
              <w:t>先进冷板液冷数据中心介绍</w:t>
            </w:r>
          </w:p>
        </w:tc>
        <w:tc>
          <w:tcPr>
            <w:tcW w:w="2180" w:type="dxa"/>
            <w:vAlign w:val="top"/>
          </w:tcPr>
          <w:p>
            <w:pPr>
              <w:pStyle w:val="TableText"/>
              <w:spacing w:before="43" w:line="174" w:lineRule="auto"/>
              <w:ind w:right="30"/>
              <w:jc w:val="right"/>
            </w:pPr>
            <w:r>
              <w:rPr>
                <w:color w:val="231F20"/>
                <w:spacing w:val="-3"/>
              </w:rPr>
              <w:t>08</w:t>
            </w:r>
          </w:p>
        </w:tc>
      </w:tr>
      <w:tr>
        <w:tblPrEx>
          <w:tblW w:w="7143" w:type="dxa"/>
          <w:tblInd w:w="0" w:type="dxa"/>
          <w:tblLayout w:type="fixed"/>
        </w:tblPrEx>
        <w:trPr>
          <w:trHeight w:val="570"/>
        </w:trPr>
        <w:tc>
          <w:tcPr>
            <w:tcW w:w="4963" w:type="dxa"/>
            <w:tcBorders>
              <w:bottom w:val="single" w:sz="4" w:space="0" w:color="2FBA8C"/>
            </w:tcBorders>
            <w:vAlign w:val="top"/>
          </w:tcPr>
          <w:p>
            <w:pPr>
              <w:pStyle w:val="TableText"/>
              <w:spacing w:before="64" w:line="183" w:lineRule="auto"/>
              <w:ind w:left="5"/>
            </w:pPr>
            <w:r>
              <w:rPr>
                <w:color w:val="231F20"/>
                <w:spacing w:val="5"/>
              </w:rPr>
              <w:t>4.</w:t>
            </w:r>
            <w:r>
              <w:rPr>
                <w:color w:val="231F20"/>
                <w:spacing w:val="53"/>
                <w:w w:val="101"/>
              </w:rPr>
              <w:t xml:space="preserve"> </w:t>
            </w:r>
            <w:r>
              <w:rPr>
                <w:color w:val="231F20"/>
                <w:spacing w:val="5"/>
              </w:rPr>
              <w:t>冷板液冷服务器设计技术优化方向</w:t>
            </w:r>
          </w:p>
        </w:tc>
        <w:tc>
          <w:tcPr>
            <w:tcW w:w="2180" w:type="dxa"/>
            <w:tcBorders>
              <w:bottom w:val="single" w:sz="4" w:space="0" w:color="2FBA8C"/>
            </w:tcBorders>
            <w:vAlign w:val="top"/>
          </w:tcPr>
          <w:p>
            <w:pPr>
              <w:pStyle w:val="TableText"/>
              <w:spacing w:before="44" w:line="174" w:lineRule="auto"/>
              <w:ind w:right="30"/>
              <w:jc w:val="right"/>
            </w:pPr>
            <w:r>
              <w:rPr>
                <w:color w:val="231F20"/>
                <w:spacing w:val="-3"/>
              </w:rPr>
              <w:t>09</w:t>
            </w:r>
          </w:p>
        </w:tc>
      </w:tr>
      <w:tr>
        <w:tblPrEx>
          <w:tblW w:w="7143" w:type="dxa"/>
          <w:tblInd w:w="0" w:type="dxa"/>
          <w:tblLayout w:type="fixed"/>
        </w:tblPrEx>
        <w:trPr>
          <w:trHeight w:val="542"/>
        </w:trPr>
        <w:tc>
          <w:tcPr>
            <w:tcW w:w="4963" w:type="dxa"/>
            <w:tcBorders>
              <w:top w:val="single" w:sz="4" w:space="0" w:color="2FBA8C"/>
            </w:tcBorders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71" w:lineRule="auto"/>
              <w:ind w:left="8"/>
            </w:pPr>
            <w:r>
              <w:rPr>
                <w:color w:val="231F20"/>
                <w:spacing w:val="5"/>
              </w:rPr>
              <w:t>第二章 全液冷服务器系统架构设计</w:t>
            </w:r>
          </w:p>
        </w:tc>
        <w:tc>
          <w:tcPr>
            <w:tcW w:w="2180" w:type="dxa"/>
            <w:tcBorders>
              <w:top w:val="single" w:sz="4" w:space="0" w:color="2FBA8C"/>
            </w:tcBorders>
            <w:vAlign w:val="top"/>
          </w:tcPr>
          <w:p>
            <w:pPr>
              <w:pStyle w:val="TableText"/>
              <w:spacing w:before="304" w:line="174" w:lineRule="auto"/>
              <w:ind w:right="25"/>
              <w:jc w:val="right"/>
            </w:pPr>
            <w:r>
              <w:rPr>
                <w:color w:val="231F20"/>
                <w:spacing w:val="-6"/>
              </w:rPr>
              <w:t>10</w:t>
            </w:r>
          </w:p>
        </w:tc>
      </w:tr>
      <w:tr>
        <w:tblPrEx>
          <w:tblW w:w="7143" w:type="dxa"/>
          <w:tblInd w:w="0" w:type="dxa"/>
          <w:tblLayout w:type="fixed"/>
        </w:tblPrEx>
        <w:trPr>
          <w:trHeight w:val="277"/>
        </w:trPr>
        <w:tc>
          <w:tcPr>
            <w:tcW w:w="4963" w:type="dxa"/>
            <w:vAlign w:val="top"/>
          </w:tcPr>
          <w:p>
            <w:pPr>
              <w:pStyle w:val="TableText"/>
              <w:spacing w:before="65" w:line="166" w:lineRule="auto"/>
              <w:ind w:left="16"/>
            </w:pPr>
            <w:r>
              <w:rPr>
                <w:color w:val="231F20"/>
                <w:spacing w:val="3"/>
              </w:rPr>
              <w:t>1.</w:t>
            </w:r>
            <w:r>
              <w:rPr>
                <w:color w:val="231F20"/>
                <w:spacing w:val="46"/>
              </w:rPr>
              <w:t xml:space="preserve"> </w:t>
            </w:r>
            <w:r>
              <w:rPr>
                <w:color w:val="231F20"/>
                <w:spacing w:val="3"/>
              </w:rPr>
              <w:t>全液冷冷板服务器创新实践</w:t>
            </w:r>
          </w:p>
        </w:tc>
        <w:tc>
          <w:tcPr>
            <w:tcW w:w="2180" w:type="dxa"/>
            <w:vAlign w:val="top"/>
          </w:tcPr>
          <w:p>
            <w:pPr>
              <w:pStyle w:val="TableText"/>
              <w:spacing w:before="42" w:line="176" w:lineRule="auto"/>
              <w:ind w:right="25"/>
              <w:jc w:val="right"/>
            </w:pPr>
            <w:r>
              <w:rPr>
                <w:color w:val="231F20"/>
                <w:spacing w:val="-6"/>
              </w:rPr>
              <w:t>11</w:t>
            </w:r>
          </w:p>
        </w:tc>
      </w:tr>
      <w:tr>
        <w:tblPrEx>
          <w:tblW w:w="7143" w:type="dxa"/>
          <w:tblInd w:w="0" w:type="dxa"/>
          <w:tblLayout w:type="fixed"/>
        </w:tblPrEx>
        <w:trPr>
          <w:trHeight w:val="279"/>
        </w:trPr>
        <w:tc>
          <w:tcPr>
            <w:tcW w:w="4963" w:type="dxa"/>
            <w:vAlign w:val="top"/>
          </w:tcPr>
          <w:p>
            <w:pPr>
              <w:pStyle w:val="TableText"/>
              <w:spacing w:before="67" w:line="166" w:lineRule="auto"/>
              <w:ind w:left="9"/>
            </w:pPr>
            <w:r>
              <w:rPr>
                <w:color w:val="231F20"/>
                <w:spacing w:val="4"/>
              </w:rPr>
              <w:t>2.</w:t>
            </w:r>
            <w:r>
              <w:rPr>
                <w:color w:val="231F20"/>
                <w:spacing w:val="48"/>
                <w:w w:val="101"/>
              </w:rPr>
              <w:t xml:space="preserve"> </w:t>
            </w:r>
            <w:r>
              <w:rPr>
                <w:color w:val="231F20"/>
                <w:spacing w:val="4"/>
              </w:rPr>
              <w:t>系统组成及管路布局</w:t>
            </w:r>
          </w:p>
        </w:tc>
        <w:tc>
          <w:tcPr>
            <w:tcW w:w="2180" w:type="dxa"/>
            <w:vAlign w:val="top"/>
          </w:tcPr>
          <w:p>
            <w:pPr>
              <w:pStyle w:val="TableText"/>
              <w:spacing w:before="45" w:line="176" w:lineRule="auto"/>
              <w:ind w:right="25"/>
              <w:jc w:val="right"/>
            </w:pPr>
            <w:r>
              <w:rPr>
                <w:color w:val="231F20"/>
                <w:spacing w:val="-6"/>
              </w:rPr>
              <w:t>12</w:t>
            </w:r>
          </w:p>
        </w:tc>
      </w:tr>
      <w:tr>
        <w:tblPrEx>
          <w:tblW w:w="7143" w:type="dxa"/>
          <w:tblInd w:w="0" w:type="dxa"/>
          <w:tblLayout w:type="fixed"/>
        </w:tblPrEx>
        <w:trPr>
          <w:trHeight w:val="638"/>
        </w:trPr>
        <w:tc>
          <w:tcPr>
            <w:tcW w:w="4963" w:type="dxa"/>
            <w:tcBorders>
              <w:bottom w:val="single" w:sz="2" w:space="0" w:color="2E76BC"/>
            </w:tcBorders>
            <w:vAlign w:val="top"/>
          </w:tcPr>
          <w:p>
            <w:pPr>
              <w:pStyle w:val="TableText"/>
              <w:spacing w:before="68" w:line="183" w:lineRule="auto"/>
              <w:ind w:left="10"/>
            </w:pPr>
            <w:r>
              <w:rPr>
                <w:color w:val="231F20"/>
                <w:spacing w:val="4"/>
              </w:rPr>
              <w:t>3.</w:t>
            </w:r>
            <w:r>
              <w:rPr>
                <w:color w:val="231F20"/>
                <w:spacing w:val="52"/>
                <w:w w:val="101"/>
              </w:rPr>
              <w:t xml:space="preserve"> </w:t>
            </w:r>
            <w:r>
              <w:rPr>
                <w:color w:val="231F20"/>
                <w:spacing w:val="4"/>
              </w:rPr>
              <w:t>通流方式选择及流量计算</w:t>
            </w:r>
          </w:p>
        </w:tc>
        <w:tc>
          <w:tcPr>
            <w:tcW w:w="2180" w:type="dxa"/>
            <w:tcBorders>
              <w:bottom w:val="single" w:sz="2" w:space="0" w:color="2E76BC"/>
            </w:tcBorders>
            <w:vAlign w:val="top"/>
          </w:tcPr>
          <w:p>
            <w:pPr>
              <w:pStyle w:val="TableText"/>
              <w:spacing w:before="47" w:line="174" w:lineRule="auto"/>
              <w:ind w:right="25"/>
              <w:jc w:val="right"/>
            </w:pPr>
            <w:r>
              <w:rPr>
                <w:color w:val="231F20"/>
                <w:spacing w:val="-6"/>
              </w:rPr>
              <w:t>13</w:t>
            </w:r>
          </w:p>
        </w:tc>
      </w:tr>
      <w:tr>
        <w:tblPrEx>
          <w:tblW w:w="7143" w:type="dxa"/>
          <w:tblInd w:w="0" w:type="dxa"/>
          <w:tblLayout w:type="fixed"/>
        </w:tblPrEx>
        <w:trPr>
          <w:trHeight w:val="479"/>
        </w:trPr>
        <w:tc>
          <w:tcPr>
            <w:tcW w:w="4963" w:type="dxa"/>
            <w:tcBorders>
              <w:top w:val="single" w:sz="2" w:space="0" w:color="2E76BC"/>
            </w:tcBorders>
            <w:vAlign w:val="top"/>
          </w:tcPr>
          <w:p>
            <w:pPr>
              <w:pStyle w:val="TableText"/>
              <w:spacing w:before="263" w:line="169" w:lineRule="auto"/>
              <w:ind w:left="8"/>
            </w:pPr>
            <w:r>
              <w:rPr>
                <w:color w:val="231F20"/>
                <w:spacing w:val="6"/>
              </w:rPr>
              <w:t>第三章 全液冷服务器冷板关键部件设计</w:t>
            </w:r>
          </w:p>
        </w:tc>
        <w:tc>
          <w:tcPr>
            <w:tcW w:w="2180" w:type="dxa"/>
            <w:tcBorders>
              <w:top w:val="single" w:sz="2" w:space="0" w:color="2E76BC"/>
            </w:tcBorders>
            <w:vAlign w:val="top"/>
          </w:tcPr>
          <w:p>
            <w:pPr>
              <w:pStyle w:val="TableText"/>
              <w:spacing w:before="244" w:line="174" w:lineRule="auto"/>
              <w:ind w:right="25"/>
              <w:jc w:val="right"/>
            </w:pPr>
            <w:r>
              <w:rPr>
                <w:color w:val="231F20"/>
                <w:spacing w:val="-6"/>
              </w:rPr>
              <w:t>16</w:t>
            </w:r>
          </w:p>
        </w:tc>
      </w:tr>
      <w:tr>
        <w:tblPrEx>
          <w:tblW w:w="7143" w:type="dxa"/>
          <w:tblInd w:w="0" w:type="dxa"/>
          <w:tblLayout w:type="fixed"/>
        </w:tblPrEx>
        <w:trPr>
          <w:trHeight w:val="277"/>
        </w:trPr>
        <w:tc>
          <w:tcPr>
            <w:tcW w:w="4963" w:type="dxa"/>
            <w:vAlign w:val="top"/>
          </w:tcPr>
          <w:p>
            <w:pPr>
              <w:pStyle w:val="TableText"/>
              <w:spacing w:before="68" w:line="163" w:lineRule="auto"/>
              <w:ind w:left="16"/>
            </w:pPr>
            <w:r>
              <w:rPr>
                <w:color w:val="231F20"/>
                <w:spacing w:val="-4"/>
              </w:rPr>
              <w:t>1.  CPU冷板设计</w:t>
            </w:r>
          </w:p>
        </w:tc>
        <w:tc>
          <w:tcPr>
            <w:tcW w:w="2180" w:type="dxa"/>
            <w:vAlign w:val="top"/>
          </w:tcPr>
          <w:p>
            <w:pPr>
              <w:pStyle w:val="TableText"/>
              <w:spacing w:before="45" w:line="176" w:lineRule="auto"/>
              <w:ind w:right="25"/>
              <w:jc w:val="right"/>
            </w:pPr>
            <w:r>
              <w:rPr>
                <w:color w:val="231F20"/>
                <w:spacing w:val="-6"/>
              </w:rPr>
              <w:t>17</w:t>
            </w:r>
          </w:p>
        </w:tc>
      </w:tr>
      <w:tr>
        <w:tblPrEx>
          <w:tblW w:w="7143" w:type="dxa"/>
          <w:tblInd w:w="0" w:type="dxa"/>
          <w:tblLayout w:type="fixed"/>
        </w:tblPrEx>
        <w:trPr>
          <w:trHeight w:val="279"/>
        </w:trPr>
        <w:tc>
          <w:tcPr>
            <w:tcW w:w="4963" w:type="dxa"/>
            <w:vAlign w:val="top"/>
          </w:tcPr>
          <w:p>
            <w:pPr>
              <w:pStyle w:val="TableText"/>
              <w:spacing w:before="72" w:line="162" w:lineRule="auto"/>
              <w:ind w:left="9"/>
            </w:pPr>
            <w:r>
              <w:rPr>
                <w:color w:val="231F20"/>
                <w:spacing w:val="2"/>
              </w:rPr>
              <w:t>2.  内存液冷设计</w:t>
            </w:r>
          </w:p>
        </w:tc>
        <w:tc>
          <w:tcPr>
            <w:tcW w:w="2180" w:type="dxa"/>
            <w:vAlign w:val="top"/>
          </w:tcPr>
          <w:p>
            <w:pPr>
              <w:pStyle w:val="TableText"/>
              <w:spacing w:before="48" w:line="176" w:lineRule="auto"/>
              <w:ind w:right="25"/>
              <w:jc w:val="right"/>
            </w:pPr>
            <w:r>
              <w:rPr>
                <w:color w:val="231F20"/>
                <w:spacing w:val="-6"/>
              </w:rPr>
              <w:t>17</w:t>
            </w:r>
          </w:p>
        </w:tc>
      </w:tr>
      <w:tr>
        <w:tblPrEx>
          <w:tblW w:w="7143" w:type="dxa"/>
          <w:tblInd w:w="0" w:type="dxa"/>
          <w:tblLayout w:type="fixed"/>
        </w:tblPrEx>
        <w:trPr>
          <w:trHeight w:val="280"/>
        </w:trPr>
        <w:tc>
          <w:tcPr>
            <w:tcW w:w="4963" w:type="dxa"/>
            <w:vAlign w:val="top"/>
          </w:tcPr>
          <w:p>
            <w:pPr>
              <w:pStyle w:val="TableText"/>
              <w:spacing w:before="73" w:line="162" w:lineRule="auto"/>
              <w:ind w:left="10"/>
            </w:pPr>
            <w:r>
              <w:rPr>
                <w:color w:val="231F20"/>
                <w:spacing w:val="3"/>
              </w:rPr>
              <w:t>3.</w:t>
            </w:r>
            <w:r>
              <w:rPr>
                <w:color w:val="231F20"/>
                <w:spacing w:val="45"/>
              </w:rPr>
              <w:t xml:space="preserve"> </w:t>
            </w:r>
            <w:r>
              <w:rPr>
                <w:color w:val="231F20"/>
                <w:spacing w:val="3"/>
              </w:rPr>
              <w:t>硬盘液冷设计</w:t>
            </w:r>
          </w:p>
        </w:tc>
        <w:tc>
          <w:tcPr>
            <w:tcW w:w="2180" w:type="dxa"/>
            <w:vAlign w:val="top"/>
          </w:tcPr>
          <w:p>
            <w:pPr>
              <w:pStyle w:val="TableText"/>
              <w:spacing w:before="49" w:line="174" w:lineRule="auto"/>
              <w:ind w:right="25"/>
              <w:jc w:val="right"/>
            </w:pPr>
            <w:r>
              <w:rPr>
                <w:color w:val="231F20"/>
                <w:spacing w:val="-6"/>
              </w:rPr>
              <w:t>18</w:t>
            </w:r>
          </w:p>
        </w:tc>
      </w:tr>
      <w:tr>
        <w:tblPrEx>
          <w:tblW w:w="7143" w:type="dxa"/>
          <w:tblInd w:w="0" w:type="dxa"/>
          <w:tblLayout w:type="fixed"/>
        </w:tblPrEx>
        <w:trPr>
          <w:trHeight w:val="280"/>
        </w:trPr>
        <w:tc>
          <w:tcPr>
            <w:tcW w:w="4963" w:type="dxa"/>
            <w:vAlign w:val="top"/>
          </w:tcPr>
          <w:p>
            <w:pPr>
              <w:pStyle w:val="TableText"/>
              <w:spacing w:before="73" w:line="162" w:lineRule="auto"/>
              <w:ind w:left="5"/>
            </w:pPr>
            <w:r>
              <w:rPr>
                <w:color w:val="231F20"/>
                <w:spacing w:val="-1"/>
              </w:rPr>
              <w:t>4.  PCIe/OCP卡液冷设计</w:t>
            </w:r>
          </w:p>
        </w:tc>
        <w:tc>
          <w:tcPr>
            <w:tcW w:w="2180" w:type="dxa"/>
            <w:vAlign w:val="top"/>
          </w:tcPr>
          <w:p>
            <w:pPr>
              <w:pStyle w:val="TableText"/>
              <w:spacing w:before="49" w:line="174" w:lineRule="auto"/>
              <w:ind w:right="25"/>
              <w:jc w:val="right"/>
            </w:pPr>
            <w:r>
              <w:rPr>
                <w:color w:val="231F20"/>
                <w:spacing w:val="-6"/>
              </w:rPr>
              <w:t>19</w:t>
            </w:r>
          </w:p>
        </w:tc>
      </w:tr>
      <w:tr>
        <w:tblPrEx>
          <w:tblW w:w="7143" w:type="dxa"/>
          <w:tblInd w:w="0" w:type="dxa"/>
          <w:tblLayout w:type="fixed"/>
        </w:tblPrEx>
        <w:trPr>
          <w:trHeight w:val="566"/>
        </w:trPr>
        <w:tc>
          <w:tcPr>
            <w:tcW w:w="4963" w:type="dxa"/>
            <w:tcBorders>
              <w:bottom w:val="single" w:sz="4" w:space="0" w:color="2FBA8C"/>
            </w:tcBorders>
            <w:vAlign w:val="top"/>
          </w:tcPr>
          <w:p>
            <w:pPr>
              <w:pStyle w:val="TableText"/>
              <w:spacing w:before="72" w:line="180" w:lineRule="auto"/>
              <w:ind w:left="14"/>
            </w:pPr>
            <w:r>
              <w:rPr>
                <w:color w:val="231F20"/>
              </w:rPr>
              <w:t>5.</w:t>
            </w:r>
            <w:r>
              <w:rPr>
                <w:color w:val="231F20"/>
                <w:spacing w:val="7"/>
              </w:rPr>
              <w:t xml:space="preserve">  </w:t>
            </w:r>
            <w:r>
              <w:rPr>
                <w:color w:val="231F20"/>
              </w:rPr>
              <w:t>电源冷板设计</w:t>
            </w:r>
          </w:p>
        </w:tc>
        <w:tc>
          <w:tcPr>
            <w:tcW w:w="2180" w:type="dxa"/>
            <w:tcBorders>
              <w:bottom w:val="single" w:sz="4" w:space="0" w:color="2FBA8C"/>
            </w:tcBorders>
            <w:vAlign w:val="top"/>
          </w:tcPr>
          <w:p>
            <w:pPr>
              <w:pStyle w:val="TableText"/>
              <w:spacing w:before="49" w:line="176" w:lineRule="auto"/>
              <w:ind w:right="29"/>
              <w:jc w:val="right"/>
            </w:pPr>
            <w:r>
              <w:rPr>
                <w:color w:val="231F20"/>
                <w:spacing w:val="-4"/>
              </w:rPr>
              <w:t>21</w:t>
            </w:r>
          </w:p>
        </w:tc>
      </w:tr>
      <w:tr>
        <w:tblPrEx>
          <w:tblW w:w="7143" w:type="dxa"/>
          <w:tblInd w:w="0" w:type="dxa"/>
          <w:tblLayout w:type="fixed"/>
        </w:tblPrEx>
        <w:trPr>
          <w:trHeight w:val="546"/>
        </w:trPr>
        <w:tc>
          <w:tcPr>
            <w:tcW w:w="4963" w:type="dxa"/>
            <w:tcBorders>
              <w:top w:val="single" w:sz="4" w:space="0" w:color="2FBA8C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67" w:lineRule="auto"/>
              <w:ind w:left="8"/>
            </w:pPr>
            <w:r>
              <w:rPr>
                <w:color w:val="231F20"/>
                <w:spacing w:val="5"/>
              </w:rPr>
              <w:t>第四章 全液冷服务器冷板性能测试</w:t>
            </w:r>
          </w:p>
        </w:tc>
        <w:tc>
          <w:tcPr>
            <w:tcW w:w="2180" w:type="dxa"/>
            <w:tcBorders>
              <w:top w:val="single" w:sz="4" w:space="0" w:color="2FBA8C"/>
            </w:tcBorders>
            <w:vAlign w:val="top"/>
          </w:tcPr>
          <w:p>
            <w:pPr>
              <w:pStyle w:val="TableText"/>
              <w:spacing w:before="313" w:line="174" w:lineRule="auto"/>
              <w:ind w:right="29"/>
              <w:jc w:val="right"/>
            </w:pPr>
            <w:r>
              <w:rPr>
                <w:color w:val="231F20"/>
                <w:spacing w:val="-4"/>
              </w:rPr>
              <w:t>23</w:t>
            </w:r>
          </w:p>
        </w:tc>
      </w:tr>
      <w:tr>
        <w:tblPrEx>
          <w:tblW w:w="7143" w:type="dxa"/>
          <w:tblInd w:w="0" w:type="dxa"/>
          <w:tblLayout w:type="fixed"/>
        </w:tblPrEx>
        <w:trPr>
          <w:trHeight w:val="277"/>
        </w:trPr>
        <w:tc>
          <w:tcPr>
            <w:tcW w:w="4963" w:type="dxa"/>
            <w:vAlign w:val="top"/>
          </w:tcPr>
          <w:p>
            <w:pPr>
              <w:pStyle w:val="TableText"/>
              <w:spacing w:before="70" w:line="162" w:lineRule="auto"/>
              <w:ind w:left="16"/>
            </w:pPr>
            <w:r>
              <w:rPr>
                <w:color w:val="231F20"/>
              </w:rPr>
              <w:t>1.</w:t>
            </w:r>
            <w:r>
              <w:rPr>
                <w:color w:val="231F20"/>
                <w:spacing w:val="45"/>
              </w:rPr>
              <w:t xml:space="preserve"> </w:t>
            </w:r>
            <w:r>
              <w:rPr>
                <w:color w:val="231F20"/>
              </w:rPr>
              <w:t>测试项目介绍</w:t>
            </w:r>
          </w:p>
        </w:tc>
        <w:tc>
          <w:tcPr>
            <w:tcW w:w="2180" w:type="dxa"/>
            <w:vAlign w:val="top"/>
          </w:tcPr>
          <w:p>
            <w:pPr>
              <w:pStyle w:val="TableText"/>
              <w:spacing w:before="47" w:line="176" w:lineRule="auto"/>
              <w:ind w:right="29"/>
              <w:jc w:val="right"/>
            </w:pPr>
            <w:r>
              <w:rPr>
                <w:color w:val="231F20"/>
                <w:spacing w:val="-4"/>
              </w:rPr>
              <w:t>24</w:t>
            </w:r>
          </w:p>
        </w:tc>
      </w:tr>
      <w:tr>
        <w:tblPrEx>
          <w:tblW w:w="7143" w:type="dxa"/>
          <w:tblInd w:w="0" w:type="dxa"/>
          <w:tblLayout w:type="fixed"/>
        </w:tblPrEx>
        <w:trPr>
          <w:trHeight w:val="571"/>
        </w:trPr>
        <w:tc>
          <w:tcPr>
            <w:tcW w:w="4963" w:type="dxa"/>
            <w:tcBorders>
              <w:bottom w:val="single" w:sz="2" w:space="0" w:color="2E76BC"/>
            </w:tcBorders>
            <w:vAlign w:val="top"/>
          </w:tcPr>
          <w:p>
            <w:pPr>
              <w:pStyle w:val="TableText"/>
              <w:spacing w:before="73" w:line="181" w:lineRule="auto"/>
              <w:ind w:left="9"/>
            </w:pPr>
            <w:r>
              <w:rPr>
                <w:color w:val="231F20"/>
                <w:spacing w:val="4"/>
              </w:rPr>
              <w:t>2.</w:t>
            </w:r>
            <w:r>
              <w:rPr>
                <w:color w:val="231F20"/>
                <w:spacing w:val="40"/>
              </w:rPr>
              <w:t xml:space="preserve"> </w:t>
            </w:r>
            <w:r>
              <w:rPr>
                <w:color w:val="231F20"/>
                <w:spacing w:val="4"/>
              </w:rPr>
              <w:t>测试结果分析</w:t>
            </w:r>
          </w:p>
        </w:tc>
        <w:tc>
          <w:tcPr>
            <w:tcW w:w="2180" w:type="dxa"/>
            <w:tcBorders>
              <w:bottom w:val="single" w:sz="2" w:space="0" w:color="2E76BC"/>
            </w:tcBorders>
            <w:vAlign w:val="top"/>
          </w:tcPr>
          <w:p>
            <w:pPr>
              <w:pStyle w:val="TableText"/>
              <w:spacing w:before="50" w:line="174" w:lineRule="auto"/>
              <w:ind w:right="29"/>
              <w:jc w:val="right"/>
            </w:pPr>
            <w:r>
              <w:rPr>
                <w:color w:val="231F20"/>
                <w:spacing w:val="-4"/>
              </w:rPr>
              <w:t>25</w:t>
            </w:r>
          </w:p>
        </w:tc>
      </w:tr>
      <w:tr>
        <w:tblPrEx>
          <w:tblW w:w="7143" w:type="dxa"/>
          <w:tblInd w:w="0" w:type="dxa"/>
          <w:tblLayout w:type="fixed"/>
        </w:tblPrEx>
        <w:trPr>
          <w:trHeight w:val="545"/>
        </w:trPr>
        <w:tc>
          <w:tcPr>
            <w:tcW w:w="4963" w:type="dxa"/>
            <w:tcBorders>
              <w:top w:val="single" w:sz="2" w:space="0" w:color="2E76BC"/>
            </w:tcBorders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65" w:lineRule="auto"/>
              <w:ind w:left="8"/>
            </w:pPr>
            <w:r>
              <w:rPr>
                <w:color w:val="231F20"/>
                <w:spacing w:val="5"/>
              </w:rPr>
              <w:t>第五章 铝冷板全液冷方案设计与测试</w:t>
            </w:r>
          </w:p>
        </w:tc>
        <w:tc>
          <w:tcPr>
            <w:tcW w:w="2180" w:type="dxa"/>
            <w:tcBorders>
              <w:top w:val="single" w:sz="2" w:space="0" w:color="2E76BC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174" w:lineRule="auto"/>
              <w:ind w:right="29"/>
              <w:jc w:val="right"/>
            </w:pPr>
            <w:r>
              <w:rPr>
                <w:color w:val="231F20"/>
                <w:spacing w:val="-4"/>
              </w:rPr>
              <w:t>29</w:t>
            </w:r>
          </w:p>
        </w:tc>
      </w:tr>
      <w:tr>
        <w:tblPrEx>
          <w:tblW w:w="7143" w:type="dxa"/>
          <w:tblInd w:w="0" w:type="dxa"/>
          <w:tblLayout w:type="fixed"/>
        </w:tblPrEx>
        <w:trPr>
          <w:trHeight w:val="278"/>
        </w:trPr>
        <w:tc>
          <w:tcPr>
            <w:tcW w:w="4963" w:type="dxa"/>
            <w:vAlign w:val="top"/>
          </w:tcPr>
          <w:p>
            <w:pPr>
              <w:pStyle w:val="TableText"/>
              <w:spacing w:before="71" w:line="162" w:lineRule="auto"/>
              <w:ind w:left="16"/>
            </w:pPr>
            <w:r>
              <w:rPr>
                <w:color w:val="231F20"/>
                <w:spacing w:val="3"/>
              </w:rPr>
              <w:t>1.</w:t>
            </w:r>
            <w:r>
              <w:rPr>
                <w:color w:val="231F20"/>
                <w:spacing w:val="38"/>
                <w:w w:val="101"/>
              </w:rPr>
              <w:t xml:space="preserve"> </w:t>
            </w:r>
            <w:r>
              <w:rPr>
                <w:color w:val="231F20"/>
                <w:spacing w:val="3"/>
              </w:rPr>
              <w:t>铝冷板全液冷方案设计</w:t>
            </w:r>
          </w:p>
        </w:tc>
        <w:tc>
          <w:tcPr>
            <w:tcW w:w="2180" w:type="dxa"/>
            <w:vAlign w:val="top"/>
          </w:tcPr>
          <w:p>
            <w:pPr>
              <w:pStyle w:val="TableText"/>
              <w:spacing w:before="49" w:line="174" w:lineRule="auto"/>
              <w:ind w:right="28"/>
              <w:jc w:val="right"/>
            </w:pPr>
            <w:r>
              <w:rPr>
                <w:color w:val="231F20"/>
                <w:spacing w:val="-4"/>
              </w:rPr>
              <w:t>30</w:t>
            </w:r>
          </w:p>
        </w:tc>
      </w:tr>
      <w:tr>
        <w:tblPrEx>
          <w:tblW w:w="7143" w:type="dxa"/>
          <w:tblInd w:w="0" w:type="dxa"/>
          <w:tblLayout w:type="fixed"/>
        </w:tblPrEx>
        <w:trPr>
          <w:trHeight w:val="280"/>
        </w:trPr>
        <w:tc>
          <w:tcPr>
            <w:tcW w:w="4963" w:type="dxa"/>
            <w:vAlign w:val="top"/>
          </w:tcPr>
          <w:p>
            <w:pPr>
              <w:pStyle w:val="TableText"/>
              <w:spacing w:before="73" w:line="162" w:lineRule="auto"/>
              <w:ind w:left="9"/>
            </w:pPr>
            <w:r>
              <w:rPr>
                <w:color w:val="231F20"/>
                <w:spacing w:val="5"/>
              </w:rPr>
              <w:t>2.</w:t>
            </w:r>
            <w:r>
              <w:rPr>
                <w:color w:val="231F20"/>
                <w:spacing w:val="41"/>
                <w:w w:val="101"/>
              </w:rPr>
              <w:t xml:space="preserve"> </w:t>
            </w:r>
            <w:r>
              <w:rPr>
                <w:color w:val="231F20"/>
                <w:spacing w:val="5"/>
              </w:rPr>
              <w:t>铝冷板性能与兼容性测试</w:t>
            </w:r>
          </w:p>
        </w:tc>
        <w:tc>
          <w:tcPr>
            <w:tcW w:w="2180" w:type="dxa"/>
            <w:vAlign w:val="top"/>
          </w:tcPr>
          <w:p>
            <w:pPr>
              <w:pStyle w:val="TableText"/>
              <w:spacing w:before="52" w:line="174" w:lineRule="auto"/>
              <w:ind w:right="28"/>
              <w:jc w:val="right"/>
            </w:pPr>
            <w:r>
              <w:rPr>
                <w:color w:val="231F20"/>
                <w:spacing w:val="-4"/>
              </w:rPr>
              <w:t>31</w:t>
            </w:r>
          </w:p>
        </w:tc>
      </w:tr>
    </w:tbl>
    <w:p>
      <w:pPr>
        <w:sectPr>
          <w:pgSz w:w="11906" w:h="16158"/>
          <w:pgMar w:top="1373" w:right="1785" w:bottom="0" w:left="1459" w:header="0" w:footer="0" w:gutter="0"/>
          <w:cols w:space="708"/>
        </w:sectPr>
      </w:pPr>
    </w:p>
    <w:tbl>
      <w:tblPr>
        <w:tblStyle w:val="TableNormal0"/>
        <w:tblW w:w="7143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4963"/>
        <w:gridCol w:w="2180"/>
      </w:tblGrid>
      <w:tr>
        <w:tblPrEx>
          <w:tblW w:w="7143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612"/>
        </w:trPr>
        <w:tc>
          <w:tcPr>
            <w:tcW w:w="4963" w:type="dxa"/>
            <w:tcBorders>
              <w:bottom w:val="single" w:sz="4" w:space="0" w:color="2FBA8C"/>
            </w:tcBorders>
            <w:vAlign w:val="top"/>
          </w:tcPr>
          <w:p>
            <w:pPr>
              <w:pStyle w:val="TableText"/>
              <w:spacing w:before="73" w:line="182" w:lineRule="auto"/>
              <w:ind w:left="10"/>
            </w:pPr>
            <w:r>
              <w:rPr>
                <w:color w:val="231F20"/>
                <w:spacing w:val="5"/>
              </w:rPr>
              <w:t>3.</w:t>
            </w:r>
            <w:r>
              <w:rPr>
                <w:color w:val="231F20"/>
                <w:spacing w:val="38"/>
                <w:w w:val="101"/>
              </w:rPr>
              <w:t xml:space="preserve"> </w:t>
            </w:r>
            <w:r>
              <w:rPr>
                <w:color w:val="231F20"/>
                <w:spacing w:val="5"/>
              </w:rPr>
              <w:t>铝冷板测试结果及分析</w:t>
            </w:r>
          </w:p>
        </w:tc>
        <w:tc>
          <w:tcPr>
            <w:tcW w:w="2180" w:type="dxa"/>
            <w:tcBorders>
              <w:bottom w:val="single" w:sz="4" w:space="0" w:color="2FBA8C"/>
            </w:tcBorders>
            <w:vAlign w:val="top"/>
          </w:tcPr>
          <w:p>
            <w:pPr>
              <w:pStyle w:val="TableText"/>
              <w:spacing w:before="52" w:line="174" w:lineRule="auto"/>
              <w:ind w:right="28"/>
              <w:jc w:val="right"/>
            </w:pPr>
            <w:r>
              <w:rPr>
                <w:color w:val="231F20"/>
                <w:spacing w:val="-4"/>
              </w:rPr>
              <w:t>32</w:t>
            </w:r>
          </w:p>
        </w:tc>
      </w:tr>
    </w:tbl>
    <w:sdt>
      <w:sdtPr>
        <w:rPr>
          <w:rFonts w:ascii="Arial" w:eastAsia="Arial" w:hAnsi="Arial" w:cs="Arial"/>
          <w:sz w:val="21"/>
          <w:szCs w:val="21"/>
        </w:rPr>
        <w:id w:val="506107885"/>
        <w:docPartObj>
          <w:docPartGallery w:val="Table of Contents"/>
          <w:docPartUnique/>
        </w:docPartObj>
      </w:sdtPr>
      <w:sdtEndPr>
        <w:rPr>
          <w:rFonts w:ascii="Microsoft YaHei" w:eastAsia="Microsoft YaHei" w:hAnsi="Microsoft YaHei" w:cs="Microsoft YaHei"/>
          <w:sz w:val="17"/>
          <w:szCs w:val="17"/>
        </w:rPr>
      </w:sdtEndPr>
      <w:sdtContent>
        <w:p>
          <w:pPr>
            <w:spacing w:before="269" w:line="178" w:lineRule="auto"/>
            <w:ind w:left="8"/>
            <w:rPr>
              <w:rFonts w:ascii="Microsoft YaHei" w:eastAsia="Microsoft YaHei" w:hAnsi="Microsoft YaHei" w:cs="Microsoft YaHei"/>
              <w:sz w:val="17"/>
              <w:szCs w:val="17"/>
            </w:rPr>
          </w:pPr>
          <w:r>
            <w:rPr>
              <w:rFonts w:ascii="Microsoft YaHei" w:eastAsia="Microsoft YaHei" w:hAnsi="Microsoft YaHei" w:cs="Microsoft YaHei"/>
              <w:color w:val="231F20"/>
              <w:spacing w:val="2"/>
              <w:sz w:val="17"/>
              <w:szCs w:val="17"/>
            </w:rPr>
            <w:t xml:space="preserve">第六章 冷板液冷未来思考展望                                                                                        </w:t>
          </w:r>
          <w:r>
            <w:rPr>
              <w:rFonts w:ascii="Microsoft YaHei" w:eastAsia="Microsoft YaHei" w:hAnsi="Microsoft YaHei" w:cs="Microsoft YaHei"/>
              <w:color w:val="231F20"/>
              <w:spacing w:val="2"/>
              <w:position w:val="3"/>
              <w:sz w:val="17"/>
              <w:szCs w:val="17"/>
            </w:rPr>
            <w:t>35</w:t>
          </w:r>
        </w:p>
        <w:p>
          <w:pPr>
            <w:spacing w:before="33" w:line="175" w:lineRule="auto"/>
            <w:ind w:left="16"/>
            <w:rPr>
              <w:rFonts w:ascii="Microsoft YaHei" w:eastAsia="Microsoft YaHei" w:hAnsi="Microsoft YaHei" w:cs="Microsoft YaHei"/>
              <w:sz w:val="17"/>
              <w:szCs w:val="17"/>
            </w:rPr>
          </w:pPr>
          <w:r>
            <w:rPr>
              <w:rFonts w:ascii="Microsoft YaHei" w:eastAsia="Microsoft YaHei" w:hAnsi="Microsoft YaHei" w:cs="Microsoft YaHei"/>
              <w:color w:val="231F20"/>
              <w:spacing w:val="1"/>
              <w:sz w:val="17"/>
              <w:szCs w:val="17"/>
            </w:rPr>
            <w:t>1.</w:t>
          </w:r>
          <w:r>
            <w:rPr>
              <w:rFonts w:ascii="Microsoft YaHei" w:eastAsia="Microsoft YaHei" w:hAnsi="Microsoft YaHei" w:cs="Microsoft YaHei"/>
              <w:color w:val="231F20"/>
              <w:spacing w:val="49"/>
              <w:w w:val="101"/>
              <w:sz w:val="17"/>
              <w:szCs w:val="17"/>
            </w:rPr>
            <w:t xml:space="preserve"> </w:t>
          </w:r>
          <w:r>
            <w:rPr>
              <w:rFonts w:ascii="Microsoft YaHei" w:eastAsia="Microsoft YaHei" w:hAnsi="Microsoft YaHei" w:cs="Microsoft YaHei"/>
              <w:color w:val="231F20"/>
              <w:spacing w:val="1"/>
              <w:sz w:val="17"/>
              <w:szCs w:val="17"/>
            </w:rPr>
            <w:t xml:space="preserve">全液冷冷板技术应用拓展                                                                                             </w:t>
          </w:r>
          <w:r>
            <w:rPr>
              <w:rFonts w:ascii="Microsoft YaHei" w:eastAsia="Microsoft YaHei" w:hAnsi="Microsoft YaHei" w:cs="Microsoft YaHei"/>
              <w:color w:val="231F20"/>
              <w:spacing w:val="1"/>
              <w:position w:val="3"/>
              <w:sz w:val="17"/>
              <w:szCs w:val="17"/>
            </w:rPr>
            <w:t>36</w:t>
          </w:r>
        </w:p>
        <w:p>
          <w:pPr>
            <w:spacing w:before="37" w:line="175" w:lineRule="auto"/>
            <w:ind w:left="9"/>
            <w:rPr>
              <w:rFonts w:ascii="Microsoft YaHei" w:eastAsia="Microsoft YaHei" w:hAnsi="Microsoft YaHei" w:cs="Microsoft YaHei"/>
              <w:sz w:val="17"/>
              <w:szCs w:val="17"/>
            </w:rPr>
          </w:pPr>
          <w:r>
            <w:rPr>
              <w:rFonts w:ascii="Microsoft YaHei" w:eastAsia="Microsoft YaHei" w:hAnsi="Microsoft YaHei" w:cs="Microsoft YaHei"/>
              <w:color w:val="231F20"/>
              <w:spacing w:val="2"/>
              <w:sz w:val="17"/>
              <w:szCs w:val="17"/>
            </w:rPr>
            <w:t>2.</w:t>
          </w:r>
          <w:r>
            <w:rPr>
              <w:rFonts w:ascii="Microsoft YaHei" w:eastAsia="Microsoft YaHei" w:hAnsi="Microsoft YaHei" w:cs="Microsoft YaHei"/>
              <w:color w:val="231F20"/>
              <w:spacing w:val="48"/>
              <w:w w:val="101"/>
              <w:sz w:val="17"/>
              <w:szCs w:val="17"/>
            </w:rPr>
            <w:t xml:space="preserve"> </w:t>
          </w:r>
          <w:r>
            <w:rPr>
              <w:rFonts w:ascii="Microsoft YaHei" w:eastAsia="Microsoft YaHei" w:hAnsi="Microsoft YaHei" w:cs="Microsoft YaHei"/>
              <w:color w:val="231F20"/>
              <w:spacing w:val="2"/>
              <w:sz w:val="17"/>
              <w:szCs w:val="17"/>
            </w:rPr>
            <w:t xml:space="preserve">冷板液冷新技术展望                                </w:t>
          </w:r>
          <w:r>
            <w:rPr>
              <w:rFonts w:ascii="Microsoft YaHei" w:eastAsia="Microsoft YaHei" w:hAnsi="Microsoft YaHei" w:cs="Microsoft YaHei"/>
              <w:color w:val="231F20"/>
              <w:spacing w:val="1"/>
              <w:sz w:val="17"/>
              <w:szCs w:val="17"/>
            </w:rPr>
            <w:t xml:space="preserve">                                                                   </w:t>
          </w:r>
          <w:r>
            <w:rPr>
              <w:rFonts w:ascii="Microsoft YaHei" w:eastAsia="Microsoft YaHei" w:hAnsi="Microsoft YaHei" w:cs="Microsoft YaHei"/>
              <w:color w:val="231F20"/>
              <w:spacing w:val="1"/>
              <w:position w:val="3"/>
              <w:sz w:val="17"/>
              <w:szCs w:val="17"/>
            </w:rPr>
            <w:t>37</w:t>
          </w:r>
        </w:p>
      </w:sdtContent>
    </w:sdt>
    <w:p>
      <w:pPr>
        <w:spacing w:line="175" w:lineRule="auto"/>
        <w:rPr>
          <w:rFonts w:ascii="Microsoft YaHei" w:eastAsia="Microsoft YaHei" w:hAnsi="Microsoft YaHei" w:cs="Microsoft YaHei"/>
          <w:sz w:val="17"/>
          <w:szCs w:val="17"/>
        </w:rPr>
        <w:sectPr>
          <w:type w:val="nextPage"/>
          <w:pgSz w:w="11906" w:h="16158"/>
          <w:pgMar w:top="1373" w:right="1785" w:bottom="0" w:left="1459" w:header="0" w:footer="0" w:gutter="0"/>
          <w:pgNumType w:start="2"/>
          <w:cols w:space="708"/>
          <w:titlePg w:val="0"/>
        </w:sectPr>
      </w:pPr>
    </w:p>
    <w:p>
      <w:pPr>
        <w:pStyle w:val="BodyText"/>
        <w:spacing w:line="253" w:lineRule="auto"/>
      </w:pPr>
      <w:r>
        <w:drawing>
          <wp:anchor distT="0" distB="0" distL="0" distR="0" simplePos="0" relativeHeight="251660288" behindDoc="1" locked="0" layoutInCell="0" allowOverlap="1">
            <wp:simplePos x="0" y="0"/>
            <wp:positionH relativeFrom="page">
              <wp:posOffset>6661525</wp:posOffset>
            </wp:positionH>
            <wp:positionV relativeFrom="page">
              <wp:posOffset>380</wp:posOffset>
            </wp:positionV>
            <wp:extent cx="897514" cy="10259568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97514" cy="102595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spacing w:before="305" w:line="175" w:lineRule="auto"/>
        <w:ind w:left="3357"/>
        <w:rPr>
          <w:rFonts w:ascii="Microsoft YaHei" w:eastAsia="Microsoft YaHei" w:hAnsi="Microsoft YaHei" w:cs="Microsoft YaHei"/>
          <w:sz w:val="71"/>
          <w:szCs w:val="71"/>
        </w:rPr>
      </w:pPr>
      <w: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-2196919</wp:posOffset>
                </wp:positionV>
                <wp:extent cx="7560309" cy="10260330"/>
                <wp:effectExtent l="0" t="0" r="0" b="0"/>
                <wp:wrapNone/>
                <wp:docPr id="4" name="Rect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-2196919"/>
                          <a:ext cx="7560309" cy="10260330"/>
                        </a:xfrm>
                        <a:prstGeom prst="rect">
                          <a:avLst/>
                        </a:prstGeom>
                        <a:solidFill>
                          <a:srgbClr val="08368A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4" o:spid="_x0000_s1025" style="width:595.3pt;height:807.9pt;margin-top:-172.99pt;margin-left:0;mso-wrap-distance-bottom:0;mso-wrap-distance-left:0;mso-wrap-distance-right:0;mso-wrap-distance-top:0;position:absolute;v-text-anchor:top;z-index:-251658240" fillcolor="#08368a" stroked="f"/>
            </w:pict>
          </mc:Fallback>
        </mc:AlternateContent>
      </w:r>
      <w:r>
        <w:drawing>
          <wp:anchor distT="0" distB="0" distL="0" distR="0" simplePos="0" relativeHeight="251661312" behindDoc="1" locked="0" layoutInCell="1" allowOverlap="1">
            <wp:simplePos x="0" y="0"/>
            <wp:positionH relativeFrom="column">
              <wp:posOffset>881879</wp:posOffset>
            </wp:positionH>
            <wp:positionV relativeFrom="paragraph">
              <wp:posOffset>-2196538</wp:posOffset>
            </wp:positionV>
            <wp:extent cx="4829136" cy="10259568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29136" cy="102595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color w:val="FFFFFF"/>
          <w:spacing w:val="-12"/>
          <w:sz w:val="71"/>
          <w:szCs w:val="71"/>
        </w:rPr>
        <w:t>第一章</w:t>
      </w:r>
    </w:p>
    <w:p>
      <w:pPr>
        <w:spacing w:before="2" w:line="178" w:lineRule="auto"/>
        <w:ind w:left="3357"/>
        <w:rPr>
          <w:rFonts w:ascii="Microsoft YaHei" w:eastAsia="Microsoft YaHei" w:hAnsi="Microsoft YaHei" w:cs="Microsoft YaHei"/>
          <w:sz w:val="71"/>
          <w:szCs w:val="71"/>
        </w:rPr>
      </w:pPr>
      <w:r>
        <w:rPr>
          <w:rFonts w:ascii="Microsoft YaHei" w:eastAsia="Microsoft YaHei" w:hAnsi="Microsoft YaHei" w:cs="Microsoft YaHei"/>
          <w:b/>
          <w:bCs/>
          <w:color w:val="FFFFFF"/>
          <w:spacing w:val="-14"/>
          <w:w w:val="98"/>
          <w:sz w:val="71"/>
          <w:szCs w:val="71"/>
        </w:rPr>
        <w:t>液冷行业背景及技术</w:t>
      </w:r>
    </w:p>
    <w:p>
      <w:pPr>
        <w:spacing w:before="3" w:line="177" w:lineRule="auto"/>
        <w:ind w:left="3347"/>
        <w:rPr>
          <w:rFonts w:ascii="Microsoft YaHei" w:eastAsia="Microsoft YaHei" w:hAnsi="Microsoft YaHei" w:cs="Microsoft YaHei"/>
          <w:sz w:val="71"/>
          <w:szCs w:val="71"/>
        </w:rPr>
      </w:pPr>
      <w:r>
        <w:rPr>
          <w:rFonts w:ascii="Microsoft YaHei" w:eastAsia="Microsoft YaHei" w:hAnsi="Microsoft YaHei" w:cs="Microsoft YaHei"/>
          <w:b/>
          <w:bCs/>
          <w:color w:val="FFFFFF"/>
          <w:spacing w:val="-22"/>
          <w:sz w:val="71"/>
          <w:szCs w:val="71"/>
        </w:rPr>
        <w:t>优化方向</w:t>
      </w:r>
    </w:p>
    <w:p>
      <w:pPr>
        <w:spacing w:before="188" w:line="182" w:lineRule="auto"/>
        <w:ind w:left="3456"/>
        <w:rPr>
          <w:rFonts w:ascii="Microsoft YaHei" w:eastAsia="Microsoft YaHei" w:hAnsi="Microsoft YaHei" w:cs="Microsoft YaHei"/>
          <w:sz w:val="23"/>
          <w:szCs w:val="23"/>
        </w:rPr>
      </w:pPr>
      <w:r>
        <w:rPr>
          <w:rFonts w:ascii="Microsoft YaHei" w:eastAsia="Microsoft YaHei" w:hAnsi="Microsoft YaHei" w:cs="Microsoft YaHei"/>
          <w:color w:val="FFFFFF"/>
          <w:spacing w:val="-3"/>
          <w:sz w:val="23"/>
          <w:szCs w:val="23"/>
        </w:rPr>
        <w:t>1. 液冷行业背景及政策</w:t>
      </w:r>
    </w:p>
    <w:p>
      <w:pPr>
        <w:spacing w:before="59" w:line="219" w:lineRule="auto"/>
        <w:ind w:left="3445"/>
        <w:rPr>
          <w:rFonts w:ascii="Microsoft YaHei" w:eastAsia="Microsoft YaHei" w:hAnsi="Microsoft YaHei" w:cs="Microsoft YaHei"/>
          <w:sz w:val="23"/>
          <w:szCs w:val="23"/>
        </w:rPr>
      </w:pPr>
      <w:r>
        <w:rPr>
          <w:rFonts w:ascii="Microsoft YaHei" w:eastAsia="Microsoft YaHei" w:hAnsi="Microsoft YaHei" w:cs="Microsoft YaHei"/>
          <w:color w:val="FFFFFF"/>
          <w:spacing w:val="-1"/>
          <w:sz w:val="23"/>
          <w:szCs w:val="23"/>
        </w:rPr>
        <w:t>2. 液冷数据中心主流技术介绍及对比</w:t>
      </w:r>
    </w:p>
    <w:p>
      <w:pPr>
        <w:spacing w:line="184" w:lineRule="auto"/>
        <w:ind w:left="3449"/>
        <w:rPr>
          <w:rFonts w:ascii="Microsoft YaHei" w:eastAsia="Microsoft YaHei" w:hAnsi="Microsoft YaHei" w:cs="Microsoft YaHei"/>
          <w:sz w:val="23"/>
          <w:szCs w:val="23"/>
        </w:rPr>
      </w:pPr>
      <w:r>
        <w:rPr>
          <w:rFonts w:ascii="Microsoft YaHei" w:eastAsia="Microsoft YaHei" w:hAnsi="Microsoft YaHei" w:cs="Microsoft YaHei"/>
          <w:color w:val="FFFFFF"/>
          <w:spacing w:val="-1"/>
          <w:sz w:val="23"/>
          <w:szCs w:val="23"/>
        </w:rPr>
        <w:t>3. 先进冷板液冷数据中心介绍</w:t>
      </w:r>
    </w:p>
    <w:p>
      <w:pPr>
        <w:spacing w:before="56" w:line="185" w:lineRule="auto"/>
        <w:ind w:left="3440"/>
        <w:rPr>
          <w:rFonts w:ascii="Microsoft YaHei" w:eastAsia="Microsoft YaHei" w:hAnsi="Microsoft YaHei" w:cs="Microsoft YaHei"/>
          <w:sz w:val="23"/>
          <w:szCs w:val="23"/>
        </w:rPr>
      </w:pPr>
      <w:r>
        <w:rPr>
          <w:rFonts w:ascii="Microsoft YaHei" w:eastAsia="Microsoft YaHei" w:hAnsi="Microsoft YaHei" w:cs="Microsoft YaHei"/>
          <w:color w:val="FFFFFF"/>
          <w:sz w:val="23"/>
          <w:szCs w:val="23"/>
        </w:rPr>
        <w:t>4. 冷板液冷服务器设计技术优化方向</w:t>
      </w: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  <w:sectPr>
          <w:headerReference w:type="default" r:id="rId6"/>
          <w:pgSz w:w="11906" w:h="16158"/>
          <w:pgMar w:top="400" w:right="0" w:bottom="0" w:left="0" w:header="0" w:footer="0" w:gutter="0"/>
          <w:pgNumType w:start="3"/>
          <w:cols w:space="708"/>
        </w:sectPr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spacing w:before="56" w:line="236" w:lineRule="auto"/>
        <w:ind w:left="1026"/>
        <w:rPr>
          <w:rFonts w:ascii="Microsoft YaHei" w:eastAsia="Microsoft YaHei" w:hAnsi="Microsoft YaHei" w:cs="Microsoft YaHei"/>
          <w:sz w:val="13"/>
          <w:szCs w:val="13"/>
        </w:rPr>
      </w:pPr>
      <w:r>
        <w:rPr>
          <w:rFonts w:ascii="Microsoft YaHei" w:eastAsia="Microsoft YaHei" w:hAnsi="Microsoft YaHei" w:cs="Microsoft YaHei"/>
          <w:color w:val="FFFFFF"/>
          <w:spacing w:val="7"/>
          <w:sz w:val="13"/>
          <w:szCs w:val="13"/>
        </w:rPr>
        <w:t>03 ｜</w:t>
      </w:r>
      <w:r>
        <w:rPr>
          <w:rFonts w:ascii="Microsoft YaHei" w:eastAsia="Microsoft YaHei" w:hAnsi="Microsoft YaHei" w:cs="Microsoft YaHei"/>
          <w:color w:val="FFFFFF"/>
          <w:sz w:val="13"/>
          <w:szCs w:val="13"/>
        </w:rPr>
        <w:t xml:space="preserve"> </w:t>
      </w:r>
      <w:r>
        <w:rPr>
          <w:rFonts w:ascii="Microsoft YaHei" w:eastAsia="Microsoft YaHei" w:hAnsi="Microsoft YaHei" w:cs="Microsoft YaHei"/>
          <w:color w:val="FFFFFF"/>
          <w:spacing w:val="7"/>
          <w:sz w:val="13"/>
          <w:szCs w:val="13"/>
        </w:rPr>
        <w:t>《全液冷冷板系统参考设计及验证白皮书》</w:t>
      </w:r>
    </w:p>
    <w:p>
      <w:pPr>
        <w:spacing w:line="236" w:lineRule="auto"/>
        <w:rPr>
          <w:rFonts w:ascii="Microsoft YaHei" w:eastAsia="Microsoft YaHei" w:hAnsi="Microsoft YaHei" w:cs="Microsoft YaHei"/>
          <w:sz w:val="13"/>
          <w:szCs w:val="13"/>
        </w:rPr>
        <w:sectPr>
          <w:headerReference w:type="default" r:id="rId7"/>
          <w:type w:val="nextPage"/>
          <w:pgSz w:w="11906" w:h="16158"/>
          <w:pgMar w:top="400" w:right="0" w:bottom="0" w:left="0" w:header="0" w:footer="0" w:gutter="0"/>
          <w:pgNumType w:start="4"/>
          <w:cols w:space="708"/>
          <w:titlePg w:val="0"/>
        </w:sectPr>
      </w:pPr>
    </w:p>
    <w:p>
      <w:pPr>
        <w:spacing w:line="508" w:lineRule="exact"/>
      </w:pPr>
      <w:r>
        <w:rPr>
          <w:position w:val="-10"/>
        </w:rPr>
        <w:drawing>
          <wp:inline distT="0" distB="0" distL="0" distR="0">
            <wp:extent cx="7559040" cy="323080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323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312" w:line="298" w:lineRule="exact"/>
        <w:ind w:left="1022"/>
        <w:rPr>
          <w:rFonts w:ascii="Microsoft YaHei" w:eastAsia="Microsoft YaHei" w:hAnsi="Microsoft YaHei" w:cs="Microsoft YaHei"/>
          <w:sz w:val="17"/>
          <w:szCs w:val="17"/>
        </w:rPr>
      </w:pPr>
      <w:r>
        <w:rPr>
          <w:rFonts w:ascii="Microsoft YaHei" w:eastAsia="Microsoft YaHei" w:hAnsi="Microsoft YaHei" w:cs="Microsoft YaHei"/>
          <w:b/>
          <w:bCs/>
          <w:color w:val="2E76BC"/>
          <w:spacing w:val="5"/>
          <w:position w:val="4"/>
          <w:sz w:val="17"/>
          <w:szCs w:val="17"/>
        </w:rPr>
        <w:t>第一章 ｜ 液冷行业背景及技术优化方向</w:t>
      </w:r>
    </w:p>
    <w:p>
      <w:pPr>
        <w:spacing w:before="38"/>
      </w:pPr>
    </w:p>
    <w:p>
      <w:pPr>
        <w:spacing w:before="38"/>
      </w:pPr>
    </w:p>
    <w:tbl>
      <w:tblPr>
        <w:tblStyle w:val="TableNormal1"/>
        <w:tblW w:w="9895" w:type="dxa"/>
        <w:tblInd w:w="991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379"/>
        <w:gridCol w:w="7516"/>
      </w:tblGrid>
      <w:tr>
        <w:tblPrEx>
          <w:tblW w:w="9895" w:type="dxa"/>
          <w:tblInd w:w="991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1520"/>
        </w:trPr>
        <w:tc>
          <w:tcPr>
            <w:tcW w:w="9895" w:type="dxa"/>
            <w:gridSpan w:val="2"/>
            <w:tcBorders>
              <w:top w:val="single" w:sz="16" w:space="0" w:color="231F20"/>
              <w:bottom w:val="single" w:sz="2" w:space="0" w:color="231F20"/>
            </w:tcBorders>
            <w:vAlign w:val="top"/>
          </w:tcPr>
          <w:p>
            <w:pPr>
              <w:pStyle w:val="TableText"/>
              <w:spacing w:before="281" w:line="160" w:lineRule="auto"/>
              <w:ind w:left="63"/>
              <w:rPr>
                <w:sz w:val="35"/>
                <w:szCs w:val="35"/>
              </w:rPr>
            </w:pPr>
            <w:r>
              <w:rPr>
                <w:color w:val="231F20"/>
                <w:spacing w:val="-10"/>
                <w:sz w:val="35"/>
                <w:szCs w:val="35"/>
              </w:rPr>
              <w:t>1.</w:t>
            </w:r>
          </w:p>
          <w:p>
            <w:pPr>
              <w:pStyle w:val="TableText"/>
              <w:spacing w:before="1" w:line="180" w:lineRule="auto"/>
              <w:ind w:left="44"/>
              <w:rPr>
                <w:sz w:val="35"/>
                <w:szCs w:val="35"/>
              </w:rPr>
            </w:pPr>
            <w:r>
              <w:rPr>
                <w:b/>
                <w:bCs/>
                <w:color w:val="231F20"/>
                <w:spacing w:val="-4"/>
                <w:sz w:val="35"/>
                <w:szCs w:val="35"/>
              </w:rPr>
              <w:t>液冷行业背景及政策</w:t>
            </w:r>
          </w:p>
        </w:tc>
      </w:tr>
      <w:tr>
        <w:tblPrEx>
          <w:tblW w:w="9895" w:type="dxa"/>
          <w:tblInd w:w="991" w:type="dxa"/>
          <w:tblLayout w:type="fixed"/>
        </w:tblPrEx>
        <w:trPr>
          <w:trHeight w:val="7016"/>
        </w:trPr>
        <w:tc>
          <w:tcPr>
            <w:tcW w:w="2379" w:type="dxa"/>
            <w:tcBorders>
              <w:top w:val="single" w:sz="2" w:space="0" w:color="231F20"/>
              <w:bottom w:val="single" w:sz="2" w:space="0" w:color="231F20"/>
            </w:tcBorders>
            <w:vAlign w:val="top"/>
          </w:tcPr>
          <w:p>
            <w:pPr>
              <w:spacing w:line="40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172" w:lineRule="auto"/>
              <w:ind w:left="54"/>
              <w:rPr>
                <w:sz w:val="25"/>
                <w:szCs w:val="25"/>
              </w:rPr>
            </w:pPr>
            <w:r>
              <w:rPr>
                <w:color w:val="231F20"/>
                <w:spacing w:val="-12"/>
                <w:sz w:val="25"/>
                <w:szCs w:val="25"/>
              </w:rPr>
              <w:t>1.1</w:t>
            </w:r>
          </w:p>
          <w:p>
            <w:pPr>
              <w:pStyle w:val="TableText"/>
              <w:spacing w:before="30" w:line="192" w:lineRule="auto"/>
              <w:ind w:left="37" w:right="375"/>
              <w:rPr>
                <w:sz w:val="25"/>
                <w:szCs w:val="25"/>
              </w:rPr>
            </w:pPr>
            <w:r>
              <w:rPr>
                <w:color w:val="231F20"/>
                <w:spacing w:val="-5"/>
                <w:sz w:val="25"/>
                <w:szCs w:val="25"/>
              </w:rPr>
              <w:t>数据中心行业发展</w:t>
            </w:r>
            <w:r>
              <w:rPr>
                <w:color w:val="231F20"/>
                <w:spacing w:val="4"/>
                <w:sz w:val="25"/>
                <w:szCs w:val="25"/>
              </w:rPr>
              <w:t xml:space="preserve"> </w:t>
            </w:r>
            <w:r>
              <w:rPr>
                <w:color w:val="231F20"/>
                <w:spacing w:val="-3"/>
                <w:sz w:val="25"/>
                <w:szCs w:val="25"/>
              </w:rPr>
              <w:t>及问题</w:t>
            </w:r>
          </w:p>
        </w:tc>
        <w:tc>
          <w:tcPr>
            <w:tcW w:w="7516" w:type="dxa"/>
            <w:tcBorders>
              <w:top w:val="single" w:sz="2" w:space="0" w:color="231F20"/>
              <w:bottom w:val="single" w:sz="2" w:space="0" w:color="231F20"/>
            </w:tcBorders>
            <w:vAlign w:val="top"/>
          </w:tcPr>
          <w:p>
            <w:pPr>
              <w:spacing w:line="41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227" w:lineRule="auto"/>
              <w:ind w:left="380" w:right="2" w:firstLine="13"/>
              <w:jc w:val="both"/>
            </w:pPr>
            <w:r>
              <w:rPr>
                <w:color w:val="231F20"/>
                <w:spacing w:val="8"/>
              </w:rPr>
              <w:t>国家十四五规划提出大力发展数字经济，计算力代表着生产力，而计算力的承载体就是</w:t>
            </w:r>
            <w:r>
              <w:rPr>
                <w:color w:val="231F20"/>
                <w:spacing w:val="7"/>
              </w:rPr>
              <w:t>数据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  <w:spacing w:val="10"/>
              </w:rPr>
              <w:t>中心。根据</w:t>
            </w:r>
            <w:r>
              <w:rPr>
                <w:color w:val="231F20"/>
              </w:rPr>
              <w:t>IDC</w:t>
            </w:r>
            <w:r>
              <w:rPr>
                <w:color w:val="231F20"/>
                <w:spacing w:val="10"/>
              </w:rPr>
              <w:t>发布算力报告指出：算力提升与经济发展成正相关关系，计算力指数</w:t>
            </w:r>
            <w:r>
              <w:rPr>
                <w:color w:val="231F20"/>
                <w:spacing w:val="9"/>
              </w:rPr>
              <w:t>每提高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  <w:spacing w:val="1"/>
              </w:rPr>
              <w:t>一个点，数字经济会增长3.5%，</w:t>
            </w:r>
            <w:r>
              <w:rPr>
                <w:color w:val="231F20"/>
              </w:rPr>
              <w:t>GDP</w:t>
            </w:r>
            <w:r>
              <w:rPr>
                <w:color w:val="231F20"/>
                <w:spacing w:val="1"/>
              </w:rPr>
              <w:t>会增长1.8%。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227" w:lineRule="auto"/>
              <w:ind w:left="377" w:right="1" w:hanging="1"/>
              <w:jc w:val="both"/>
            </w:pPr>
            <w:r>
              <w:rPr>
                <w:color w:val="231F20"/>
                <w:spacing w:val="8"/>
              </w:rPr>
              <w:t>数据中心基础设施作为算力的载体已成为支撑数字经济的“数字底座”，而其本身也是碳排</w:t>
            </w:r>
            <w:r>
              <w:rPr>
                <w:color w:val="231F20"/>
                <w:spacing w:val="15"/>
                <w:w w:val="101"/>
              </w:rPr>
              <w:t xml:space="preserve"> </w:t>
            </w:r>
            <w:r>
              <w:rPr>
                <w:color w:val="231F20"/>
                <w:spacing w:val="9"/>
              </w:rPr>
              <w:t>放“大户”，2022年，中国数据中心碳排放量相当于5000万辆燃油汽车的年排放总量。在</w:t>
            </w:r>
            <w:r>
              <w:rPr>
                <w:color w:val="231F20"/>
                <w:spacing w:val="1"/>
              </w:rPr>
              <w:t xml:space="preserve"> </w:t>
            </w:r>
            <w:r>
              <w:rPr>
                <w:color w:val="231F20"/>
                <w:spacing w:val="6"/>
              </w:rPr>
              <w:t>双碳目标下，作为“耗电大户”数据中心的节能减排备受关注。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235" w:lineRule="auto"/>
              <w:ind w:left="378" w:right="1" w:firstLine="9"/>
              <w:jc w:val="both"/>
            </w:pPr>
            <w:r>
              <w:rPr>
                <w:color w:val="231F20"/>
                <w:spacing w:val="8"/>
              </w:rPr>
              <w:t>当前，芯片功耗与服务器功耗逐步上升。与之对应，</w:t>
            </w:r>
            <w:r>
              <w:rPr>
                <w:color w:val="231F20"/>
                <w:spacing w:val="-30"/>
              </w:rPr>
              <w:t xml:space="preserve"> </w:t>
            </w:r>
            <w:r>
              <w:rPr>
                <w:color w:val="231F20"/>
                <w:spacing w:val="7"/>
              </w:rPr>
              <w:t>单机柜功率密度也不断增大。根据相关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  <w:spacing w:val="10"/>
              </w:rPr>
              <w:t>机构调研，2020年数据中心平均机架功率为8.</w:t>
            </w:r>
            <w:r>
              <w:rPr>
                <w:color w:val="231F20"/>
                <w:spacing w:val="9"/>
              </w:rPr>
              <w:t>5</w:t>
            </w:r>
            <w:r>
              <w:rPr>
                <w:color w:val="231F20"/>
              </w:rPr>
              <w:t>kW</w:t>
            </w:r>
            <w:r>
              <w:rPr>
                <w:color w:val="231F20"/>
                <w:spacing w:val="9"/>
              </w:rPr>
              <w:t>/机柜，相比于2011、2017年有明显提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  <w:spacing w:val="8"/>
              </w:rPr>
              <w:t>高，年复合增长率达到15%。高功耗芯片，高密度服务器及单机柜密度的演进，对</w:t>
            </w:r>
            <w:r>
              <w:rPr>
                <w:color w:val="231F20"/>
                <w:spacing w:val="7"/>
              </w:rPr>
              <w:t>于传统风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  <w:spacing w:val="8"/>
              </w:rPr>
              <w:t>冷散热来说，</w:t>
            </w:r>
            <w:r>
              <w:rPr>
                <w:color w:val="231F20"/>
                <w:spacing w:val="-24"/>
              </w:rPr>
              <w:t xml:space="preserve"> </w:t>
            </w:r>
            <w:r>
              <w:rPr>
                <w:color w:val="231F20"/>
                <w:spacing w:val="8"/>
              </w:rPr>
              <w:t>既容易出现局部热点，影响换热性能；又需要不</w:t>
            </w:r>
            <w:r>
              <w:rPr>
                <w:color w:val="231F20"/>
                <w:spacing w:val="7"/>
              </w:rPr>
              <w:t>断降低送风温度，增大送风风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  <w:spacing w:val="6"/>
              </w:rPr>
              <w:t>量，影响制冷能耗。因此，传统风冷制冷模式在换热性能及能耗优化方面逐步受限。</w:t>
            </w: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237" w:lineRule="auto"/>
              <w:ind w:left="378" w:firstLine="2"/>
              <w:jc w:val="both"/>
            </w:pPr>
            <w:r>
              <w:rPr>
                <w:color w:val="231F20"/>
                <w:spacing w:val="8"/>
              </w:rPr>
              <w:t>液冷是一种新兴的冷却技术，该种技术通过采用液态冷却工质流动方式带走发热元件热量替</w:t>
            </w:r>
            <w:r>
              <w:rPr>
                <w:color w:val="231F20"/>
                <w:spacing w:val="10"/>
              </w:rPr>
              <w:t xml:space="preserve"> </w:t>
            </w:r>
            <w:r>
              <w:rPr>
                <w:color w:val="231F20"/>
                <w:spacing w:val="12"/>
              </w:rPr>
              <w:t>代风冷换热中采用空气换热的模式。与风冷对比，</w:t>
            </w:r>
            <w:r>
              <w:rPr>
                <w:color w:val="231F20"/>
                <w:spacing w:val="-15"/>
              </w:rPr>
              <w:t xml:space="preserve"> </w:t>
            </w:r>
            <w:r>
              <w:rPr>
                <w:color w:val="231F20"/>
                <w:spacing w:val="12"/>
              </w:rPr>
              <w:t>液冷技术可以更好地支持高功耗芯片解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  <w:spacing w:val="7"/>
              </w:rPr>
              <w:t>热，保持芯片低温运行，延长寿命；充分利用室外自然冷源冷却，</w:t>
            </w:r>
            <w:r>
              <w:rPr>
                <w:color w:val="231F20"/>
                <w:spacing w:val="-19"/>
              </w:rPr>
              <w:t xml:space="preserve"> </w:t>
            </w:r>
            <w:r>
              <w:rPr>
                <w:color w:val="231F20"/>
                <w:spacing w:val="7"/>
              </w:rPr>
              <w:t>降低数据中心</w:t>
            </w:r>
            <w:r>
              <w:rPr>
                <w:color w:val="231F20"/>
              </w:rPr>
              <w:t>PUE</w:t>
            </w:r>
            <w:r>
              <w:rPr>
                <w:color w:val="231F20"/>
                <w:spacing w:val="7"/>
              </w:rPr>
              <w:t>；</w:t>
            </w:r>
            <w:r>
              <w:rPr>
                <w:color w:val="231F20"/>
                <w:spacing w:val="6"/>
              </w:rPr>
              <w:t xml:space="preserve"> 提高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  <w:spacing w:val="8"/>
              </w:rPr>
              <w:t>关键部件换热效率，减少服务器散热热点，支持机柜</w:t>
            </w:r>
            <w:r>
              <w:rPr>
                <w:color w:val="231F20"/>
                <w:spacing w:val="7"/>
              </w:rPr>
              <w:t>更高密度；</w:t>
            </w:r>
            <w:r>
              <w:rPr>
                <w:color w:val="231F20"/>
                <w:spacing w:val="-21"/>
              </w:rPr>
              <w:t xml:space="preserve"> </w:t>
            </w:r>
            <w:r>
              <w:rPr>
                <w:color w:val="231F20"/>
                <w:spacing w:val="7"/>
              </w:rPr>
              <w:t>降低数据中心噪声，提升数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  <w:spacing w:val="8"/>
              </w:rPr>
              <w:t>据中心环境适应性。因此，未来数据中心建设中，液冷技术的应用将会是在数据中心制冷方</w:t>
            </w:r>
            <w:r>
              <w:rPr>
                <w:color w:val="231F20"/>
                <w:spacing w:val="12"/>
                <w:w w:val="101"/>
              </w:rPr>
              <w:t xml:space="preserve"> </w:t>
            </w:r>
            <w:r>
              <w:rPr>
                <w:color w:val="231F20"/>
                <w:spacing w:val="6"/>
              </w:rPr>
              <w:t>向的重要组成部分，也是实现绿色算力和双碳目标达成的重要举措。</w:t>
            </w:r>
          </w:p>
        </w:tc>
      </w:tr>
    </w:tbl>
    <w:p>
      <w:pPr>
        <w:pStyle w:val="BodyText"/>
      </w:pPr>
    </w:p>
    <w:p>
      <w:pPr>
        <w:spacing w:line="210" w:lineRule="exact"/>
      </w:pPr>
    </w:p>
    <w:p>
      <w:pPr>
        <w:spacing w:line="210" w:lineRule="exact"/>
        <w:sectPr>
          <w:headerReference w:type="default" r:id="rId9"/>
          <w:pgSz w:w="11906" w:h="16158"/>
          <w:pgMar w:top="1" w:right="1" w:bottom="0" w:left="0" w:header="0" w:footer="0" w:gutter="0"/>
          <w:pgNumType w:start="5"/>
          <w:cols w:num="1" w:space="708" w:equalWidth="0">
            <w:col w:w="11905" w:space="0"/>
          </w:cols>
        </w:sectPr>
      </w:pPr>
    </w:p>
    <w:p>
      <w:pPr>
        <w:spacing w:before="66" w:line="172" w:lineRule="auto"/>
        <w:ind w:left="1029"/>
        <w:rPr>
          <w:rFonts w:ascii="Microsoft YaHei" w:eastAsia="Microsoft YaHei" w:hAnsi="Microsoft YaHei" w:cs="Microsoft YaHei"/>
          <w:sz w:val="25"/>
          <w:szCs w:val="25"/>
        </w:rPr>
      </w:pPr>
      <w:r>
        <w:rPr>
          <w:rFonts w:ascii="Microsoft YaHei" w:eastAsia="Microsoft YaHei" w:hAnsi="Microsoft YaHei" w:cs="Microsoft YaHei"/>
          <w:color w:val="231F20"/>
          <w:spacing w:val="-10"/>
          <w:sz w:val="25"/>
          <w:szCs w:val="25"/>
        </w:rPr>
        <w:t>1.2</w:t>
      </w:r>
    </w:p>
    <w:p>
      <w:pPr>
        <w:spacing w:before="30" w:line="192" w:lineRule="auto"/>
        <w:ind w:left="1010" w:right="653" w:firstLine="2"/>
        <w:rPr>
          <w:rFonts w:ascii="Microsoft YaHei" w:eastAsia="Microsoft YaHei" w:hAnsi="Microsoft YaHei" w:cs="Microsoft YaHei"/>
          <w:sz w:val="25"/>
          <w:szCs w:val="25"/>
        </w:rPr>
      </w:pPr>
      <w:r>
        <w:rPr>
          <w:rFonts w:ascii="Microsoft YaHei" w:eastAsia="Microsoft YaHei" w:hAnsi="Microsoft YaHei" w:cs="Microsoft YaHei"/>
          <w:color w:val="231F20"/>
          <w:spacing w:val="-5"/>
          <w:sz w:val="25"/>
          <w:szCs w:val="25"/>
        </w:rPr>
        <w:t>数据中心行业政策</w:t>
      </w:r>
      <w:r>
        <w:rPr>
          <w:rFonts w:ascii="Microsoft YaHei" w:eastAsia="Microsoft YaHei" w:hAnsi="Microsoft YaHei" w:cs="Microsoft YaHei"/>
          <w:color w:val="231F20"/>
          <w:spacing w:val="4"/>
          <w:sz w:val="25"/>
          <w:szCs w:val="25"/>
        </w:rPr>
        <w:t xml:space="preserve"> </w:t>
      </w:r>
      <w:r>
        <w:rPr>
          <w:rFonts w:ascii="Microsoft YaHei" w:eastAsia="Microsoft YaHei" w:hAnsi="Microsoft YaHei" w:cs="Microsoft YaHei"/>
          <w:color w:val="231F20"/>
          <w:spacing w:val="-2"/>
          <w:sz w:val="25"/>
          <w:szCs w:val="25"/>
        </w:rPr>
        <w:t>介绍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40" w:line="221" w:lineRule="auto"/>
        <w:ind w:right="1033" w:firstLine="20"/>
        <w:jc w:val="both"/>
        <w:rPr>
          <w:rFonts w:ascii="Microsoft YaHei" w:eastAsia="Microsoft YaHei" w:hAnsi="Microsoft YaHei" w:cs="Microsoft YaHei"/>
          <w:sz w:val="17"/>
          <w:szCs w:val="17"/>
        </w:rPr>
      </w:pPr>
      <w:r>
        <w:rPr>
          <w:rFonts w:ascii="Microsoft YaHei" w:eastAsia="Microsoft YaHei" w:hAnsi="Microsoft YaHei" w:cs="Microsoft YaHei"/>
          <w:color w:val="231F20"/>
          <w:spacing w:val="9"/>
          <w:sz w:val="17"/>
          <w:szCs w:val="17"/>
        </w:rPr>
        <w:t>“碳中和”成为全人类共识，已有130多个国家宣示了</w:t>
      </w:r>
      <w:r>
        <w:rPr>
          <w:rFonts w:ascii="Microsoft YaHei" w:eastAsia="Microsoft YaHei" w:hAnsi="Microsoft YaHei" w:cs="Microsoft YaHei"/>
          <w:color w:val="231F20"/>
          <w:spacing w:val="8"/>
          <w:sz w:val="17"/>
          <w:szCs w:val="17"/>
        </w:rPr>
        <w:t>碳中和承诺。近年来随着数据中心规</w:t>
      </w:r>
      <w:r>
        <w:rPr>
          <w:rFonts w:ascii="Microsoft YaHei" w:eastAsia="Microsoft YaHei" w:hAnsi="Microsoft YaHei" w:cs="Microsoft YaHei"/>
          <w:color w:val="231F20"/>
          <w:sz w:val="17"/>
          <w:szCs w:val="17"/>
        </w:rPr>
        <w:t xml:space="preserve"> </w:t>
      </w:r>
      <w:r>
        <w:rPr>
          <w:rFonts w:ascii="Microsoft YaHei" w:eastAsia="Microsoft YaHei" w:hAnsi="Microsoft YaHei" w:cs="Microsoft YaHei"/>
          <w:color w:val="231F20"/>
          <w:spacing w:val="4"/>
          <w:sz w:val="17"/>
          <w:szCs w:val="17"/>
        </w:rPr>
        <w:t>模快速增长，</w:t>
      </w:r>
      <w:r>
        <w:rPr>
          <w:rFonts w:ascii="Microsoft YaHei" w:eastAsia="Microsoft YaHei" w:hAnsi="Microsoft YaHei" w:cs="Microsoft YaHei"/>
          <w:color w:val="231F20"/>
          <w:spacing w:val="33"/>
          <w:sz w:val="17"/>
          <w:szCs w:val="17"/>
        </w:rPr>
        <w:t xml:space="preserve"> </w:t>
      </w:r>
      <w:r>
        <w:rPr>
          <w:rFonts w:ascii="Microsoft YaHei" w:eastAsia="Microsoft YaHei" w:hAnsi="Microsoft YaHei" w:cs="Microsoft YaHei"/>
          <w:color w:val="231F20"/>
          <w:spacing w:val="4"/>
          <w:sz w:val="17"/>
          <w:szCs w:val="17"/>
        </w:rPr>
        <w:t>其耗电量约占全球总用电量的2%，  且还在急剧增加。《</w:t>
      </w:r>
      <w:r>
        <w:rPr>
          <w:rFonts w:ascii="Microsoft YaHei" w:eastAsia="Microsoft YaHei" w:hAnsi="Microsoft YaHei" w:cs="Microsoft YaHei"/>
          <w:color w:val="231F20"/>
          <w:sz w:val="17"/>
          <w:szCs w:val="17"/>
        </w:rPr>
        <w:t>Uptime</w:t>
      </w:r>
      <w:r>
        <w:rPr>
          <w:rFonts w:ascii="Microsoft YaHei" w:eastAsia="Microsoft YaHei" w:hAnsi="Microsoft YaHei" w:cs="Microsoft YaHei"/>
          <w:color w:val="231F20"/>
          <w:spacing w:val="4"/>
          <w:sz w:val="17"/>
          <w:szCs w:val="17"/>
        </w:rPr>
        <w:t>全球数</w:t>
      </w:r>
      <w:r>
        <w:rPr>
          <w:rFonts w:ascii="Microsoft YaHei" w:eastAsia="Microsoft YaHei" w:hAnsi="Microsoft YaHei" w:cs="Microsoft YaHei"/>
          <w:color w:val="231F20"/>
          <w:spacing w:val="3"/>
          <w:sz w:val="17"/>
          <w:szCs w:val="17"/>
        </w:rPr>
        <w:t>据中心</w:t>
      </w:r>
      <w:r>
        <w:rPr>
          <w:rFonts w:ascii="Microsoft YaHei" w:eastAsia="Microsoft YaHei" w:hAnsi="Microsoft YaHei" w:cs="Microsoft YaHei"/>
          <w:color w:val="231F20"/>
          <w:sz w:val="17"/>
          <w:szCs w:val="17"/>
        </w:rPr>
        <w:t xml:space="preserve"> </w:t>
      </w:r>
      <w:r>
        <w:rPr>
          <w:rFonts w:ascii="Microsoft YaHei" w:eastAsia="Microsoft YaHei" w:hAnsi="Microsoft YaHei" w:cs="Microsoft YaHei"/>
          <w:color w:val="231F20"/>
          <w:spacing w:val="1"/>
          <w:sz w:val="17"/>
          <w:szCs w:val="17"/>
        </w:rPr>
        <w:t>报告2022》指出，2014年以来，全球大型数据中心</w:t>
      </w:r>
      <w:r>
        <w:rPr>
          <w:rFonts w:ascii="Microsoft YaHei" w:eastAsia="Microsoft YaHei" w:hAnsi="Microsoft YaHei" w:cs="Microsoft YaHei"/>
          <w:color w:val="231F20"/>
          <w:sz w:val="17"/>
          <w:szCs w:val="17"/>
        </w:rPr>
        <w:t>PUE</w:t>
      </w:r>
      <w:r>
        <w:rPr>
          <w:rFonts w:ascii="Microsoft YaHei" w:eastAsia="Microsoft YaHei" w:hAnsi="Microsoft YaHei" w:cs="Microsoft YaHei"/>
          <w:color w:val="231F20"/>
          <w:spacing w:val="1"/>
          <w:sz w:val="17"/>
          <w:szCs w:val="17"/>
        </w:rPr>
        <w:t>连续8年维持在1.6左右，数据中心能效</w:t>
      </w:r>
      <w:r>
        <w:rPr>
          <w:rFonts w:ascii="Microsoft YaHei" w:eastAsia="Microsoft YaHei" w:hAnsi="Microsoft YaHei" w:cs="Microsoft YaHei"/>
          <w:color w:val="231F20"/>
          <w:spacing w:val="15"/>
          <w:w w:val="101"/>
          <w:sz w:val="17"/>
          <w:szCs w:val="17"/>
        </w:rPr>
        <w:t xml:space="preserve"> </w:t>
      </w:r>
      <w:r>
        <w:rPr>
          <w:rFonts w:ascii="Microsoft YaHei" w:eastAsia="Microsoft YaHei" w:hAnsi="Microsoft YaHei" w:cs="Microsoft YaHei"/>
          <w:color w:val="231F20"/>
          <w:spacing w:val="3"/>
          <w:sz w:val="17"/>
          <w:szCs w:val="17"/>
        </w:rPr>
        <w:t>水平仍存在较大优化空间。为推动数据中心绿色发展，多个国家、国际组织发</w:t>
      </w:r>
      <w:r>
        <w:rPr>
          <w:rFonts w:ascii="Microsoft YaHei" w:eastAsia="Microsoft YaHei" w:hAnsi="Microsoft YaHei" w:cs="Microsoft YaHei"/>
          <w:color w:val="231F20"/>
          <w:spacing w:val="2"/>
          <w:sz w:val="17"/>
          <w:szCs w:val="17"/>
        </w:rPr>
        <w:t>布相关政策。</w:t>
      </w:r>
    </w:p>
    <w:p>
      <w:pPr>
        <w:spacing w:line="221" w:lineRule="auto"/>
        <w:rPr>
          <w:rFonts w:ascii="Microsoft YaHei" w:eastAsia="Microsoft YaHei" w:hAnsi="Microsoft YaHei" w:cs="Microsoft YaHei"/>
          <w:sz w:val="17"/>
          <w:szCs w:val="17"/>
        </w:rPr>
        <w:sectPr>
          <w:headerReference w:type="default" r:id="rId10"/>
          <w:type w:val="continuous"/>
          <w:pgSz w:w="11906" w:h="16158"/>
          <w:pgMar w:top="1" w:right="1" w:bottom="0" w:left="0" w:header="0" w:footer="0" w:gutter="0"/>
          <w:pgNumType w:start="6"/>
          <w:cols w:num="2" w:space="708" w:equalWidth="0">
            <w:col w:w="3632" w:space="100"/>
            <w:col w:w="8173" w:space="0"/>
          </w:cols>
        </w:sectPr>
      </w:pPr>
    </w:p>
    <w:p>
      <w:pPr>
        <w:pStyle w:val="BodyText"/>
        <w:spacing w:line="352" w:lineRule="auto"/>
      </w:pPr>
    </w:p>
    <w:p>
      <w:pPr>
        <w:spacing w:before="73" w:line="225" w:lineRule="auto"/>
        <w:ind w:left="3732" w:right="1033" w:firstLine="3"/>
        <w:rPr>
          <w:rFonts w:ascii="Microsoft YaHei" w:eastAsia="Microsoft YaHei" w:hAnsi="Microsoft YaHei" w:cs="Microsoft YaHei"/>
          <w:sz w:val="17"/>
          <w:szCs w:val="17"/>
        </w:rPr>
      </w:pPr>
      <w:r>
        <w:rPr>
          <w:rFonts w:ascii="Microsoft YaHei" w:eastAsia="Microsoft YaHei" w:hAnsi="Microsoft YaHei" w:cs="Microsoft YaHei"/>
          <w:color w:val="231F20"/>
          <w:spacing w:val="10"/>
          <w:sz w:val="17"/>
          <w:szCs w:val="17"/>
        </w:rPr>
        <w:t>多地已开始限制高</w:t>
      </w:r>
      <w:r>
        <w:rPr>
          <w:rFonts w:ascii="Microsoft YaHei" w:eastAsia="Microsoft YaHei" w:hAnsi="Microsoft YaHei" w:cs="Microsoft YaHei"/>
          <w:color w:val="231F20"/>
          <w:sz w:val="17"/>
          <w:szCs w:val="17"/>
        </w:rPr>
        <w:t>PUE</w:t>
      </w:r>
      <w:r>
        <w:rPr>
          <w:rFonts w:ascii="Microsoft YaHei" w:eastAsia="Microsoft YaHei" w:hAnsi="Microsoft YaHei" w:cs="Microsoft YaHei"/>
          <w:color w:val="231F20"/>
          <w:spacing w:val="10"/>
          <w:sz w:val="17"/>
          <w:szCs w:val="17"/>
        </w:rPr>
        <w:t>的数据中心的建设，相关政策和数据中心机房对</w:t>
      </w:r>
      <w:r>
        <w:rPr>
          <w:rFonts w:ascii="Microsoft YaHei" w:eastAsia="Microsoft YaHei" w:hAnsi="Microsoft YaHei" w:cs="Microsoft YaHei"/>
          <w:color w:val="231F20"/>
          <w:sz w:val="17"/>
          <w:szCs w:val="17"/>
        </w:rPr>
        <w:t>PUE</w:t>
      </w:r>
      <w:r>
        <w:rPr>
          <w:rFonts w:ascii="Microsoft YaHei" w:eastAsia="Microsoft YaHei" w:hAnsi="Microsoft YaHei" w:cs="Microsoft YaHei"/>
          <w:color w:val="231F20"/>
          <w:spacing w:val="9"/>
          <w:sz w:val="17"/>
          <w:szCs w:val="17"/>
        </w:rPr>
        <w:t>提出明确限制，</w:t>
      </w:r>
      <w:r>
        <w:rPr>
          <w:rFonts w:ascii="Microsoft YaHei" w:eastAsia="Microsoft YaHei" w:hAnsi="Microsoft YaHei" w:cs="Microsoft YaHei"/>
          <w:color w:val="231F20"/>
          <w:sz w:val="17"/>
          <w:szCs w:val="17"/>
        </w:rPr>
        <w:t xml:space="preserve"> </w:t>
      </w:r>
      <w:r>
        <w:rPr>
          <w:rFonts w:ascii="Microsoft YaHei" w:eastAsia="Microsoft YaHei" w:hAnsi="Microsoft YaHei" w:cs="Microsoft YaHei"/>
          <w:color w:val="231F20"/>
          <w:spacing w:val="10"/>
          <w:sz w:val="17"/>
          <w:szCs w:val="17"/>
        </w:rPr>
        <w:t>鼓励液冷技术、</w:t>
      </w:r>
      <w:r>
        <w:rPr>
          <w:rFonts w:ascii="Microsoft YaHei" w:eastAsia="Microsoft YaHei" w:hAnsi="Microsoft YaHei" w:cs="Microsoft YaHei"/>
          <w:color w:val="231F20"/>
          <w:sz w:val="17"/>
          <w:szCs w:val="17"/>
        </w:rPr>
        <w:t>IT</w:t>
      </w:r>
      <w:r>
        <w:rPr>
          <w:rFonts w:ascii="Microsoft YaHei" w:eastAsia="Microsoft YaHei" w:hAnsi="Microsoft YaHei" w:cs="Microsoft YaHei"/>
          <w:color w:val="231F20"/>
          <w:spacing w:val="10"/>
          <w:sz w:val="17"/>
          <w:szCs w:val="17"/>
        </w:rPr>
        <w:t>设备高密度集成技术及</w:t>
      </w:r>
      <w:r>
        <w:rPr>
          <w:rFonts w:ascii="Microsoft YaHei" w:eastAsia="Microsoft YaHei" w:hAnsi="Microsoft YaHei" w:cs="Microsoft YaHei"/>
          <w:color w:val="231F20"/>
          <w:sz w:val="17"/>
          <w:szCs w:val="17"/>
        </w:rPr>
        <w:t>IT</w:t>
      </w:r>
      <w:r>
        <w:rPr>
          <w:rFonts w:ascii="Microsoft YaHei" w:eastAsia="Microsoft YaHei" w:hAnsi="Microsoft YaHei" w:cs="Microsoft YaHei"/>
          <w:color w:val="231F20"/>
          <w:spacing w:val="10"/>
          <w:sz w:val="17"/>
          <w:szCs w:val="17"/>
        </w:rPr>
        <w:t>设备能效提升技术实施，促进数据中心液冷技术</w:t>
      </w:r>
      <w:r>
        <w:rPr>
          <w:rFonts w:ascii="Microsoft YaHei" w:eastAsia="Microsoft YaHei" w:hAnsi="Microsoft YaHei" w:cs="Microsoft YaHei"/>
          <w:color w:val="231F20"/>
          <w:spacing w:val="2"/>
          <w:sz w:val="17"/>
          <w:szCs w:val="17"/>
        </w:rPr>
        <w:t xml:space="preserve"> </w:t>
      </w:r>
      <w:r>
        <w:rPr>
          <w:rFonts w:ascii="Microsoft YaHei" w:eastAsia="Microsoft YaHei" w:hAnsi="Microsoft YaHei" w:cs="Microsoft YaHei"/>
          <w:color w:val="231F20"/>
          <w:spacing w:val="2"/>
          <w:sz w:val="17"/>
          <w:szCs w:val="17"/>
        </w:rPr>
        <w:t>进一步发展。</w:t>
      </w: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  <w:sectPr>
          <w:headerReference w:type="default" r:id="rId11"/>
          <w:type w:val="continuous"/>
          <w:pgSz w:w="11906" w:h="16158"/>
          <w:pgMar w:top="1" w:right="1" w:bottom="0" w:left="0" w:header="0" w:footer="0" w:gutter="0"/>
          <w:pgNumType w:start="7"/>
          <w:cols w:num="1" w:space="708" w:equalWidth="0">
            <w:col w:w="11905" w:space="0"/>
          </w:cols>
        </w:sectPr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60" w:lineRule="auto"/>
      </w:pPr>
    </w:p>
    <w:p>
      <w:pPr>
        <w:spacing w:before="57" w:line="207" w:lineRule="auto"/>
        <w:ind w:left="1026"/>
        <w:rPr>
          <w:rFonts w:ascii="Microsoft YaHei" w:eastAsia="Microsoft YaHei" w:hAnsi="Microsoft YaHei" w:cs="Microsoft YaHei"/>
          <w:sz w:val="13"/>
          <w:szCs w:val="13"/>
        </w:rPr>
      </w:pPr>
      <w:r>
        <w:rPr>
          <w:rFonts w:ascii="Microsoft YaHei" w:eastAsia="Microsoft YaHei" w:hAnsi="Microsoft YaHei" w:cs="Microsoft YaHei"/>
          <w:color w:val="231F20"/>
          <w:spacing w:val="7"/>
          <w:sz w:val="13"/>
          <w:szCs w:val="13"/>
        </w:rPr>
        <w:t>04 ｜</w:t>
      </w:r>
      <w:r>
        <w:rPr>
          <w:rFonts w:ascii="Microsoft YaHei" w:eastAsia="Microsoft YaHei" w:hAnsi="Microsoft YaHei" w:cs="Microsoft YaHei"/>
          <w:color w:val="231F20"/>
          <w:spacing w:val="-1"/>
          <w:sz w:val="13"/>
          <w:szCs w:val="13"/>
        </w:rPr>
        <w:t xml:space="preserve"> </w:t>
      </w:r>
      <w:r>
        <w:rPr>
          <w:rFonts w:ascii="Microsoft YaHei" w:eastAsia="Microsoft YaHei" w:hAnsi="Microsoft YaHei" w:cs="Microsoft YaHei"/>
          <w:color w:val="231F20"/>
          <w:spacing w:val="7"/>
          <w:sz w:val="13"/>
          <w:szCs w:val="13"/>
        </w:rPr>
        <w:t>《全液冷冷板系统参考设计及验证白皮书》</w:t>
      </w:r>
    </w:p>
    <w:p>
      <w:pPr>
        <w:spacing w:line="207" w:lineRule="auto"/>
        <w:rPr>
          <w:rFonts w:ascii="Microsoft YaHei" w:eastAsia="Microsoft YaHei" w:hAnsi="Microsoft YaHei" w:cs="Microsoft YaHei"/>
          <w:sz w:val="13"/>
          <w:szCs w:val="13"/>
        </w:rPr>
      </w:pPr>
      <w:r>
        <w:rPr>
          <w:rFonts w:ascii="Microsoft YaHei" w:eastAsia="Microsoft YaHei" w:hAnsi="Microsoft YaHei" w:cs="Microsoft YaHei"/>
          <w:sz w:val="13"/>
          <w:szCs w:val="13"/>
        </w:rPr>
        <w:br/>
      </w:r>
      <w:r>
        <w:rPr>
          <w:rFonts w:ascii="Microsoft YaHei" w:eastAsia="Microsoft YaHei" w:hAnsi="Microsoft YaHei" w:cs="Microsoft YaHei"/>
          <w:sz w:val="13"/>
          <w:szCs w:val="13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https://d.book118.com/046134145054010043</w:t>
        </w:r>
      </w:hyperlink>
    </w:p>
    <w:p>
      <w:pPr>
        <w:spacing w:line="207" w:lineRule="auto"/>
        <w:rPr>
          <w:rFonts w:ascii="Microsoft YaHei" w:eastAsia="Microsoft YaHei" w:hAnsi="Microsoft YaHei" w:cs="Microsoft YaHei"/>
          <w:sz w:val="13"/>
          <w:szCs w:val="13"/>
        </w:rPr>
      </w:pPr>
    </w:p>
    <w:sectPr>
      <w:headerReference w:type="default" r:id="rId13"/>
      <w:type w:val="nextPage"/>
      <w:pgSz w:w="11906" w:h="16158"/>
      <w:pgMar w:top="1" w:right="1" w:bottom="0" w:left="0" w:header="0" w:footer="0" w:gutter="0"/>
      <w:pgNumType w:start="8"/>
      <w:cols w:num="1" w:space="708" w:equalWidth="0">
        <w:col w:w="11905" w:space="0"/>
      </w:cols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Normal"/>
    <w:semiHidden/>
    <w:qFormat/>
    <w:rPr>
      <w:rFonts w:ascii="Microsoft YaHei" w:eastAsia="Microsoft YaHei" w:hAnsi="Microsoft YaHei" w:cs="Microsoft YaHei"/>
      <w:sz w:val="17"/>
      <w:szCs w:val="17"/>
      <w:lang w:val="en-US" w:eastAsia="en-US" w:bidi="ar-SA"/>
    </w:r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hyperlink" Target="https://d.book118.com/046134145054010043" TargetMode="External" /><Relationship Id="rId13" Type="http://schemas.openxmlformats.org/officeDocument/2006/relationships/header" Target="header6.xml" /><Relationship Id="rId14" Type="http://schemas.openxmlformats.org/officeDocument/2006/relationships/theme" Target="theme/theme1.xml" /><Relationship Id="rId15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image" Target="media/image3.png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2024-02-02T12:36:41Z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2024-02-02T12:36:50Z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65bc71561e6a08001f0c4f55wl</vt:lpwstr>
  </property>
</Properties>
</file>