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16825" w:lineRule="exact"/>
      </w:pPr>
      <w:r>
        <w:rPr>
          <w:position w:val="-336"/>
        </w:rPr>
        <w:drawing>
          <wp:inline distT="0" distB="0" distL="0" distR="0">
            <wp:extent cx="7560005" cy="1068390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560005" cy="10683901"/>
                    </a:xfrm>
                    <a:prstGeom prst="rect">
                      <a:avLst/>
                    </a:prstGeom>
                  </pic:spPr>
                </pic:pic>
              </a:graphicData>
            </a:graphic>
          </wp:inline>
        </w:drawing>
      </w:r>
    </w:p>
    <w:p>
      <w:pPr>
        <w:spacing w:line="16825" w:lineRule="exact"/>
        <w:sectPr>
          <w:headerReference w:type="default" r:id="rId5"/>
          <w:footerReference w:type="default" r:id="rId6"/>
          <w:pgSz w:w="11906" w:h="16838"/>
          <w:pgMar w:top="1" w:right="0" w:bottom="1" w:left="0" w:header="0" w:footer="0" w:gutter="0"/>
          <w:cols w:space="708"/>
        </w:sectPr>
      </w:pPr>
    </w:p>
    <w:p>
      <w:pPr>
        <w:spacing w:line="411" w:lineRule="auto"/>
        <w:rPr>
          <w:rFonts w:ascii="Arial"/>
          <w:sz w:val="21"/>
        </w:rPr>
      </w:pPr>
      <w:r>
        <w:drawing>
          <wp:anchor distT="0" distB="0" distL="0" distR="0" simplePos="0" relativeHeight="251661312" behindDoc="0" locked="0" layoutInCell="0" allowOverlap="1">
            <wp:simplePos x="0" y="0"/>
            <wp:positionH relativeFrom="page">
              <wp:posOffset>1639457</wp:posOffset>
            </wp:positionH>
            <wp:positionV relativeFrom="page">
              <wp:posOffset>1078450</wp:posOffset>
            </wp:positionV>
            <wp:extent cx="319228" cy="18877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319228" cy="188773"/>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1564477</wp:posOffset>
            </wp:positionH>
            <wp:positionV relativeFrom="page">
              <wp:posOffset>1080289</wp:posOffset>
            </wp:positionV>
            <wp:extent cx="74777" cy="186728"/>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8"/>
                    <a:stretch>
                      <a:fillRect/>
                    </a:stretch>
                  </pic:blipFill>
                  <pic:spPr>
                    <a:xfrm>
                      <a:off x="0" y="0"/>
                      <a:ext cx="74777" cy="186728"/>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749655</wp:posOffset>
            </wp:positionH>
            <wp:positionV relativeFrom="page">
              <wp:posOffset>2788031</wp:posOffset>
            </wp:positionV>
            <wp:extent cx="1590687" cy="31789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1590687" cy="317893"/>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2412161</wp:posOffset>
            </wp:positionH>
            <wp:positionV relativeFrom="page">
              <wp:posOffset>2793186</wp:posOffset>
            </wp:positionV>
            <wp:extent cx="789203" cy="307378"/>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0"/>
                    <a:stretch>
                      <a:fillRect/>
                    </a:stretch>
                  </pic:blipFill>
                  <pic:spPr>
                    <a:xfrm>
                      <a:off x="0" y="0"/>
                      <a:ext cx="789203" cy="307378"/>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749655</wp:posOffset>
            </wp:positionH>
            <wp:positionV relativeFrom="page">
              <wp:posOffset>3219437</wp:posOffset>
            </wp:positionV>
            <wp:extent cx="794016" cy="191287"/>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1"/>
                    <a:stretch>
                      <a:fillRect/>
                    </a:stretch>
                  </pic:blipFill>
                  <pic:spPr>
                    <a:xfrm>
                      <a:off x="0" y="0"/>
                      <a:ext cx="794016" cy="191287"/>
                    </a:xfrm>
                    <a:prstGeom prst="rect">
                      <a:avLst/>
                    </a:prstGeom>
                  </pic:spPr>
                </pic:pic>
              </a:graphicData>
            </a:graphic>
          </wp:anchor>
        </w:drawing>
      </w:r>
    </w:p>
    <w:p>
      <w:pPr>
        <w:spacing w:before="192" w:line="501" w:lineRule="exact"/>
        <w:ind w:left="3"/>
        <w:rPr>
          <w:rFonts w:ascii="Arial" w:eastAsia="Arial" w:hAnsi="Arial" w:cs="Arial"/>
          <w:sz w:val="67"/>
          <w:szCs w:val="67"/>
        </w:rPr>
      </w:pPr>
      <w:r>
        <w:rPr>
          <w:rFonts w:ascii="Arial" w:eastAsia="Arial" w:hAnsi="Arial" w:cs="Arial"/>
          <w:color w:val="231F20"/>
          <w:position w:val="-9"/>
          <w:sz w:val="67"/>
          <w:szCs w:val="67"/>
        </w:rPr>
        <w:t>AUTHORS</w:t>
      </w:r>
    </w:p>
    <w:p>
      <w:pPr>
        <w:spacing w:line="132" w:lineRule="exact"/>
      </w:pPr>
    </w:p>
    <w:p>
      <w:pPr>
        <w:spacing w:line="132" w:lineRule="exact"/>
        <w:sectPr>
          <w:headerReference w:type="default" r:id="rId12"/>
          <w:footerReference w:type="default" r:id="rId13"/>
          <w:pgSz w:w="11906" w:h="16838"/>
          <w:pgMar w:top="400" w:right="1110" w:bottom="300" w:left="1180" w:header="0" w:footer="0" w:gutter="0"/>
          <w:pgNumType w:start="2"/>
          <w:cols w:num="1" w:space="708" w:equalWidth="0">
            <w:col w:w="9615" w:space="0"/>
          </w:cols>
        </w:sectPr>
      </w:pPr>
    </w:p>
    <w:p>
      <w:pPr>
        <w:pStyle w:val="BodyText"/>
        <w:spacing w:before="61" w:line="297" w:lineRule="exact"/>
        <w:ind w:left="3"/>
        <w:rPr>
          <w:sz w:val="29"/>
          <w:szCs w:val="29"/>
        </w:rPr>
      </w:pPr>
      <w:r>
        <w:rPr>
          <w:color w:val="409336"/>
          <w:spacing w:val="24"/>
          <w:position w:val="-1"/>
          <w:sz w:val="29"/>
          <w:szCs w:val="29"/>
        </w:rPr>
        <w:t>研究和撰</w:t>
      </w:r>
    </w:p>
    <w:p>
      <w:pPr>
        <w:spacing w:line="259" w:lineRule="auto"/>
        <w:rPr>
          <w:rFonts w:ascii="Arial"/>
          <w:sz w:val="21"/>
        </w:rPr>
      </w:pPr>
    </w:p>
    <w:p>
      <w:pPr>
        <w:pStyle w:val="BodyText"/>
        <w:spacing w:before="103" w:line="183" w:lineRule="auto"/>
        <w:ind w:left="14"/>
      </w:pPr>
      <w:r>
        <w:rPr>
          <w:color w:val="73A345"/>
          <w:spacing w:val="-3"/>
        </w:rPr>
        <w:t>毕梅丽</w:t>
      </w:r>
    </w:p>
    <w:p>
      <w:pPr>
        <w:pStyle w:val="BodyText"/>
        <w:spacing w:before="46" w:line="183" w:lineRule="auto"/>
        <w:ind w:left="5"/>
      </w:pPr>
      <w:r>
        <w:rPr>
          <w:color w:val="939498"/>
          <w:spacing w:val="-1"/>
        </w:rPr>
        <w:t>分析师</w:t>
      </w:r>
    </w:p>
    <w:p>
      <w:pPr>
        <w:pStyle w:val="BodyText"/>
        <w:spacing w:before="70" w:line="236" w:lineRule="exact"/>
        <w:ind w:left="6"/>
      </w:pPr>
      <w:r>
        <w:rPr>
          <w:color w:val="939498"/>
          <w:spacing w:val="-1"/>
          <w:position w:val="-1"/>
        </w:rPr>
        <w:t>产品研发部</w:t>
      </w:r>
    </w:p>
    <w:p>
      <w:pPr>
        <w:spacing w:line="14" w:lineRule="auto"/>
        <w:rPr>
          <w:rFonts w:ascii="Arial"/>
          <w:sz w:val="2"/>
        </w:rPr>
      </w:pPr>
      <w:r>
        <w:rPr>
          <w:rFonts w:ascii="Arial" w:eastAsia="Arial" w:hAnsi="Arial" w:cs="Arial"/>
          <w:sz w:val="2"/>
          <w:szCs w:val="2"/>
        </w:rPr>
        <w:br w:type="column"/>
      </w:r>
    </w:p>
    <w:p>
      <w:pPr>
        <w:spacing w:line="319" w:lineRule="auto"/>
        <w:rPr>
          <w:rFonts w:ascii="Arial"/>
          <w:sz w:val="21"/>
        </w:rPr>
      </w:pPr>
    </w:p>
    <w:p>
      <w:pPr>
        <w:spacing w:line="320" w:lineRule="auto"/>
        <w:rPr>
          <w:rFonts w:ascii="Arial"/>
          <w:sz w:val="21"/>
        </w:rPr>
      </w:pPr>
    </w:p>
    <w:p>
      <w:pPr>
        <w:pStyle w:val="BodyText"/>
        <w:spacing w:before="103" w:line="183" w:lineRule="auto"/>
        <w:ind w:left="1"/>
      </w:pPr>
      <w:r>
        <w:rPr>
          <w:color w:val="73A345"/>
          <w:spacing w:val="-2"/>
        </w:rPr>
        <w:t>刘新</w:t>
      </w:r>
    </w:p>
    <w:p>
      <w:pPr>
        <w:pStyle w:val="BodyText"/>
        <w:spacing w:before="47" w:line="182" w:lineRule="auto"/>
        <w:ind w:left="1"/>
      </w:pPr>
      <w:r>
        <w:rPr>
          <w:color w:val="939498"/>
          <w:spacing w:val="-2"/>
        </w:rPr>
        <w:t>设计师</w:t>
      </w:r>
    </w:p>
    <w:p>
      <w:pPr>
        <w:pStyle w:val="BodyText"/>
        <w:spacing w:before="45" w:line="236" w:lineRule="exact"/>
      </w:pPr>
      <w:r>
        <w:rPr>
          <w:color w:val="939498"/>
          <w:spacing w:val="-1"/>
          <w:position w:val="-1"/>
        </w:rPr>
        <w:t>产品研发部</w:t>
      </w:r>
    </w:p>
    <w:p>
      <w:pPr>
        <w:spacing w:line="236" w:lineRule="exact"/>
        <w:sectPr>
          <w:headerReference w:type="default" r:id="rId14"/>
          <w:footerReference w:type="default" r:id="rId15"/>
          <w:type w:val="continuous"/>
          <w:pgSz w:w="11906" w:h="16838"/>
          <w:pgMar w:top="400" w:right="1110" w:bottom="300" w:left="1180" w:header="0" w:footer="0" w:gutter="0"/>
          <w:pgNumType w:start="3"/>
          <w:cols w:num="2" w:space="708" w:equalWidth="0">
            <w:col w:w="3575" w:space="100"/>
            <w:col w:w="5941" w:space="0"/>
          </w:cols>
        </w:sectPr>
      </w:pPr>
    </w:p>
    <w:p>
      <w:pPr>
        <w:rPr>
          <w:rFonts w:ascii="Arial"/>
          <w:sz w:val="21"/>
        </w:rPr>
      </w:pPr>
    </w:p>
    <w:p>
      <w:pPr>
        <w:spacing w:line="241" w:lineRule="auto"/>
        <w:rPr>
          <w:rFonts w:ascii="Arial"/>
          <w:sz w:val="21"/>
        </w:rPr>
      </w:pPr>
    </w:p>
    <w:p>
      <w:pPr>
        <w:spacing w:line="20" w:lineRule="exact"/>
      </w:pPr>
      <w:r>
        <w:pict>
          <v:shape id="_x0000_i1025" style="width:477.25pt;height:1pt;mso-position-horizontal-relative:char;mso-position-vertical-relative:line" coordorigin="0,0" coordsize="9545,20" path="m,10l9544,10e" filled="f" strokecolor="#d7d7d8" strokeweight="1pt">
            <v:stroke joinstyle="miter"/>
            <w10:wrap type="none"/>
          </v:shape>
        </w:pict>
      </w:r>
    </w:p>
    <w:p>
      <w:pPr>
        <w:spacing w:line="260" w:lineRule="auto"/>
        <w:rPr>
          <w:rFonts w:ascii="Arial"/>
          <w:sz w:val="21"/>
        </w:rPr>
      </w:pPr>
    </w:p>
    <w:p>
      <w:pPr>
        <w:spacing w:line="261" w:lineRule="auto"/>
        <w:rPr>
          <w:rFonts w:ascii="Arial"/>
          <w:sz w:val="21"/>
        </w:rPr>
      </w:pPr>
    </w:p>
    <w:p>
      <w:pPr>
        <w:spacing w:before="1" w:line="690" w:lineRule="exact"/>
        <w:ind w:left="7932"/>
      </w:pPr>
      <w:r>
        <w:pict>
          <v:shapetype id="_x0000_t202" coordsize="21600,21600" o:spt="202" path="m,l,21600r21600,l21600,xe">
            <v:stroke joinstyle="miter"/>
            <v:path gradientshapeok="t" o:connecttype="rect"/>
          </v:shapetype>
          <v:shape id="_x0000_s1026" type="#_x0000_t202" style="width:76.4pt;height:17.35pt;margin-top:17.32pt;margin-left:396.51pt;position:absolute;z-index:251665408" filled="f" stroked="f">
            <o:lock v:ext="edit" aspectratio="f"/>
            <v:textbox inset="0,0,0,0">
              <w:txbxContent>
                <w:p>
                  <w:pPr>
                    <w:spacing w:before="20"/>
                    <w:ind w:left="20"/>
                    <w:rPr>
                      <w:sz w:val="17"/>
                      <w:szCs w:val="17"/>
                    </w:rPr>
                  </w:pPr>
                  <w:r>
                    <w:rPr>
                      <w:rFonts w:ascii="Arial" w:eastAsia="Arial" w:hAnsi="Arial" w:cs="Arial"/>
                      <w:color w:val="002B00"/>
                      <w:position w:val="-7"/>
                      <w:sz w:val="17"/>
                      <w:szCs w:val="17"/>
                    </w:rPr>
                    <w:drawing>
                      <wp:inline distT="0" distB="0" distL="0" distR="0">
                        <wp:extent cx="234979" cy="194673"/>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6"/>
                                <a:stretch>
                                  <a:fillRect/>
                                </a:stretch>
                              </pic:blipFill>
                              <pic:spPr>
                                <a:xfrm>
                                  <a:off x="0" y="0"/>
                                  <a:ext cx="234979" cy="194673"/>
                                </a:xfrm>
                                <a:prstGeom prst="rect">
                                  <a:avLst/>
                                </a:prstGeom>
                              </pic:spPr>
                            </pic:pic>
                          </a:graphicData>
                        </a:graphic>
                      </wp:inline>
                    </w:drawing>
                  </w:r>
                  <w:r>
                    <w:rPr>
                      <w:rFonts w:ascii="Arial" w:eastAsia="Arial" w:hAnsi="Arial" w:cs="Arial"/>
                      <w:color w:val="002B00"/>
                      <w:sz w:val="17"/>
                      <w:szCs w:val="17"/>
                    </w:rPr>
                    <w:t xml:space="preserve">      </w:t>
                  </w:r>
                  <w:r>
                    <w:rPr>
                      <w:rFonts w:ascii="Arial" w:eastAsia="Arial" w:hAnsi="Arial" w:cs="Arial"/>
                      <w:color w:val="002B00"/>
                      <w:spacing w:val="-3"/>
                      <w:sz w:val="17"/>
                      <w:szCs w:val="17"/>
                    </w:rPr>
                    <w:t>BE</w:t>
                  </w:r>
                  <w:r>
                    <w:rPr>
                      <w:rFonts w:ascii="Arial" w:eastAsia="Arial" w:hAnsi="Arial" w:cs="Arial"/>
                      <w:color w:val="002B00"/>
                      <w:spacing w:val="-6"/>
                      <w:sz w:val="17"/>
                      <w:szCs w:val="17"/>
                    </w:rPr>
                    <w:t xml:space="preserve"> </w:t>
                  </w:r>
                  <w:r>
                    <w:rPr>
                      <w:rFonts w:ascii="Arial" w:eastAsia="Arial" w:hAnsi="Arial" w:cs="Arial"/>
                      <w:color w:val="002B00"/>
                      <w:spacing w:val="-3"/>
                      <w:sz w:val="17"/>
                      <w:szCs w:val="17"/>
                    </w:rPr>
                    <w:t>ED</w:t>
                  </w:r>
                  <w:r>
                    <w:rPr>
                      <w:position w:val="-1"/>
                      <w:sz w:val="17"/>
                      <w:szCs w:val="17"/>
                    </w:rPr>
                    <w:drawing>
                      <wp:inline distT="0" distB="0" distL="0" distR="0">
                        <wp:extent cx="76072" cy="75692"/>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7"/>
                                <a:stretch>
                                  <a:fillRect/>
                                </a:stretch>
                              </pic:blipFill>
                              <pic:spPr>
                                <a:xfrm>
                                  <a:off x="0" y="0"/>
                                  <a:ext cx="76072" cy="75692"/>
                                </a:xfrm>
                                <a:prstGeom prst="rect">
                                  <a:avLst/>
                                </a:prstGeom>
                              </pic:spPr>
                            </pic:pic>
                          </a:graphicData>
                        </a:graphic>
                      </wp:inline>
                    </w:drawing>
                  </w:r>
                  <w:r>
                    <w:rPr>
                      <w:rFonts w:ascii="Arial" w:eastAsia="Arial" w:hAnsi="Arial" w:cs="Arial"/>
                      <w:color w:val="002B00"/>
                      <w:spacing w:val="-3"/>
                      <w:sz w:val="17"/>
                      <w:szCs w:val="17"/>
                    </w:rPr>
                    <w:t>T</w:t>
                  </w:r>
                  <w:r>
                    <w:rPr>
                      <w:position w:val="-1"/>
                      <w:sz w:val="17"/>
                      <w:szCs w:val="17"/>
                    </w:rPr>
                    <w:drawing>
                      <wp:inline distT="0" distB="0" distL="0" distR="0">
                        <wp:extent cx="76060" cy="7569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8"/>
                                <a:stretch>
                                  <a:fillRect/>
                                </a:stretch>
                              </pic:blipFill>
                              <pic:spPr>
                                <a:xfrm>
                                  <a:off x="0" y="0"/>
                                  <a:ext cx="76060" cy="75692"/>
                                </a:xfrm>
                                <a:prstGeom prst="rect">
                                  <a:avLst/>
                                </a:prstGeom>
                              </pic:spPr>
                            </pic:pic>
                          </a:graphicData>
                        </a:graphic>
                      </wp:inline>
                    </w:drawing>
                  </w:r>
                </w:p>
              </w:txbxContent>
            </v:textbox>
          </v:shape>
        </w:pict>
      </w:r>
      <w:r>
        <w:drawing>
          <wp:anchor distT="0" distB="0" distL="0" distR="0" simplePos="0" relativeHeight="251663360" behindDoc="1" locked="0" layoutInCell="1" allowOverlap="1">
            <wp:simplePos x="0" y="0"/>
            <wp:positionH relativeFrom="column">
              <wp:posOffset>5146595</wp:posOffset>
            </wp:positionH>
            <wp:positionV relativeFrom="paragraph">
              <wp:posOffset>-7458</wp:posOffset>
            </wp:positionV>
            <wp:extent cx="123939" cy="172643"/>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9"/>
                    <a:stretch>
                      <a:fillRect/>
                    </a:stretch>
                  </pic:blipFill>
                  <pic:spPr>
                    <a:xfrm>
                      <a:off x="0" y="0"/>
                      <a:ext cx="123939" cy="172643"/>
                    </a:xfrm>
                    <a:prstGeom prst="rect">
                      <a:avLst/>
                    </a:prstGeom>
                  </pic:spPr>
                </pic:pic>
              </a:graphicData>
            </a:graphic>
          </wp:anchor>
        </w:drawing>
      </w:r>
      <w:r>
        <w:rPr>
          <w:position w:val="-14"/>
        </w:rPr>
        <w:drawing>
          <wp:inline distT="0" distB="0" distL="0" distR="0">
            <wp:extent cx="971829" cy="43796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0"/>
                    <a:stretch>
                      <a:fillRect/>
                    </a:stretch>
                  </pic:blipFill>
                  <pic:spPr>
                    <a:xfrm>
                      <a:off x="0" y="0"/>
                      <a:ext cx="971829" cy="437961"/>
                    </a:xfrm>
                    <a:prstGeom prst="rect">
                      <a:avLst/>
                    </a:prstGeom>
                  </pic:spPr>
                </pic:pic>
              </a:graphicData>
            </a:graphic>
          </wp:inline>
        </w:drawing>
      </w:r>
    </w:p>
    <w:p>
      <w:pPr>
        <w:pStyle w:val="BodyText"/>
        <w:spacing w:before="27" w:line="244" w:lineRule="auto"/>
        <w:ind w:left="7960"/>
        <w:rPr>
          <w:sz w:val="22"/>
          <w:szCs w:val="22"/>
        </w:rPr>
      </w:pPr>
      <w:r>
        <w:drawing>
          <wp:anchor distT="0" distB="0" distL="0" distR="0" simplePos="0" relativeHeight="251664384" behindDoc="1" locked="0" layoutInCell="1" allowOverlap="1">
            <wp:simplePos x="0" y="0"/>
            <wp:positionH relativeFrom="column">
              <wp:posOffset>5054383</wp:posOffset>
            </wp:positionH>
            <wp:positionV relativeFrom="paragraph">
              <wp:posOffset>27038</wp:posOffset>
            </wp:positionV>
            <wp:extent cx="934707" cy="1479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21"/>
                    <a:stretch>
                      <a:fillRect/>
                    </a:stretch>
                  </pic:blipFill>
                  <pic:spPr>
                    <a:xfrm>
                      <a:off x="0" y="0"/>
                      <a:ext cx="934707" cy="14795"/>
                    </a:xfrm>
                    <a:prstGeom prst="rect">
                      <a:avLst/>
                    </a:prstGeom>
                  </pic:spPr>
                </pic:pic>
              </a:graphicData>
            </a:graphic>
          </wp:anchor>
        </w:drawing>
      </w:r>
      <w:r>
        <w:rPr>
          <w:color w:val="86888B"/>
          <w:sz w:val="22"/>
          <w:szCs w:val="22"/>
          <w:u w:val="single" w:color="808285"/>
        </w:rPr>
        <w:t>abeedata.com</w:t>
      </w:r>
    </w:p>
    <w:p>
      <w:pPr>
        <w:spacing w:line="264" w:lineRule="auto"/>
        <w:rPr>
          <w:rFonts w:ascii="Arial"/>
          <w:sz w:val="21"/>
        </w:rPr>
      </w:pPr>
    </w:p>
    <w:p>
      <w:pPr>
        <w:spacing w:line="265" w:lineRule="auto"/>
        <w:rPr>
          <w:rFonts w:ascii="Arial"/>
          <w:sz w:val="21"/>
        </w:rPr>
      </w:pPr>
    </w:p>
    <w:p>
      <w:pPr>
        <w:pStyle w:val="BodyText"/>
        <w:spacing w:before="103" w:line="276" w:lineRule="auto"/>
        <w:ind w:left="7" w:right="67"/>
        <w:jc w:val="both"/>
      </w:pPr>
      <w:r>
        <w:rPr>
          <w:color w:val="808285"/>
          <w:spacing w:val="2"/>
        </w:rPr>
        <w:t>本报告作者具有专业胜任能力,保证报告所采用</w:t>
      </w:r>
      <w:r>
        <w:rPr>
          <w:color w:val="808285"/>
          <w:spacing w:val="1"/>
        </w:rPr>
        <w:t>的数据均来自合规渠道,分析逻辑基于作者的</w:t>
      </w:r>
      <w:r>
        <w:rPr>
          <w:color w:val="808285"/>
        </w:rPr>
        <w:t xml:space="preserve"> </w:t>
      </w:r>
      <w:r>
        <w:rPr>
          <w:color w:val="808285"/>
          <w:spacing w:val="6"/>
        </w:rPr>
        <w:t>职业理解,本报告清晰准确地反映了作者的研究观点,力求独立、客观和公正,结论不受</w:t>
      </w:r>
      <w:r>
        <w:rPr>
          <w:color w:val="808285"/>
          <w:spacing w:val="5"/>
        </w:rPr>
        <w:t>任何</w:t>
      </w:r>
    </w:p>
    <w:p>
      <w:pPr>
        <w:pStyle w:val="BodyText"/>
        <w:spacing w:before="1" w:line="206" w:lineRule="auto"/>
        <w:ind w:left="5"/>
      </w:pPr>
      <w:r>
        <w:rPr>
          <w:color w:val="808285"/>
          <w:spacing w:val="-1"/>
        </w:rPr>
        <w:t>第三方的授意或影响,特此声明。</w:t>
      </w:r>
    </w:p>
    <w:p>
      <w:pPr>
        <w:spacing w:line="465" w:lineRule="auto"/>
        <w:rPr>
          <w:rFonts w:ascii="Arial"/>
          <w:sz w:val="21"/>
        </w:rPr>
      </w:pPr>
    </w:p>
    <w:p>
      <w:pPr>
        <w:pStyle w:val="BodyText"/>
        <w:spacing w:before="104" w:line="495" w:lineRule="exact"/>
        <w:ind w:left="5"/>
      </w:pPr>
      <w:r>
        <w:rPr>
          <w:color w:val="808285"/>
          <w:spacing w:val="5"/>
          <w:position w:val="17"/>
        </w:rPr>
        <w:t>农小蜂不会因为接收人接受本报告而将其视</w:t>
      </w:r>
      <w:r>
        <w:rPr>
          <w:color w:val="808285"/>
          <w:spacing w:val="4"/>
          <w:position w:val="17"/>
        </w:rPr>
        <w:t>为客户。本报告仅在相关法律许可的情况下发</w:t>
      </w:r>
    </w:p>
    <w:p>
      <w:pPr>
        <w:pStyle w:val="BodyText"/>
        <w:spacing w:line="206" w:lineRule="auto"/>
        <w:ind w:left="4"/>
      </w:pPr>
      <w:r>
        <w:rPr>
          <w:color w:val="808285"/>
        </w:rPr>
        <w:t>放,并仅为提供信息而发放,概不构成任何广告。</w:t>
      </w:r>
    </w:p>
    <w:p>
      <w:pPr>
        <w:spacing w:line="467" w:lineRule="auto"/>
        <w:rPr>
          <w:rFonts w:ascii="Arial"/>
          <w:sz w:val="21"/>
        </w:rPr>
      </w:pPr>
    </w:p>
    <w:p>
      <w:pPr>
        <w:pStyle w:val="BodyText"/>
        <w:spacing w:before="104" w:line="279" w:lineRule="auto"/>
        <w:ind w:left="5" w:right="12" w:firstLine="1"/>
        <w:jc w:val="both"/>
      </w:pPr>
      <w:r>
        <w:rPr>
          <w:color w:val="808285"/>
          <w:spacing w:val="3"/>
        </w:rPr>
        <w:t>本报告的信息来源于已公开的资料,农小蜂对该等信息的准确性、完整性或可靠</w:t>
      </w:r>
      <w:r>
        <w:rPr>
          <w:color w:val="808285"/>
          <w:spacing w:val="2"/>
        </w:rPr>
        <w:t>性不作任何</w:t>
      </w:r>
      <w:r>
        <w:rPr>
          <w:color w:val="808285"/>
        </w:rPr>
        <w:t xml:space="preserve">  </w:t>
      </w:r>
      <w:r>
        <w:rPr>
          <w:color w:val="808285"/>
          <w:spacing w:val="4"/>
        </w:rPr>
        <w:t>保证。本报告所载的资料、意见及推测仅反映农小蜂于发布本报告当日的判断。在不同时</w:t>
      </w:r>
      <w:r>
        <w:rPr>
          <w:color w:val="808285"/>
          <w:spacing w:val="8"/>
        </w:rPr>
        <w:t xml:space="preserve">  </w:t>
      </w:r>
      <w:r>
        <w:rPr>
          <w:color w:val="808285"/>
          <w:spacing w:val="3"/>
        </w:rPr>
        <w:t>期,农小蜂可发出与本报告所载资料、意见及推测不一致的报告。农小蜂不保证本报</w:t>
      </w:r>
      <w:r>
        <w:rPr>
          <w:color w:val="808285"/>
          <w:spacing w:val="2"/>
        </w:rPr>
        <w:t>告所含</w:t>
      </w:r>
      <w:r>
        <w:rPr>
          <w:color w:val="808285"/>
        </w:rPr>
        <w:t xml:space="preserve">  </w:t>
      </w:r>
      <w:r>
        <w:rPr>
          <w:color w:val="808285"/>
          <w:spacing w:val="3"/>
        </w:rPr>
        <w:t>信息保持在最新状态。同时,唯恒农业对本报告所含信息可在不发出通知的情形下做出</w:t>
      </w:r>
      <w:r>
        <w:rPr>
          <w:color w:val="808285"/>
          <w:spacing w:val="2"/>
        </w:rPr>
        <w:t>修改,</w:t>
      </w:r>
    </w:p>
    <w:p>
      <w:pPr>
        <w:pStyle w:val="BodyText"/>
        <w:spacing w:before="2" w:line="206" w:lineRule="auto"/>
        <w:ind w:left="5"/>
      </w:pPr>
      <w:r>
        <w:rPr>
          <w:color w:val="808285"/>
          <w:spacing w:val="-2"/>
        </w:rPr>
        <w:t>投资者应当自行关注相应的更新或修改。</w:t>
      </w:r>
    </w:p>
    <w:p>
      <w:pPr>
        <w:spacing w:line="243" w:lineRule="auto"/>
        <w:rPr>
          <w:rFonts w:ascii="Arial"/>
          <w:sz w:val="21"/>
        </w:rPr>
      </w:pPr>
    </w:p>
    <w:p>
      <w:pPr>
        <w:spacing w:line="244" w:lineRule="auto"/>
        <w:rPr>
          <w:rFonts w:ascii="Arial"/>
          <w:sz w:val="21"/>
        </w:rPr>
        <w:sectPr>
          <w:headerReference w:type="default" r:id="rId22"/>
          <w:footerReference w:type="default" r:id="rId23"/>
          <w:type w:val="continuous"/>
          <w:pgSz w:w="11906" w:h="16838"/>
          <w:pgMar w:top="400" w:right="1110" w:bottom="300" w:left="1180" w:header="0" w:footer="0" w:gutter="0"/>
          <w:pgNumType w:start="4"/>
          <w:cols w:num="1" w:space="708" w:equalWidth="0">
            <w:col w:w="9615" w:space="0"/>
          </w:cols>
        </w:sectPr>
      </w:pPr>
    </w:p>
    <w:p>
      <w:pPr>
        <w:pStyle w:val="BodyText"/>
        <w:spacing w:before="103" w:line="276" w:lineRule="auto"/>
        <w:ind w:left="7" w:right="3" w:hanging="1"/>
        <w:jc w:val="both"/>
      </w:pPr>
      <w:r>
        <w:rPr>
          <w:color w:val="808285"/>
          <w:spacing w:val="3"/>
        </w:rPr>
        <w:t>在任何情况下,本报告中的信息或所表述的意见均不构成对任何人的投资建议。在</w:t>
      </w:r>
      <w:r>
        <w:rPr>
          <w:color w:val="808285"/>
          <w:spacing w:val="2"/>
        </w:rPr>
        <w:t>任何情况</w:t>
      </w:r>
      <w:r>
        <w:rPr>
          <w:color w:val="808285"/>
        </w:rPr>
        <w:t xml:space="preserve">  </w:t>
      </w:r>
      <w:r>
        <w:rPr>
          <w:color w:val="808285"/>
          <w:spacing w:val="6"/>
        </w:rPr>
        <w:t>下,农小蜂</w:t>
      </w:r>
      <w:r>
        <w:rPr>
          <w:color w:val="808285"/>
          <w:spacing w:val="-9"/>
        </w:rPr>
        <w:t xml:space="preserve"> </w:t>
      </w:r>
      <w:r>
        <w:rPr>
          <w:color w:val="808285"/>
          <w:spacing w:val="6"/>
        </w:rPr>
        <w:t>、农小蜂员工或者关联机构不承诺投资者一定获利,不与投资者分享投资收益,也</w:t>
      </w:r>
    </w:p>
    <w:p>
      <w:pPr>
        <w:pStyle w:val="BodyText"/>
        <w:spacing w:line="206" w:lineRule="auto"/>
        <w:ind w:left="6"/>
      </w:pPr>
      <w:r>
        <w:rPr>
          <w:color w:val="808285"/>
          <w:spacing w:val="-1"/>
        </w:rPr>
        <w:t>不对任何人因使用本报告中的任何内容所引致的任何损失负任何责任。</w:t>
      </w:r>
    </w:p>
    <w:p>
      <w:pPr>
        <w:spacing w:line="466" w:lineRule="auto"/>
        <w:rPr>
          <w:rFonts w:ascii="Arial"/>
          <w:sz w:val="21"/>
        </w:rPr>
      </w:pPr>
    </w:p>
    <w:p>
      <w:pPr>
        <w:pStyle w:val="BodyText"/>
        <w:spacing w:before="104" w:line="276" w:lineRule="auto"/>
        <w:ind w:left="6"/>
        <w:jc w:val="both"/>
      </w:pPr>
      <w:r>
        <w:rPr>
          <w:color w:val="808285"/>
          <w:spacing w:val="2"/>
        </w:rPr>
        <w:t>本报告版权仅为农小蜂所有,未经书面许可,任</w:t>
      </w:r>
      <w:r>
        <w:rPr>
          <w:color w:val="808285"/>
          <w:spacing w:val="1"/>
        </w:rPr>
        <w:t>何机构和个人不得以任何形式翻版、复制、发</w:t>
      </w:r>
      <w:r>
        <w:rPr>
          <w:color w:val="808285"/>
        </w:rPr>
        <w:t xml:space="preserve">  </w:t>
      </w:r>
      <w:r>
        <w:rPr>
          <w:color w:val="808285"/>
          <w:spacing w:val="1"/>
        </w:rPr>
        <w:t>表或引用。如征得农小蜂同意进行引用、刊发的,需在允许的范围内使用,并注明出处为 “农</w:t>
      </w:r>
    </w:p>
    <w:p>
      <w:pPr>
        <w:pStyle w:val="BodyText"/>
        <w:spacing w:before="1" w:line="205" w:lineRule="auto"/>
        <w:ind w:left="7"/>
      </w:pPr>
      <w:r>
        <w:rPr>
          <w:color w:val="808285"/>
          <w:spacing w:val="-1"/>
        </w:rPr>
        <w:t>小蜂数据",且不得对本报告进行任何有惊原意的引用、删节</w:t>
      </w:r>
      <w:r>
        <w:rPr>
          <w:color w:val="808285"/>
          <w:spacing w:val="-2"/>
        </w:rPr>
        <w:t>和修改。</w:t>
      </w: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95" w:line="216" w:lineRule="exact"/>
        <w:ind w:left="1488"/>
        <w:rPr>
          <w:sz w:val="22"/>
          <w:szCs w:val="22"/>
        </w:rPr>
      </w:pPr>
      <w:r>
        <w:rPr>
          <w:color w:val="002B00"/>
          <w:spacing w:val="16"/>
          <w:position w:val="-1"/>
          <w:sz w:val="22"/>
          <w:szCs w:val="22"/>
        </w:rPr>
        <w:t>农小蜂出品</w:t>
      </w:r>
      <w:r>
        <w:rPr>
          <w:color w:val="002B00"/>
          <w:spacing w:val="-17"/>
          <w:position w:val="-1"/>
          <w:sz w:val="22"/>
          <w:szCs w:val="22"/>
        </w:rPr>
        <w:t xml:space="preserve"> </w:t>
      </w:r>
      <w:r>
        <w:rPr>
          <w:rFonts w:ascii="Arial" w:eastAsia="Arial" w:hAnsi="Arial" w:cs="Arial"/>
          <w:color w:val="5D5F61"/>
          <w:spacing w:val="16"/>
          <w:position w:val="-1"/>
          <w:sz w:val="22"/>
          <w:szCs w:val="22"/>
        </w:rPr>
        <w:t>,</w:t>
      </w:r>
      <w:r>
        <w:rPr>
          <w:rFonts w:ascii="Arial" w:eastAsia="Arial" w:hAnsi="Arial" w:cs="Arial"/>
          <w:color w:val="5D5F61"/>
          <w:spacing w:val="16"/>
          <w:position w:val="-1"/>
          <w:sz w:val="22"/>
          <w:szCs w:val="22"/>
        </w:rPr>
        <w:t xml:space="preserve"> </w:t>
      </w:r>
      <w:r>
        <w:rPr>
          <w:color w:val="5D5F61"/>
          <w:spacing w:val="16"/>
          <w:position w:val="-1"/>
          <w:sz w:val="22"/>
          <w:szCs w:val="22"/>
        </w:rPr>
        <w:t>转载请标明出处;</w:t>
      </w:r>
      <w:r>
        <w:rPr>
          <w:color w:val="5D5F61"/>
          <w:spacing w:val="-7"/>
          <w:position w:val="-1"/>
          <w:sz w:val="22"/>
          <w:szCs w:val="22"/>
        </w:rPr>
        <w:t xml:space="preserve"> </w:t>
      </w:r>
      <w:r>
        <w:rPr>
          <w:color w:val="5D5F61"/>
          <w:spacing w:val="16"/>
          <w:position w:val="-1"/>
          <w:sz w:val="22"/>
          <w:szCs w:val="22"/>
        </w:rPr>
        <w:t>禁止商用转载,</w:t>
      </w:r>
      <w:r>
        <w:rPr>
          <w:color w:val="5D5F61"/>
          <w:spacing w:val="16"/>
          <w:position w:val="-1"/>
          <w:sz w:val="22"/>
          <w:szCs w:val="22"/>
        </w:rPr>
        <w:t xml:space="preserve"> </w:t>
      </w:r>
      <w:r>
        <w:rPr>
          <w:color w:val="5D5F61"/>
          <w:spacing w:val="16"/>
          <w:position w:val="-1"/>
          <w:sz w:val="22"/>
          <w:szCs w:val="22"/>
        </w:rPr>
        <w:t>违规转载法律必究</w:t>
      </w:r>
      <w:r>
        <w:rPr>
          <w:color w:val="5D5F61"/>
          <w:spacing w:val="-37"/>
          <w:position w:val="-1"/>
          <w:sz w:val="22"/>
          <w:szCs w:val="22"/>
        </w:rPr>
        <w:t xml:space="preserve"> </w:t>
      </w:r>
      <w:r>
        <w:rPr>
          <w:color w:val="5D5F61"/>
          <w:spacing w:val="16"/>
          <w:position w:val="-1"/>
          <w:sz w:val="22"/>
          <w:szCs w:val="22"/>
        </w:rPr>
        <w:t>。</w:t>
      </w:r>
    </w:p>
    <w:p>
      <w:pPr>
        <w:spacing w:line="216" w:lineRule="exact"/>
        <w:rPr>
          <w:sz w:val="22"/>
          <w:szCs w:val="22"/>
        </w:rPr>
        <w:sectPr>
          <w:headerReference w:type="default" r:id="rId24"/>
          <w:footerReference w:type="default" r:id="rId25"/>
          <w:type w:val="nextPage"/>
          <w:pgSz w:w="11906" w:h="16838"/>
          <w:pgMar w:top="400" w:right="1110" w:bottom="300" w:left="1180" w:header="0" w:footer="0" w:gutter="0"/>
          <w:pgNumType w:start="5"/>
          <w:cols w:num="1" w:space="708" w:equalWidth="0">
            <w:col w:w="9615" w:space="0"/>
          </w:cols>
          <w:titlePg w:val="0"/>
        </w:sectPr>
      </w:pPr>
    </w:p>
    <w:p>
      <w:pPr>
        <w:spacing w:line="457" w:lineRule="auto"/>
        <w:rPr>
          <w:rFonts w:ascii="Arial"/>
          <w:sz w:val="21"/>
        </w:rPr>
      </w:pPr>
      <w:r>
        <w:drawing>
          <wp:anchor distT="0" distB="0" distL="0" distR="0" simplePos="0" relativeHeight="251666432" behindDoc="0" locked="0" layoutInCell="0" allowOverlap="1">
            <wp:simplePos x="0" y="0"/>
            <wp:positionH relativeFrom="page">
              <wp:posOffset>2785623</wp:posOffset>
            </wp:positionH>
            <wp:positionV relativeFrom="page">
              <wp:posOffset>10081270</wp:posOffset>
            </wp:positionV>
            <wp:extent cx="2197452" cy="90306"/>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26"/>
                    <a:stretch>
                      <a:fillRect/>
                    </a:stretch>
                  </pic:blipFill>
                  <pic:spPr>
                    <a:xfrm>
                      <a:off x="0" y="0"/>
                      <a:ext cx="2197452" cy="90306"/>
                    </a:xfrm>
                    <a:prstGeom prst="rect">
                      <a:avLst/>
                    </a:prstGeom>
                  </pic:spPr>
                </pic:pic>
              </a:graphicData>
            </a:graphic>
          </wp:anchor>
        </w:drawing>
      </w:r>
    </w:p>
    <w:p>
      <w:pPr>
        <w:spacing w:line="386" w:lineRule="exact"/>
        <w:ind w:firstLine="1804"/>
      </w:pPr>
      <w:r>
        <w:rPr>
          <w:position w:val="-7"/>
        </w:rPr>
        <w:drawing>
          <wp:inline distT="0" distB="0" distL="0" distR="0">
            <wp:extent cx="5274305" cy="24506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7"/>
                    <a:stretch>
                      <a:fillRect/>
                    </a:stretch>
                  </pic:blipFill>
                  <pic:spPr>
                    <a:xfrm>
                      <a:off x="0" y="0"/>
                      <a:ext cx="5274305" cy="245061"/>
                    </a:xfrm>
                    <a:prstGeom prst="rect">
                      <a:avLst/>
                    </a:prstGeom>
                  </pic:spPr>
                </pic:pic>
              </a:graphicData>
            </a:graphic>
          </wp:inline>
        </w:drawing>
      </w:r>
    </w:p>
    <w:p>
      <w:pPr>
        <w:pStyle w:val="BodyText"/>
        <w:spacing w:before="429" w:line="174" w:lineRule="auto"/>
        <w:ind w:left="1825"/>
        <w:rPr>
          <w:sz w:val="55"/>
          <w:szCs w:val="55"/>
        </w:rPr>
      </w:pPr>
      <w:r>
        <w:rPr>
          <w:color w:val="00B050"/>
          <w:spacing w:val="-7"/>
          <w:sz w:val="55"/>
          <w:szCs w:val="55"/>
          <w14:textOutline w14:w="8661">
            <w14:solidFill>
              <w14:srgbClr w14:val="00B050"/>
            </w14:solidFill>
            <w14:prstDash w14:val="solid"/>
            <w14:miter w14:lim="10"/>
          </w14:textOutline>
        </w:rPr>
        <w:t>核⼼观点</w:t>
      </w:r>
      <w:r>
        <w:rPr>
          <w:color w:val="00B050"/>
          <w:spacing w:val="-7"/>
          <w:sz w:val="55"/>
          <w:szCs w:val="55"/>
        </w:rPr>
        <w:t xml:space="preserve"> </w:t>
      </w:r>
      <w:r>
        <w:rPr>
          <w:color w:val="00B050"/>
          <w:spacing w:val="-7"/>
          <w:sz w:val="55"/>
          <w:szCs w:val="55"/>
          <w14:textOutline w14:w="8661">
            <w14:solidFill>
              <w14:srgbClr w14:val="00B050"/>
            </w14:solidFill>
            <w14:prstDash w14:val="solid"/>
            <w14:miter w14:lim="10"/>
          </w14:textOutline>
        </w:rPr>
        <w:t>COREOPINIONS</w:t>
      </w:r>
    </w:p>
    <w:p>
      <w:pPr>
        <w:spacing w:line="447" w:lineRule="auto"/>
        <w:rPr>
          <w:rFonts w:ascii="Arial"/>
          <w:sz w:val="21"/>
        </w:rPr>
      </w:pPr>
    </w:p>
    <w:p>
      <w:pPr>
        <w:pStyle w:val="BodyText"/>
        <w:spacing w:before="103" w:line="280" w:lineRule="auto"/>
        <w:ind w:left="1812" w:right="1794" w:firstLine="13"/>
        <w:jc w:val="both"/>
      </w:pPr>
      <w:r>
        <w:rPr>
          <w:spacing w:val="-8"/>
        </w:rPr>
        <w:t>1.</w:t>
      </w:r>
      <w:r>
        <w:rPr>
          <w:spacing w:val="60"/>
        </w:rPr>
        <w:t xml:space="preserve"> </w:t>
      </w:r>
      <w:r>
        <w:rPr>
          <w:spacing w:val="-8"/>
        </w:rPr>
        <w:t>从⽣产规模来看，</w:t>
      </w:r>
      <w:r>
        <w:rPr>
          <w:spacing w:val="25"/>
        </w:rPr>
        <w:t xml:space="preserve"> </w:t>
      </w:r>
      <w:r>
        <w:rPr>
          <w:spacing w:val="-8"/>
        </w:rPr>
        <w:t>2021 年， ⼭东省蔬菜种植</w:t>
      </w:r>
      <w:r>
        <w:rPr>
          <w:spacing w:val="-9"/>
        </w:rPr>
        <w:t>⾯积到达了 2287.02 万亩，总产</w:t>
      </w:r>
      <w:r>
        <w:t xml:space="preserve"> </w:t>
      </w:r>
      <w:r>
        <w:rPr>
          <w:spacing w:val="-6"/>
        </w:rPr>
        <w:t>量为 8801.08 万吨，在全国所占的⽐重分别为 6.93%和 11.35%，其中，</w:t>
      </w:r>
      <w:r>
        <w:rPr>
          <w:spacing w:val="16"/>
        </w:rPr>
        <w:t xml:space="preserve"> </w:t>
      </w:r>
      <w:r>
        <w:rPr>
          <w:spacing w:val="-6"/>
        </w:rPr>
        <w:t>种</w:t>
      </w:r>
      <w:r>
        <w:rPr>
          <w:spacing w:val="-7"/>
        </w:rPr>
        <w:t>植⾯</w:t>
      </w:r>
      <w:r>
        <w:t xml:space="preserve"> </w:t>
      </w:r>
      <w:r>
        <w:rPr>
          <w:spacing w:val="-5"/>
        </w:rPr>
        <w:t>积常年位居全国前⼗，  产量连续 20 年</w:t>
      </w:r>
      <w:r>
        <w:rPr>
          <w:spacing w:val="-6"/>
        </w:rPr>
        <w:t>稳居全国第⼀，</w:t>
      </w:r>
      <w:r>
        <w:rPr>
          <w:spacing w:val="-46"/>
        </w:rPr>
        <w:t xml:space="preserve"> </w:t>
      </w:r>
      <w:r>
        <w:rPr>
          <w:spacing w:val="-6"/>
        </w:rPr>
        <w:t>单位⾯积产量也常年⾼于</w:t>
      </w:r>
      <w:r>
        <w:t xml:space="preserve"> </w:t>
      </w:r>
      <w:r>
        <w:rPr>
          <w:spacing w:val="-5"/>
        </w:rPr>
        <w:t>全国平均⽔平。从⻓期趋势来看，  2010</w:t>
      </w:r>
      <w:r>
        <w:rPr>
          <w:spacing w:val="34"/>
        </w:rPr>
        <w:t xml:space="preserve"> </w:t>
      </w:r>
      <w:r>
        <w:rPr>
          <w:spacing w:val="-5"/>
        </w:rPr>
        <w:t>年以来，⼭东省蔬菜种植⾯积趋</w:t>
      </w:r>
      <w:r>
        <w:rPr>
          <w:spacing w:val="-6"/>
        </w:rPr>
        <w:t>稳态势</w:t>
      </w:r>
      <w:r>
        <w:t xml:space="preserve"> </w:t>
      </w:r>
      <w:r>
        <w:rPr>
          <w:spacing w:val="-12"/>
        </w:rPr>
        <w:t>明显； 产量则得益于⽣产技术的不断改进及推⼴应⽤，  仍整体呈正增⻓态势；  ⾯</w:t>
      </w:r>
      <w:r>
        <w:rPr>
          <w:spacing w:val="8"/>
        </w:rPr>
        <w:t xml:space="preserve"> </w:t>
      </w:r>
      <w:r>
        <w:rPr>
          <w:spacing w:val="-6"/>
        </w:rPr>
        <w:t>积、产量在全国所占的⽐重则随全国蔬菜⽣产格</w:t>
      </w:r>
      <w:r>
        <w:rPr>
          <w:spacing w:val="-7"/>
        </w:rPr>
        <w:t>局的变化均呈现下降趋势，</w:t>
      </w:r>
      <w:r>
        <w:rPr>
          <w:spacing w:val="50"/>
          <w:w w:val="101"/>
        </w:rPr>
        <w:t xml:space="preserve"> </w:t>
      </w:r>
      <w:r>
        <w:rPr>
          <w:spacing w:val="-7"/>
        </w:rPr>
        <w:t>但仍</w:t>
      </w:r>
    </w:p>
    <w:p>
      <w:pPr>
        <w:pStyle w:val="BodyText"/>
        <w:spacing w:line="189" w:lineRule="auto"/>
        <w:ind w:left="1814"/>
      </w:pPr>
      <w:r>
        <w:rPr>
          <w:spacing w:val="-5"/>
        </w:rPr>
        <w:t>处于全国领先地位。</w:t>
      </w:r>
    </w:p>
    <w:p>
      <w:pPr>
        <w:spacing w:line="359" w:lineRule="auto"/>
        <w:rPr>
          <w:rFonts w:ascii="Arial"/>
          <w:sz w:val="21"/>
        </w:rPr>
      </w:pPr>
    </w:p>
    <w:p>
      <w:pPr>
        <w:pStyle w:val="BodyText"/>
        <w:spacing w:before="103" w:line="280" w:lineRule="auto"/>
        <w:ind w:left="1812" w:right="1674" w:firstLine="1"/>
      </w:pPr>
      <w:r>
        <w:rPr>
          <w:spacing w:val="-7"/>
        </w:rPr>
        <w:t>2.</w:t>
      </w:r>
      <w:r>
        <w:rPr>
          <w:spacing w:val="59"/>
        </w:rPr>
        <w:t xml:space="preserve"> </w:t>
      </w:r>
      <w:r>
        <w:rPr>
          <w:spacing w:val="-7"/>
        </w:rPr>
        <w:t>从蔬菜质量安全⽔平来看，</w:t>
      </w:r>
      <w:r>
        <w:rPr>
          <w:spacing w:val="-38"/>
        </w:rPr>
        <w:t xml:space="preserve"> </w:t>
      </w:r>
      <w:r>
        <w:rPr>
          <w:spacing w:val="-7"/>
        </w:rPr>
        <w:t>截⾄ 2022</w:t>
      </w:r>
      <w:r>
        <w:rPr>
          <w:spacing w:val="-8"/>
        </w:rPr>
        <w:t xml:space="preserve"> 年 11 ⽉</w:t>
      </w:r>
      <w:r>
        <w:rPr>
          <w:spacing w:val="-31"/>
        </w:rPr>
        <w:t xml:space="preserve"> </w:t>
      </w:r>
      <w:r>
        <w:rPr>
          <w:spacing w:val="-8"/>
        </w:rPr>
        <w:t>，⼭东省蔬菜相关“三品⼀标”</w:t>
      </w:r>
      <w:r>
        <w:t xml:space="preserve"> </w:t>
      </w:r>
      <w:r>
        <w:rPr>
          <w:spacing w:val="-11"/>
        </w:rPr>
        <w:t>有效产品数 626 个，其中，</w:t>
      </w:r>
      <w:r>
        <w:rPr>
          <w:spacing w:val="-30"/>
        </w:rPr>
        <w:t xml:space="preserve"> </w:t>
      </w:r>
      <w:r>
        <w:rPr>
          <w:spacing w:val="-11"/>
        </w:rPr>
        <w:t xml:space="preserve">绿⾊⻝品 448 </w:t>
      </w:r>
      <w:r>
        <w:rPr>
          <w:spacing w:val="-12"/>
        </w:rPr>
        <w:t xml:space="preserve">个，占⼭东省绿⾊⻝品总数（1000 个）   </w:t>
      </w:r>
      <w:r>
        <w:rPr>
          <w:spacing w:val="-4"/>
        </w:rPr>
        <w:t>的 44.8%，主要分布在聊城、潍坊、临沂、济南、淄博、济宁、东营、滨州、菏</w:t>
      </w:r>
      <w:r>
        <w:rPr>
          <w:spacing w:val="2"/>
        </w:rPr>
        <w:t xml:space="preserve">  </w:t>
      </w:r>
      <w:r>
        <w:rPr>
          <w:spacing w:val="-6"/>
        </w:rPr>
        <w:t xml:space="preserve">泽、泰安、德州、⽇照、威海、枣庄、烟台 15 </w:t>
      </w:r>
      <w:r>
        <w:rPr>
          <w:spacing w:val="-7"/>
        </w:rPr>
        <w:t>个地区；有机农产品 64 个，占⼭</w:t>
      </w:r>
      <w:r>
        <w:t xml:space="preserve">   </w:t>
      </w:r>
      <w:r>
        <w:rPr>
          <w:spacing w:val="-1"/>
        </w:rPr>
        <w:t>东省有机农产品总数（212 个）的 30</w:t>
      </w:r>
      <w:r>
        <w:rPr>
          <w:spacing w:val="-2"/>
        </w:rPr>
        <w:t xml:space="preserve">.19%，主要分布在威海、滨州、济宁、德  </w:t>
      </w:r>
      <w:r>
        <w:rPr>
          <w:spacing w:val="-10"/>
        </w:rPr>
        <w:t>州、淄博、潍坊、泰安、枣庄 8 个地区；</w:t>
      </w:r>
      <w:r>
        <w:rPr>
          <w:spacing w:val="37"/>
          <w:w w:val="101"/>
        </w:rPr>
        <w:t xml:space="preserve"> </w:t>
      </w:r>
      <w:r>
        <w:rPr>
          <w:spacing w:val="-10"/>
        </w:rPr>
        <w:t>蔬菜相关农产品地理标志 114 个， 主要</w:t>
      </w:r>
      <w:r>
        <w:t xml:space="preserve">  </w:t>
      </w:r>
      <w:r>
        <w:rPr>
          <w:spacing w:val="-1"/>
        </w:rPr>
        <w:t>分布⻘岛、菏泽、临沂、德州、济宁、潍坊、济南、泰安、聊城、滨州、⽇照、</w:t>
      </w:r>
    </w:p>
    <w:p>
      <w:pPr>
        <w:pStyle w:val="BodyText"/>
        <w:spacing w:line="189" w:lineRule="auto"/>
        <w:ind w:left="1815"/>
      </w:pPr>
      <w:r>
        <w:rPr>
          <w:spacing w:val="-3"/>
        </w:rPr>
        <w:t>莱芜、枣庄、淄博、威海、东营、烟台 17 个地区。</w:t>
      </w:r>
    </w:p>
    <w:p>
      <w:pPr>
        <w:spacing w:line="358" w:lineRule="auto"/>
        <w:rPr>
          <w:rFonts w:ascii="Arial"/>
          <w:sz w:val="21"/>
        </w:rPr>
      </w:pPr>
    </w:p>
    <w:p>
      <w:pPr>
        <w:pStyle w:val="BodyText"/>
        <w:spacing w:before="103" w:line="280" w:lineRule="auto"/>
        <w:ind w:left="1812" w:right="1793" w:hanging="1"/>
        <w:jc w:val="both"/>
      </w:pPr>
      <w:r>
        <w:rPr>
          <w:spacing w:val="-9"/>
        </w:rPr>
        <w:t>3.</w:t>
      </w:r>
      <w:r>
        <w:rPr>
          <w:spacing w:val="59"/>
          <w:w w:val="101"/>
        </w:rPr>
        <w:t xml:space="preserve"> </w:t>
      </w:r>
      <w:r>
        <w:rPr>
          <w:spacing w:val="-9"/>
        </w:rPr>
        <w:t>从⽣产优势来看， ⼭东全省设施蔬菜年种植⾯积 1400 万亩左右，</w:t>
      </w:r>
      <w:r>
        <w:rPr>
          <w:spacing w:val="45"/>
          <w:w w:val="101"/>
        </w:rPr>
        <w:t xml:space="preserve"> </w:t>
      </w:r>
      <w:r>
        <w:rPr>
          <w:spacing w:val="-9"/>
        </w:rPr>
        <w:t>约</w:t>
      </w:r>
      <w:r>
        <w:rPr>
          <w:spacing w:val="-10"/>
        </w:rPr>
        <w:t>占全国的</w:t>
      </w:r>
      <w:r>
        <w:t xml:space="preserve"> </w:t>
      </w:r>
      <w:r>
        <w:rPr>
          <w:spacing w:val="-4"/>
        </w:rPr>
        <w:t>1/4、全省的  2/3</w:t>
      </w:r>
      <w:r>
        <w:rPr>
          <w:spacing w:val="-33"/>
        </w:rPr>
        <w:t xml:space="preserve"> </w:t>
      </w:r>
      <w:r>
        <w:rPr>
          <w:spacing w:val="-4"/>
        </w:rPr>
        <w:t>，有  61</w:t>
      </w:r>
      <w:r>
        <w:rPr>
          <w:spacing w:val="57"/>
          <w:w w:val="101"/>
        </w:rPr>
        <w:t xml:space="preserve"> </w:t>
      </w:r>
      <w:r>
        <w:rPr>
          <w:spacing w:val="-4"/>
        </w:rPr>
        <w:t>个县被认定为“全国蔬菜重点发展区域设施蔬菜基地</w:t>
      </w:r>
      <w:r>
        <w:t xml:space="preserve"> </w:t>
      </w:r>
      <w:r>
        <w:rPr>
          <w:spacing w:val="-7"/>
        </w:rPr>
        <w:t>县”，各类蔬菜细分品种⽣产成本普遍低于全国平均⽔平；  潍坊、菏泽、济宁等</w:t>
      </w:r>
      <w:r>
        <w:rPr>
          <w:spacing w:val="13"/>
        </w:rPr>
        <w:t xml:space="preserve"> </w:t>
      </w:r>
      <w:r>
        <w:rPr>
          <w:spacing w:val="-6"/>
        </w:rPr>
        <w:t>地蔬菜种植⾯积常年在</w:t>
      </w:r>
      <w:r>
        <w:rPr>
          <w:spacing w:val="16"/>
        </w:rPr>
        <w:t xml:space="preserve"> </w:t>
      </w:r>
      <w:r>
        <w:rPr>
          <w:spacing w:val="-6"/>
        </w:rPr>
        <w:t>250 万亩以上</w:t>
      </w:r>
      <w:r>
        <w:rPr>
          <w:spacing w:val="-39"/>
        </w:rPr>
        <w:t xml:space="preserve"> </w:t>
      </w:r>
      <w:r>
        <w:rPr>
          <w:spacing w:val="-6"/>
        </w:rPr>
        <w:t>，年产量超</w:t>
      </w:r>
      <w:r>
        <w:rPr>
          <w:spacing w:val="18"/>
        </w:rPr>
        <w:t xml:space="preserve"> </w:t>
      </w:r>
      <w:r>
        <w:rPr>
          <w:spacing w:val="-6"/>
        </w:rPr>
        <w:t>700 万吨，产业集中度⾼；  全</w:t>
      </w:r>
      <w:r>
        <w:t xml:space="preserve"> </w:t>
      </w:r>
      <w:r>
        <w:rPr>
          <w:spacing w:val="-1"/>
        </w:rPr>
        <w:t>省建有蔬菜批发市场 230</w:t>
      </w:r>
      <w:r>
        <w:rPr>
          <w:spacing w:val="24"/>
          <w:w w:val="101"/>
        </w:rPr>
        <w:t xml:space="preserve"> </w:t>
      </w:r>
      <w:r>
        <w:rPr>
          <w:spacing w:val="-1"/>
        </w:rPr>
        <w:t>多家，营销队伍 2</w:t>
      </w:r>
      <w:r>
        <w:rPr>
          <w:spacing w:val="-2"/>
        </w:rPr>
        <w:t>00 万⼈左右；全省已形成蔬菜全产</w:t>
      </w:r>
      <w:r>
        <w:t xml:space="preserve"> </w:t>
      </w:r>
      <w:r>
        <w:rPr>
          <w:spacing w:val="-4"/>
        </w:rPr>
        <w:t>业链和“⻰头企业＋农⼾＋⽣产资料供应商”</w:t>
      </w:r>
      <w:r>
        <w:rPr>
          <w:spacing w:val="-34"/>
        </w:rPr>
        <w:t xml:space="preserve"> </w:t>
      </w:r>
      <w:r>
        <w:rPr>
          <w:spacing w:val="-4"/>
        </w:rPr>
        <w:t>的产业组织模式，蔬菜产业专业化</w:t>
      </w:r>
      <w:r>
        <w:t xml:space="preserve"> </w:t>
      </w:r>
      <w:r>
        <w:rPr>
          <w:spacing w:val="-3"/>
        </w:rPr>
        <w:t>⽔平⾼、市场影响力强，在保障全国蔬菜供给、稳定物价方⾯作⽤显著。在出口</w:t>
      </w:r>
      <w:r>
        <w:rPr>
          <w:spacing w:val="2"/>
        </w:rPr>
        <w:t xml:space="preserve"> </w:t>
      </w:r>
      <w:r>
        <w:rPr>
          <w:spacing w:val="-7"/>
        </w:rPr>
        <w:t>创汇方⾯， ⼭东省蔬菜加工出口企业超 3000 家， 出口市</w:t>
      </w:r>
      <w:r>
        <w:rPr>
          <w:spacing w:val="-8"/>
        </w:rPr>
        <w:t>场覆盖全球 170 多个国</w:t>
      </w:r>
    </w:p>
    <w:p>
      <w:pPr>
        <w:pStyle w:val="BodyText"/>
        <w:spacing w:line="189" w:lineRule="auto"/>
        <w:ind w:left="1821"/>
        <w:sectPr>
          <w:headerReference w:type="default" r:id="rId28"/>
          <w:footerReference w:type="default" r:id="rId29"/>
          <w:pgSz w:w="11906" w:h="16838"/>
          <w:pgMar w:top="400" w:right="0" w:bottom="400" w:left="0" w:header="0" w:footer="0" w:gutter="0"/>
          <w:pgNumType w:start="6"/>
          <w:cols w:space="708"/>
        </w:sectPr>
      </w:pPr>
      <w:r>
        <w:rPr>
          <w:spacing w:val="-5"/>
        </w:rPr>
        <w:t>家/地区</w:t>
      </w:r>
      <w:r>
        <w:rPr>
          <w:spacing w:val="-30"/>
        </w:rPr>
        <w:t xml:space="preserve"> </w:t>
      </w:r>
      <w:r>
        <w:rPr>
          <w:spacing w:val="-5"/>
        </w:rPr>
        <w:t>，出口金额连续 15 年稳居全国第⼀。</w:t>
      </w:r>
    </w:p>
    <w:p>
      <w:pPr>
        <w:spacing w:line="302" w:lineRule="auto"/>
        <w:rPr>
          <w:rFonts w:ascii="Arial"/>
          <w:sz w:val="21"/>
        </w:rPr>
      </w:pPr>
    </w:p>
    <w:p>
      <w:pPr>
        <w:spacing w:line="302" w:lineRule="auto"/>
        <w:rPr>
          <w:rFonts w:ascii="Arial"/>
          <w:sz w:val="21"/>
        </w:rPr>
      </w:pPr>
    </w:p>
    <w:p>
      <w:pPr>
        <w:spacing w:line="302" w:lineRule="auto"/>
        <w:rPr>
          <w:rFonts w:ascii="Arial"/>
          <w:sz w:val="21"/>
        </w:rPr>
      </w:pPr>
    </w:p>
    <w:p>
      <w:pPr>
        <w:spacing w:before="68" w:line="178" w:lineRule="auto"/>
        <w:ind w:left="10014"/>
        <w:rPr>
          <w:rFonts w:ascii="Calibri" w:eastAsia="Calibri" w:hAnsi="Calibri" w:cs="Calibri"/>
          <w:sz w:val="22"/>
          <w:szCs w:val="22"/>
        </w:rPr>
      </w:pPr>
      <w:r>
        <w:rPr>
          <w:rFonts w:ascii="Calibri" w:eastAsia="Calibri" w:hAnsi="Calibri" w:cs="Calibri"/>
          <w:b/>
          <w:bCs/>
          <w:sz w:val="22"/>
          <w:szCs w:val="22"/>
        </w:rPr>
        <w:t>1</w:t>
      </w:r>
    </w:p>
    <w:p>
      <w:pPr>
        <w:spacing w:line="178" w:lineRule="auto"/>
        <w:rPr>
          <w:rFonts w:ascii="Calibri" w:eastAsia="Calibri" w:hAnsi="Calibri" w:cs="Calibri"/>
          <w:sz w:val="22"/>
          <w:szCs w:val="22"/>
        </w:rPr>
      </w:pPr>
      <w:r>
        <w:rPr>
          <w:rFonts w:ascii="Calibri" w:eastAsia="Calibri" w:hAnsi="Calibri" w:cs="Calibri"/>
          <w:sz w:val="22"/>
          <w:szCs w:val="22"/>
        </w:rPr>
        <w:br/>
      </w:r>
      <w:r>
        <w:rPr>
          <w:rFonts w:ascii="Calibri" w:eastAsia="Calibri" w:hAnsi="Calibri" w:cs="Calibri"/>
          <w:sz w:val="22"/>
          <w:szCs w:val="2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0" w:history="1">
        <w:r>
          <w:rPr>
            <w:rFonts w:ascii="SimSun" w:eastAsia="SimSun" w:hAnsi="SimSun" w:cs="SimSun"/>
            <w:b/>
            <w:bCs/>
            <w:noProof w:val="0"/>
            <w:snapToGrid/>
            <w:color w:val="0000EE"/>
            <w:kern w:val="0"/>
            <w:sz w:val="30"/>
            <w:szCs w:val="30"/>
            <w:u w:val="single" w:color="0000EE"/>
          </w:rPr>
          <w:t>https://d.book118.com/046225205215010041</w:t>
        </w:r>
      </w:hyperlink>
    </w:p>
    <w:p>
      <w:pPr>
        <w:spacing w:line="178" w:lineRule="auto"/>
        <w:rPr>
          <w:rFonts w:ascii="Calibri" w:eastAsia="Calibri" w:hAnsi="Calibri" w:cs="Calibri"/>
          <w:sz w:val="22"/>
          <w:szCs w:val="22"/>
        </w:rPr>
      </w:pPr>
    </w:p>
    <w:sectPr>
      <w:headerReference w:type="default" r:id="rId31"/>
      <w:footerReference w:type="default" r:id="rId32"/>
      <w:type w:val="nextPage"/>
      <w:pgSz w:w="11906" w:h="16838"/>
      <w:pgMar w:top="400" w:right="0" w:bottom="400" w:left="0" w:header="0" w:footer="0" w:gutter="0"/>
      <w:pgNumType w:start="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95.3pt;height:841.9pt;margin-top:0;margin-left:0;mso-position-horizontal-relative:page;mso-position-vertical-relative:page;position:absolute;z-index:-251658240" o:allowincell="f" filled="f" stroked="f">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595.3pt;height:841.9pt;margin-top:0;margin-left:0;mso-position-horizontal-relative:page;mso-position-vertical-relative:page;position:absolute;z-index:-251657216"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Microsoft YaHei" w:eastAsia="Microsoft YaHei" w:hAnsi="Microsoft YaHei" w:cs="Microsoft YaHei"/>
      <w:sz w:val="24"/>
      <w:szCs w:val="24"/>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image" Target="media/image12.png" /><Relationship Id="rId22" Type="http://schemas.openxmlformats.org/officeDocument/2006/relationships/header" Target="header4.xml" /><Relationship Id="rId23" Type="http://schemas.openxmlformats.org/officeDocument/2006/relationships/footer" Target="footer4.xml" /><Relationship Id="rId24" Type="http://schemas.openxmlformats.org/officeDocument/2006/relationships/header" Target="header5.xml" /><Relationship Id="rId25" Type="http://schemas.openxmlformats.org/officeDocument/2006/relationships/footer" Target="footer5.xml"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header" Target="header6.xml" /><Relationship Id="rId29" Type="http://schemas.openxmlformats.org/officeDocument/2006/relationships/footer" Target="footer6.xml" /><Relationship Id="rId3" Type="http://schemas.openxmlformats.org/officeDocument/2006/relationships/fontTable" Target="fontTable.xml" /><Relationship Id="rId30" Type="http://schemas.openxmlformats.org/officeDocument/2006/relationships/hyperlink" Target="https://d.book118.com/046225205215010041" TargetMode="External" /><Relationship Id="rId31" Type="http://schemas.openxmlformats.org/officeDocument/2006/relationships/header" Target="header7.xml" /><Relationship Id="rId32" Type="http://schemas.openxmlformats.org/officeDocument/2006/relationships/footer" Target="footer7.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header6.xml.rels><?xml version="1.0" encoding="utf-8" standalone="yes"?><Relationships xmlns="http://schemas.openxmlformats.org/package/2006/relationships"><Relationship Id="rId1" Type="http://schemas.openxmlformats.org/officeDocument/2006/relationships/image" Target="media/image15.png" /></Relationships>
</file>

<file path=word/_rels/header7.xml.rels><?xml version="1.0" encoding="utf-8" standalone="yes"?><Relationships xmlns="http://schemas.openxmlformats.org/package/2006/relationships"><Relationship Id="rId1" Type="http://schemas.openxmlformats.org/officeDocument/2006/relationships/image" Target="media/image1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农小蜂-2022年山东省蔬菜产业数据分析简报.docx</dc:title>
  <cp:revision>0</cp:revision>
  <dcterms:created xsi:type="dcterms:W3CDTF">2024-01-27T19:36:57Z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2024-01-27T21:16:50Z</vt:filetime>
  </property>
  <property fmtid="{D5CDD505-2E9C-101B-9397-08002B2CF9AE}" pid="3" name="CRO">
    <vt:lpwstr>wqlLaW5nc29mdCBQREYgdG8gV1BTIDkw</vt:lpwstr>
  </property>
</Properties>
</file>