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5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1276382</wp:posOffset>
            </wp:positionH>
            <wp:positionV relativeFrom="page">
              <wp:posOffset>1962115</wp:posOffset>
            </wp:positionV>
            <wp:extent cx="5118082" cy="122558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8082" cy="1225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46" w:line="222" w:lineRule="auto"/>
        <w:ind w:left="279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color w:val="00B87A"/>
          <w:spacing w:val="-42"/>
          <w:sz w:val="45"/>
          <w:szCs w:val="45"/>
        </w:rPr>
        <w:t>目</w:t>
      </w:r>
      <w:r>
        <w:rPr>
          <w:rFonts w:ascii="SimHei" w:eastAsia="SimHei" w:hAnsi="SimHei" w:cs="SimHei"/>
          <w:color w:val="00B87A"/>
          <w:spacing w:val="138"/>
          <w:sz w:val="45"/>
          <w:szCs w:val="45"/>
        </w:rPr>
        <w:t xml:space="preserve"> </w:t>
      </w:r>
      <w:r>
        <w:rPr>
          <w:rFonts w:ascii="SimHei" w:eastAsia="SimHei" w:hAnsi="SimHei" w:cs="SimHei"/>
          <w:b/>
          <w:bCs/>
          <w:color w:val="00B87A"/>
          <w:spacing w:val="-42"/>
          <w:sz w:val="45"/>
          <w:szCs w:val="45"/>
        </w:rPr>
        <w:t>录</w:t>
      </w:r>
    </w:p>
    <w:p>
      <w:pPr>
        <w:spacing w:before="239"/>
        <w:ind w:left="163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SimHei" w:eastAsia="SimHei" w:hAnsi="SimHei" w:cs="SimHei"/>
          <w:position w:val="-15"/>
          <w:sz w:val="27"/>
          <w:szCs w:val="27"/>
        </w:rPr>
        <w:drawing>
          <wp:inline distT="0" distB="0" distL="0" distR="0">
            <wp:extent cx="399999" cy="35876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9999" cy="35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83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30"/>
          <w:sz w:val="27"/>
          <w:szCs w:val="27"/>
        </w:rPr>
        <w:t>中国碳达峰碳中和政策与行动</w:t>
      </w:r>
      <w:r>
        <w:rPr>
          <w:rFonts w:ascii="SimHei" w:eastAsia="SimHei" w:hAnsi="SimHei" w:cs="SimHei"/>
          <w:spacing w:val="4"/>
          <w:sz w:val="27"/>
          <w:szCs w:val="27"/>
        </w:rPr>
        <w:t xml:space="preserve">                   </w:t>
      </w:r>
      <w:r>
        <w:rPr>
          <w:rFonts w:ascii="Times New Roman" w:eastAsia="Times New Roman" w:hAnsi="Times New Roman" w:cs="Times New Roman"/>
          <w:b/>
          <w:bCs/>
          <w:spacing w:val="30"/>
          <w:sz w:val="34"/>
          <w:szCs w:val="34"/>
        </w:rPr>
        <w:t>01</w:t>
      </w:r>
    </w:p>
    <w:tbl>
      <w:tblPr>
        <w:tblStyle w:val="TableNormal"/>
        <w:tblW w:w="8150" w:type="dxa"/>
        <w:tblInd w:w="1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12"/>
        <w:gridCol w:w="7438"/>
      </w:tblGrid>
      <w:tr>
        <w:tblPrEx>
          <w:tblW w:w="8150" w:type="dxa"/>
          <w:tblInd w:w="1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17"/>
        </w:trPr>
        <w:tc>
          <w:tcPr>
            <w:tcW w:w="8150" w:type="dxa"/>
            <w:gridSpan w:val="2"/>
            <w:tcBorders>
              <w:top w:val="single" w:sz="4" w:space="0" w:color="00FFFF"/>
              <w:bottom w:val="single" w:sz="4" w:space="0" w:color="00FFFF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sdt>
            <w:sdtPr>
              <w:rPr>
                <w:rFonts w:ascii="SimHei" w:eastAsia="SimHei" w:hAnsi="SimHei" w:cs="SimHei"/>
                <w:sz w:val="27"/>
                <w:szCs w:val="27"/>
              </w:rPr>
              <w:id w:val="664178349"/>
              <w:docPartObj>
                <w:docPartGallery w:val="Table of Contents"/>
                <w:docPartUnique/>
              </w:docPartObj>
            </w:sdtPr>
            <w:sdtEndPr>
              <w:rPr>
                <w:rFonts w:ascii="Times New Roman" w:eastAsia="Times New Roman" w:hAnsi="Times New Roman" w:cs="Times New Roman"/>
                <w:sz w:val="27"/>
                <w:szCs w:val="27"/>
              </w:rPr>
            </w:sdtEndPr>
            <w:sdtContent>
              <w:p>
                <w:pPr>
                  <w:pStyle w:val="TableText"/>
                  <w:tabs>
                    <w:tab w:val="right" w:leader="dot" w:pos="7710"/>
                  </w:tabs>
                  <w:spacing w:before="87" w:line="221" w:lineRule="auto"/>
                  <w:ind w:left="830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color w:val="FFFFFF"/>
                    <w:spacing w:val="12"/>
                  </w:rPr>
                  <w:t>中央层面</w:t>
                </w:r>
                <w:r>
                  <w:rPr>
                    <w:color w:val="FFFFFF"/>
                    <w:spacing w:val="-124"/>
                  </w:rPr>
                  <w:t xml:space="preserve"> </w:t>
                </w:r>
                <w:r>
                  <w:tab/>
                </w:r>
                <w:r>
                  <w:rPr>
                    <w:color w:val="FFFFFF"/>
                    <w:spacing w:val="-24"/>
                  </w:rPr>
                  <w:t xml:space="preserve"> </w:t>
                </w:r>
                <w:hyperlink w:anchor="bookmark1" w:history="1">
                  <w:r>
                    <w:rPr>
                      <w:rFonts w:ascii="Times New Roman" w:eastAsia="Times New Roman" w:hAnsi="Times New Roman" w:cs="Times New Roman"/>
                      <w:color w:val="FFFFFF"/>
                      <w:spacing w:val="-3"/>
                    </w:rPr>
                    <w:t>02</w:t>
                  </w:r>
                </w:hyperlink>
              </w:p>
              <w:p>
                <w:pPr>
                  <w:pStyle w:val="TableText"/>
                  <w:tabs>
                    <w:tab w:val="right" w:leader="dot" w:pos="7650"/>
                  </w:tabs>
                  <w:spacing w:before="146" w:line="221" w:lineRule="auto"/>
                  <w:ind w:left="830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color w:val="FFFFFF"/>
                    <w:spacing w:val="14"/>
                  </w:rPr>
                  <w:t>部委层面</w:t>
                </w:r>
                <w:r>
                  <w:rPr>
                    <w:color w:val="FFFFFF"/>
                    <w:spacing w:val="-123"/>
                  </w:rPr>
                  <w:t xml:space="preserve"> </w:t>
                </w:r>
                <w:r>
                  <w:tab/>
                </w:r>
                <w:r>
                  <w:rPr>
                    <w:color w:val="FFFFFF"/>
                    <w:spacing w:val="-94"/>
                  </w:rPr>
                  <w:t xml:space="preserve"> </w:t>
                </w:r>
                <w:hyperlink w:anchor="bookmark2" w:history="1">
                  <w:r>
                    <w:rPr>
                      <w:rFonts w:ascii="Times New Roman" w:eastAsia="Times New Roman" w:hAnsi="Times New Roman" w:cs="Times New Roman"/>
                      <w:color w:val="FFFFFF"/>
                      <w:spacing w:val="-3"/>
                    </w:rPr>
                    <w:t>02</w:t>
                  </w:r>
                </w:hyperlink>
              </w:p>
              <w:p>
                <w:pPr>
                  <w:pStyle w:val="TableText"/>
                  <w:tabs>
                    <w:tab w:val="right" w:leader="dot" w:pos="7650"/>
                  </w:tabs>
                  <w:spacing w:before="136" w:line="221" w:lineRule="auto"/>
                  <w:ind w:left="830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color w:val="FFFFFF"/>
                    <w:spacing w:val="17"/>
                  </w:rPr>
                  <w:t>地方层面</w:t>
                </w:r>
                <w:r>
                  <w:rPr>
                    <w:color w:val="FFFFFF"/>
                    <w:spacing w:val="-124"/>
                  </w:rPr>
                  <w:t xml:space="preserve"> </w:t>
                </w:r>
                <w:r>
                  <w:tab/>
                </w:r>
                <w:hyperlink w:anchor="bookmark3" w:history="1">
                  <w:r>
                    <w:rPr>
                      <w:rFonts w:ascii="Times New Roman" w:eastAsia="Times New Roman" w:hAnsi="Times New Roman" w:cs="Times New Roman"/>
                      <w:color w:val="FFFFFF"/>
                      <w:spacing w:val="10"/>
                    </w:rPr>
                    <w:t>07</w:t>
                  </w:r>
                </w:hyperlink>
              </w:p>
              <w:p>
                <w:pPr>
                  <w:pStyle w:val="TableText"/>
                  <w:tabs>
                    <w:tab w:val="right" w:leader="dot" w:pos="7687"/>
                  </w:tabs>
                  <w:spacing w:before="127" w:line="221" w:lineRule="auto"/>
                  <w:ind w:left="830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color w:val="FFFFFF"/>
                    <w:spacing w:val="17"/>
                  </w:rPr>
                  <w:t>企业层面</w:t>
                </w:r>
                <w:r>
                  <w:rPr>
                    <w:color w:val="FFFFFF"/>
                    <w:spacing w:val="-124"/>
                  </w:rPr>
                  <w:t xml:space="preserve"> </w:t>
                </w:r>
                <w:r>
                  <w:tab/>
                </w:r>
                <w:r>
                  <w:rPr>
                    <w:color w:val="FFFFFF"/>
                    <w:spacing w:val="-45"/>
                  </w:rPr>
                  <w:t xml:space="preserve"> </w:t>
                </w:r>
                <w:hyperlink w:anchor="bookmark4" w:history="1">
                  <w:r>
                    <w:rPr>
                      <w:rFonts w:ascii="Times New Roman" w:eastAsia="Times New Roman" w:hAnsi="Times New Roman" w:cs="Times New Roman"/>
                      <w:color w:val="FFFFFF"/>
                      <w:spacing w:val="-8"/>
                    </w:rPr>
                    <w:t>10</w:t>
                  </w:r>
                </w:hyperlink>
              </w:p>
            </w:sdtContent>
          </w:sdt>
          <w:p>
            <w:pPr>
              <w:spacing w:line="365" w:lineRule="auto"/>
              <w:rPr>
                <w:rFonts w:ascii="Arial"/>
                <w:sz w:val="21"/>
              </w:rPr>
            </w:pPr>
          </w:p>
          <w:sdt>
            <w:sdtPr>
              <w:rPr>
                <w:rFonts w:ascii="SimHei" w:eastAsia="SimHei" w:hAnsi="SimHei" w:cs="SimHei"/>
                <w:sz w:val="27"/>
                <w:szCs w:val="27"/>
              </w:rPr>
              <w:id w:val="1919162956"/>
              <w:docPartObj>
                <w:docPartGallery w:val="Table of Contents"/>
                <w:docPartUnique/>
              </w:docPartObj>
            </w:sdtPr>
            <w:sdtEndPr>
              <w:rPr>
                <w:rFonts w:ascii="Times New Roman" w:eastAsia="Times New Roman" w:hAnsi="Times New Roman" w:cs="Times New Roman"/>
                <w:sz w:val="35"/>
                <w:szCs w:val="35"/>
              </w:rPr>
            </w:sdtEndPr>
            <w:sdtContent>
              <w:p>
                <w:pPr>
                  <w:pStyle w:val="TableText"/>
                  <w:spacing w:before="101"/>
                  <w:rPr>
                    <w:rFonts w:ascii="Times New Roman" w:eastAsia="Times New Roman" w:hAnsi="Times New Roman" w:cs="Times New Roman"/>
                    <w:sz w:val="35"/>
                    <w:szCs w:val="35"/>
                  </w:rPr>
                </w:pPr>
                <w:r>
                  <w:rPr>
                    <w:position w:val="-15"/>
                  </w:rPr>
                  <w:drawing>
                    <wp:inline distT="0" distB="0" distL="0" distR="0">
                      <wp:extent cx="368310" cy="350484"/>
                      <wp:effectExtent l="0" t="0" r="0" b="0"/>
                      <wp:docPr id="6" name="IM 6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6" name="IM 6"/>
                              <pic:cNvPicPr/>
                            </pic:nvPicPr>
                            <pic:blipFill>
                              <a:blip xmlns:r="http://schemas.openxmlformats.org/officeDocument/2006/relationships" r:embed="rId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8310" cy="35048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spacing w:val="130"/>
                  </w:rPr>
                  <w:t xml:space="preserve"> </w:t>
                </w:r>
                <w:r>
                  <w:rPr>
                    <w:b/>
                    <w:bCs/>
                    <w:spacing w:val="25"/>
                  </w:rPr>
                  <w:t>中国碳达峰碳中和进展与成效</w:t>
                </w:r>
                <w:r>
                  <w:rPr>
                    <w:spacing w:val="25"/>
                  </w:rPr>
                  <w:t xml:space="preserve">                 </w:t>
                </w:r>
                <w:hyperlink w:anchor="bookmark5" w:history="1"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5"/>
                      <w:position w:val="-1"/>
                      <w:sz w:val="35"/>
                      <w:szCs w:val="35"/>
                    </w:rPr>
                    <w:t>11</w:t>
                  </w:r>
                </w:hyperlink>
              </w:p>
            </w:sdtContent>
          </w:sdt>
        </w:tc>
      </w:tr>
      <w:tr>
        <w:tblPrEx>
          <w:tblW w:w="8150" w:type="dxa"/>
          <w:tblInd w:w="163" w:type="dxa"/>
          <w:tblLayout w:type="fixed"/>
        </w:tblPrEx>
        <w:trPr>
          <w:trHeight w:val="5627"/>
        </w:trPr>
        <w:tc>
          <w:tcPr>
            <w:tcW w:w="8150" w:type="dxa"/>
            <w:gridSpan w:val="2"/>
            <w:tcBorders>
              <w:top w:val="single" w:sz="4" w:space="0" w:color="00FFFF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5170" w:lineRule="exact"/>
              <w:ind w:firstLine="50"/>
            </w:pPr>
            <w:r>
              <w:rPr>
                <w:position w:val="-103"/>
              </w:rPr>
              <w:pict>
                <v:group id="_x0000_i1025" style="width:404pt;height:258.55pt;mso-position-horizontal-relative:char;mso-position-vertical-relative:line" coordorigin="0,0" coordsize="8080,5170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6" type="#_x0000_t75" style="width:8080;height:5170;position:absolute" filled="f" stroked="f">
                    <v:imagedata r:id="rId7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8120;height:5210;left:-20;position:absolute;top:-20" filled="f" stroked="f">
                    <o:lock v:ext="edit" aspectratio="f"/>
                    <v:textbox inset="0,0,0,0">
                      <w:txbxContent>
                        <w:sdt>
                          <w:sdtPr>
                            <w:rPr>
                              <w:rFonts w:ascii="SimHei" w:eastAsia="SimHei" w:hAnsi="SimHei" w:cs="SimHei"/>
                              <w:sz w:val="27"/>
                              <w:szCs w:val="27"/>
                            </w:rPr>
                            <w:id w:val="1586602140"/>
                            <w:docPartObj>
                              <w:docPartGallery w:val="Table of Contents"/>
                              <w:docPartUnique/>
                            </w:docPartObj>
                          </w:sdtPr>
                          <w:sdtEndPr>
                            <w:rPr>
                              <w:rFonts w:ascii="Times New Roman" w:eastAsia="Times New Roman" w:hAnsi="Times New Roman" w:cs="Times New Roman"/>
                              <w:sz w:val="27"/>
                              <w:szCs w:val="27"/>
                            </w:rPr>
                          </w:sdtEndPr>
                          <w:sdtContent>
                            <w:p>
                              <w:pPr>
                                <w:tabs>
                                  <w:tab w:val="right" w:leader="dot" w:pos="7647"/>
                                </w:tabs>
                                <w:spacing w:before="158" w:line="221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2"/>
                                  <w:sz w:val="27"/>
                                  <w:szCs w:val="27"/>
                                </w:rPr>
                                <w:t>能源清洁低碳转型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13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95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hyperlink w:anchor="bookmark6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8"/>
                                    <w:sz w:val="27"/>
                                    <w:szCs w:val="27"/>
                                  </w:rPr>
                                  <w:t>11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667"/>
                                </w:tabs>
                                <w:spacing w:before="146" w:line="221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1"/>
                                  <w:sz w:val="27"/>
                                  <w:szCs w:val="27"/>
                                </w:rPr>
                                <w:t>工业绿色低碳转型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15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65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hyperlink w:anchor="bookmark7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8"/>
                                    <w:sz w:val="27"/>
                                    <w:szCs w:val="27"/>
                                  </w:rPr>
                                  <w:t>15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597"/>
                                </w:tabs>
                                <w:spacing w:before="136" w:line="221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3"/>
                                  <w:sz w:val="27"/>
                                  <w:szCs w:val="27"/>
                                </w:rPr>
                                <w:t>绿色交通运输体系建设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16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hyperlink w:anchor="bookmark8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8"/>
                                    <w:sz w:val="27"/>
                                    <w:szCs w:val="27"/>
                                  </w:rPr>
                                  <w:t>19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724"/>
                                </w:tabs>
                                <w:spacing w:before="137" w:line="221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3"/>
                                  <w:sz w:val="27"/>
                                  <w:szCs w:val="27"/>
                                </w:rPr>
                                <w:t>城乡建设绿色发展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2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44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hyperlink w:anchor="bookmark9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2"/>
                                    <w:sz w:val="27"/>
                                    <w:szCs w:val="27"/>
                                  </w:rPr>
                                  <w:t>21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694"/>
                                </w:tabs>
                                <w:spacing w:before="137" w:line="222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2"/>
                                  <w:sz w:val="27"/>
                                  <w:szCs w:val="27"/>
                                </w:rPr>
                                <w:t>循环经济体系建设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13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74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hyperlink w:anchor="bookmark10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2"/>
                                    <w:sz w:val="27"/>
                                    <w:szCs w:val="27"/>
                                  </w:rPr>
                                  <w:t>22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674"/>
                                </w:tabs>
                                <w:spacing w:before="125" w:line="221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4"/>
                                  <w:sz w:val="27"/>
                                  <w:szCs w:val="27"/>
                                </w:rPr>
                                <w:t>生态系统碳汇能力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94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hyperlink w:anchor="bookmark11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2"/>
                                    <w:sz w:val="27"/>
                                    <w:szCs w:val="27"/>
                                  </w:rPr>
                                  <w:t>23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674"/>
                                </w:tabs>
                                <w:spacing w:before="136" w:line="221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5"/>
                                  <w:sz w:val="27"/>
                                  <w:szCs w:val="27"/>
                                </w:rPr>
                                <w:t>绿色低碳全民行动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17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hyperlink w:anchor="bookmark12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7"/>
                                    <w:sz w:val="27"/>
                                    <w:szCs w:val="27"/>
                                  </w:rPr>
                                  <w:t>25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684"/>
                                </w:tabs>
                                <w:spacing w:before="137" w:line="221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6"/>
                                  <w:sz w:val="27"/>
                                  <w:szCs w:val="27"/>
                                </w:rPr>
                                <w:t>绿色低碳科技创新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15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hyperlink w:anchor="bookmark13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7"/>
                                    <w:sz w:val="27"/>
                                    <w:szCs w:val="27"/>
                                  </w:rPr>
                                  <w:t>26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624"/>
                                </w:tabs>
                                <w:spacing w:before="147" w:line="221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6"/>
                                  <w:sz w:val="27"/>
                                  <w:szCs w:val="27"/>
                                </w:rPr>
                                <w:t>减污降碳协同增效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15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hyperlink w:anchor="bookmark14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2"/>
                                    <w:sz w:val="27"/>
                                    <w:szCs w:val="27"/>
                                  </w:rPr>
                                  <w:t>28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667"/>
                                </w:tabs>
                                <w:spacing w:before="137" w:line="222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7"/>
                                  <w:sz w:val="27"/>
                                  <w:szCs w:val="27"/>
                                </w:rPr>
                                <w:t>市场机制作用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75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hyperlink w:anchor="bookmark15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3"/>
                                    <w:sz w:val="27"/>
                                    <w:szCs w:val="27"/>
                                  </w:rPr>
                                  <w:t>30</w:t>
                                </w:r>
                              </w:hyperlink>
                            </w:p>
                            <w:p>
                              <w:pPr>
                                <w:tabs>
                                  <w:tab w:val="right" w:leader="dot" w:pos="7717"/>
                                </w:tabs>
                                <w:spacing w:before="136" w:line="222" w:lineRule="auto"/>
                                <w:ind w:left="799"/>
                                <w:rPr>
                                  <w:rFonts w:ascii="Times New Roman" w:eastAsia="Times New Roman" w:hAnsi="Times New Roman" w:cs="Times New Roman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14"/>
                                  <w:sz w:val="27"/>
                                  <w:szCs w:val="27"/>
                                </w:rPr>
                                <w:t>应对气候变化国际合作</w:t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117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Hei" w:eastAsia="SimHei" w:hAnsi="SimHei" w:cs="SimHei"/>
                                  <w:sz w:val="27"/>
                                  <w:szCs w:val="27"/>
                                </w:rPr>
                                <w:tab/>
                              </w:r>
                              <w:r>
                                <w:rPr>
                                  <w:rFonts w:ascii="SimHei" w:eastAsia="SimHei" w:hAnsi="SimHei" w:cs="SimHei"/>
                                  <w:color w:val="FFFFFF"/>
                                  <w:spacing w:val="-85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hyperlink w:anchor="bookmark16" w:history="1"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FFFFFF"/>
                                    <w:spacing w:val="-3"/>
                                    <w:sz w:val="27"/>
                                    <w:szCs w:val="27"/>
                                  </w:rPr>
                                  <w:t>31</w:t>
                                </w:r>
                              </w:hyperlink>
                            </w:p>
                          </w:sdtContent>
                        </w:sdt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8150" w:type="dxa"/>
          <w:tblInd w:w="163" w:type="dxa"/>
          <w:tblLayout w:type="fixed"/>
        </w:tblPrEx>
        <w:trPr>
          <w:trHeight w:val="778"/>
        </w:trPr>
        <w:tc>
          <w:tcPr>
            <w:tcW w:w="712" w:type="dxa"/>
            <w:tcBorders>
              <w:bottom w:val="single" w:sz="4" w:space="0" w:color="00FFFF"/>
            </w:tcBorders>
            <w:vAlign w:val="top"/>
          </w:tcPr>
          <w:p>
            <w:pPr>
              <w:spacing w:before="221" w:line="547" w:lineRule="exact"/>
            </w:pPr>
            <w:r>
              <w:rPr>
                <w:position w:val="-10"/>
              </w:rPr>
              <w:drawing>
                <wp:inline distT="0" distB="0" distL="0" distR="0">
                  <wp:extent cx="374663" cy="34730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663" cy="347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8" w:type="dxa"/>
            <w:tcBorders>
              <w:bottom w:val="single" w:sz="4" w:space="0" w:color="00FFFF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02" w:lineRule="auto"/>
              <w:ind w:left="12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  <w:r>
              <w:rPr>
                <w:b/>
                <w:bCs/>
                <w:spacing w:val="-12"/>
              </w:rPr>
              <w:t>未</w:t>
            </w:r>
            <w:r>
              <w:rPr>
                <w:spacing w:val="-56"/>
              </w:rPr>
              <w:t xml:space="preserve"> </w:t>
            </w:r>
            <w:r>
              <w:rPr>
                <w:b/>
                <w:bCs/>
                <w:spacing w:val="-12"/>
              </w:rPr>
              <w:t>来</w:t>
            </w:r>
            <w:r>
              <w:rPr>
                <w:spacing w:val="-59"/>
              </w:rPr>
              <w:t xml:space="preserve"> </w:t>
            </w:r>
            <w:r>
              <w:rPr>
                <w:b/>
                <w:bCs/>
                <w:spacing w:val="-12"/>
              </w:rPr>
              <w:t>展</w:t>
            </w:r>
            <w:r>
              <w:rPr>
                <w:spacing w:val="-55"/>
              </w:rPr>
              <w:t xml:space="preserve"> </w:t>
            </w:r>
            <w:r>
              <w:rPr>
                <w:b/>
                <w:bCs/>
                <w:spacing w:val="-12"/>
              </w:rPr>
              <w:t>望</w:t>
            </w:r>
            <w:r>
              <w:rPr>
                <w:spacing w:val="3"/>
              </w:rPr>
              <w:t xml:space="preserve">               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2"/>
                <w:position w:val="-1"/>
                <w:sz w:val="34"/>
                <w:szCs w:val="34"/>
              </w:rPr>
              <w:t>32</w:t>
            </w:r>
          </w:p>
        </w:tc>
      </w:tr>
      <w:tr>
        <w:tblPrEx>
          <w:tblW w:w="8150" w:type="dxa"/>
          <w:tblInd w:w="163" w:type="dxa"/>
          <w:tblLayout w:type="fixed"/>
        </w:tblPrEx>
        <w:trPr>
          <w:trHeight w:val="943"/>
        </w:trPr>
        <w:tc>
          <w:tcPr>
            <w:tcW w:w="712" w:type="dxa"/>
            <w:tcBorders>
              <w:top w:val="single" w:sz="4" w:space="0" w:color="00FFFF"/>
              <w:bottom w:val="single" w:sz="4" w:space="0" w:color="00FFFF"/>
            </w:tcBorders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</w:tc>
        <w:tc>
          <w:tcPr>
            <w:tcW w:w="7438" w:type="dxa"/>
            <w:tcBorders>
              <w:top w:val="single" w:sz="4" w:space="0" w:color="00FFFF"/>
              <w:bottom w:val="single" w:sz="4" w:space="0" w:color="00FFFF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9"/>
          <w:pgSz w:w="11910" w:h="14740"/>
          <w:pgMar w:top="400" w:right="1786" w:bottom="0" w:left="1786" w:header="0" w:footer="0" w:gutter="0"/>
          <w:cols w:space="708"/>
        </w:sectPr>
      </w:pPr>
    </w:p>
    <w:tbl>
      <w:tblPr>
        <w:tblStyle w:val="TableNormal0"/>
        <w:tblW w:w="8150" w:type="dxa"/>
        <w:tblInd w:w="1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12"/>
        <w:gridCol w:w="7438"/>
      </w:tblGrid>
      <w:tr>
        <w:tblPrEx>
          <w:tblW w:w="8150" w:type="dxa"/>
          <w:tblInd w:w="1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43"/>
        </w:trPr>
        <w:tc>
          <w:tcPr>
            <w:tcW w:w="712" w:type="dxa"/>
            <w:tcBorders>
              <w:top w:val="single" w:sz="4" w:space="0" w:color="00FFFF"/>
              <w:bottom w:val="single" w:sz="4" w:space="0" w:color="00FFFF"/>
            </w:tcBorders>
            <w:vAlign w:val="top"/>
          </w:tcPr>
          <w:p>
            <w:pPr>
              <w:spacing w:line="550" w:lineRule="exact"/>
            </w:pPr>
            <w:r>
              <w:rPr>
                <w:position w:val="-14"/>
              </w:rPr>
              <w:pict>
                <v:group id="_x0000_i1028" style="width:30.05pt;height:29.05pt;mso-position-horizontal-relative:char;mso-position-vertical-relative:line" coordorigin="0,0" coordsize="600,580" filled="f" stroked="f">
                  <v:shape id="_x0000_s1029" type="#_x0000_t75" style="width:600;height:580;position:absolute" filled="f" stroked="f">
                    <v:imagedata r:id="rId10" o:title=""/>
                  </v:shape>
                  <v:shape id="_x0000_s1030" type="#_x0000_t202" style="width:640;height:62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303" w:line="188" w:lineRule="auto"/>
                            <w:ind w:left="119"/>
                            <w:rPr>
                              <w:rFonts w:ascii="Times New Roman" w:eastAsia="Times New Roman" w:hAnsi="Times New Roman" w:cs="Times New Roma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/>
                              <w:spacing w:val="-3"/>
                              <w:sz w:val="27"/>
                              <w:szCs w:val="27"/>
                            </w:rPr>
                            <w:t>04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7438" w:type="dxa"/>
            <w:tcBorders>
              <w:top w:val="single" w:sz="4" w:space="0" w:color="00FFFF"/>
              <w:bottom w:val="single" w:sz="4" w:space="0" w:color="00FFFF"/>
            </w:tcBorders>
            <w:vAlign w:val="top"/>
          </w:tcPr>
          <w:p>
            <w:pPr>
              <w:spacing w:before="98" w:line="188" w:lineRule="auto"/>
              <w:ind w:left="6787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4"/>
                <w:szCs w:val="34"/>
              </w:rPr>
              <w:t>33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"/>
          <w:type w:val="nextPage"/>
          <w:pgSz w:w="11910" w:h="14740"/>
          <w:pgMar w:top="400" w:right="1786" w:bottom="0" w:left="1786" w:header="0" w:footer="0" w:gutter="0"/>
          <w:pgNumType w:start="2"/>
          <w:cols w:space="708"/>
          <w:titlePg w:val="0"/>
        </w:sectPr>
      </w:pPr>
    </w:p>
    <w:p>
      <w:pPr>
        <w:spacing w:line="276" w:lineRule="auto"/>
        <w:rPr>
          <w:rFonts w:ascii="Arial"/>
          <w:sz w:val="21"/>
        </w:rPr>
      </w:pPr>
      <w:r>
        <w:pict>
          <v:rect id="_x0000_s1031" style="width:484pt;height:1.05pt;margin-top:124pt;margin-left:56.5pt;mso-position-horizontal-relative:page;mso-position-vertical-relative:page;position:absolute;z-index:251661312" o:allowincell="f" filled="t" fillcolor="aqua" stroked="f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685799</wp:posOffset>
            </wp:positionH>
            <wp:positionV relativeFrom="page">
              <wp:posOffset>857273</wp:posOffset>
            </wp:positionV>
            <wp:extent cx="889012" cy="75562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9012" cy="755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17" w:line="221" w:lineRule="auto"/>
        <w:ind w:left="1625"/>
        <w:rPr>
          <w:sz w:val="36"/>
          <w:szCs w:val="36"/>
        </w:rPr>
      </w:pPr>
      <w:bookmarkStart w:id="0" w:name="bookmark1"/>
      <w:bookmarkEnd w:id="0"/>
      <w:bookmarkStart w:id="1" w:name="bookmark2"/>
      <w:bookmarkEnd w:id="1"/>
      <w:r>
        <w:rPr>
          <w:b/>
          <w:bCs/>
          <w:spacing w:val="13"/>
          <w:sz w:val="36"/>
          <w:szCs w:val="36"/>
        </w:rPr>
        <w:t>中国碳达峰碳中和政策与行动</w:t>
      </w: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71" w:line="363" w:lineRule="auto"/>
        <w:ind w:left="40" w:firstLine="459"/>
        <w:jc w:val="both"/>
        <w:rPr>
          <w:rFonts w:ascii="SimSun" w:eastAsia="SimSun" w:hAnsi="SimSun" w:cs="SimSun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12705</wp:posOffset>
            </wp:positionH>
            <wp:positionV relativeFrom="paragraph">
              <wp:posOffset>2510841</wp:posOffset>
            </wp:positionV>
            <wp:extent cx="6172193" cy="347345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72193" cy="3473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1"/>
        </w:rPr>
        <w:t>双碳”目标提出以来，中国立足能源资源禀赋，坚持先立后破，</w:t>
      </w:r>
      <w:r>
        <w:rPr>
          <w:spacing w:val="20"/>
        </w:rPr>
        <w:t>构建起目标明确、分工</w:t>
      </w:r>
      <w:r>
        <w:t xml:space="preserve">  </w:t>
      </w:r>
      <w:r>
        <w:rPr>
          <w:spacing w:val="19"/>
        </w:rPr>
        <w:t>合理、措施有力、衔接有序的“双碳”“1+</w:t>
      </w:r>
      <w:r>
        <w:rPr>
          <w:rFonts w:ascii="Times New Roman" w:eastAsia="Times New Roman" w:hAnsi="Times New Roman" w:cs="Times New Roman"/>
          <w:spacing w:val="19"/>
        </w:rPr>
        <w:t xml:space="preserve">N”  </w:t>
      </w:r>
      <w:r>
        <w:rPr>
          <w:spacing w:val="19"/>
        </w:rPr>
        <w:t>政策体系(图1)。其中，“1”是中央层面相</w:t>
      </w:r>
      <w:r>
        <w:rPr>
          <w:spacing w:val="7"/>
        </w:rPr>
        <w:t xml:space="preserve">  </w:t>
      </w:r>
      <w:r>
        <w:rPr>
          <w:spacing w:val="20"/>
        </w:rPr>
        <w:t>继发布的《关于完整准确全面贯彻新发展理念</w:t>
      </w:r>
      <w:r>
        <w:rPr>
          <w:spacing w:val="19"/>
        </w:rPr>
        <w:t>做好碳达峰碳中和工作的意见》(简称《意见》</w:t>
      </w:r>
      <w:r>
        <w:t xml:space="preserve"> </w:t>
      </w:r>
      <w:r>
        <w:rPr>
          <w:spacing w:val="17"/>
        </w:rPr>
        <w:t>和《2030</w:t>
      </w:r>
      <w:r>
        <w:rPr>
          <w:spacing w:val="17"/>
        </w:rPr>
        <w:t xml:space="preserve"> </w:t>
      </w:r>
      <w:r>
        <w:rPr>
          <w:spacing w:val="17"/>
        </w:rPr>
        <w:t>年前碳达峰行动方案》(简称《方案》),作为“1+</w:t>
      </w:r>
      <w:r>
        <w:rPr>
          <w:rFonts w:ascii="SimSun" w:eastAsia="SimSun" w:hAnsi="SimSun" w:cs="SimSun"/>
          <w:spacing w:val="17"/>
        </w:rPr>
        <w:t>N</w:t>
      </w:r>
      <w:r>
        <w:rPr>
          <w:rFonts w:ascii="SimSun" w:eastAsia="SimSun" w:hAnsi="SimSun" w:cs="SimSun"/>
          <w:spacing w:val="16"/>
        </w:rPr>
        <w:t>”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spacing w:val="16"/>
        </w:rPr>
        <w:t>政策体系的顶层设计；</w:t>
      </w:r>
      <w:r>
        <w:rPr>
          <w:spacing w:val="16"/>
        </w:rPr>
        <w:t xml:space="preserve"> </w:t>
      </w:r>
      <w:r>
        <w:rPr>
          <w:rFonts w:ascii="SimSun" w:eastAsia="SimSun" w:hAnsi="SimSun" w:cs="SimSun"/>
          <w:spacing w:val="16"/>
        </w:rPr>
        <w:t>“N”</w:t>
      </w:r>
    </w:p>
    <w:p>
      <w:pPr>
        <w:pStyle w:val="BodyText"/>
        <w:spacing w:before="1" w:line="220" w:lineRule="auto"/>
        <w:ind w:left="40"/>
      </w:pPr>
      <w:r>
        <w:rPr>
          <w:spacing w:val="13"/>
        </w:rPr>
        <w:t>是重点领域和重点行业碳达峰实施方案和一系列支撑保障措施。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55" w:line="221" w:lineRule="auto"/>
        <w:ind w:left="4117"/>
        <w:rPr>
          <w:sz w:val="17"/>
          <w:szCs w:val="17"/>
        </w:rPr>
      </w:pPr>
      <w:r>
        <w:rPr>
          <w:b/>
          <w:bCs/>
          <w:spacing w:val="21"/>
          <w:sz w:val="17"/>
          <w:szCs w:val="17"/>
        </w:rPr>
        <w:t>“1”:顶层设计</w:t>
      </w:r>
    </w:p>
    <w:p>
      <w:pPr>
        <w:pStyle w:val="BodyText"/>
        <w:spacing w:before="129" w:line="300" w:lineRule="exact"/>
        <w:ind w:left="2504"/>
        <w:rPr>
          <w:sz w:val="17"/>
          <w:szCs w:val="17"/>
        </w:rPr>
      </w:pPr>
      <w:r>
        <w:rPr>
          <w:spacing w:val="-9"/>
          <w:position w:val="9"/>
          <w:sz w:val="17"/>
          <w:szCs w:val="17"/>
        </w:rPr>
        <w:t>《关于完整准确全面贯彻新发展理念做好碳达峰碳中和工作的意</w:t>
      </w:r>
      <w:r>
        <w:rPr>
          <w:spacing w:val="-10"/>
          <w:position w:val="9"/>
          <w:sz w:val="17"/>
          <w:szCs w:val="17"/>
        </w:rPr>
        <w:t>见》</w:t>
      </w:r>
    </w:p>
    <w:p>
      <w:pPr>
        <w:pStyle w:val="BodyText"/>
        <w:spacing w:before="1" w:line="220" w:lineRule="auto"/>
        <w:ind w:left="3825"/>
        <w:rPr>
          <w:sz w:val="17"/>
          <w:szCs w:val="17"/>
        </w:rPr>
      </w:pPr>
      <w:r>
        <w:rPr>
          <w:sz w:val="17"/>
          <w:szCs w:val="17"/>
        </w:rPr>
        <w:t>《2030年前碳达峰行动方案》</w:t>
      </w:r>
    </w:p>
    <w:p>
      <w:pPr>
        <w:spacing w:before="143"/>
      </w:pPr>
    </w:p>
    <w:tbl>
      <w:tblPr>
        <w:tblStyle w:val="TableNormal1"/>
        <w:tblW w:w="8663" w:type="dxa"/>
        <w:tblInd w:w="54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96"/>
        <w:gridCol w:w="3909"/>
        <w:gridCol w:w="2358"/>
      </w:tblGrid>
      <w:tr>
        <w:tblPrEx>
          <w:tblW w:w="8663" w:type="dxa"/>
          <w:tblInd w:w="54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7"/>
        </w:trPr>
        <w:tc>
          <w:tcPr>
            <w:tcW w:w="23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9" w:type="dxa"/>
            <w:vAlign w:val="top"/>
          </w:tcPr>
          <w:p>
            <w:pPr>
              <w:pStyle w:val="TableText"/>
              <w:spacing w:line="221" w:lineRule="auto"/>
              <w:ind w:left="168"/>
              <w:rPr>
                <w:sz w:val="17"/>
                <w:szCs w:val="17"/>
              </w:rPr>
            </w:pPr>
            <w:r>
              <w:rPr>
                <w:rFonts w:ascii="SimSun" w:eastAsia="SimSun" w:hAnsi="SimSun" w:cs="SimSun"/>
                <w:b/>
                <w:bCs/>
                <w:color w:val="FFFFFF"/>
                <w:spacing w:val="21"/>
                <w:sz w:val="17"/>
                <w:szCs w:val="17"/>
              </w:rPr>
              <w:t>“N”:</w:t>
            </w:r>
            <w:r>
              <w:rPr>
                <w:rFonts w:ascii="SimSun" w:eastAsia="SimSun" w:hAnsi="SimSun" w:cs="SimSun"/>
                <w:color w:val="FFFFFF"/>
                <w:spacing w:val="21"/>
                <w:sz w:val="17"/>
                <w:szCs w:val="17"/>
              </w:rPr>
              <w:t xml:space="preserve">  </w:t>
            </w:r>
            <w:r>
              <w:rPr>
                <w:b/>
                <w:bCs/>
                <w:color w:val="FFFFFF"/>
                <w:spacing w:val="21"/>
                <w:sz w:val="17"/>
                <w:szCs w:val="17"/>
              </w:rPr>
              <w:t>重点领域、重点行业及支撑保障</w:t>
            </w:r>
          </w:p>
        </w:tc>
        <w:tc>
          <w:tcPr>
            <w:tcW w:w="2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663" w:type="dxa"/>
          <w:tblInd w:w="542" w:type="dxa"/>
          <w:tblLayout w:type="fixed"/>
        </w:tblPrEx>
        <w:trPr>
          <w:trHeight w:val="630"/>
        </w:trPr>
        <w:tc>
          <w:tcPr>
            <w:tcW w:w="2396" w:type="dxa"/>
            <w:vAlign w:val="top"/>
          </w:tcPr>
          <w:p>
            <w:pPr>
              <w:pStyle w:val="TableText"/>
              <w:spacing w:before="145" w:line="222" w:lineRule="auto"/>
              <w:ind w:left="550"/>
              <w:rPr>
                <w:sz w:val="22"/>
                <w:szCs w:val="22"/>
              </w:rPr>
            </w:pPr>
            <w:r>
              <w:rPr>
                <w:b/>
                <w:bCs/>
                <w:spacing w:val="37"/>
                <w:sz w:val="22"/>
                <w:szCs w:val="22"/>
              </w:rPr>
              <w:t>重点领域</w:t>
            </w:r>
          </w:p>
        </w:tc>
        <w:tc>
          <w:tcPr>
            <w:tcW w:w="3909" w:type="dxa"/>
            <w:vAlign w:val="top"/>
          </w:tcPr>
          <w:p>
            <w:pPr>
              <w:pStyle w:val="TableText"/>
              <w:spacing w:before="143" w:line="222" w:lineRule="auto"/>
              <w:ind w:left="1404"/>
              <w:rPr>
                <w:sz w:val="22"/>
                <w:szCs w:val="22"/>
              </w:rPr>
            </w:pPr>
            <w:r>
              <w:rPr>
                <w:b/>
                <w:bCs/>
                <w:spacing w:val="41"/>
                <w:sz w:val="22"/>
                <w:szCs w:val="22"/>
              </w:rPr>
              <w:t>重点行业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93" w:line="222" w:lineRule="auto"/>
              <w:ind w:left="765"/>
              <w:rPr>
                <w:sz w:val="17"/>
                <w:szCs w:val="17"/>
              </w:rPr>
            </w:pPr>
            <w:r>
              <w:rPr>
                <w:b/>
                <w:bCs/>
                <w:spacing w:val="-8"/>
                <w:sz w:val="17"/>
                <w:szCs w:val="17"/>
              </w:rPr>
              <w:t>支</w:t>
            </w:r>
            <w:r>
              <w:rPr>
                <w:spacing w:val="42"/>
                <w:sz w:val="17"/>
                <w:szCs w:val="17"/>
              </w:rPr>
              <w:t xml:space="preserve"> </w:t>
            </w:r>
            <w:r>
              <w:rPr>
                <w:b/>
                <w:bCs/>
                <w:spacing w:val="-8"/>
                <w:sz w:val="17"/>
                <w:szCs w:val="17"/>
              </w:rPr>
              <w:t>撑</w:t>
            </w:r>
            <w:r>
              <w:rPr>
                <w:spacing w:val="41"/>
                <w:w w:val="101"/>
                <w:sz w:val="17"/>
                <w:szCs w:val="17"/>
              </w:rPr>
              <w:t xml:space="preserve"> </w:t>
            </w:r>
            <w:r>
              <w:rPr>
                <w:b/>
                <w:bCs/>
                <w:spacing w:val="-8"/>
                <w:sz w:val="17"/>
                <w:szCs w:val="17"/>
              </w:rPr>
              <w:t>保</w:t>
            </w:r>
            <w:r>
              <w:rPr>
                <w:spacing w:val="46"/>
                <w:sz w:val="17"/>
                <w:szCs w:val="17"/>
              </w:rPr>
              <w:t xml:space="preserve"> </w:t>
            </w:r>
            <w:r>
              <w:rPr>
                <w:b/>
                <w:bCs/>
                <w:spacing w:val="-8"/>
                <w:sz w:val="17"/>
                <w:szCs w:val="17"/>
              </w:rPr>
              <w:t>障</w:t>
            </w:r>
          </w:p>
        </w:tc>
      </w:tr>
      <w:tr>
        <w:tblPrEx>
          <w:tblW w:w="8663" w:type="dxa"/>
          <w:tblInd w:w="542" w:type="dxa"/>
          <w:tblLayout w:type="fixed"/>
        </w:tblPrEx>
        <w:trPr>
          <w:trHeight w:val="586"/>
        </w:trPr>
        <w:tc>
          <w:tcPr>
            <w:tcW w:w="2396" w:type="dxa"/>
            <w:vAlign w:val="top"/>
          </w:tcPr>
          <w:p>
            <w:pPr>
              <w:pStyle w:val="TableText"/>
              <w:spacing w:before="262" w:line="221" w:lineRule="auto"/>
              <w:rPr>
                <w:sz w:val="17"/>
                <w:szCs w:val="17"/>
              </w:rPr>
            </w:pPr>
            <w:r>
              <w:rPr>
                <w:b/>
                <w:bCs/>
                <w:spacing w:val="22"/>
                <w:sz w:val="17"/>
                <w:szCs w:val="17"/>
              </w:rPr>
              <w:t>制定重点领域碳达峰方案</w:t>
            </w:r>
          </w:p>
        </w:tc>
        <w:tc>
          <w:tcPr>
            <w:tcW w:w="3909" w:type="dxa"/>
            <w:vAlign w:val="top"/>
          </w:tcPr>
          <w:p>
            <w:pPr>
              <w:pStyle w:val="TableText"/>
              <w:spacing w:before="264" w:line="221" w:lineRule="auto"/>
              <w:ind w:left="871"/>
              <w:rPr>
                <w:sz w:val="17"/>
                <w:szCs w:val="17"/>
              </w:rPr>
            </w:pPr>
            <w:r>
              <w:rPr>
                <w:spacing w:val="27"/>
                <w:sz w:val="17"/>
                <w:szCs w:val="17"/>
              </w:rPr>
              <w:t>明确重点行业碳达峰路径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262" w:line="222" w:lineRule="auto"/>
              <w:jc w:val="right"/>
              <w:rPr>
                <w:sz w:val="17"/>
                <w:szCs w:val="17"/>
              </w:rPr>
            </w:pPr>
            <w:r>
              <w:rPr>
                <w:b/>
                <w:bCs/>
                <w:spacing w:val="15"/>
                <w:sz w:val="17"/>
                <w:szCs w:val="17"/>
              </w:rPr>
              <w:t>出台</w:t>
            </w:r>
            <w:r>
              <w:rPr>
                <w:spacing w:val="-37"/>
                <w:sz w:val="17"/>
                <w:szCs w:val="17"/>
              </w:rPr>
              <w:t xml:space="preserve"> </w:t>
            </w:r>
            <w:r>
              <w:rPr>
                <w:b/>
                <w:bCs/>
                <w:spacing w:val="15"/>
                <w:sz w:val="17"/>
                <w:szCs w:val="17"/>
              </w:rPr>
              <w:t>一</w:t>
            </w:r>
            <w:r>
              <w:rPr>
                <w:spacing w:val="-46"/>
                <w:sz w:val="17"/>
                <w:szCs w:val="17"/>
              </w:rPr>
              <w:t xml:space="preserve"> </w:t>
            </w:r>
            <w:r>
              <w:rPr>
                <w:b/>
                <w:bCs/>
                <w:spacing w:val="15"/>
                <w:sz w:val="17"/>
                <w:szCs w:val="17"/>
              </w:rPr>
              <w:t>系列支撑保障措施</w:t>
            </w:r>
          </w:p>
        </w:tc>
      </w:tr>
      <w:tr>
        <w:tblPrEx>
          <w:tblW w:w="8663" w:type="dxa"/>
          <w:tblInd w:w="542" w:type="dxa"/>
          <w:tblLayout w:type="fixed"/>
        </w:tblPrEx>
        <w:trPr>
          <w:trHeight w:val="525"/>
        </w:trPr>
        <w:tc>
          <w:tcPr>
            <w:tcW w:w="2396" w:type="dxa"/>
            <w:vAlign w:val="top"/>
          </w:tcPr>
          <w:p>
            <w:pPr>
              <w:pStyle w:val="TableText"/>
              <w:spacing w:before="148" w:line="221" w:lineRule="auto"/>
              <w:ind w:left="31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能源领域、工业领域</w:t>
            </w:r>
          </w:p>
        </w:tc>
        <w:tc>
          <w:tcPr>
            <w:tcW w:w="3909" w:type="dxa"/>
            <w:vAlign w:val="top"/>
          </w:tcPr>
          <w:p>
            <w:pPr>
              <w:pStyle w:val="TableText"/>
              <w:spacing w:before="148" w:line="221" w:lineRule="auto"/>
              <w:ind w:left="118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煤炭、石油、天然气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48" w:line="222" w:lineRule="auto"/>
              <w:ind w:left="53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法律法规、财政政策</w:t>
            </w:r>
          </w:p>
        </w:tc>
      </w:tr>
      <w:tr>
        <w:tblPrEx>
          <w:tblW w:w="8663" w:type="dxa"/>
          <w:tblInd w:w="542" w:type="dxa"/>
          <w:tblLayout w:type="fixed"/>
        </w:tblPrEx>
        <w:trPr>
          <w:trHeight w:val="575"/>
        </w:trPr>
        <w:tc>
          <w:tcPr>
            <w:tcW w:w="2396" w:type="dxa"/>
            <w:vAlign w:val="top"/>
          </w:tcPr>
          <w:p>
            <w:pPr>
              <w:pStyle w:val="TableText"/>
              <w:spacing w:before="203" w:line="222" w:lineRule="auto"/>
              <w:ind w:left="317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交通运输、城乡建设</w:t>
            </w:r>
          </w:p>
        </w:tc>
        <w:tc>
          <w:tcPr>
            <w:tcW w:w="3909" w:type="dxa"/>
            <w:vAlign w:val="top"/>
          </w:tcPr>
          <w:p>
            <w:pPr>
              <w:pStyle w:val="TableText"/>
              <w:spacing w:before="203" w:line="222" w:lineRule="auto"/>
              <w:ind w:left="126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建材、电力、钢铁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203" w:line="221" w:lineRule="auto"/>
              <w:ind w:left="532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绿色金融、市场机制</w:t>
            </w:r>
          </w:p>
        </w:tc>
      </w:tr>
      <w:tr>
        <w:tblPrEx>
          <w:tblW w:w="8663" w:type="dxa"/>
          <w:tblInd w:w="542" w:type="dxa"/>
          <w:tblLayout w:type="fixed"/>
        </w:tblPrEx>
        <w:trPr>
          <w:trHeight w:val="575"/>
        </w:trPr>
        <w:tc>
          <w:tcPr>
            <w:tcW w:w="2396" w:type="dxa"/>
            <w:vAlign w:val="top"/>
          </w:tcPr>
          <w:p>
            <w:pPr>
              <w:pStyle w:val="TableText"/>
              <w:spacing w:before="198" w:line="221" w:lineRule="auto"/>
              <w:ind w:left="317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农业农村、生态碳汇</w:t>
            </w:r>
          </w:p>
        </w:tc>
        <w:tc>
          <w:tcPr>
            <w:tcW w:w="3909" w:type="dxa"/>
            <w:vAlign w:val="top"/>
          </w:tcPr>
          <w:p>
            <w:pPr>
              <w:pStyle w:val="TableText"/>
              <w:spacing w:before="200" w:line="222" w:lineRule="auto"/>
              <w:ind w:left="119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有色金属、石化化工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98" w:line="221" w:lineRule="auto"/>
              <w:ind w:left="53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统计核算、考核监督</w:t>
            </w:r>
          </w:p>
        </w:tc>
      </w:tr>
      <w:tr>
        <w:tblPrEx>
          <w:tblW w:w="8663" w:type="dxa"/>
          <w:tblInd w:w="542" w:type="dxa"/>
          <w:tblLayout w:type="fixed"/>
        </w:tblPrEx>
        <w:trPr>
          <w:trHeight w:val="376"/>
        </w:trPr>
        <w:tc>
          <w:tcPr>
            <w:tcW w:w="2396" w:type="dxa"/>
            <w:vAlign w:val="top"/>
          </w:tcPr>
          <w:p>
            <w:pPr>
              <w:pStyle w:val="TableText"/>
              <w:spacing w:before="203" w:line="176" w:lineRule="auto"/>
              <w:ind w:left="317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降碳减污、绿色消费</w:t>
            </w:r>
          </w:p>
        </w:tc>
        <w:tc>
          <w:tcPr>
            <w:tcW w:w="3909" w:type="dxa"/>
            <w:vAlign w:val="top"/>
          </w:tcPr>
          <w:p>
            <w:pPr>
              <w:pStyle w:val="TableText"/>
              <w:spacing w:before="203" w:line="176" w:lineRule="auto"/>
              <w:ind w:left="97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新型基础设施、其他行业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203" w:line="176" w:lineRule="auto"/>
              <w:ind w:left="53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科技支撑、人才培养</w:t>
            </w:r>
          </w:p>
        </w:tc>
      </w:tr>
    </w:tbl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  <w:sectPr>
          <w:headerReference w:type="default" r:id="rId14"/>
          <w:pgSz w:w="11910" w:h="14740"/>
          <w:pgMar w:top="400" w:right="1043" w:bottom="0" w:left="1079" w:header="0" w:footer="0" w:gutter="0"/>
          <w:pgNumType w:start="3"/>
          <w:cols w:space="708"/>
        </w:sectPr>
      </w:pPr>
    </w:p>
    <w:p>
      <w:pPr>
        <w:pStyle w:val="BodyText"/>
        <w:spacing w:before="56" w:line="232" w:lineRule="auto"/>
        <w:ind w:left="642"/>
        <w:rPr>
          <w:sz w:val="17"/>
          <w:szCs w:val="17"/>
        </w:rPr>
      </w:pPr>
      <w:r>
        <w:rPr>
          <w:b/>
          <w:bCs/>
          <w:spacing w:val="22"/>
          <w:sz w:val="17"/>
          <w:szCs w:val="17"/>
        </w:rPr>
        <w:t>各地区碳达峰实施方案</w:t>
      </w:r>
      <w:r>
        <w:rPr>
          <w:spacing w:val="22"/>
          <w:sz w:val="17"/>
          <w:szCs w:val="17"/>
        </w:rPr>
        <w:t xml:space="preserve">             </w:t>
      </w:r>
      <w:r>
        <w:rPr>
          <w:b/>
          <w:bCs/>
          <w:spacing w:val="22"/>
          <w:sz w:val="17"/>
          <w:szCs w:val="17"/>
        </w:rPr>
        <w:t>各地</w:t>
      </w:r>
      <w:r>
        <w:rPr>
          <w:b/>
          <w:bCs/>
          <w:spacing w:val="21"/>
          <w:sz w:val="17"/>
          <w:szCs w:val="17"/>
        </w:rPr>
        <w:t>区碳达峰支撑保障</w:t>
      </w:r>
      <w:r>
        <w:rPr>
          <w:spacing w:val="3"/>
          <w:sz w:val="17"/>
          <w:szCs w:val="17"/>
        </w:rPr>
        <w:t xml:space="preserve">                </w:t>
      </w:r>
      <w:r>
        <w:rPr>
          <w:b/>
          <w:bCs/>
          <w:spacing w:val="21"/>
          <w:position w:val="2"/>
          <w:sz w:val="17"/>
          <w:szCs w:val="17"/>
        </w:rPr>
        <w:t>各地区创新经验做法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72" w:line="221" w:lineRule="auto"/>
        <w:ind w:left="2703"/>
      </w:pPr>
      <w:r>
        <w:rPr>
          <w:b/>
          <w:bCs/>
          <w:spacing w:val="12"/>
        </w:rPr>
        <w:t>图</w:t>
      </w:r>
      <w:r>
        <w:rPr>
          <w:spacing w:val="12"/>
        </w:rPr>
        <w:t xml:space="preserve"> </w:t>
      </w:r>
      <w:r>
        <w:rPr>
          <w:b/>
          <w:bCs/>
          <w:spacing w:val="12"/>
        </w:rPr>
        <w:t>1</w:t>
      </w:r>
      <w:r>
        <w:rPr>
          <w:spacing w:val="76"/>
        </w:rPr>
        <w:t xml:space="preserve"> </w:t>
      </w:r>
      <w:r>
        <w:rPr>
          <w:b/>
          <w:bCs/>
          <w:spacing w:val="12"/>
        </w:rPr>
        <w:t>中国碳达峰碳中和“1+</w:t>
      </w:r>
      <w:r>
        <w:rPr>
          <w:rFonts w:ascii="SimSun" w:eastAsia="SimSun" w:hAnsi="SimSun" w:cs="SimSun"/>
          <w:b/>
          <w:bCs/>
          <w:spacing w:val="12"/>
        </w:rPr>
        <w:t>N”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b/>
          <w:bCs/>
          <w:spacing w:val="12"/>
        </w:rPr>
        <w:t>政策示意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56" w:line="217" w:lineRule="auto"/>
        <w:ind w:left="1490"/>
        <w:rPr>
          <w:rFonts w:ascii="SimSun" w:eastAsia="SimSun" w:hAnsi="SimSun" w:cs="SimSun"/>
          <w:sz w:val="12"/>
          <w:szCs w:val="12"/>
        </w:rPr>
      </w:pPr>
      <w:r>
        <w:rPr>
          <w:color w:val="044AA6"/>
          <w:spacing w:val="8"/>
          <w:sz w:val="17"/>
          <w:szCs w:val="17"/>
        </w:rPr>
        <w:t>中国碳达峰碳中和政策与行动(2023)</w:t>
      </w:r>
      <w:r>
        <w:rPr>
          <w:spacing w:val="8"/>
          <w:sz w:val="17"/>
          <w:szCs w:val="17"/>
        </w:rPr>
        <w:t>|生态环境部环境与经济政策</w:t>
      </w:r>
      <w:r>
        <w:rPr>
          <w:spacing w:val="7"/>
          <w:sz w:val="17"/>
          <w:szCs w:val="17"/>
        </w:rPr>
        <w:t>研究中心|美国环保协会北京代表处</w:t>
      </w:r>
      <w:r>
        <w:rPr>
          <w:spacing w:val="38"/>
          <w:w w:val="101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7"/>
          <w:position w:val="3"/>
          <w:sz w:val="12"/>
          <w:szCs w:val="12"/>
        </w:rPr>
        <w:t>0</w:t>
      </w:r>
    </w:p>
    <w:p>
      <w:pPr>
        <w:spacing w:line="217" w:lineRule="auto"/>
        <w:rPr>
          <w:rFonts w:ascii="SimSun" w:eastAsia="SimSun" w:hAnsi="SimSun" w:cs="SimSun"/>
          <w:sz w:val="12"/>
          <w:szCs w:val="12"/>
        </w:rPr>
        <w:sectPr>
          <w:headerReference w:type="default" r:id="rId15"/>
          <w:type w:val="nextPage"/>
          <w:pgSz w:w="11910" w:h="14740"/>
          <w:pgMar w:top="400" w:right="1043" w:bottom="0" w:left="1079" w:header="0" w:footer="0" w:gutter="0"/>
          <w:pgNumType w:start="4"/>
          <w:cols w:space="708"/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493"/>
        <w:rPr>
          <w:sz w:val="28"/>
          <w:szCs w:val="28"/>
        </w:rPr>
      </w:pPr>
      <w:r>
        <w:rPr>
          <w:b/>
          <w:bCs/>
          <w:color w:val="00B779"/>
          <w:spacing w:val="2"/>
          <w:sz w:val="28"/>
          <w:szCs w:val="28"/>
        </w:rPr>
        <w:t>国家层面</w:t>
      </w:r>
    </w:p>
    <w:p>
      <w:pPr>
        <w:pStyle w:val="BodyText"/>
        <w:spacing w:before="196" w:line="331" w:lineRule="auto"/>
        <w:ind w:left="119" w:right="93" w:firstLine="499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国家发布的《意见》和《方案》明确了“双碳”工作的时间表、路线图、施工图。中国</w:t>
      </w:r>
      <w:r>
        <w:rPr>
          <w:spacing w:val="1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将碳达峰贯穿于经济社会发展全过程和各方</w:t>
      </w:r>
      <w:r>
        <w:rPr>
          <w:spacing w:val="5"/>
          <w:sz w:val="24"/>
          <w:szCs w:val="24"/>
        </w:rPr>
        <w:t>面，提出碳达峰碳中和主要目标(表1),明确重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点实施能源绿色低碳转型行动、节能降碳增效行动、工业领</w:t>
      </w:r>
      <w:r>
        <w:rPr>
          <w:spacing w:val="-1"/>
          <w:sz w:val="24"/>
          <w:szCs w:val="24"/>
        </w:rPr>
        <w:t>域碳达峰行动、城乡建设碳达峰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行动、交通运输绿色低碳行动、循环经济助力降碳行动、绿色低碳</w:t>
      </w:r>
      <w:r>
        <w:rPr>
          <w:spacing w:val="-1"/>
          <w:sz w:val="24"/>
          <w:szCs w:val="24"/>
        </w:rPr>
        <w:t>科技创新行动、碳汇能力</w:t>
      </w:r>
    </w:p>
    <w:p>
      <w:pPr>
        <w:pStyle w:val="BodyText"/>
        <w:spacing w:before="1" w:line="220" w:lineRule="auto"/>
        <w:ind w:left="119"/>
        <w:rPr>
          <w:sz w:val="24"/>
          <w:szCs w:val="24"/>
        </w:rPr>
      </w:pPr>
      <w:r>
        <w:rPr>
          <w:spacing w:val="-9"/>
          <w:sz w:val="24"/>
          <w:szCs w:val="24"/>
        </w:rPr>
        <w:t>巩固提升行动、绿色低碳全民行动、各地区梯次有序碳达峰行动等“碳达峰十大行动”。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3233"/>
        <w:rPr>
          <w:sz w:val="24"/>
          <w:szCs w:val="24"/>
        </w:rPr>
      </w:pPr>
      <w:r>
        <w:rPr>
          <w:b/>
          <w:bCs/>
          <w:spacing w:val="-11"/>
          <w:sz w:val="24"/>
          <w:szCs w:val="24"/>
        </w:rPr>
        <w:t>表</w:t>
      </w:r>
      <w:r>
        <w:rPr>
          <w:spacing w:val="-24"/>
          <w:sz w:val="24"/>
          <w:szCs w:val="24"/>
        </w:rPr>
        <w:t xml:space="preserve"> </w:t>
      </w:r>
      <w:r>
        <w:rPr>
          <w:b/>
          <w:bCs/>
          <w:spacing w:val="-11"/>
          <w:sz w:val="24"/>
          <w:szCs w:val="24"/>
        </w:rPr>
        <w:t>1</w:t>
      </w:r>
      <w:r>
        <w:rPr>
          <w:spacing w:val="58"/>
          <w:sz w:val="24"/>
          <w:szCs w:val="24"/>
        </w:rPr>
        <w:t xml:space="preserve"> </w:t>
      </w:r>
      <w:r>
        <w:rPr>
          <w:b/>
          <w:bCs/>
          <w:spacing w:val="-11"/>
          <w:sz w:val="24"/>
          <w:szCs w:val="24"/>
        </w:rPr>
        <w:t>中国碳达峰碳中和主要目标</w:t>
      </w:r>
    </w:p>
    <w:p>
      <w:pPr>
        <w:spacing w:line="193" w:lineRule="exact"/>
      </w:pPr>
    </w:p>
    <w:tbl>
      <w:tblPr>
        <w:tblStyle w:val="TableNormal2"/>
        <w:tblW w:w="9639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82"/>
        <w:gridCol w:w="1408"/>
        <w:gridCol w:w="3646"/>
        <w:gridCol w:w="2003"/>
      </w:tblGrid>
      <w:tr>
        <w:tblPrEx>
          <w:tblW w:w="9639" w:type="dxa"/>
          <w:tblInd w:w="1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4"/>
        </w:trPr>
        <w:tc>
          <w:tcPr>
            <w:tcW w:w="2582" w:type="dxa"/>
            <w:shd w:val="clear" w:color="auto" w:fill="45B793"/>
            <w:vAlign w:val="top"/>
          </w:tcPr>
          <w:p>
            <w:pPr>
              <w:spacing w:before="142" w:line="220" w:lineRule="auto"/>
              <w:ind w:left="768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b/>
                <w:bCs/>
                <w:color w:val="FFFFFF"/>
                <w:spacing w:val="-5"/>
                <w:sz w:val="25"/>
                <w:szCs w:val="25"/>
              </w:rPr>
              <w:t>主要目标</w:t>
            </w:r>
          </w:p>
        </w:tc>
        <w:tc>
          <w:tcPr>
            <w:tcW w:w="1408" w:type="dxa"/>
            <w:shd w:val="clear" w:color="auto" w:fill="46B793"/>
            <w:vAlign w:val="top"/>
          </w:tcPr>
          <w:p>
            <w:pPr>
              <w:spacing w:before="141" w:line="219" w:lineRule="auto"/>
              <w:ind w:left="326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b/>
                <w:bCs/>
                <w:color w:val="FFFFFF"/>
                <w:spacing w:val="-5"/>
                <w:sz w:val="25"/>
                <w:szCs w:val="25"/>
              </w:rPr>
              <w:t>2025年</w:t>
            </w:r>
          </w:p>
        </w:tc>
        <w:tc>
          <w:tcPr>
            <w:tcW w:w="3646" w:type="dxa"/>
            <w:shd w:val="clear" w:color="auto" w:fill="46B793"/>
            <w:vAlign w:val="top"/>
          </w:tcPr>
          <w:p>
            <w:pPr>
              <w:spacing w:before="141" w:line="219" w:lineRule="auto"/>
              <w:ind w:left="1448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b/>
                <w:bCs/>
                <w:color w:val="FFFFFF"/>
                <w:spacing w:val="-5"/>
                <w:sz w:val="25"/>
                <w:szCs w:val="25"/>
              </w:rPr>
              <w:t>2030年</w:t>
            </w:r>
          </w:p>
        </w:tc>
        <w:tc>
          <w:tcPr>
            <w:tcW w:w="2003" w:type="dxa"/>
            <w:shd w:val="clear" w:color="auto" w:fill="46B793"/>
            <w:vAlign w:val="top"/>
          </w:tcPr>
          <w:p>
            <w:pPr>
              <w:spacing w:before="141" w:line="219" w:lineRule="auto"/>
              <w:ind w:left="622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b/>
                <w:bCs/>
                <w:color w:val="FFFFFF"/>
                <w:spacing w:val="-5"/>
                <w:sz w:val="25"/>
                <w:szCs w:val="25"/>
              </w:rPr>
              <w:t>2060年</w:t>
            </w:r>
          </w:p>
        </w:tc>
      </w:tr>
      <w:tr>
        <w:tblPrEx>
          <w:tblW w:w="9639" w:type="dxa"/>
          <w:tblInd w:w="120" w:type="dxa"/>
          <w:tblLayout w:type="fixed"/>
        </w:tblPrEx>
        <w:trPr>
          <w:trHeight w:val="678"/>
        </w:trPr>
        <w:tc>
          <w:tcPr>
            <w:tcW w:w="2582" w:type="dxa"/>
            <w:vAlign w:val="top"/>
          </w:tcPr>
          <w:p>
            <w:pPr>
              <w:spacing w:before="167" w:line="233" w:lineRule="auto"/>
              <w:ind w:left="285" w:right="3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单位国内生产总值能耗比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2020年下降(%】</w:t>
            </w:r>
          </w:p>
        </w:tc>
        <w:tc>
          <w:tcPr>
            <w:tcW w:w="1408" w:type="dxa"/>
            <w:vAlign w:val="top"/>
          </w:tcPr>
          <w:p>
            <w:pPr>
              <w:spacing w:before="293" w:line="184" w:lineRule="auto"/>
              <w:ind w:left="5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13.5</w:t>
            </w:r>
          </w:p>
        </w:tc>
        <w:tc>
          <w:tcPr>
            <w:tcW w:w="3646" w:type="dxa"/>
            <w:vAlign w:val="top"/>
          </w:tcPr>
          <w:p>
            <w:pPr>
              <w:spacing w:before="246" w:line="218" w:lineRule="auto"/>
              <w:ind w:left="14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大幅下降</w:t>
            </w:r>
          </w:p>
        </w:tc>
        <w:tc>
          <w:tcPr>
            <w:tcW w:w="2003" w:type="dxa"/>
            <w:vAlign w:val="top"/>
          </w:tcPr>
          <w:p>
            <w:pPr>
              <w:tabs>
                <w:tab w:val="left" w:pos="1008"/>
              </w:tabs>
              <w:spacing w:before="143" w:line="241" w:lineRule="exact"/>
              <w:ind w:left="978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rightMargin">
                    <wp:posOffset>-644494</wp:posOffset>
                  </wp:positionH>
                  <wp:positionV relativeFrom="topMargin">
                    <wp:posOffset>221915</wp:posOffset>
                  </wp:positionV>
                  <wp:extent cx="146629" cy="635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2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9639" w:type="dxa"/>
          <w:tblInd w:w="120" w:type="dxa"/>
          <w:tblLayout w:type="fixed"/>
        </w:tblPrEx>
        <w:trPr>
          <w:trHeight w:val="668"/>
        </w:trPr>
        <w:tc>
          <w:tcPr>
            <w:tcW w:w="2582" w:type="dxa"/>
            <w:vAlign w:val="top"/>
          </w:tcPr>
          <w:p>
            <w:pPr>
              <w:spacing w:before="110" w:line="243" w:lineRule="auto"/>
              <w:ind w:left="285" w:right="1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单位国内生产总值二氧化碳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排放比2005年下降(%)</w:t>
            </w:r>
          </w:p>
        </w:tc>
        <w:tc>
          <w:tcPr>
            <w:tcW w:w="1408" w:type="dxa"/>
            <w:vAlign w:val="top"/>
          </w:tcPr>
          <w:p>
            <w:pPr>
              <w:spacing w:before="295" w:line="184" w:lineRule="auto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18</w:t>
            </w:r>
          </w:p>
        </w:tc>
        <w:tc>
          <w:tcPr>
            <w:tcW w:w="3646" w:type="dxa"/>
            <w:vAlign w:val="top"/>
          </w:tcPr>
          <w:p>
            <w:pPr>
              <w:spacing w:before="253" w:line="222" w:lineRule="auto"/>
              <w:ind w:left="15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65以上</w:t>
            </w: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639" w:type="dxa"/>
          <w:tblInd w:w="120" w:type="dxa"/>
          <w:tblLayout w:type="fixed"/>
        </w:tblPrEx>
        <w:trPr>
          <w:trHeight w:val="439"/>
        </w:trPr>
        <w:tc>
          <w:tcPr>
            <w:tcW w:w="2582" w:type="dxa"/>
            <w:vAlign w:val="top"/>
          </w:tcPr>
          <w:p>
            <w:pPr>
              <w:spacing w:before="132" w:line="220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非化石能源消费比重</w:t>
            </w:r>
          </w:p>
        </w:tc>
        <w:tc>
          <w:tcPr>
            <w:tcW w:w="1408" w:type="dxa"/>
            <w:vAlign w:val="top"/>
          </w:tcPr>
          <w:p>
            <w:pPr>
              <w:spacing w:before="138" w:line="225" w:lineRule="auto"/>
              <w:ind w:left="4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20左右</w:t>
            </w:r>
          </w:p>
        </w:tc>
        <w:tc>
          <w:tcPr>
            <w:tcW w:w="3646" w:type="dxa"/>
            <w:vAlign w:val="top"/>
          </w:tcPr>
          <w:p>
            <w:pPr>
              <w:spacing w:before="138" w:line="225" w:lineRule="auto"/>
              <w:ind w:left="15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25左右</w:t>
            </w:r>
          </w:p>
        </w:tc>
        <w:tc>
          <w:tcPr>
            <w:tcW w:w="2003" w:type="dxa"/>
            <w:vAlign w:val="top"/>
          </w:tcPr>
          <w:p>
            <w:pPr>
              <w:spacing w:before="135" w:line="222" w:lineRule="auto"/>
              <w:ind w:left="7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80以上</w:t>
            </w:r>
          </w:p>
        </w:tc>
      </w:tr>
      <w:tr>
        <w:tblPrEx>
          <w:tblW w:w="9639" w:type="dxa"/>
          <w:tblInd w:w="120" w:type="dxa"/>
          <w:tblLayout w:type="fixed"/>
        </w:tblPrEx>
        <w:trPr>
          <w:trHeight w:val="429"/>
        </w:trPr>
        <w:tc>
          <w:tcPr>
            <w:tcW w:w="2582" w:type="dxa"/>
            <w:vAlign w:val="top"/>
          </w:tcPr>
          <w:p>
            <w:pPr>
              <w:spacing w:before="133" w:line="219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森林覆盖率(%)</w:t>
            </w:r>
          </w:p>
        </w:tc>
        <w:tc>
          <w:tcPr>
            <w:tcW w:w="1408" w:type="dxa"/>
            <w:vAlign w:val="top"/>
          </w:tcPr>
          <w:p>
            <w:pPr>
              <w:spacing w:before="178" w:line="184" w:lineRule="auto"/>
              <w:ind w:left="5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24.1</w:t>
            </w:r>
          </w:p>
        </w:tc>
        <w:tc>
          <w:tcPr>
            <w:tcW w:w="3646" w:type="dxa"/>
            <w:vAlign w:val="top"/>
          </w:tcPr>
          <w:p>
            <w:pPr>
              <w:spacing w:before="199" w:line="225" w:lineRule="auto"/>
              <w:ind w:left="15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25左右</w:t>
            </w: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639" w:type="dxa"/>
          <w:tblInd w:w="120" w:type="dxa"/>
          <w:tblLayout w:type="fixed"/>
        </w:tblPrEx>
        <w:trPr>
          <w:trHeight w:val="449"/>
        </w:trPr>
        <w:tc>
          <w:tcPr>
            <w:tcW w:w="2582" w:type="dxa"/>
            <w:vAlign w:val="top"/>
          </w:tcPr>
          <w:p>
            <w:pPr>
              <w:spacing w:before="144" w:line="219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森林蓄积量(亿立方米)</w:t>
            </w:r>
          </w:p>
        </w:tc>
        <w:tc>
          <w:tcPr>
            <w:tcW w:w="1408" w:type="dxa"/>
            <w:vAlign w:val="top"/>
          </w:tcPr>
          <w:p>
            <w:pPr>
              <w:spacing w:before="189" w:line="184" w:lineRule="auto"/>
              <w:ind w:left="5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180</w:t>
            </w:r>
          </w:p>
        </w:tc>
        <w:tc>
          <w:tcPr>
            <w:tcW w:w="3646" w:type="dxa"/>
            <w:vAlign w:val="top"/>
          </w:tcPr>
          <w:p>
            <w:pPr>
              <w:spacing w:before="189" w:line="184" w:lineRule="auto"/>
              <w:ind w:left="16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190</w:t>
            </w:r>
          </w:p>
        </w:tc>
        <w:tc>
          <w:tcPr>
            <w:tcW w:w="20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639" w:type="dxa"/>
          <w:tblInd w:w="120" w:type="dxa"/>
          <w:tblLayout w:type="fixed"/>
        </w:tblPrEx>
        <w:trPr>
          <w:trHeight w:val="683"/>
        </w:trPr>
        <w:tc>
          <w:tcPr>
            <w:tcW w:w="2582" w:type="dxa"/>
            <w:vAlign w:val="top"/>
          </w:tcPr>
          <w:p>
            <w:pPr>
              <w:spacing w:before="255" w:line="220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其他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46" w:type="dxa"/>
            <w:vAlign w:val="top"/>
          </w:tcPr>
          <w:p>
            <w:pPr>
              <w:spacing w:before="125" w:line="248" w:lineRule="auto"/>
              <w:ind w:left="214" w:right="118" w:hanging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风电、太阳能发电总装机容量达到12亿千瓦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以上；顺利实现2030年前碳达峰目标</w:t>
            </w:r>
          </w:p>
        </w:tc>
        <w:tc>
          <w:tcPr>
            <w:tcW w:w="2003" w:type="dxa"/>
            <w:vAlign w:val="top"/>
          </w:tcPr>
          <w:p>
            <w:pPr>
              <w:spacing w:before="255" w:line="220" w:lineRule="auto"/>
              <w:ind w:left="1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碳中和目标顺利实现</w:t>
            </w:r>
          </w:p>
        </w:tc>
      </w:tr>
    </w:tbl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line="550" w:lineRule="exact"/>
        <w:ind w:firstLine="170"/>
      </w:pPr>
      <w:r>
        <w:rPr>
          <w:position w:val="-10"/>
        </w:rPr>
        <w:pict>
          <v:shape id="_x0000_i1032" type="#_x0000_t202" style="width:479pt;height:27.5pt;mso-position-horizontal-relative:char;mso-position-vertical-relative:line" filled="t" fillcolor="#dfdee3" stroked="f">
            <o:lock v:ext="edit" aspectratio="f"/>
            <v:textbox inset="0,0,0,0">
              <w:txbxContent>
                <w:p>
                  <w:pPr>
                    <w:spacing w:before="215" w:line="221" w:lineRule="auto"/>
                    <w:ind w:left="199"/>
                    <w:rPr>
                      <w:rFonts w:ascii="SimHei" w:eastAsia="SimHei" w:hAnsi="SimHei" w:cs="SimHei"/>
                      <w:sz w:val="18"/>
                      <w:szCs w:val="18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18"/>
                      <w:szCs w:val="18"/>
                    </w:rPr>
                    <w:t>注：摘自《关于完整准确全面贯彻新发展理念</w:t>
                  </w:r>
                  <w:r>
                    <w:rPr>
                      <w:rFonts w:ascii="SimHei" w:eastAsia="SimHei" w:hAnsi="SimHei" w:cs="SimHei"/>
                      <w:spacing w:val="2"/>
                      <w:sz w:val="18"/>
                      <w:szCs w:val="18"/>
                    </w:rPr>
                    <w:t>做好碳达峰碳中和工作的意见》《2030年前碳达峰行动方案》</w:t>
                  </w:r>
                </w:p>
              </w:txbxContent>
            </v:textbox>
            <w10:wrap type="none"/>
          </v:shape>
        </w:pic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13"/>
        <w:rPr>
          <w:sz w:val="28"/>
          <w:szCs w:val="28"/>
        </w:rPr>
      </w:pPr>
      <w:r>
        <w:rPr>
          <w:b/>
          <w:bCs/>
          <w:color w:val="00B779"/>
          <w:spacing w:val="4"/>
          <w:sz w:val="28"/>
          <w:szCs w:val="28"/>
        </w:rPr>
        <w:t>部委层面</w:t>
      </w:r>
    </w:p>
    <w:p>
      <w:pPr>
        <w:pStyle w:val="BodyText"/>
        <w:spacing w:before="180" w:line="320" w:lineRule="auto"/>
        <w:ind w:firstLine="579"/>
        <w:jc w:val="both"/>
        <w:rPr>
          <w:sz w:val="24"/>
          <w:szCs w:val="24"/>
        </w:rPr>
        <w:sectPr>
          <w:headerReference w:type="default" r:id="rId17"/>
          <w:pgSz w:w="11910" w:h="14740"/>
          <w:pgMar w:top="400" w:right="1080" w:bottom="0" w:left="1020" w:header="0" w:footer="0" w:gutter="0"/>
          <w:pgNumType w:start="5"/>
          <w:cols w:space="708"/>
        </w:sectPr>
      </w:pPr>
      <w:r>
        <w:rPr>
          <w:spacing w:val="6"/>
          <w:sz w:val="24"/>
          <w:szCs w:val="24"/>
        </w:rPr>
        <w:t>部委层面出台“双碳”重点领域、重点行业实施方案及相关支撑保障方案(表2),对应</w:t>
      </w:r>
      <w:r>
        <w:rPr>
          <w:spacing w:val="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“双碳”“1+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N”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政策体系中的</w:t>
      </w:r>
      <w:r>
        <w:rPr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“N”</w:t>
      </w:r>
      <w:r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。</w:t>
      </w:r>
      <w:r>
        <w:rPr>
          <w:spacing w:val="-4"/>
          <w:sz w:val="24"/>
          <w:szCs w:val="24"/>
        </w:rPr>
        <w:t>其中，</w:t>
      </w:r>
      <w:r>
        <w:rPr>
          <w:spacing w:val="-5"/>
          <w:sz w:val="24"/>
          <w:szCs w:val="24"/>
        </w:rPr>
        <w:t>重点领域包括能源、工业、交通运输、城乡建设、</w:t>
      </w:r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农业农村、减污降碳等；重点行业包括煤炭、石油天然气、钢铁、</w:t>
      </w:r>
      <w:r>
        <w:rPr>
          <w:spacing w:val="2"/>
          <w:sz w:val="24"/>
          <w:szCs w:val="24"/>
        </w:rPr>
        <w:t>有色金属、石化化工、建</w:t>
      </w:r>
    </w:p>
    <w:p>
      <w:pPr>
        <w:pStyle w:val="BodyText"/>
        <w:spacing w:before="1" w:line="212" w:lineRule="auto"/>
        <w:ind w:left="119"/>
        <w:rPr>
          <w:sz w:val="24"/>
          <w:szCs w:val="24"/>
        </w:rPr>
      </w:pPr>
      <w:r>
        <w:rPr>
          <w:spacing w:val="-6"/>
          <w:sz w:val="24"/>
          <w:szCs w:val="24"/>
        </w:rPr>
        <w:t>材等；支撑保障涉及法律法规、财政税收、市场体制、科技创新、统</w:t>
      </w:r>
      <w:r>
        <w:rPr>
          <w:spacing w:val="-7"/>
          <w:sz w:val="24"/>
          <w:szCs w:val="24"/>
        </w:rPr>
        <w:t>计核算等。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0" w:line="217" w:lineRule="auto"/>
        <w:ind w:left="460"/>
        <w:rPr>
          <w:sz w:val="18"/>
          <w:szCs w:val="18"/>
        </w:rPr>
      </w:pPr>
      <w:r>
        <w:rPr>
          <w:spacing w:val="-1"/>
          <w:sz w:val="18"/>
          <w:szCs w:val="18"/>
        </w:rPr>
        <w:t>美国环保协会北京代表处|生态环境部环境与经济政策研究中心|</w:t>
      </w:r>
      <w:r>
        <w:rPr>
          <w:color w:val="004799"/>
          <w:spacing w:val="-1"/>
          <w:sz w:val="18"/>
          <w:szCs w:val="18"/>
        </w:rPr>
        <w:t>中国碳达峰碳中和</w:t>
      </w:r>
      <w:r>
        <w:rPr>
          <w:color w:val="004799"/>
          <w:spacing w:val="-2"/>
          <w:sz w:val="18"/>
          <w:szCs w:val="18"/>
        </w:rPr>
        <w:t>政策与行动(2023)</w:t>
      </w:r>
    </w:p>
    <w:p>
      <w:pPr>
        <w:spacing w:line="217" w:lineRule="auto"/>
        <w:rPr>
          <w:sz w:val="18"/>
          <w:szCs w:val="18"/>
        </w:rPr>
      </w:pPr>
      <w:r>
        <w:rPr>
          <w:sz w:val="18"/>
          <w:szCs w:val="18"/>
        </w:rPr>
        <w:br/>
      </w:r>
      <w:r>
        <w:rPr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https://d.book118.com/047016103126006026</w:t>
        </w:r>
      </w:hyperlink>
    </w:p>
    <w:p>
      <w:pPr>
        <w:spacing w:line="217" w:lineRule="auto"/>
        <w:rPr>
          <w:sz w:val="18"/>
          <w:szCs w:val="18"/>
        </w:rPr>
      </w:pPr>
    </w:p>
    <w:sectPr>
      <w:headerReference w:type="default" r:id="rId19"/>
      <w:type w:val="nextPage"/>
      <w:pgSz w:w="11910" w:h="14740"/>
      <w:pgMar w:top="400" w:right="1080" w:bottom="0" w:left="1020" w:header="0" w:footer="0" w:gutter="0"/>
      <w:pgNumType w:start="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7"/>
      <w:szCs w:val="27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header" Target="header2.xml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header" Target="header3.xml" /><Relationship Id="rId15" Type="http://schemas.openxmlformats.org/officeDocument/2006/relationships/header" Target="header4.xml" /><Relationship Id="rId16" Type="http://schemas.openxmlformats.org/officeDocument/2006/relationships/image" Target="media/image9.jpeg" /><Relationship Id="rId17" Type="http://schemas.openxmlformats.org/officeDocument/2006/relationships/header" Target="header5.xml" /><Relationship Id="rId18" Type="http://schemas.openxmlformats.org/officeDocument/2006/relationships/hyperlink" Target="https://d.book118.com/047016103126006026" TargetMode="Externa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2024-01-08T20:45:23Z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2024-01-08T20:45:27Z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659bee5d98caa6001fde450ewl</vt:lpwstr>
  </property>
</Properties>
</file>