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2018-2023年山东化工职业学院高职单招（数学／语文／英语）历年常考试题库含答案解析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下列诗歌中，体裁不属于乐府诗的一项是（）。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A.《陌上桑》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B.《行路难》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D.《杜陵叟》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《论学问》一文指出治学的目的是（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A.能权衡轻重，审察事理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B.娱乐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D.装饰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下列文学常识表述完全正确的一项是（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A.鲁迅的《呐喊》、茅盾的《子夜》和巴金的《家》，都是我国现代著名的长篇小说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B.我国现代著名剧作家曹禺的代表作有《雷雨》、《日出》和《龙须沟》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C.新格律诗的“三美”主张指的是“音乐的美”、“绘画的美”、“建筑的美”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D.沈从文的《箱子岩》生动地展现了浙东水乡淳厚古朴的民风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《战国策》是一部（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A.编年体史书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B.纪传体通史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C.国别体史书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D.哲学著作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在《往事（一之十四）》中，冰心赞颂了大海的性格和美德，号召大家做一个（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A.女神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C.海舟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D.“海化”青年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下列曲词中，概括《天净沙·秋思》全篇主题思想的是（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A.枯藤老树昏鸦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B.小桥流水人家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C.古道西风瘦马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D.断肠人在天涯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下列句中，“所以”可译成“用来”的是（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A.以其所以至之鲜也。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B.此五帝三王之所以无敌也。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C.祸莫大于杀已降，此乃将军所以不得侯者也。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D.此非所以跨海内、制诸侯之术也。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《杜陵叟》是一首（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D.古题乐府诗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下列作家同属于“文学研究会”的是（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A.鲁迅、沈雁冰、冰心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B.郭沫若、沈雁冰、朱自清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C.鲁迅、郁达夫、冰心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D.沈雁冰、朱自清、冰心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闻一多曾提出新格律诗的“三美”主张，即新诗要有（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A.音乐的美、绘画的美、建筑的美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B.色彩浓、回味永、意境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C.理想美、思想美、形式美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D.节奏、韵味、意境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下列文学常识表述完全正确的一项是（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A.鲁迅的《呐喊》、茅盾的《子夜》和巴金的《家》，都是我国现代著名的长篇小说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B.我国现代著名剧作家曹禺的代表作有《雷雨》、《日出》和《龙须沟》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C.新格律诗的“三美”主张指的是“音乐的美”、“绘画的美”、“建筑的美”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D.沈从文的《箱子岩》生动地展现了浙东水乡淳厚古朴的民风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下列作品属于郭沫若所创作的一组是（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A.《女神》、《死水》、《屈原》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B.《女神》、《尝试集》、《猛虎集》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C.《北方》、《红烛》、《屈原》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D.《屈原》、《虎符》、《蔡文姬》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主张文章应该“有补于世”、“以适用为本”的作家是（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下列句子中，意思与“顾秉谦者，严相国俦也”意思接近的是（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A.求为其门卒三年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B.见昆山犹之见分宜也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https://d.book118.com/047040016156006044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047040016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