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83724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F83724">
      <w:pPr>
        <w:widowControl/>
        <w:jc w:val="left"/>
        <w:rPr>
          <w:rFonts w:ascii="仿宋" w:eastAsia="仿宋" w:hAnsi="仿宋"/>
          <w:b/>
          <w:sz w:val="40"/>
        </w:rPr>
      </w:pPr>
    </w:p>
    <w:p w:rsidR="00F83724">
      <w:pPr>
        <w:widowControl/>
        <w:jc w:val="left"/>
        <w:rPr>
          <w:rFonts w:ascii="仿宋" w:eastAsia="仿宋" w:hAnsi="仿宋"/>
          <w:b/>
          <w:sz w:val="40"/>
        </w:rPr>
      </w:pPr>
    </w:p>
    <w:p w:rsidR="00F83724" w:rsidRPr="00F8372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83724">
        <w:rPr>
          <w:rFonts w:ascii="宋体" w:eastAsia="宋体" w:hAnsi="宋体" w:hint="eastAsia"/>
          <w:b/>
          <w:sz w:val="60"/>
        </w:rPr>
        <w:t>融合教育行业洞察报告及未来五至十年预测分析报告</w:t>
      </w:r>
    </w:p>
    <w:p w:rsidR="00F83724" w:rsidP="00F8372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83724">
        <w:rPr>
          <w:rFonts w:ascii="仿宋" w:eastAsia="仿宋" w:hAnsi="仿宋" w:hint="eastAsia"/>
          <w:b/>
          <w:sz w:val="40"/>
        </w:rPr>
        <w:t>目录</w:t>
      </w:r>
    </w:p>
    <w:p w:rsidR="00F8372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申明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_Toc159269434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fldChar w:fldCharType="end"/>
      </w:r>
    </w:p>
    <w:p w:rsidR="00F83724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</w:t>
      </w:r>
      <w:r>
        <w:rPr>
          <w:noProof/>
        </w:rPr>
        <w:t>2024-2029</w:t>
      </w:r>
      <w:r>
        <w:rPr>
          <w:rFonts w:hint="eastAsia"/>
          <w:noProof/>
        </w:rPr>
        <w:t>年融合教育行业企业市场突围战略分析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_Toc159269435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、在融合教育行业树立“战略突破”理念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_Toc159269436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、确定融合教育行业市场定位、产品定位和品牌定位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_Toc159269437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8372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_Toc159269438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8372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、产品定位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_Toc159269439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8372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_Toc159269440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、创新寻求突破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_Toc159269441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8372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、基于消费升级的科技创新模式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_Toc159269442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8372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、创新推动融合教育行业更高质量发展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_Toc159269443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8372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、尝试业态创新和品牌创新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_Toc159269444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8372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、自主创新</w:t>
      </w:r>
      <w:r>
        <w:rPr>
          <w:noProof/>
        </w:rPr>
        <w:t>+</w:t>
      </w:r>
      <w:r>
        <w:rPr>
          <w:rFonts w:hint="eastAsia"/>
          <w:noProof/>
        </w:rPr>
        <w:t>品牌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_Toc159269445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、制定宣传计划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_Toc159269446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8372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、策略一：学会做新闻、事件营销——低成本的传播工具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_Toc159269447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8372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、策略二：学会以优秀的品牌视觉设计突出品牌特色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_Toc159269448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83724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、策略三：学会使用网络营销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_Toc159269449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83724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</w:t>
      </w:r>
      <w:r>
        <w:rPr>
          <w:noProof/>
        </w:rPr>
        <w:t>2024-2029</w:t>
      </w:r>
      <w:r>
        <w:rPr>
          <w:rFonts w:hint="eastAsia"/>
          <w:noProof/>
        </w:rPr>
        <w:t>年融合教育业市场运行趋势及存在问题分析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_Toc159269450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>2024-2029</w:t>
      </w:r>
      <w:r>
        <w:rPr>
          <w:rFonts w:hint="eastAsia"/>
          <w:noProof/>
        </w:rPr>
        <w:t>年融合教育业市场运行动态分析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_Toc159269451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、现阶段融合教育业存在的问题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_Toc159269452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、现阶段融合教育业存在的问题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_Toc159269453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、规范融合教育业的发展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_Toc159269454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83724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三、融合教育行业政策环境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_Toc159269455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、政策持续利好融合教育行业发展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_Toc159269456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、融合教育行业政策体系日趋完善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_Toc159269457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、一级市场火热</w:t>
      </w:r>
      <w:r>
        <w:rPr>
          <w:noProof/>
        </w:rPr>
        <w:t>,</w:t>
      </w:r>
      <w:r>
        <w:rPr>
          <w:rFonts w:hint="eastAsia"/>
          <w:noProof/>
        </w:rPr>
        <w:t>国内专利不断攀升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_Toc159269458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、宏观环境下融合教育行业定位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_Toc159269459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>“</w:t>
      </w:r>
      <w:r>
        <w:rPr>
          <w:rFonts w:hint="eastAsia"/>
          <w:noProof/>
        </w:rPr>
        <w:t>十三五</w:t>
      </w:r>
      <w:r>
        <w:rPr>
          <w:noProof/>
        </w:rPr>
        <w:t>”</w:t>
      </w:r>
      <w:r>
        <w:rPr>
          <w:rFonts w:hint="eastAsia"/>
          <w:noProof/>
        </w:rPr>
        <w:t>期间融合教育业绩显著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_Toc159269460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83724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四、融合教育行业政策背景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_Toc159269461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、政策将会持续利好融合教育行业发展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_Toc159269462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 xml:space="preserve"> </w:t>
      </w:r>
      <w:r>
        <w:rPr>
          <w:rFonts w:hint="eastAsia"/>
          <w:noProof/>
        </w:rPr>
        <w:t>融合教育行业政策体系日趋完善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_Toc159269463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、融合教育行业一级市场火热</w:t>
      </w:r>
      <w:r>
        <w:rPr>
          <w:noProof/>
        </w:rPr>
        <w:t>,</w:t>
      </w:r>
      <w:r>
        <w:rPr>
          <w:rFonts w:hint="eastAsia"/>
          <w:noProof/>
        </w:rPr>
        <w:t>国内专利不断攀升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_Toc159269464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、宏观经济背景下融合教育行业的定位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_Toc159269465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83724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五、融合教育企业战略目标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_Toc159269466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83724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六、融合教育行业（</w:t>
      </w:r>
      <w:r>
        <w:rPr>
          <w:noProof/>
        </w:rPr>
        <w:t>2024-2029</w:t>
      </w:r>
      <w:r>
        <w:rPr>
          <w:rFonts w:hint="eastAsia"/>
          <w:noProof/>
        </w:rPr>
        <w:t>）发展趋势预测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_Toc159269467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、融合教育行业当下面临的机会和挑战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_Toc159269468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、融合教育行业经营理念快速转变的意义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_Toc159269469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、整合融合教育行业的技术服务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_Toc159269470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、迅速转变融合教育企业的增长动力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_Toc159269471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83724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七、融合教育产业未来发展前景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_Toc159269472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、我国融合教育行业市场规模前景预测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_Toc159269473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、融合教育进入大规模推广应用阶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_Toc159269474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8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、中国融合教育行业的市场增长点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_Toc159269475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https://d.book118.com/047201000145006044</w:t>
        </w:r>
      </w:hyperlink>
    </w:p>
    <w:p w:rsidR="00F8372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724" w:rsidP="00C15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837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724" w:rsidP="00C15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837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72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724" w:rsidP="00C15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8372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724" w:rsidP="00C15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83724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72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7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724" w:rsidRPr="00F83724" w:rsidP="00F83724">
    <w:pPr>
      <w:pStyle w:val="Header"/>
      <w:rPr>
        <w:rFonts w:ascii="仿宋" w:eastAsia="仿宋" w:hAnsi="仿宋"/>
      </w:rPr>
    </w:pPr>
    <w:r w:rsidRPr="00F83724">
      <w:rPr>
        <w:rFonts w:ascii="仿宋" w:eastAsia="仿宋" w:hAnsi="仿宋" w:hint="eastAsia"/>
      </w:rPr>
      <w:t>融合教育行业报告/庞文报告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72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72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724" w:rsidRPr="00F83724" w:rsidP="00F83724">
    <w:pPr>
      <w:pStyle w:val="Header"/>
      <w:rPr>
        <w:rFonts w:ascii="仿宋" w:eastAsia="仿宋" w:hAnsi="仿宋"/>
      </w:rPr>
    </w:pPr>
    <w:r w:rsidRPr="00F83724">
      <w:rPr>
        <w:rFonts w:ascii="仿宋" w:eastAsia="仿宋" w:hAnsi="仿宋" w:hint="eastAsia"/>
      </w:rPr>
      <w:t>融合教育行业报告/庞文报告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7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724"/>
    <w:rsid w:val="003C5E1C"/>
    <w:rsid w:val="00C156CF"/>
    <w:rsid w:val="00F8372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1D94998-22D3-4A9A-95BB-48E82EF4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F837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F8372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F8372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F83724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F8372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DefaultParagraphFont"/>
    <w:link w:val="Heading3"/>
    <w:uiPriority w:val="9"/>
    <w:rsid w:val="00F83724"/>
    <w:rPr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F837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F83724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F837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F8372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83724"/>
  </w:style>
  <w:style w:type="paragraph" w:styleId="TOC1">
    <w:name w:val="toc 1"/>
    <w:basedOn w:val="Normal"/>
    <w:next w:val="Normal"/>
    <w:autoRedefine/>
    <w:uiPriority w:val="39"/>
    <w:unhideWhenUsed/>
    <w:rsid w:val="00F83724"/>
  </w:style>
  <w:style w:type="paragraph" w:styleId="TOC2">
    <w:name w:val="toc 2"/>
    <w:basedOn w:val="Normal"/>
    <w:next w:val="Normal"/>
    <w:autoRedefine/>
    <w:uiPriority w:val="39"/>
    <w:unhideWhenUsed/>
    <w:rsid w:val="00F83724"/>
    <w:pPr>
      <w:ind w:left="42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F83724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47201000145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4717</Words>
  <Characters>26890</Characters>
  <Application>Microsoft Office Word</Application>
  <DocSecurity>0</DocSecurity>
  <Lines>224</Lines>
  <Paragraphs>63</Paragraphs>
  <ScaleCrop>false</ScaleCrop>
  <Company/>
  <LinksUpToDate>false</LinksUpToDate>
  <CharactersWithSpaces>31544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2024-02-19T13:10:00Z</dcterms:created>
  <dcterms:modified xsi:type="dcterms:W3CDTF">2024-02-19T13:10:00Z</dcterms:modified>
</cp:coreProperties>
</file>