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7362" w:rsidRPr="00F1145E" w:rsidP="00317362">
      <w:pPr>
        <w:spacing w:after="0" w:line="360" w:lineRule="auto"/>
        <w:ind w:firstLine="720" w:firstLineChars="200"/>
        <w:jc w:val="center"/>
        <w:rPr>
          <w:rFonts w:ascii="宋体" w:eastAsia="宋体" w:hAnsi="宋体"/>
          <w:b/>
          <w:sz w:val="36"/>
          <w:szCs w:val="24"/>
          <w:lang w:eastAsia="zh-CN"/>
        </w:rPr>
      </w:pPr>
      <w:r w:rsidRPr="00F1145E">
        <w:rPr>
          <w:rFonts w:ascii="宋体" w:eastAsia="宋体" w:hAnsi="宋体"/>
          <w:b/>
          <w:sz w:val="36"/>
          <w:szCs w:val="24"/>
          <w:lang w:eastAsia="zh-CN"/>
        </w:rPr>
        <w:t>电子商务专业群建设方案</w:t>
      </w:r>
    </w:p>
    <w:p w:rsidR="00317362" w:rsidRPr="00F1145E" w:rsidP="00317362">
      <w:pPr>
        <w:spacing w:after="0" w:line="360" w:lineRule="auto"/>
        <w:ind w:firstLine="480" w:firstLineChars="200"/>
        <w:rPr>
          <w:rFonts w:ascii="宋体" w:eastAsia="宋体" w:hAnsi="宋体"/>
          <w:sz w:val="24"/>
          <w:szCs w:val="24"/>
          <w:lang w:eastAsia="zh-CN"/>
        </w:rPr>
      </w:pPr>
    </w:p>
    <w:p w:rsidR="00317362" w:rsidRPr="003D6F09" w:rsidP="00317362">
      <w:pPr>
        <w:spacing w:after="0" w:line="360" w:lineRule="auto"/>
        <w:ind w:firstLine="480" w:firstLineChars="200"/>
        <w:rPr>
          <w:rFonts w:ascii="宋体" w:eastAsia="宋体" w:hAnsi="宋体"/>
          <w:sz w:val="24"/>
          <w:szCs w:val="24"/>
          <w:lang w:eastAsia="zh-CN"/>
        </w:rPr>
      </w:pPr>
      <w:r w:rsidRPr="00F1145E">
        <w:rPr>
          <w:rFonts w:ascii="宋体" w:eastAsia="宋体" w:hAnsi="宋体"/>
          <w:b/>
          <w:sz w:val="24"/>
          <w:szCs w:val="24"/>
          <w:lang w:eastAsia="zh-CN"/>
        </w:rPr>
        <w:t>一、建设背景</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本专业群以电子商务专业为核心，以市场营销、现代物流管理、国际经济与贸易专业为支撑，四个专业组合而成；四个专业的基础（商贸大类）相通，职业岗位（农产品流通）相关，精准对接地方产业（</w:t>
      </w:r>
      <w:r>
        <w:rPr>
          <w:rFonts w:ascii="宋体" w:eastAsia="宋体" w:hAnsi="宋体"/>
          <w:sz w:val="24"/>
          <w:szCs w:val="24"/>
          <w:lang w:eastAsia="zh-CN"/>
        </w:rPr>
        <w:t>湛江</w:t>
      </w:r>
      <w:r w:rsidRPr="003D6F09">
        <w:rPr>
          <w:rFonts w:ascii="宋体" w:eastAsia="宋体" w:hAnsi="宋体"/>
          <w:sz w:val="24"/>
          <w:szCs w:val="24"/>
          <w:lang w:eastAsia="zh-CN"/>
        </w:rPr>
        <w:t>现代农业）。专业群按照“引领改革、服务发展、地方特色”的建设总要求，聚焦以“农村电商”为核心的农产品流通产业链，瞄准现代农业转型升级，围绕电子商务、现代物流等生产性服务业发展重点领域，立足</w:t>
      </w:r>
      <w:r>
        <w:rPr>
          <w:rFonts w:ascii="宋体" w:eastAsia="宋体" w:hAnsi="宋体"/>
          <w:sz w:val="24"/>
          <w:szCs w:val="24"/>
          <w:lang w:eastAsia="zh-CN"/>
        </w:rPr>
        <w:t>湛江</w:t>
      </w:r>
      <w:r w:rsidRPr="003D6F09">
        <w:rPr>
          <w:rFonts w:ascii="宋体" w:eastAsia="宋体" w:hAnsi="宋体"/>
          <w:sz w:val="24"/>
          <w:szCs w:val="24"/>
          <w:lang w:eastAsia="zh-CN"/>
        </w:rPr>
        <w:t>、服务广东、面向粤港澳大湾区，为地区经济社会发展提供高素质技术技能人才支持和智力支撑。</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（一）农村电商行</w:t>
      </w:r>
      <w:r w:rsidRPr="00F1145E">
        <w:rPr>
          <w:rFonts w:ascii="宋体" w:eastAsia="宋体" w:hAnsi="宋体"/>
          <w:b/>
          <w:sz w:val="24"/>
          <w:szCs w:val="24"/>
          <w:lang w:eastAsia="zh-CN"/>
        </w:rPr>
        <w:t>业产业</w:t>
      </w:r>
      <w:r w:rsidRPr="00F1145E">
        <w:rPr>
          <w:rFonts w:ascii="宋体" w:eastAsia="宋体" w:hAnsi="宋体"/>
          <w:b/>
          <w:sz w:val="24"/>
          <w:szCs w:val="24"/>
          <w:lang w:eastAsia="zh-CN"/>
        </w:rPr>
        <w:t>发展现状</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乡村振兴战略是党中央对“三农”工作做出的重大决策部署，是决胜全面建成小康社会、全面建设社会主义现代化国家的重大历史任务。在振兴乡村战略中，发展农村电商能促进农业农村经济发展；农产品电商作为农村经济发展的一种新兴业态，已成为有效激活农村市场、创新农产品交易方式、引导农业供给侧结构性改革、推进乡村振兴战略的新引擎。</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1.农村电商成为农业发展新动能</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随着电子商务逐步渗透到农村生产、流通、消费等领域，农村电商迎来发展机遇，农村电商的发展对农民增收、产业融合、带动就业和精准扶贫都发挥重要功效，成为乡村振兴的驱动力量；在农业产业链方面，农村电商已经渗透到农业全产业链中，成为培育农村和农业发展的新动能。</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4"/>
          <w:pgSz w:w="11906" w:h="16838"/>
          <w:pgMar w:top="1304" w:right="1304" w:bottom="1304" w:left="1304" w:header="851" w:footer="992" w:gutter="0"/>
          <w:cols w:space="425"/>
          <w:docGrid w:type="lines" w:linePitch="312"/>
        </w:sectPr>
      </w:pPr>
      <w:r w:rsidRPr="003D6F09">
        <w:rPr>
          <w:rFonts w:ascii="宋体" w:eastAsia="宋体" w:hAnsi="宋体"/>
          <w:sz w:val="24"/>
          <w:szCs w:val="24"/>
          <w:lang w:eastAsia="zh-CN"/>
        </w:rPr>
        <w:t>中共中央国务院2018年发布的《关于实施乡村振兴战略的意见》、2019年发布的《乡村振兴战略规划》，在构建农村产业融合发展体系方面，为农村电商的发展</w:t>
      </w:r>
      <w:r w:rsidRPr="003D6F09">
        <w:rPr>
          <w:rFonts w:ascii="宋体" w:eastAsia="宋体" w:hAnsi="宋体"/>
          <w:sz w:val="24"/>
          <w:szCs w:val="24"/>
          <w:lang w:eastAsia="zh-CN"/>
        </w:rPr>
        <w:t>作出</w:t>
      </w:r>
      <w:r w:rsidRPr="003D6F09">
        <w:rPr>
          <w:rFonts w:ascii="宋体" w:eastAsia="宋体" w:hAnsi="宋体"/>
          <w:sz w:val="24"/>
          <w:szCs w:val="24"/>
          <w:lang w:eastAsia="zh-CN"/>
        </w:rPr>
        <w:t>明确规划。2021年2月《中共中央国务院关于全面推进乡村振兴加快农业农村现代化的意见》明确提出：要全面促进农村消费，改造提升农村物流基础设施，深入推进农村电子商务发展。2021年10月《电子商务“十四五”发展规划》提出：服务乡村振兴、带动下沉市场提质扩容作为电子商务发展的七项任务之一，要培育农业农村产业新业态；推动农村电商与数字乡村衔接；培育县域电子商务服务。2020年11月《广东省人力资源和社会保障厅广东省农业农村厅关于印发〈农村电商产业园建设标准（试行）〉〈农村电商基层示范站建设标准（试行）〉的通知》提出：推进农村电</w:t>
      </w:r>
      <w:r w:rsidRPr="003D6F09">
        <w:rPr>
          <w:rFonts w:ascii="宋体" w:eastAsia="宋体" w:hAnsi="宋体"/>
          <w:sz w:val="24"/>
          <w:szCs w:val="24"/>
          <w:lang w:eastAsia="zh-CN"/>
        </w:rPr>
        <w:t>商产业</w:t>
      </w:r>
      <w:r w:rsidRPr="003D6F09">
        <w:rPr>
          <w:rFonts w:ascii="宋体" w:eastAsia="宋体" w:hAnsi="宋体"/>
          <w:sz w:val="24"/>
          <w:szCs w:val="24"/>
          <w:lang w:eastAsia="zh-CN"/>
        </w:rPr>
        <w:t>园和基层示范站建设，引导各地结合本地实际构建特色鲜明、资源共享、联动发展的农村电子商务产业体系，带动农村电</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商产业</w:t>
      </w:r>
      <w:r w:rsidRPr="003D6F09">
        <w:rPr>
          <w:rFonts w:ascii="宋体" w:eastAsia="宋体" w:hAnsi="宋体"/>
          <w:sz w:val="24"/>
          <w:szCs w:val="24"/>
          <w:lang w:eastAsia="zh-CN"/>
        </w:rPr>
        <w:t>全面发展。</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商务部数据显示，2016年的农村网络零售额为0.89</w:t>
      </w:r>
      <w:r w:rsidRPr="003D6F09">
        <w:rPr>
          <w:rFonts w:ascii="宋体" w:eastAsia="宋体" w:hAnsi="宋体"/>
          <w:sz w:val="24"/>
          <w:szCs w:val="24"/>
          <w:lang w:eastAsia="zh-CN"/>
        </w:rPr>
        <w:t>万亿</w:t>
      </w:r>
      <w:r w:rsidRPr="003D6F09">
        <w:rPr>
          <w:rFonts w:ascii="宋体" w:eastAsia="宋体" w:hAnsi="宋体"/>
          <w:sz w:val="24"/>
          <w:szCs w:val="24"/>
          <w:lang w:eastAsia="zh-CN"/>
        </w:rPr>
        <w:t>元；2017年全国农村网络零售额1.24</w:t>
      </w:r>
      <w:r w:rsidRPr="003D6F09">
        <w:rPr>
          <w:rFonts w:ascii="宋体" w:eastAsia="宋体" w:hAnsi="宋体"/>
          <w:sz w:val="24"/>
          <w:szCs w:val="24"/>
          <w:lang w:eastAsia="zh-CN"/>
        </w:rPr>
        <w:t>万亿</w:t>
      </w:r>
      <w:r w:rsidRPr="003D6F09">
        <w:rPr>
          <w:rFonts w:ascii="宋体" w:eastAsia="宋体" w:hAnsi="宋体"/>
          <w:sz w:val="24"/>
          <w:szCs w:val="24"/>
          <w:lang w:eastAsia="zh-CN"/>
        </w:rPr>
        <w:t>元；2018农村网络零售额达到1.37</w:t>
      </w:r>
      <w:r w:rsidRPr="003D6F09">
        <w:rPr>
          <w:rFonts w:ascii="宋体" w:eastAsia="宋体" w:hAnsi="宋体"/>
          <w:sz w:val="24"/>
          <w:szCs w:val="24"/>
          <w:lang w:eastAsia="zh-CN"/>
        </w:rPr>
        <w:t>万亿</w:t>
      </w:r>
      <w:r w:rsidRPr="003D6F09">
        <w:rPr>
          <w:rFonts w:ascii="宋体" w:eastAsia="宋体" w:hAnsi="宋体"/>
          <w:sz w:val="24"/>
          <w:szCs w:val="24"/>
          <w:lang w:eastAsia="zh-CN"/>
        </w:rPr>
        <w:t>元；2019年的1.7</w:t>
      </w:r>
      <w:r w:rsidRPr="003D6F09">
        <w:rPr>
          <w:rFonts w:ascii="宋体" w:eastAsia="宋体" w:hAnsi="宋体"/>
          <w:sz w:val="24"/>
          <w:szCs w:val="24"/>
          <w:lang w:eastAsia="zh-CN"/>
        </w:rPr>
        <w:t>万亿</w:t>
      </w:r>
      <w:r w:rsidRPr="003D6F09">
        <w:rPr>
          <w:rFonts w:ascii="宋体" w:eastAsia="宋体" w:hAnsi="宋体"/>
          <w:sz w:val="24"/>
          <w:szCs w:val="24"/>
          <w:lang w:eastAsia="zh-CN"/>
        </w:rPr>
        <w:t>元；2020年，我国农村网络零售额为1.79</w:t>
      </w:r>
      <w:r w:rsidRPr="003D6F09">
        <w:rPr>
          <w:rFonts w:ascii="宋体" w:eastAsia="宋体" w:hAnsi="宋体"/>
          <w:sz w:val="24"/>
          <w:szCs w:val="24"/>
          <w:lang w:eastAsia="zh-CN"/>
        </w:rPr>
        <w:t>万亿</w:t>
      </w:r>
      <w:r w:rsidRPr="003D6F09">
        <w:rPr>
          <w:rFonts w:ascii="宋体" w:eastAsia="宋体" w:hAnsi="宋体"/>
          <w:sz w:val="24"/>
          <w:szCs w:val="24"/>
          <w:lang w:eastAsia="zh-CN"/>
        </w:rPr>
        <w:t>元（见图1）。</w:t>
      </w:r>
    </w:p>
    <w:p w:rsidR="00317362" w:rsidRPr="003D6F09" w:rsidP="00317362">
      <w:pPr>
        <w:spacing w:after="0" w:line="360" w:lineRule="auto"/>
        <w:ind w:firstLine="480" w:firstLineChars="200"/>
        <w:jc w:val="center"/>
        <w:rPr>
          <w:rFonts w:ascii="宋体" w:eastAsia="宋体" w:hAnsi="宋体"/>
          <w:sz w:val="24"/>
          <w:szCs w:val="24"/>
        </w:rPr>
      </w:pPr>
      <w:r>
        <w:rPr>
          <w:rFonts w:ascii="宋体" w:eastAsia="宋体" w:hAnsi="宋体"/>
          <w:noProof/>
          <w:sz w:val="24"/>
          <w:szCs w:val="24"/>
          <w:lang w:eastAsia="zh-CN"/>
        </w:rPr>
        <w:drawing>
          <wp:inline distT="0" distB="0" distL="0" distR="0">
            <wp:extent cx="4199890" cy="255206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199890" cy="2552065"/>
                    </a:xfrm>
                    <a:prstGeom prst="rect">
                      <a:avLst/>
                    </a:prstGeom>
                    <a:noFill/>
                    <a:ln>
                      <a:noFill/>
                    </a:ln>
                  </pic:spPr>
                </pic:pic>
              </a:graphicData>
            </a:graphic>
          </wp:inline>
        </w:drawing>
      </w:r>
    </w:p>
    <w:p w:rsidR="00317362" w:rsidRPr="003D6F09" w:rsidP="00317362">
      <w:pPr>
        <w:spacing w:after="0" w:line="360" w:lineRule="auto"/>
        <w:ind w:firstLine="480" w:firstLineChars="200"/>
        <w:jc w:val="center"/>
        <w:rPr>
          <w:rFonts w:ascii="宋体" w:eastAsia="宋体" w:hAnsi="宋体"/>
          <w:sz w:val="24"/>
          <w:szCs w:val="24"/>
          <w:lang w:eastAsia="zh-CN"/>
        </w:rPr>
      </w:pPr>
      <w:r w:rsidRPr="003D6F09">
        <w:rPr>
          <w:rFonts w:ascii="宋体" w:eastAsia="宋体" w:hAnsi="宋体"/>
          <w:sz w:val="24"/>
          <w:szCs w:val="24"/>
          <w:lang w:eastAsia="zh-CN"/>
        </w:rPr>
        <w:t>图1：2016-2020年中国农村网络零售额（万亿元）</w:t>
      </w:r>
    </w:p>
    <w:p w:rsidR="00317362" w:rsidP="00317362">
      <w:pPr>
        <w:spacing w:after="0" w:line="360" w:lineRule="auto"/>
        <w:ind w:firstLine="480" w:firstLineChars="200"/>
        <w:rPr>
          <w:rFonts w:ascii="宋体" w:eastAsia="宋体" w:hAnsi="宋体" w:hint="eastAsia"/>
          <w:sz w:val="24"/>
          <w:szCs w:val="24"/>
          <w:lang w:eastAsia="zh-CN"/>
        </w:rPr>
      </w:pPr>
      <w:r w:rsidRPr="003D6F09">
        <w:rPr>
          <w:rFonts w:ascii="宋体" w:eastAsia="宋体" w:hAnsi="宋体"/>
          <w:sz w:val="24"/>
          <w:szCs w:val="24"/>
          <w:lang w:eastAsia="zh-CN"/>
        </w:rPr>
        <w:t>国家统计局数据显示，2016年，全国农产品网络零售额为1588.7亿元；2017年，全国农产品网络零售额1723.0亿元；2018年，全国农产品网络零售额达到2305.0亿元，同比增长33.8%；2019年，全国农产品网络零售额3975亿元，较2018年增长24.8％；2020年全国农产品网络零售额5750亿元；2021前三季度，全国农产品网络零售额3043.9亿元，见图2。</w:t>
      </w:r>
    </w:p>
    <w:p w:rsidR="00317362" w:rsidP="00317362">
      <w:pPr>
        <w:spacing w:after="0" w:line="360" w:lineRule="auto"/>
        <w:ind w:firstLine="480" w:firstLineChars="200"/>
        <w:jc w:val="center"/>
        <w:rPr>
          <w:rFonts w:ascii="宋体" w:eastAsia="宋体" w:hAnsi="宋体"/>
          <w:sz w:val="24"/>
          <w:szCs w:val="24"/>
          <w:lang w:eastAsia="zh-CN"/>
        </w:rPr>
      </w:pPr>
      <w:bookmarkStart w:id="0" w:name="_GoBack"/>
      <w:r w:rsidRPr="003D6F09">
        <w:rPr>
          <w:rFonts w:ascii="宋体" w:eastAsia="宋体" w:hAnsi="宋体"/>
          <w:noProof/>
          <w:sz w:val="24"/>
          <w:szCs w:val="24"/>
          <w:lang w:eastAsia="zh-CN"/>
        </w:rPr>
        <w:drawing>
          <wp:inline distT="0" distB="0" distL="0" distR="0">
            <wp:extent cx="4209415" cy="25069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8"/>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209415" cy="2506980"/>
                    </a:xfrm>
                    <a:prstGeom prst="rect">
                      <a:avLst/>
                    </a:prstGeom>
                    <a:noFill/>
                    <a:ln>
                      <a:noFill/>
                    </a:ln>
                  </pic:spPr>
                </pic:pic>
              </a:graphicData>
            </a:graphic>
          </wp:inline>
        </w:drawing>
      </w:r>
      <w:bookmarkEnd w:id="0"/>
    </w:p>
    <w:p w:rsidR="00317362" w:rsidRPr="003D6F09" w:rsidP="00317362">
      <w:pPr>
        <w:spacing w:after="0" w:line="360" w:lineRule="auto"/>
        <w:ind w:firstLine="480" w:firstLineChars="200"/>
        <w:jc w:val="center"/>
        <w:rPr>
          <w:rFonts w:ascii="宋体" w:eastAsia="宋体" w:hAnsi="宋体"/>
          <w:sz w:val="24"/>
          <w:szCs w:val="24"/>
          <w:lang w:eastAsia="zh-CN"/>
        </w:rPr>
      </w:pPr>
      <w:r w:rsidRPr="003D6F09">
        <w:rPr>
          <w:rFonts w:ascii="宋体" w:eastAsia="宋体" w:hAnsi="宋体"/>
          <w:sz w:val="24"/>
          <w:szCs w:val="24"/>
          <w:lang w:eastAsia="zh-CN"/>
        </w:rPr>
        <w:t>图2：2016-2020年全国农产品网络零售额（亿元）</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可见，农村、农产品网络零售市场潜力巨大，相关电商人才需求量大。</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7"/>
          <w:type w:val="nextPage"/>
          <w:pgSz w:w="11906" w:h="16838"/>
          <w:pgMar w:top="1304" w:right="1304" w:bottom="1304" w:left="1304" w:header="851" w:footer="992" w:gutter="0"/>
          <w:pgNumType w:start="2"/>
          <w:cols w:space="425"/>
          <w:titlePg w:val="0"/>
          <w:docGrid w:type="lines" w:linePitch="312"/>
        </w:sectPr>
      </w:pPr>
      <w:r w:rsidRPr="003D6F09">
        <w:rPr>
          <w:rFonts w:ascii="宋体" w:eastAsia="宋体" w:hAnsi="宋体"/>
          <w:sz w:val="24"/>
          <w:szCs w:val="24"/>
          <w:lang w:eastAsia="zh-CN"/>
        </w:rPr>
        <w:t>2.农村电</w:t>
      </w:r>
      <w:r w:rsidRPr="003D6F09">
        <w:rPr>
          <w:rFonts w:ascii="宋体" w:eastAsia="宋体" w:hAnsi="宋体"/>
          <w:sz w:val="24"/>
          <w:szCs w:val="24"/>
          <w:lang w:eastAsia="zh-CN"/>
        </w:rPr>
        <w:t>商推进</w:t>
      </w:r>
      <w:r w:rsidRPr="003D6F09">
        <w:rPr>
          <w:rFonts w:ascii="宋体" w:eastAsia="宋体" w:hAnsi="宋体"/>
          <w:sz w:val="24"/>
          <w:szCs w:val="24"/>
          <w:lang w:eastAsia="zh-CN"/>
        </w:rPr>
        <w:t>现代服务业高质量发展</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2018年，省委省政府提出构建“</w:t>
      </w:r>
      <w:r w:rsidRPr="003D6F09">
        <w:rPr>
          <w:rFonts w:ascii="宋体" w:eastAsia="宋体" w:hAnsi="宋体"/>
          <w:sz w:val="24"/>
          <w:szCs w:val="24"/>
          <w:lang w:eastAsia="zh-CN"/>
        </w:rPr>
        <w:t>一</w:t>
      </w:r>
      <w:r w:rsidRPr="003D6F09">
        <w:rPr>
          <w:rFonts w:ascii="宋体" w:eastAsia="宋体" w:hAnsi="宋体"/>
          <w:sz w:val="24"/>
          <w:szCs w:val="24"/>
          <w:lang w:eastAsia="zh-CN"/>
        </w:rPr>
        <w:t>核一带一区”战略，以珠三角为核心区和主引擎，携手港澳建设具有全球竞争力的现代化经济体系，培育世界级先进制造业集群，率先实现产业高质量发展，同时辐射带动东西两翼沿海经济带和北部生态发展区加快发展，推动区域产业协调发展。</w:t>
      </w:r>
      <w:r>
        <w:rPr>
          <w:rFonts w:ascii="宋体" w:eastAsia="宋体" w:hAnsi="宋体"/>
          <w:sz w:val="24"/>
          <w:szCs w:val="24"/>
          <w:lang w:eastAsia="zh-CN"/>
        </w:rPr>
        <w:t>湛江</w:t>
      </w:r>
      <w:r w:rsidRPr="003D6F09">
        <w:rPr>
          <w:rFonts w:ascii="宋体" w:eastAsia="宋体" w:hAnsi="宋体"/>
          <w:sz w:val="24"/>
          <w:szCs w:val="24"/>
          <w:lang w:eastAsia="zh-CN"/>
        </w:rPr>
        <w:t>南部市区处于“沿海经济带”，将为</w:t>
      </w:r>
      <w:r>
        <w:rPr>
          <w:rFonts w:ascii="宋体" w:eastAsia="宋体" w:hAnsi="宋体"/>
          <w:sz w:val="24"/>
          <w:szCs w:val="24"/>
          <w:lang w:eastAsia="zh-CN"/>
        </w:rPr>
        <w:t>湛江</w:t>
      </w:r>
      <w:r w:rsidRPr="003D6F09">
        <w:rPr>
          <w:rFonts w:ascii="宋体" w:eastAsia="宋体" w:hAnsi="宋体"/>
          <w:sz w:val="24"/>
          <w:szCs w:val="24"/>
          <w:lang w:eastAsia="zh-CN"/>
        </w:rPr>
        <w:t>的海洋经济发展带来极大的便利。《</w:t>
      </w:r>
      <w:r>
        <w:rPr>
          <w:rFonts w:ascii="宋体" w:eastAsia="宋体" w:hAnsi="宋体"/>
          <w:sz w:val="24"/>
          <w:szCs w:val="24"/>
          <w:lang w:eastAsia="zh-CN"/>
        </w:rPr>
        <w:t>湛江市</w:t>
      </w:r>
      <w:r w:rsidRPr="003D6F09">
        <w:rPr>
          <w:rFonts w:ascii="宋体" w:eastAsia="宋体" w:hAnsi="宋体"/>
          <w:sz w:val="24"/>
          <w:szCs w:val="24"/>
          <w:lang w:eastAsia="zh-CN"/>
        </w:rPr>
        <w:t>国民经济和社会发展第十四个五年规划纲要》提出：推动现代服务业高品质发展；重点发展现代物流、电子商务等服务业；加快中国（</w:t>
      </w:r>
      <w:r>
        <w:rPr>
          <w:rFonts w:ascii="宋体" w:eastAsia="宋体" w:hAnsi="宋体"/>
          <w:sz w:val="24"/>
          <w:szCs w:val="24"/>
          <w:lang w:eastAsia="zh-CN"/>
        </w:rPr>
        <w:t>湛江</w:t>
      </w:r>
      <w:r w:rsidRPr="003D6F09">
        <w:rPr>
          <w:rFonts w:ascii="宋体" w:eastAsia="宋体" w:hAnsi="宋体"/>
          <w:sz w:val="24"/>
          <w:szCs w:val="24"/>
          <w:lang w:eastAsia="zh-CN"/>
        </w:rPr>
        <w:t>）跨境电子商务综合试验区建设，规划建设粤西农产品电商集聚区，努力打造华南农产品电商集散地；推动商贸服务业发展，集中规划建设商业区域，支持建设区域性、综合性大宗产品交易平台。本专业群能为地方服务业发展给以有力支撑。</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3.农村电</w:t>
      </w:r>
      <w:r w:rsidRPr="003D6F09">
        <w:rPr>
          <w:rFonts w:ascii="宋体" w:eastAsia="宋体" w:hAnsi="宋体"/>
          <w:sz w:val="24"/>
          <w:szCs w:val="24"/>
          <w:lang w:eastAsia="zh-CN"/>
        </w:rPr>
        <w:t>商推进</w:t>
      </w:r>
      <w:r w:rsidRPr="003D6F09">
        <w:rPr>
          <w:rFonts w:ascii="宋体" w:eastAsia="宋体" w:hAnsi="宋体"/>
          <w:sz w:val="24"/>
          <w:szCs w:val="24"/>
          <w:lang w:eastAsia="zh-CN"/>
        </w:rPr>
        <w:t>现代商贸物流高速发展</w:t>
      </w:r>
    </w:p>
    <w:p w:rsidR="00317362" w:rsidRPr="003D6F09" w:rsidP="00317362">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湛江</w:t>
      </w:r>
      <w:r w:rsidRPr="003D6F09">
        <w:rPr>
          <w:rFonts w:ascii="宋体" w:eastAsia="宋体" w:hAnsi="宋体"/>
          <w:sz w:val="24"/>
          <w:szCs w:val="24"/>
          <w:lang w:eastAsia="zh-CN"/>
        </w:rPr>
        <w:t>是粤港澳大湾区与北部湾经济区串联的重要交通枢纽地区，更是粤港澳大湾区</w:t>
      </w:r>
      <w:r w:rsidRPr="003D6F09">
        <w:rPr>
          <w:rFonts w:ascii="宋体" w:eastAsia="宋体" w:hAnsi="宋体"/>
          <w:sz w:val="24"/>
          <w:szCs w:val="24"/>
          <w:lang w:eastAsia="zh-CN"/>
        </w:rPr>
        <w:t>连接泛珠三角区</w:t>
      </w:r>
      <w:r w:rsidRPr="003D6F09">
        <w:rPr>
          <w:rFonts w:ascii="宋体" w:eastAsia="宋体" w:hAnsi="宋体"/>
          <w:sz w:val="24"/>
          <w:szCs w:val="24"/>
          <w:lang w:eastAsia="zh-CN"/>
        </w:rPr>
        <w:t>域和东盟国家的陆路国际大通道的重要组成部分。《</w:t>
      </w:r>
      <w:r>
        <w:rPr>
          <w:rFonts w:ascii="宋体" w:eastAsia="宋体" w:hAnsi="宋体"/>
          <w:sz w:val="24"/>
          <w:szCs w:val="24"/>
          <w:lang w:eastAsia="zh-CN"/>
        </w:rPr>
        <w:t>湛江市</w:t>
      </w:r>
      <w:r w:rsidRPr="003D6F09">
        <w:rPr>
          <w:rFonts w:ascii="宋体" w:eastAsia="宋体" w:hAnsi="宋体"/>
          <w:sz w:val="24"/>
          <w:szCs w:val="24"/>
          <w:lang w:eastAsia="zh-CN"/>
        </w:rPr>
        <w:t>国民经济和社会发展第十四个五年规划纲要》提出：打造区域性现代商贸物流基地，紧抓全省“三横四纵”综合运输通道总体布局机遇，推进</w:t>
      </w:r>
      <w:r w:rsidRPr="003D6F09">
        <w:rPr>
          <w:rFonts w:ascii="宋体" w:eastAsia="宋体" w:hAnsi="宋体"/>
          <w:sz w:val="24"/>
          <w:szCs w:val="24"/>
          <w:lang w:eastAsia="zh-CN"/>
        </w:rPr>
        <w:t>东承西</w:t>
      </w:r>
      <w:r w:rsidRPr="003D6F09">
        <w:rPr>
          <w:rFonts w:ascii="宋体" w:eastAsia="宋体" w:hAnsi="宋体"/>
          <w:sz w:val="24"/>
          <w:szCs w:val="24"/>
          <w:lang w:eastAsia="zh-CN"/>
        </w:rPr>
        <w:t>接北</w:t>
      </w:r>
      <w:r w:rsidRPr="003D6F09">
        <w:rPr>
          <w:rFonts w:ascii="宋体" w:eastAsia="宋体" w:hAnsi="宋体"/>
          <w:sz w:val="24"/>
          <w:szCs w:val="24"/>
          <w:lang w:eastAsia="zh-CN"/>
        </w:rPr>
        <w:t>联交通</w:t>
      </w:r>
      <w:r w:rsidRPr="003D6F09">
        <w:rPr>
          <w:rFonts w:ascii="宋体" w:eastAsia="宋体" w:hAnsi="宋体"/>
          <w:sz w:val="24"/>
          <w:szCs w:val="24"/>
          <w:lang w:eastAsia="zh-CN"/>
        </w:rPr>
        <w:t>要道建设，巩固粤</w:t>
      </w:r>
      <w:r w:rsidRPr="003D6F09">
        <w:rPr>
          <w:rFonts w:ascii="宋体" w:eastAsia="宋体" w:hAnsi="宋体"/>
          <w:sz w:val="24"/>
          <w:szCs w:val="24"/>
          <w:lang w:eastAsia="zh-CN"/>
        </w:rPr>
        <w:t>西重要</w:t>
      </w:r>
      <w:r w:rsidRPr="003D6F09">
        <w:rPr>
          <w:rFonts w:ascii="宋体" w:eastAsia="宋体" w:hAnsi="宋体"/>
          <w:sz w:val="24"/>
          <w:szCs w:val="24"/>
          <w:lang w:eastAsia="zh-CN"/>
        </w:rPr>
        <w:t>交通枢纽地位，推动跨境电子商务综合试验区建设；努力打造陆海空港型、产业基地型和商贸服务型三位一体的物流枢纽，推进冷链物流骨干网和冷链物流项目建设，发展智慧物流、绿色物流；促进贸易新业态发展，推动综合保税区和跨境电子商务综合试验区建设，打造区域性现代商贸物流基地。本专业群能为地方物流流通业发展给以有力支撑。</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4.农产品跨境电</w:t>
      </w:r>
      <w:r w:rsidRPr="003D6F09">
        <w:rPr>
          <w:rFonts w:ascii="宋体" w:eastAsia="宋体" w:hAnsi="宋体"/>
          <w:sz w:val="24"/>
          <w:szCs w:val="24"/>
          <w:lang w:eastAsia="zh-CN"/>
        </w:rPr>
        <w:t>商服务</w:t>
      </w:r>
      <w:r w:rsidRPr="003D6F09">
        <w:rPr>
          <w:rFonts w:ascii="宋体" w:eastAsia="宋体" w:hAnsi="宋体"/>
          <w:sz w:val="24"/>
          <w:szCs w:val="24"/>
          <w:lang w:eastAsia="zh-CN"/>
        </w:rPr>
        <w:t>“一带一路”战略</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一带一路”倡议为农村电商拓展海外业务创造了更好的环境和发展空间，是中国优秀农产品“走出去”的重要发展途径；《“十四五”电子商务发展规划》提出支持跨境电商高水平发展，鼓励电商平台企业全球化经营；《</w:t>
      </w:r>
      <w:r>
        <w:rPr>
          <w:rFonts w:ascii="宋体" w:eastAsia="宋体" w:hAnsi="宋体"/>
          <w:sz w:val="24"/>
          <w:szCs w:val="24"/>
          <w:lang w:eastAsia="zh-CN"/>
        </w:rPr>
        <w:t>湛江市</w:t>
      </w:r>
      <w:r w:rsidRPr="003D6F09">
        <w:rPr>
          <w:rFonts w:ascii="宋体" w:eastAsia="宋体" w:hAnsi="宋体"/>
          <w:sz w:val="24"/>
          <w:szCs w:val="24"/>
          <w:lang w:eastAsia="zh-CN"/>
        </w:rPr>
        <w:t>国民经济和社会发展第十四个五年规划纲要》提出：加快中国(</w:t>
      </w:r>
      <w:r>
        <w:rPr>
          <w:rFonts w:ascii="宋体" w:eastAsia="宋体" w:hAnsi="宋体"/>
          <w:sz w:val="24"/>
          <w:szCs w:val="24"/>
          <w:lang w:eastAsia="zh-CN"/>
        </w:rPr>
        <w:t>湛江</w:t>
      </w:r>
      <w:r w:rsidRPr="003D6F09">
        <w:rPr>
          <w:rFonts w:ascii="宋体" w:eastAsia="宋体" w:hAnsi="宋体"/>
          <w:sz w:val="24"/>
          <w:szCs w:val="24"/>
          <w:lang w:eastAsia="zh-CN"/>
        </w:rPr>
        <w:t>)跨境电子商务综合试验区建设。试验区建设将推动产业转型升级，开展品牌建设，引导跨境电子商务全面发展，全力以赴稳住外贸外资基本盘，推进贸易高质量发展。本专业</w:t>
      </w:r>
      <w:r w:rsidRPr="003D6F09">
        <w:rPr>
          <w:rFonts w:ascii="宋体" w:eastAsia="宋体" w:hAnsi="宋体"/>
          <w:sz w:val="24"/>
          <w:szCs w:val="24"/>
          <w:lang w:eastAsia="zh-CN"/>
        </w:rPr>
        <w:t>群有力</w:t>
      </w:r>
      <w:r w:rsidRPr="003D6F09">
        <w:rPr>
          <w:rFonts w:ascii="宋体" w:eastAsia="宋体" w:hAnsi="宋体"/>
          <w:sz w:val="24"/>
          <w:szCs w:val="24"/>
          <w:lang w:eastAsia="zh-CN"/>
        </w:rPr>
        <w:t>支撑地方跨境电</w:t>
      </w:r>
      <w:r w:rsidRPr="003D6F09">
        <w:rPr>
          <w:rFonts w:ascii="宋体" w:eastAsia="宋体" w:hAnsi="宋体"/>
          <w:sz w:val="24"/>
          <w:szCs w:val="24"/>
          <w:lang w:eastAsia="zh-CN"/>
        </w:rPr>
        <w:t>商业务</w:t>
      </w:r>
      <w:r w:rsidRPr="003D6F09">
        <w:rPr>
          <w:rFonts w:ascii="宋体" w:eastAsia="宋体" w:hAnsi="宋体"/>
          <w:sz w:val="24"/>
          <w:szCs w:val="24"/>
          <w:lang w:eastAsia="zh-CN"/>
        </w:rPr>
        <w:t>发展。</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（二）农村电商人才的需求情况</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8"/>
          <w:type w:val="nextPage"/>
          <w:pgSz w:w="11906" w:h="16838"/>
          <w:pgMar w:top="1304" w:right="1304" w:bottom="1304" w:left="1304" w:header="851" w:footer="992" w:gutter="0"/>
          <w:pgNumType w:start="3"/>
          <w:cols w:space="425"/>
          <w:titlePg w:val="0"/>
          <w:docGrid w:type="lines" w:linePitch="312"/>
        </w:sectPr>
      </w:pPr>
      <w:r w:rsidRPr="003D6F09">
        <w:rPr>
          <w:rFonts w:ascii="宋体" w:eastAsia="宋体" w:hAnsi="宋体"/>
          <w:sz w:val="24"/>
          <w:szCs w:val="24"/>
          <w:lang w:eastAsia="zh-CN"/>
        </w:rPr>
        <w:t>广东省和</w:t>
      </w:r>
      <w:r>
        <w:rPr>
          <w:rFonts w:ascii="宋体" w:eastAsia="宋体" w:hAnsi="宋体"/>
          <w:sz w:val="24"/>
          <w:szCs w:val="24"/>
          <w:lang w:eastAsia="zh-CN"/>
        </w:rPr>
        <w:t>湛江市</w:t>
      </w:r>
      <w:r w:rsidRPr="003D6F09">
        <w:rPr>
          <w:rFonts w:ascii="宋体" w:eastAsia="宋体" w:hAnsi="宋体"/>
          <w:sz w:val="24"/>
          <w:szCs w:val="24"/>
          <w:lang w:eastAsia="zh-CN"/>
        </w:rPr>
        <w:t>都亟需农产品电商人才。在《广东省“十四五”发展规划》中提出：“全面实施乡村振兴战略，加快农业农村现代化，大力发展特色优势产业。”“广东省重点发展的十大战略性支柱产业集群之一：现代农业与食品产业集群。引导各地发挥区域优势和特色产业优势，重点发展粮食、岭南水果、蔬菜、畜禽、水产、南药、饲料、特色食</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品及饮料、花卉、茶叶等产业。”</w:t>
      </w:r>
      <w:r>
        <w:rPr>
          <w:rFonts w:ascii="宋体" w:eastAsia="宋体" w:hAnsi="宋体"/>
          <w:sz w:val="24"/>
          <w:szCs w:val="24"/>
          <w:lang w:eastAsia="zh-CN"/>
        </w:rPr>
        <w:t>湛江</w:t>
      </w:r>
      <w:r w:rsidRPr="003D6F09">
        <w:rPr>
          <w:rFonts w:ascii="宋体" w:eastAsia="宋体" w:hAnsi="宋体"/>
          <w:sz w:val="24"/>
          <w:szCs w:val="24"/>
          <w:lang w:eastAsia="zh-CN"/>
        </w:rPr>
        <w:t>地处热带亚热带过渡地带，全年气候温暖，有“天然大棚”之称，具有得天独厚的自然资源和环境优势，是全国最大的荔枝、龙眼、香蕉、三华李生产基地。</w:t>
      </w:r>
      <w:r w:rsidRPr="003D6F09">
        <w:rPr>
          <w:rFonts w:ascii="宋体" w:eastAsia="宋体" w:hAnsi="宋体"/>
          <w:sz w:val="24"/>
          <w:szCs w:val="24"/>
          <w:lang w:eastAsia="zh-CN"/>
        </w:rPr>
        <w:t>做为</w:t>
      </w:r>
      <w:r w:rsidRPr="003D6F09">
        <w:rPr>
          <w:rFonts w:ascii="宋体" w:eastAsia="宋体" w:hAnsi="宋体"/>
          <w:sz w:val="24"/>
          <w:szCs w:val="24"/>
          <w:lang w:eastAsia="zh-CN"/>
        </w:rPr>
        <w:t>广东省农业大市，</w:t>
      </w:r>
      <w:r>
        <w:rPr>
          <w:rFonts w:ascii="宋体" w:eastAsia="宋体" w:hAnsi="宋体"/>
          <w:sz w:val="24"/>
          <w:szCs w:val="24"/>
          <w:lang w:eastAsia="zh-CN"/>
        </w:rPr>
        <w:t>湛江市</w:t>
      </w:r>
      <w:r w:rsidRPr="003D6F09">
        <w:rPr>
          <w:rFonts w:ascii="宋体" w:eastAsia="宋体" w:hAnsi="宋体"/>
          <w:sz w:val="24"/>
          <w:szCs w:val="24"/>
          <w:lang w:eastAsia="zh-CN"/>
        </w:rPr>
        <w:t>被省政府定位为“全省特色现代农业基地”。2021年，</w:t>
      </w:r>
      <w:r>
        <w:rPr>
          <w:rFonts w:ascii="宋体" w:eastAsia="宋体" w:hAnsi="宋体"/>
          <w:sz w:val="24"/>
          <w:szCs w:val="24"/>
          <w:lang w:eastAsia="zh-CN"/>
        </w:rPr>
        <w:t>湛江</w:t>
      </w:r>
      <w:r w:rsidRPr="003D6F09">
        <w:rPr>
          <w:rFonts w:ascii="宋体" w:eastAsia="宋体" w:hAnsi="宋体"/>
          <w:sz w:val="24"/>
          <w:szCs w:val="24"/>
          <w:lang w:eastAsia="zh-CN"/>
        </w:rPr>
        <w:t>成功申报2个国家级现代农业产业园-荔枝、化橘红现代农业产业园，8个省级现代农业产业园。由于农业资源禀赋较好，农业农村发展具有巨大的潜力：2020年</w:t>
      </w:r>
      <w:r>
        <w:rPr>
          <w:rFonts w:ascii="宋体" w:eastAsia="宋体" w:hAnsi="宋体"/>
          <w:sz w:val="24"/>
          <w:szCs w:val="24"/>
          <w:lang w:eastAsia="zh-CN"/>
        </w:rPr>
        <w:t>湛江</w:t>
      </w:r>
      <w:r w:rsidRPr="003D6F09">
        <w:rPr>
          <w:rFonts w:ascii="宋体" w:eastAsia="宋体" w:hAnsi="宋体"/>
          <w:sz w:val="24"/>
          <w:szCs w:val="24"/>
          <w:lang w:eastAsia="zh-CN"/>
        </w:rPr>
        <w:t>农业渔牧业总产值1038.50亿元，排名广东省第一，占全广东省农林渔牧业总产值的13%，是全省唯一农林牧渔业总产值破千亿元的地市；2020年</w:t>
      </w:r>
      <w:r>
        <w:rPr>
          <w:rFonts w:ascii="宋体" w:eastAsia="宋体" w:hAnsi="宋体"/>
          <w:sz w:val="24"/>
          <w:szCs w:val="24"/>
          <w:lang w:eastAsia="zh-CN"/>
        </w:rPr>
        <w:t>湛江市</w:t>
      </w:r>
      <w:r w:rsidRPr="003D6F09">
        <w:rPr>
          <w:rFonts w:ascii="宋体" w:eastAsia="宋体" w:hAnsi="宋体"/>
          <w:sz w:val="24"/>
          <w:szCs w:val="24"/>
          <w:lang w:eastAsia="zh-CN"/>
        </w:rPr>
        <w:t>第一产业增加值648.68亿元，排广东省第一，在</w:t>
      </w:r>
      <w:r>
        <w:rPr>
          <w:rFonts w:ascii="宋体" w:eastAsia="宋体" w:hAnsi="宋体"/>
          <w:sz w:val="24"/>
          <w:szCs w:val="24"/>
          <w:lang w:eastAsia="zh-CN"/>
        </w:rPr>
        <w:t>湛江</w:t>
      </w:r>
      <w:r w:rsidRPr="003D6F09">
        <w:rPr>
          <w:rFonts w:ascii="宋体" w:eastAsia="宋体" w:hAnsi="宋体"/>
          <w:sz w:val="24"/>
          <w:szCs w:val="24"/>
          <w:lang w:eastAsia="zh-CN"/>
        </w:rPr>
        <w:t>2020年度GDP占比达19.8%。根据《</w:t>
      </w:r>
      <w:r>
        <w:rPr>
          <w:rFonts w:ascii="宋体" w:eastAsia="宋体" w:hAnsi="宋体"/>
          <w:sz w:val="24"/>
          <w:szCs w:val="24"/>
          <w:lang w:eastAsia="zh-CN"/>
        </w:rPr>
        <w:t>湛江市</w:t>
      </w:r>
      <w:r w:rsidRPr="003D6F09">
        <w:rPr>
          <w:rFonts w:ascii="宋体" w:eastAsia="宋体" w:hAnsi="宋体"/>
          <w:sz w:val="24"/>
          <w:szCs w:val="24"/>
          <w:lang w:eastAsia="zh-CN"/>
        </w:rPr>
        <w:t>国民经济和社会发展第十四个五年规划纲要》，“十四五”时期</w:t>
      </w:r>
      <w:r>
        <w:rPr>
          <w:rFonts w:ascii="宋体" w:eastAsia="宋体" w:hAnsi="宋体"/>
          <w:sz w:val="24"/>
          <w:szCs w:val="24"/>
          <w:lang w:eastAsia="zh-CN"/>
        </w:rPr>
        <w:t>湛江市</w:t>
      </w:r>
      <w:r w:rsidRPr="003D6F09">
        <w:rPr>
          <w:rFonts w:ascii="宋体" w:eastAsia="宋体" w:hAnsi="宋体"/>
          <w:sz w:val="24"/>
          <w:szCs w:val="24"/>
          <w:lang w:eastAsia="zh-CN"/>
        </w:rPr>
        <w:t>经济社会发展的发展定位：打造国家级特色现代农业产业基地；全力推进打造特色现代农业产业基地；打造大湾区乃至全国的“米袋子”“菜篮子”“果盘子”。然而，</w:t>
      </w:r>
      <w:r>
        <w:rPr>
          <w:rFonts w:ascii="宋体" w:eastAsia="宋体" w:hAnsi="宋体"/>
          <w:sz w:val="24"/>
          <w:szCs w:val="24"/>
          <w:lang w:eastAsia="zh-CN"/>
        </w:rPr>
        <w:t>湛江</w:t>
      </w:r>
      <w:r w:rsidRPr="003D6F09">
        <w:rPr>
          <w:rFonts w:ascii="宋体" w:eastAsia="宋体" w:hAnsi="宋体"/>
          <w:sz w:val="24"/>
          <w:szCs w:val="24"/>
          <w:lang w:eastAsia="zh-CN"/>
        </w:rPr>
        <w:t>距离“现代化农业强市”、距离成为大湾区的“米袋子”“菜篮子”“果盘子”还有较大距离，因为农业流通过程中现代化程度低，普遍存在着电商发展滞后、销售手段单一、品牌附加值低、保鲜技术及物流配套跟不上、销售市场局限等问题。要解决这些问题，提升农产品流通水平、发展农产品电</w:t>
      </w:r>
      <w:r w:rsidRPr="003D6F09">
        <w:rPr>
          <w:rFonts w:ascii="宋体" w:eastAsia="宋体" w:hAnsi="宋体"/>
          <w:sz w:val="24"/>
          <w:szCs w:val="24"/>
          <w:lang w:eastAsia="zh-CN"/>
        </w:rPr>
        <w:t>商产业</w:t>
      </w:r>
      <w:r w:rsidRPr="003D6F09">
        <w:rPr>
          <w:rFonts w:ascii="宋体" w:eastAsia="宋体" w:hAnsi="宋体"/>
          <w:sz w:val="24"/>
          <w:szCs w:val="24"/>
          <w:lang w:eastAsia="zh-CN"/>
        </w:rPr>
        <w:t>是一个关键的因素。</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为了服务广东和</w:t>
      </w:r>
      <w:r>
        <w:rPr>
          <w:rFonts w:ascii="宋体" w:eastAsia="宋体" w:hAnsi="宋体"/>
          <w:sz w:val="24"/>
          <w:szCs w:val="24"/>
          <w:lang w:eastAsia="zh-CN"/>
        </w:rPr>
        <w:t>湛江</w:t>
      </w:r>
      <w:r w:rsidRPr="003D6F09">
        <w:rPr>
          <w:rFonts w:ascii="宋体" w:eastAsia="宋体" w:hAnsi="宋体"/>
          <w:sz w:val="24"/>
          <w:szCs w:val="24"/>
          <w:lang w:eastAsia="zh-CN"/>
        </w:rPr>
        <w:t>当地，本专业群以习近平新时代中国特色社会主义思想为指导，坚持立德树人根本任务，落实省委、省政府“1＋1＋9”工作部署，落实市委、市政府的“1+4+6”工作布局，以服务乡村振兴战略和农产品流通业走向全球产业高端为使命，立足</w:t>
      </w:r>
      <w:r>
        <w:rPr>
          <w:rFonts w:ascii="宋体" w:eastAsia="宋体" w:hAnsi="宋体"/>
          <w:sz w:val="24"/>
          <w:szCs w:val="24"/>
          <w:lang w:eastAsia="zh-CN"/>
        </w:rPr>
        <w:t>湛江</w:t>
      </w:r>
      <w:r w:rsidRPr="003D6F09">
        <w:rPr>
          <w:rFonts w:ascii="宋体" w:eastAsia="宋体" w:hAnsi="宋体"/>
          <w:sz w:val="24"/>
          <w:szCs w:val="24"/>
          <w:lang w:eastAsia="zh-CN"/>
        </w:rPr>
        <w:t>、服务广东、面向粤港澳大湾区，培养立足农村电商运营，集合了农产品网络营销、物流运作、跨境电商等领域，培养具备电商平台操作能力、网络营销能力、物流管理能力、跨境电商运作能力的农产品流通高素质</w:t>
      </w:r>
      <w:r w:rsidRPr="003D6F09">
        <w:rPr>
          <w:rFonts w:ascii="宋体" w:eastAsia="宋体" w:hAnsi="宋体"/>
          <w:sz w:val="24"/>
          <w:szCs w:val="24"/>
          <w:lang w:eastAsia="zh-CN"/>
        </w:rPr>
        <w:t>技能技能</w:t>
      </w:r>
      <w:r w:rsidRPr="003D6F09">
        <w:rPr>
          <w:rFonts w:ascii="宋体" w:eastAsia="宋体" w:hAnsi="宋体"/>
          <w:sz w:val="24"/>
          <w:szCs w:val="24"/>
          <w:lang w:eastAsia="zh-CN"/>
        </w:rPr>
        <w:t>人才。</w:t>
      </w:r>
    </w:p>
    <w:p w:rsidR="00317362" w:rsidRPr="00F1145E" w:rsidP="00317362">
      <w:pPr>
        <w:spacing w:after="0" w:line="360" w:lineRule="auto"/>
        <w:ind w:firstLine="480" w:firstLineChars="200"/>
        <w:rPr>
          <w:rFonts w:ascii="宋体" w:eastAsia="宋体" w:hAnsi="宋体"/>
          <w:b/>
          <w:sz w:val="24"/>
          <w:szCs w:val="24"/>
          <w:lang w:eastAsia="zh-CN"/>
        </w:rPr>
      </w:pPr>
      <w:r w:rsidRPr="00165B65">
        <w:rPr>
          <w:rFonts w:ascii="宋体" w:eastAsia="宋体" w:hAnsi="宋体"/>
          <w:b/>
          <w:sz w:val="24"/>
          <w:szCs w:val="24"/>
          <w:lang w:eastAsia="zh-CN"/>
        </w:rPr>
        <w:t>二、建设基础</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（一）电商专业群的组群逻辑</w:t>
      </w:r>
    </w:p>
    <w:p w:rsidR="00317362" w:rsidP="00317362">
      <w:pPr>
        <w:spacing w:after="0" w:line="360" w:lineRule="auto"/>
        <w:ind w:firstLine="480" w:firstLineChars="200"/>
        <w:rPr>
          <w:rFonts w:ascii="宋体" w:eastAsia="宋体" w:hAnsi="宋体"/>
          <w:sz w:val="24"/>
          <w:szCs w:val="24"/>
          <w:lang w:eastAsia="zh-CN"/>
        </w:rPr>
        <w:sectPr w:rsidSect="00317362">
          <w:footerReference w:type="default" r:id="rId9"/>
          <w:type w:val="nextPage"/>
          <w:pgSz w:w="11906" w:h="16838"/>
          <w:pgMar w:top="1304" w:right="1304" w:bottom="1304" w:left="1304" w:header="851" w:footer="992" w:gutter="0"/>
          <w:pgNumType w:start="4"/>
          <w:cols w:space="425"/>
          <w:titlePg w:val="0"/>
          <w:docGrid w:type="lines" w:linePitch="312"/>
        </w:sectPr>
      </w:pPr>
      <w:r w:rsidRPr="003D6F09">
        <w:rPr>
          <w:rFonts w:ascii="宋体" w:eastAsia="宋体" w:hAnsi="宋体"/>
          <w:sz w:val="24"/>
          <w:szCs w:val="24"/>
          <w:lang w:eastAsia="zh-CN"/>
        </w:rPr>
        <w:t>本专业群支撑</w:t>
      </w:r>
      <w:r>
        <w:rPr>
          <w:rFonts w:ascii="宋体" w:eastAsia="宋体" w:hAnsi="宋体"/>
          <w:sz w:val="24"/>
          <w:szCs w:val="24"/>
          <w:lang w:eastAsia="zh-CN"/>
        </w:rPr>
        <w:t>湛江</w:t>
      </w:r>
      <w:r w:rsidRPr="003D6F09">
        <w:rPr>
          <w:rFonts w:ascii="宋体" w:eastAsia="宋体" w:hAnsi="宋体"/>
          <w:sz w:val="24"/>
          <w:szCs w:val="24"/>
          <w:lang w:eastAsia="zh-CN"/>
        </w:rPr>
        <w:t>农产品流通产业，动态精准对接地方产业，体现人才培养供给</w:t>
      </w:r>
      <w:r w:rsidRPr="003D6F09">
        <w:rPr>
          <w:rFonts w:ascii="宋体" w:eastAsia="宋体" w:hAnsi="宋体"/>
          <w:sz w:val="24"/>
          <w:szCs w:val="24"/>
          <w:lang w:eastAsia="zh-CN"/>
        </w:rPr>
        <w:t>侧主动</w:t>
      </w:r>
      <w:r w:rsidRPr="003D6F09">
        <w:rPr>
          <w:rFonts w:ascii="宋体" w:eastAsia="宋体" w:hAnsi="宋体"/>
          <w:sz w:val="24"/>
          <w:szCs w:val="24"/>
          <w:lang w:eastAsia="zh-CN"/>
        </w:rPr>
        <w:t>与产业结构</w:t>
      </w:r>
      <w:r w:rsidRPr="003D6F09">
        <w:rPr>
          <w:rFonts w:ascii="宋体" w:eastAsia="宋体" w:hAnsi="宋体"/>
          <w:sz w:val="24"/>
          <w:szCs w:val="24"/>
          <w:lang w:eastAsia="zh-CN"/>
        </w:rPr>
        <w:t>需求侧相匹配</w:t>
      </w:r>
      <w:r w:rsidRPr="003D6F09">
        <w:rPr>
          <w:rFonts w:ascii="宋体" w:eastAsia="宋体" w:hAnsi="宋体"/>
          <w:sz w:val="24"/>
          <w:szCs w:val="24"/>
          <w:lang w:eastAsia="zh-CN"/>
        </w:rPr>
        <w:t>，见图3。</w:t>
      </w:r>
    </w:p>
    <w:p w:rsidR="00317362" w:rsidP="00317362">
      <w:pPr>
        <w:spacing w:after="0" w:line="360" w:lineRule="auto"/>
        <w:ind w:firstLine="480" w:firstLineChars="200"/>
        <w:jc w:val="center"/>
        <w:rPr>
          <w:rFonts w:ascii="宋体" w:eastAsia="宋体" w:hAnsi="宋体"/>
          <w:sz w:val="24"/>
          <w:szCs w:val="24"/>
          <w:lang w:eastAsia="zh-CN"/>
        </w:rPr>
      </w:pPr>
      <w:r>
        <w:rPr>
          <w:rFonts w:ascii="宋体" w:eastAsia="宋体" w:hAnsi="宋体"/>
          <w:noProof/>
          <w:sz w:val="24"/>
          <w:szCs w:val="24"/>
          <w:lang w:eastAsia="zh-CN"/>
        </w:rPr>
        <w:drawing>
          <wp:inline distT="0" distB="0" distL="0" distR="0">
            <wp:extent cx="4688840" cy="22225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4688840" cy="2222500"/>
                    </a:xfrm>
                    <a:prstGeom prst="rect">
                      <a:avLst/>
                    </a:prstGeom>
                    <a:noFill/>
                    <a:ln>
                      <a:noFill/>
                    </a:ln>
                  </pic:spPr>
                </pic:pic>
              </a:graphicData>
            </a:graphic>
          </wp:inline>
        </w:drawing>
      </w:r>
    </w:p>
    <w:p w:rsidR="00317362" w:rsidRPr="003D6F09" w:rsidP="00317362">
      <w:pPr>
        <w:spacing w:after="0" w:line="360" w:lineRule="auto"/>
        <w:ind w:firstLine="480" w:firstLineChars="200"/>
        <w:jc w:val="center"/>
        <w:rPr>
          <w:rFonts w:ascii="宋体" w:eastAsia="宋体" w:hAnsi="宋体"/>
          <w:sz w:val="24"/>
          <w:szCs w:val="24"/>
          <w:lang w:eastAsia="zh-CN"/>
        </w:rPr>
      </w:pPr>
      <w:r w:rsidRPr="003D6F09">
        <w:rPr>
          <w:rFonts w:ascii="宋体" w:eastAsia="宋体" w:hAnsi="宋体"/>
          <w:sz w:val="24"/>
          <w:szCs w:val="24"/>
          <w:lang w:eastAsia="zh-CN"/>
        </w:rPr>
        <w:t>图3：产业链与专业链</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首先，农产品流通过程中，先要解决的是促成交易的问题，这个是商流的起点，这个任务交由市场营销专业来完成，市场营销专业塑造农产品品牌、建立产品标准、令农产品</w:t>
      </w:r>
      <w:r w:rsidRPr="003D6F09">
        <w:rPr>
          <w:rFonts w:ascii="宋体" w:eastAsia="宋体" w:hAnsi="宋体"/>
          <w:sz w:val="24"/>
          <w:szCs w:val="24"/>
          <w:lang w:eastAsia="zh-CN"/>
        </w:rPr>
        <w:t>网货化</w:t>
      </w:r>
      <w:r w:rsidRPr="003D6F09">
        <w:rPr>
          <w:rFonts w:ascii="宋体" w:eastAsia="宋体" w:hAnsi="宋体"/>
          <w:sz w:val="24"/>
          <w:szCs w:val="24"/>
          <w:lang w:eastAsia="zh-CN"/>
        </w:rPr>
        <w:t>、推进农产品的网络营销。</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其次，令到顾客有了购买的意愿以后，交易化过程，交由电子商务专业来完成，电商专业通过相关电商平台实现产品交易，以及推进流量转化和维护好客户关系。</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再次，在付款的动作完成以后，下一步是发货、运送，这个任务交由现代物流管理专业来完成，现代物流管理专业应用冷链保鲜技术，</w:t>
      </w:r>
      <w:r w:rsidRPr="003D6F09">
        <w:rPr>
          <w:rFonts w:ascii="宋体" w:eastAsia="宋体" w:hAnsi="宋体"/>
          <w:sz w:val="24"/>
          <w:szCs w:val="24"/>
          <w:lang w:eastAsia="zh-CN"/>
        </w:rPr>
        <w:t>高效实现</w:t>
      </w:r>
      <w:r w:rsidRPr="003D6F09">
        <w:rPr>
          <w:rFonts w:ascii="宋体" w:eastAsia="宋体" w:hAnsi="宋体"/>
          <w:sz w:val="24"/>
          <w:szCs w:val="24"/>
          <w:lang w:eastAsia="zh-CN"/>
        </w:rPr>
        <w:t>农产品物流的转移。</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最后，以上是体现了商品横向的流通过程；</w:t>
      </w:r>
      <w:r w:rsidRPr="003D6F09">
        <w:rPr>
          <w:rFonts w:ascii="宋体" w:eastAsia="宋体" w:hAnsi="宋体"/>
          <w:sz w:val="24"/>
          <w:szCs w:val="24"/>
          <w:lang w:eastAsia="zh-CN"/>
        </w:rPr>
        <w:t>农产电</w:t>
      </w:r>
      <w:r w:rsidRPr="003D6F09">
        <w:rPr>
          <w:rFonts w:ascii="宋体" w:eastAsia="宋体" w:hAnsi="宋体"/>
          <w:sz w:val="24"/>
          <w:szCs w:val="24"/>
          <w:lang w:eastAsia="zh-CN"/>
        </w:rPr>
        <w:t>商还可以纵向的发展，由国际经济与贸易专业应用跨境电商网络平台实现农产品国际间交换。</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以上体现了农产品流通过程中的商流、信息流、物流、资金流的一体化。以工作流程设计专业群，打破原先的专业壁垒，提高共建共享度，减少重复建设，发挥集聚效应。</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（二）本专业群在全国和省内的综合实力排名情况</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1.在省内同类专业群名列前茅</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目前全国各高职院校建设的电子商务专业群大多面向现代服务业，服务农业农村的电商专业群较少；本专业</w:t>
      </w:r>
      <w:r w:rsidRPr="003D6F09">
        <w:rPr>
          <w:rFonts w:ascii="宋体" w:eastAsia="宋体" w:hAnsi="宋体"/>
          <w:sz w:val="24"/>
          <w:szCs w:val="24"/>
          <w:lang w:eastAsia="zh-CN"/>
        </w:rPr>
        <w:t>群应用</w:t>
      </w:r>
      <w:r w:rsidRPr="003D6F09">
        <w:rPr>
          <w:rFonts w:ascii="宋体" w:eastAsia="宋体" w:hAnsi="宋体"/>
          <w:sz w:val="24"/>
          <w:szCs w:val="24"/>
          <w:lang w:eastAsia="zh-CN"/>
        </w:rPr>
        <w:t>得天独厚的农业资源禀赋，于2004年开启农村电</w:t>
      </w:r>
      <w:r w:rsidRPr="003D6F09">
        <w:rPr>
          <w:rFonts w:ascii="宋体" w:eastAsia="宋体" w:hAnsi="宋体"/>
          <w:sz w:val="24"/>
          <w:szCs w:val="24"/>
          <w:lang w:eastAsia="zh-CN"/>
        </w:rPr>
        <w:t>商教学</w:t>
      </w:r>
      <w:r w:rsidRPr="003D6F09">
        <w:rPr>
          <w:rFonts w:ascii="宋体" w:eastAsia="宋体" w:hAnsi="宋体"/>
          <w:sz w:val="24"/>
          <w:szCs w:val="24"/>
          <w:lang w:eastAsia="zh-CN"/>
        </w:rPr>
        <w:t>改革与实践，创新当地农产品交易方式，助力乡村振兴战略，目前已经成为领跑全省</w:t>
      </w:r>
      <w:r w:rsidRPr="003D6F09">
        <w:rPr>
          <w:rFonts w:ascii="宋体" w:eastAsia="宋体" w:hAnsi="宋体"/>
          <w:sz w:val="24"/>
          <w:szCs w:val="24"/>
          <w:lang w:eastAsia="zh-CN"/>
        </w:rPr>
        <w:t>同类农村</w:t>
      </w:r>
      <w:r w:rsidRPr="003D6F09">
        <w:rPr>
          <w:rFonts w:ascii="宋体" w:eastAsia="宋体" w:hAnsi="宋体"/>
          <w:sz w:val="24"/>
          <w:szCs w:val="24"/>
          <w:lang w:eastAsia="zh-CN"/>
        </w:rPr>
        <w:t>电子商务专业</w:t>
      </w:r>
      <w:r>
        <w:rPr>
          <w:rFonts w:ascii="宋体" w:eastAsia="宋体" w:hAnsi="宋体"/>
          <w:sz w:val="24"/>
          <w:szCs w:val="24"/>
          <w:lang w:eastAsia="zh-CN"/>
        </w:rPr>
        <w:t>群</w:t>
      </w:r>
      <w:r w:rsidRPr="003D6F09">
        <w:rPr>
          <w:rFonts w:ascii="宋体" w:eastAsia="宋体" w:hAnsi="宋体"/>
          <w:sz w:val="24"/>
          <w:szCs w:val="24"/>
          <w:lang w:eastAsia="zh-CN"/>
        </w:rPr>
        <w:t>。</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2.办学条件优、社会影响大</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11"/>
          <w:type w:val="nextPage"/>
          <w:pgSz w:w="11906" w:h="16838"/>
          <w:pgMar w:top="1304" w:right="1304" w:bottom="1304" w:left="1304" w:header="851" w:footer="992" w:gutter="0"/>
          <w:pgNumType w:start="5"/>
          <w:cols w:space="425"/>
          <w:titlePg w:val="0"/>
          <w:docGrid w:type="lines" w:linePitch="312"/>
        </w:sectPr>
      </w:pPr>
      <w:r w:rsidRPr="003D6F09">
        <w:rPr>
          <w:rFonts w:ascii="宋体" w:eastAsia="宋体" w:hAnsi="宋体"/>
          <w:sz w:val="24"/>
          <w:szCs w:val="24"/>
          <w:lang w:eastAsia="zh-CN"/>
        </w:rPr>
        <w:t>校内实</w:t>
      </w:r>
      <w:r w:rsidRPr="003D6F09">
        <w:rPr>
          <w:rFonts w:ascii="宋体" w:eastAsia="宋体" w:hAnsi="宋体"/>
          <w:sz w:val="24"/>
          <w:szCs w:val="24"/>
          <w:lang w:eastAsia="zh-CN"/>
        </w:rPr>
        <w:t>训设备</w:t>
      </w:r>
      <w:r w:rsidRPr="003D6F09">
        <w:rPr>
          <w:rFonts w:ascii="宋体" w:eastAsia="宋体" w:hAnsi="宋体"/>
          <w:sz w:val="24"/>
          <w:szCs w:val="24"/>
          <w:lang w:eastAsia="zh-CN"/>
        </w:rPr>
        <w:t>总值751.68万元，实</w:t>
      </w:r>
      <w:r w:rsidRPr="003D6F09">
        <w:rPr>
          <w:rFonts w:ascii="宋体" w:eastAsia="宋体" w:hAnsi="宋体"/>
          <w:sz w:val="24"/>
          <w:szCs w:val="24"/>
          <w:lang w:eastAsia="zh-CN"/>
        </w:rPr>
        <w:t>训面积</w:t>
      </w:r>
      <w:r w:rsidRPr="003D6F09">
        <w:rPr>
          <w:rFonts w:ascii="宋体" w:eastAsia="宋体" w:hAnsi="宋体"/>
          <w:sz w:val="24"/>
          <w:szCs w:val="24"/>
          <w:lang w:eastAsia="zh-CN"/>
        </w:rPr>
        <w:t>4149平方米，校内实训室24个，校外合作优质企业88家，为学生实训、项目实战等提供了必要的支持。有校内专任教师87人，其中高级职称占比20%，硕士占比80%，双</w:t>
      </w:r>
      <w:r w:rsidRPr="003D6F09">
        <w:rPr>
          <w:rFonts w:ascii="宋体" w:eastAsia="宋体" w:hAnsi="宋体"/>
          <w:sz w:val="24"/>
          <w:szCs w:val="24"/>
          <w:lang w:eastAsia="zh-CN"/>
        </w:rPr>
        <w:t>师素质占</w:t>
      </w:r>
      <w:r w:rsidRPr="003D6F09">
        <w:rPr>
          <w:rFonts w:ascii="宋体" w:eastAsia="宋体" w:hAnsi="宋体"/>
          <w:sz w:val="24"/>
          <w:szCs w:val="24"/>
          <w:lang w:eastAsia="zh-CN"/>
        </w:rPr>
        <w:t>比70%，教师团队成员在教科研课题、</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学生技能竞赛、教学技能比赛等方面取得了丰硕成果。专业群建成省级资源库“电商专业教学资源库”，形成了6个岗位100门在线课程的课程体系；推动新型职业农民培训基地建设，建成村镇人才培养实践基地6个、</w:t>
      </w:r>
      <w:r w:rsidRPr="003D6F09">
        <w:rPr>
          <w:rFonts w:ascii="宋体" w:eastAsia="宋体" w:hAnsi="宋体"/>
          <w:sz w:val="24"/>
          <w:szCs w:val="24"/>
          <w:lang w:eastAsia="zh-CN"/>
        </w:rPr>
        <w:t>校村共</w:t>
      </w:r>
      <w:r w:rsidRPr="003D6F09">
        <w:rPr>
          <w:rFonts w:ascii="宋体" w:eastAsia="宋体" w:hAnsi="宋体"/>
          <w:sz w:val="24"/>
          <w:szCs w:val="24"/>
          <w:lang w:eastAsia="zh-CN"/>
        </w:rPr>
        <w:t>育人才培养基地2个；培养新型职业农民村官1709名，</w:t>
      </w:r>
      <w:r w:rsidRPr="003D6F09">
        <w:rPr>
          <w:rFonts w:ascii="宋体" w:eastAsia="宋体" w:hAnsi="宋体"/>
          <w:sz w:val="24"/>
          <w:szCs w:val="24"/>
          <w:lang w:eastAsia="zh-CN"/>
        </w:rPr>
        <w:t>获财政</w:t>
      </w:r>
      <w:r w:rsidRPr="003D6F09">
        <w:rPr>
          <w:rFonts w:ascii="宋体" w:eastAsia="宋体" w:hAnsi="宋体"/>
          <w:sz w:val="24"/>
          <w:szCs w:val="24"/>
          <w:lang w:eastAsia="zh-CN"/>
        </w:rPr>
        <w:t>经费897</w:t>
      </w:r>
      <w:r>
        <w:rPr>
          <w:rFonts w:ascii="宋体" w:eastAsia="宋体" w:hAnsi="宋体"/>
          <w:sz w:val="24"/>
          <w:szCs w:val="24"/>
          <w:lang w:eastAsia="zh-CN"/>
        </w:rPr>
        <w:t>万元</w:t>
      </w:r>
      <w:r w:rsidRPr="003D6F09">
        <w:rPr>
          <w:rFonts w:ascii="宋体" w:eastAsia="宋体" w:hAnsi="宋体"/>
          <w:sz w:val="24"/>
          <w:szCs w:val="24"/>
          <w:lang w:eastAsia="zh-CN"/>
        </w:rPr>
        <w:t>。</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（三）本专业群建设的优势和特色</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1.独有农业资源禀赋，优势明显</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2020年</w:t>
      </w:r>
      <w:r>
        <w:rPr>
          <w:rFonts w:ascii="宋体" w:eastAsia="宋体" w:hAnsi="宋体"/>
          <w:sz w:val="24"/>
          <w:szCs w:val="24"/>
          <w:lang w:eastAsia="zh-CN"/>
        </w:rPr>
        <w:t>湛江</w:t>
      </w:r>
      <w:r w:rsidRPr="003D6F09">
        <w:rPr>
          <w:rFonts w:ascii="宋体" w:eastAsia="宋体" w:hAnsi="宋体"/>
          <w:sz w:val="24"/>
          <w:szCs w:val="24"/>
          <w:lang w:eastAsia="zh-CN"/>
        </w:rPr>
        <w:t>农业总产值首次超过千亿元，是全省</w:t>
      </w:r>
      <w:r w:rsidRPr="003D6F09">
        <w:rPr>
          <w:rFonts w:ascii="宋体" w:eastAsia="宋体" w:hAnsi="宋体"/>
          <w:sz w:val="24"/>
          <w:szCs w:val="24"/>
          <w:lang w:eastAsia="zh-CN"/>
        </w:rPr>
        <w:t>唯一农业</w:t>
      </w:r>
      <w:r w:rsidRPr="003D6F09">
        <w:rPr>
          <w:rFonts w:ascii="宋体" w:eastAsia="宋体" w:hAnsi="宋体"/>
          <w:sz w:val="24"/>
          <w:szCs w:val="24"/>
          <w:lang w:eastAsia="zh-CN"/>
        </w:rPr>
        <w:t>产值破千亿元的地级以上市。</w:t>
      </w:r>
      <w:r>
        <w:rPr>
          <w:rFonts w:ascii="宋体" w:eastAsia="宋体" w:hAnsi="宋体"/>
          <w:sz w:val="24"/>
          <w:szCs w:val="24"/>
          <w:lang w:eastAsia="zh-CN"/>
        </w:rPr>
        <w:t>湛江</w:t>
      </w:r>
      <w:r w:rsidRPr="003D6F09">
        <w:rPr>
          <w:rFonts w:ascii="宋体" w:eastAsia="宋体" w:hAnsi="宋体"/>
          <w:sz w:val="24"/>
          <w:szCs w:val="24"/>
          <w:lang w:eastAsia="zh-CN"/>
        </w:rPr>
        <w:t>历来是广东农业大市、全国农业大市，农业资源丰富，立足独有的农业资源禀赋，才能发挥电商专业在农业农村中的优势和特色，</w:t>
      </w:r>
      <w:r w:rsidRPr="003D6F09">
        <w:rPr>
          <w:rFonts w:ascii="宋体" w:eastAsia="宋体" w:hAnsi="宋体"/>
          <w:sz w:val="24"/>
          <w:szCs w:val="24"/>
          <w:lang w:eastAsia="zh-CN"/>
        </w:rPr>
        <w:t>让产业</w:t>
      </w:r>
      <w:r w:rsidRPr="003D6F09">
        <w:rPr>
          <w:rFonts w:ascii="宋体" w:eastAsia="宋体" w:hAnsi="宋体"/>
          <w:sz w:val="24"/>
          <w:szCs w:val="24"/>
          <w:lang w:eastAsia="zh-CN"/>
        </w:rPr>
        <w:t>链与专业链紧密对接，把资源优势转化为专业优势、发展胜势，从而实现教育教学的高质量发展。</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2.服务乡村振兴，特色鲜明</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乡村振兴战略方案的实施需要大量高素质、高</w:t>
      </w:r>
      <w:r w:rsidRPr="003D6F09">
        <w:rPr>
          <w:rFonts w:ascii="宋体" w:eastAsia="宋体" w:hAnsi="宋体"/>
          <w:sz w:val="24"/>
          <w:szCs w:val="24"/>
          <w:lang w:eastAsia="zh-CN"/>
        </w:rPr>
        <w:t>技能电商人</w:t>
      </w:r>
      <w:r w:rsidRPr="003D6F09">
        <w:rPr>
          <w:rFonts w:ascii="宋体" w:eastAsia="宋体" w:hAnsi="宋体"/>
          <w:sz w:val="24"/>
          <w:szCs w:val="24"/>
          <w:lang w:eastAsia="zh-CN"/>
        </w:rPr>
        <w:t>才，本专业</w:t>
      </w:r>
      <w:r w:rsidRPr="003D6F09">
        <w:rPr>
          <w:rFonts w:ascii="宋体" w:eastAsia="宋体" w:hAnsi="宋体"/>
          <w:sz w:val="24"/>
          <w:szCs w:val="24"/>
          <w:lang w:eastAsia="zh-CN"/>
        </w:rPr>
        <w:t>群应用</w:t>
      </w:r>
      <w:r w:rsidRPr="003D6F09">
        <w:rPr>
          <w:rFonts w:ascii="宋体" w:eastAsia="宋体" w:hAnsi="宋体"/>
          <w:sz w:val="24"/>
          <w:szCs w:val="24"/>
          <w:lang w:eastAsia="zh-CN"/>
        </w:rPr>
        <w:t>区域资源禀赋，发挥自身专业优势、为乡村振兴战略提供人才与技术支持，办学特色鲜明：服务农业农村、推进地方经济发展。</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推进电商扶贫。专业群与广州市</w:t>
      </w:r>
      <w:r>
        <w:rPr>
          <w:rFonts w:ascii="宋体" w:eastAsia="宋体" w:hAnsi="宋体"/>
          <w:sz w:val="24"/>
          <w:szCs w:val="24"/>
          <w:lang w:eastAsia="zh-CN"/>
        </w:rPr>
        <w:t>湛江</w:t>
      </w:r>
      <w:r w:rsidRPr="003D6F09">
        <w:rPr>
          <w:rFonts w:ascii="宋体" w:eastAsia="宋体" w:hAnsi="宋体"/>
          <w:sz w:val="24"/>
          <w:szCs w:val="24"/>
          <w:lang w:eastAsia="zh-CN"/>
        </w:rPr>
        <w:t>商会、</w:t>
      </w:r>
      <w:r>
        <w:rPr>
          <w:rFonts w:ascii="宋体" w:eastAsia="宋体" w:hAnsi="宋体"/>
          <w:sz w:val="24"/>
          <w:szCs w:val="24"/>
          <w:lang w:eastAsia="zh-CN"/>
        </w:rPr>
        <w:t>企业</w:t>
      </w:r>
      <w:r w:rsidRPr="003D6F09">
        <w:rPr>
          <w:rFonts w:ascii="宋体" w:eastAsia="宋体" w:hAnsi="宋体"/>
          <w:sz w:val="24"/>
          <w:szCs w:val="24"/>
          <w:lang w:eastAsia="zh-CN"/>
        </w:rPr>
        <w:t>校企合作合作研发“创业就业公共服务平台”、“农村电商平台”；校企合作开创了“支部+电商+双创+扶贫”的党建引领、双创融合的“电商扶贫模式”</w:t>
      </w:r>
      <w:r>
        <w:rPr>
          <w:rFonts w:ascii="宋体" w:eastAsia="宋体" w:hAnsi="宋体"/>
          <w:sz w:val="24"/>
          <w:szCs w:val="24"/>
          <w:lang w:eastAsia="zh-CN"/>
        </w:rPr>
        <w:t>，帮助地方农户销售大量农产品</w:t>
      </w:r>
      <w:r w:rsidRPr="003D6F09">
        <w:rPr>
          <w:rFonts w:ascii="宋体" w:eastAsia="宋体" w:hAnsi="宋体"/>
          <w:sz w:val="24"/>
          <w:szCs w:val="24"/>
          <w:lang w:eastAsia="zh-CN"/>
        </w:rPr>
        <w:t>。</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服务高职扩招。高职扩招使传统农民接受高等教育、完成技术技能从低端到高端的升级；专业群内市场营销专业开启了“现代学徒制+高技能人才学历提升计划”的创新培养模式，一来探索学徒制与扩招结合的新路径，二来服务国家振兴乡村、精准扶贫战略，具有理论创新、实践创新、制度创新的创新意义。</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提供技术支撑。利用科研成果、师资、场地等资源，对村民进行电商技术、经营管理、农产品加工与营销等方面的培训，提升高职院校服务社会的能力。帮助近3000名农民提升电子商务操作技能，农产品有关技术培训21982人次；通过电商帮扶销售农产品达200多万元。</w:t>
      </w:r>
    </w:p>
    <w:p w:rsidR="00317362" w:rsidRPr="00F1145E" w:rsidP="00317362">
      <w:pPr>
        <w:spacing w:after="0" w:line="360" w:lineRule="auto"/>
        <w:ind w:firstLine="480" w:firstLineChars="200"/>
        <w:rPr>
          <w:rFonts w:ascii="宋体" w:eastAsia="宋体" w:hAnsi="宋体"/>
          <w:b/>
          <w:sz w:val="24"/>
          <w:szCs w:val="24"/>
          <w:lang w:eastAsia="zh-CN"/>
        </w:rPr>
      </w:pPr>
      <w:r w:rsidRPr="00F1145E">
        <w:rPr>
          <w:rFonts w:ascii="宋体" w:eastAsia="宋体" w:hAnsi="宋体"/>
          <w:b/>
          <w:sz w:val="24"/>
          <w:szCs w:val="24"/>
          <w:lang w:eastAsia="zh-CN"/>
        </w:rPr>
        <w:t>（四）本专业</w:t>
      </w:r>
      <w:r w:rsidRPr="00F1145E">
        <w:rPr>
          <w:rFonts w:ascii="宋体" w:eastAsia="宋体" w:hAnsi="宋体"/>
          <w:b/>
          <w:sz w:val="24"/>
          <w:szCs w:val="24"/>
          <w:lang w:eastAsia="zh-CN"/>
        </w:rPr>
        <w:t>群人才</w:t>
      </w:r>
      <w:r w:rsidRPr="00F1145E">
        <w:rPr>
          <w:rFonts w:ascii="宋体" w:eastAsia="宋体" w:hAnsi="宋体"/>
          <w:b/>
          <w:sz w:val="24"/>
          <w:szCs w:val="24"/>
          <w:lang w:eastAsia="zh-CN"/>
        </w:rPr>
        <w:t>培养的支撑条件</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1.教学名师汇聚</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现专业</w:t>
      </w:r>
      <w:r w:rsidRPr="003D6F09">
        <w:rPr>
          <w:rFonts w:ascii="宋体" w:eastAsia="宋体" w:hAnsi="宋体"/>
          <w:sz w:val="24"/>
          <w:szCs w:val="24"/>
          <w:lang w:eastAsia="zh-CN"/>
        </w:rPr>
        <w:t>群带头人，兼任经管系教工党支部书记，能充分发挥“双带头人”的“领头雁效应”。</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12"/>
          <w:type w:val="nextPage"/>
          <w:pgSz w:w="11906" w:h="16838"/>
          <w:pgMar w:top="1304" w:right="1304" w:bottom="1304" w:left="1304" w:header="851" w:footer="992" w:gutter="0"/>
          <w:pgNumType w:start="6"/>
          <w:cols w:space="425"/>
          <w:titlePg w:val="0"/>
          <w:docGrid w:type="lines" w:linePitch="312"/>
        </w:sectPr>
      </w:pPr>
      <w:r w:rsidRPr="003D6F09">
        <w:rPr>
          <w:rFonts w:ascii="宋体" w:eastAsia="宋体" w:hAnsi="宋体"/>
          <w:sz w:val="24"/>
          <w:szCs w:val="24"/>
          <w:lang w:eastAsia="zh-CN"/>
        </w:rPr>
        <w:t>同时，专业群还聘请了行业影响力大的专家作为专业群的校外带头人</w:t>
      </w:r>
      <w:r>
        <w:rPr>
          <w:rFonts w:ascii="宋体" w:eastAsia="宋体" w:hAnsi="宋体" w:hint="eastAsia"/>
          <w:sz w:val="24"/>
          <w:szCs w:val="24"/>
          <w:lang w:eastAsia="zh-CN"/>
        </w:rPr>
        <w:t>，</w:t>
      </w:r>
      <w:r w:rsidRPr="003D6F09">
        <w:rPr>
          <w:rFonts w:ascii="宋体" w:eastAsia="宋体" w:hAnsi="宋体"/>
          <w:sz w:val="24"/>
          <w:szCs w:val="24"/>
          <w:lang w:eastAsia="zh-CN"/>
        </w:rPr>
        <w:t>校外带头人将</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其丰富的职业经验和行业资源与教学改革相结合，推动校</w:t>
      </w:r>
      <w:r w:rsidRPr="003D6F09">
        <w:rPr>
          <w:rFonts w:ascii="宋体" w:eastAsia="宋体" w:hAnsi="宋体"/>
          <w:sz w:val="24"/>
          <w:szCs w:val="24"/>
          <w:lang w:eastAsia="zh-CN"/>
        </w:rPr>
        <w:t>企资源</w:t>
      </w:r>
      <w:r w:rsidRPr="003D6F09">
        <w:rPr>
          <w:rFonts w:ascii="宋体" w:eastAsia="宋体" w:hAnsi="宋体"/>
          <w:sz w:val="24"/>
          <w:szCs w:val="24"/>
          <w:lang w:eastAsia="zh-CN"/>
        </w:rPr>
        <w:t>深度整合。</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专业群共有专任教师87人，高级职称教师达20%，硕士占比80%，双</w:t>
      </w:r>
      <w:r w:rsidRPr="003D6F09">
        <w:rPr>
          <w:rFonts w:ascii="宋体" w:eastAsia="宋体" w:hAnsi="宋体"/>
          <w:sz w:val="24"/>
          <w:szCs w:val="24"/>
          <w:lang w:eastAsia="zh-CN"/>
        </w:rPr>
        <w:t>师素质占</w:t>
      </w:r>
      <w:r w:rsidRPr="003D6F09">
        <w:rPr>
          <w:rFonts w:ascii="宋体" w:eastAsia="宋体" w:hAnsi="宋体"/>
          <w:sz w:val="24"/>
          <w:szCs w:val="24"/>
          <w:lang w:eastAsia="zh-CN"/>
        </w:rPr>
        <w:t>比70%，职称结构、学历结构、年龄结构合理。建成的优秀教学团队，获得1个省级教育教学成果一等奖，同时在科研、信息化教学能力大赛等各方面都取得了突出成绩，详见表1。</w:t>
      </w:r>
    </w:p>
    <w:tbl>
      <w:tblPr>
        <w:tblStyle w:val="TableNormal"/>
        <w:tblW w:w="5000" w:type="pct"/>
        <w:jc w:val="center"/>
        <w:tblCellMar>
          <w:left w:w="0" w:type="dxa"/>
          <w:right w:w="0" w:type="dxa"/>
        </w:tblCellMar>
        <w:tblLook w:val="01E0"/>
      </w:tblPr>
      <w:tblGrid>
        <w:gridCol w:w="1166"/>
        <w:gridCol w:w="5149"/>
        <w:gridCol w:w="1495"/>
        <w:gridCol w:w="1508"/>
      </w:tblGrid>
      <w:tr w:rsidTr="00F3535D">
        <w:tblPrEx>
          <w:tblW w:w="5000" w:type="pct"/>
          <w:jc w:val="center"/>
          <w:tblCellMar>
            <w:left w:w="0" w:type="dxa"/>
            <w:right w:w="0" w:type="dxa"/>
          </w:tblCellMar>
          <w:tblLook w:val="01E0"/>
        </w:tblPrEx>
        <w:trPr>
          <w:jc w:val="center"/>
        </w:trPr>
        <w:tc>
          <w:tcPr>
            <w:tcW w:w="5000" w:type="pct"/>
            <w:gridSpan w:val="4"/>
            <w:tcBorders>
              <w:top w:val="single" w:sz="10" w:space="0" w:color="000000"/>
              <w:left w:val="single" w:sz="8" w:space="0" w:color="000000"/>
              <w:bottom w:val="single" w:sz="8" w:space="0" w:color="000000"/>
              <w:right w:val="single" w:sz="8" w:space="0" w:color="000000"/>
            </w:tcBorders>
            <w:shd w:val="clear" w:color="auto" w:fill="DEEBF6"/>
            <w:vAlign w:val="center"/>
          </w:tcPr>
          <w:p w:rsidR="00317362" w:rsidRPr="00BF30AB" w:rsidP="00F3535D">
            <w:pPr>
              <w:jc w:val="center"/>
              <w:rPr>
                <w:b/>
                <w:lang w:eastAsia="zh-CN"/>
              </w:rPr>
            </w:pPr>
            <w:r w:rsidRPr="00BF30AB">
              <w:rPr>
                <w:b/>
                <w:lang w:eastAsia="zh-CN"/>
              </w:rPr>
              <w:t>表</w:t>
            </w:r>
            <w:r w:rsidRPr="00BF30AB">
              <w:rPr>
                <w:b/>
                <w:lang w:eastAsia="zh-CN"/>
              </w:rPr>
              <w:t>1</w:t>
            </w:r>
            <w:r w:rsidRPr="00BF30AB">
              <w:rPr>
                <w:b/>
                <w:lang w:eastAsia="zh-CN"/>
              </w:rPr>
              <w:t>：教学团队标志性成果表</w:t>
            </w:r>
          </w:p>
        </w:tc>
      </w:tr>
      <w:tr w:rsidTr="00F3535D">
        <w:tblPrEx>
          <w:tblW w:w="5000" w:type="pct"/>
          <w:jc w:val="center"/>
          <w:tblCellMar>
            <w:left w:w="0" w:type="dxa"/>
            <w:right w:w="0" w:type="dxa"/>
          </w:tblCellMar>
          <w:tblLook w:val="01E0"/>
        </w:tblPrEx>
        <w:trPr>
          <w:jc w:val="center"/>
        </w:trPr>
        <w:tc>
          <w:tcPr>
            <w:tcW w:w="626" w:type="pct"/>
            <w:tcBorders>
              <w:top w:val="single" w:sz="8" w:space="0" w:color="000000"/>
              <w:left w:val="single" w:sz="8" w:space="0" w:color="000000"/>
              <w:bottom w:val="single" w:sz="8" w:space="0" w:color="000000"/>
              <w:right w:val="single" w:sz="8" w:space="0" w:color="000000"/>
            </w:tcBorders>
            <w:shd w:val="clear" w:color="auto" w:fill="DEEBF6"/>
            <w:vAlign w:val="center"/>
          </w:tcPr>
          <w:p w:rsidR="00317362" w:rsidRPr="00BF30AB" w:rsidP="00F3535D">
            <w:pPr>
              <w:jc w:val="center"/>
              <w:rPr>
                <w:b/>
              </w:rPr>
            </w:pPr>
            <w:r w:rsidRPr="00BF30AB">
              <w:rPr>
                <w:b/>
              </w:rPr>
              <w:t>序号</w:t>
            </w:r>
          </w:p>
        </w:tc>
        <w:tc>
          <w:tcPr>
            <w:tcW w:w="2763" w:type="pct"/>
            <w:tcBorders>
              <w:top w:val="single" w:sz="8" w:space="0" w:color="000000"/>
              <w:left w:val="single" w:sz="8" w:space="0" w:color="000000"/>
              <w:bottom w:val="single" w:sz="8" w:space="0" w:color="000000"/>
              <w:right w:val="single" w:sz="8" w:space="0" w:color="000000"/>
            </w:tcBorders>
            <w:shd w:val="clear" w:color="auto" w:fill="DEEBF6"/>
            <w:vAlign w:val="center"/>
          </w:tcPr>
          <w:p w:rsidR="00317362" w:rsidRPr="00BF30AB" w:rsidP="00F3535D">
            <w:pPr>
              <w:jc w:val="center"/>
              <w:rPr>
                <w:b/>
              </w:rPr>
            </w:pPr>
            <w:r w:rsidRPr="00BF30AB">
              <w:rPr>
                <w:b/>
              </w:rPr>
              <w:t>获奖（荣誉）名称</w:t>
            </w:r>
          </w:p>
        </w:tc>
        <w:tc>
          <w:tcPr>
            <w:tcW w:w="802" w:type="pct"/>
            <w:tcBorders>
              <w:top w:val="single" w:sz="8" w:space="0" w:color="000000"/>
              <w:left w:val="single" w:sz="8" w:space="0" w:color="000000"/>
              <w:bottom w:val="single" w:sz="8" w:space="0" w:color="000000"/>
              <w:right w:val="single" w:sz="8" w:space="0" w:color="000000"/>
            </w:tcBorders>
            <w:shd w:val="clear" w:color="auto" w:fill="DEEBF6"/>
            <w:vAlign w:val="center"/>
          </w:tcPr>
          <w:p w:rsidR="00317362" w:rsidRPr="00BF30AB" w:rsidP="00F3535D">
            <w:pPr>
              <w:jc w:val="center"/>
              <w:rPr>
                <w:b/>
              </w:rPr>
            </w:pPr>
            <w:r w:rsidRPr="00BF30AB">
              <w:rPr>
                <w:b/>
              </w:rPr>
              <w:t>数量</w:t>
            </w:r>
          </w:p>
        </w:tc>
        <w:tc>
          <w:tcPr>
            <w:tcW w:w="809" w:type="pct"/>
            <w:tcBorders>
              <w:top w:val="single" w:sz="8" w:space="0" w:color="000000"/>
              <w:left w:val="single" w:sz="8" w:space="0" w:color="000000"/>
              <w:bottom w:val="single" w:sz="8" w:space="0" w:color="000000"/>
              <w:right w:val="single" w:sz="8" w:space="0" w:color="000000"/>
            </w:tcBorders>
            <w:shd w:val="clear" w:color="auto" w:fill="DEEBF6"/>
            <w:vAlign w:val="center"/>
          </w:tcPr>
          <w:p w:rsidR="00317362" w:rsidRPr="00BF30AB" w:rsidP="00F3535D">
            <w:pPr>
              <w:jc w:val="center"/>
              <w:rPr>
                <w:b/>
              </w:rPr>
            </w:pPr>
            <w:r w:rsidRPr="00BF30AB">
              <w:rPr>
                <w:b/>
              </w:rPr>
              <w:t>级别</w:t>
            </w:r>
          </w:p>
        </w:tc>
      </w:tr>
      <w:tr w:rsidTr="00F3535D">
        <w:tblPrEx>
          <w:tblW w:w="5000" w:type="pct"/>
          <w:jc w:val="center"/>
          <w:tblCellMar>
            <w:left w:w="0" w:type="dxa"/>
            <w:right w:w="0" w:type="dxa"/>
          </w:tblCellMar>
          <w:tblLook w:val="01E0"/>
        </w:tblPrEx>
        <w:trPr>
          <w:jc w:val="center"/>
        </w:trPr>
        <w:tc>
          <w:tcPr>
            <w:tcW w:w="626"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1</w:t>
            </w:r>
          </w:p>
        </w:tc>
        <w:tc>
          <w:tcPr>
            <w:tcW w:w="27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tc>
        <w:tc>
          <w:tcPr>
            <w:tcW w:w="80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tc>
        <w:tc>
          <w:tcPr>
            <w:tcW w:w="8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tc>
      </w:tr>
      <w:tr w:rsidTr="00F3535D">
        <w:tblPrEx>
          <w:tblW w:w="5000" w:type="pct"/>
          <w:jc w:val="center"/>
          <w:tblCellMar>
            <w:left w:w="0" w:type="dxa"/>
            <w:right w:w="0" w:type="dxa"/>
          </w:tblCellMar>
          <w:tblLook w:val="01E0"/>
        </w:tblPrEx>
        <w:trPr>
          <w:jc w:val="center"/>
        </w:trPr>
        <w:tc>
          <w:tcPr>
            <w:tcW w:w="626" w:type="pct"/>
            <w:tcBorders>
              <w:top w:val="single" w:sz="8" w:space="0" w:color="000000"/>
              <w:left w:val="single" w:sz="8" w:space="0" w:color="000000"/>
              <w:bottom w:val="single" w:sz="10" w:space="0" w:color="000000"/>
              <w:right w:val="single" w:sz="8" w:space="0" w:color="000000"/>
            </w:tcBorders>
            <w:vAlign w:val="center"/>
          </w:tcPr>
          <w:p w:rsidR="00317362" w:rsidRPr="00BF30AB" w:rsidP="00F3535D">
            <w:r w:rsidRPr="00BF30AB">
              <w:t>2</w:t>
            </w:r>
          </w:p>
        </w:tc>
        <w:tc>
          <w:tcPr>
            <w:tcW w:w="2763" w:type="pct"/>
            <w:tcBorders>
              <w:top w:val="single" w:sz="8" w:space="0" w:color="000000"/>
              <w:left w:val="single" w:sz="8" w:space="0" w:color="000000"/>
              <w:bottom w:val="single" w:sz="10" w:space="0" w:color="000000"/>
              <w:right w:val="single" w:sz="8" w:space="0" w:color="000000"/>
            </w:tcBorders>
            <w:vAlign w:val="center"/>
          </w:tcPr>
          <w:p w:rsidR="00317362" w:rsidRPr="00BF30AB" w:rsidP="00F3535D"/>
        </w:tc>
        <w:tc>
          <w:tcPr>
            <w:tcW w:w="802" w:type="pct"/>
            <w:tcBorders>
              <w:top w:val="single" w:sz="8" w:space="0" w:color="000000"/>
              <w:left w:val="single" w:sz="8" w:space="0" w:color="000000"/>
              <w:bottom w:val="single" w:sz="10" w:space="0" w:color="000000"/>
              <w:right w:val="single" w:sz="8" w:space="0" w:color="000000"/>
            </w:tcBorders>
            <w:vAlign w:val="center"/>
          </w:tcPr>
          <w:p w:rsidR="00317362" w:rsidRPr="00BF30AB" w:rsidP="00F3535D"/>
        </w:tc>
        <w:tc>
          <w:tcPr>
            <w:tcW w:w="809" w:type="pct"/>
            <w:tcBorders>
              <w:top w:val="single" w:sz="8" w:space="0" w:color="000000"/>
              <w:left w:val="single" w:sz="8" w:space="0" w:color="000000"/>
              <w:bottom w:val="single" w:sz="10" w:space="0" w:color="000000"/>
              <w:right w:val="single" w:sz="8" w:space="0" w:color="000000"/>
            </w:tcBorders>
            <w:vAlign w:val="center"/>
          </w:tcPr>
          <w:p w:rsidR="00317362" w:rsidRPr="00BF30AB" w:rsidP="00F3535D"/>
        </w:tc>
      </w:tr>
    </w:tbl>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2.实训基地众多</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专业群建成了以“共享型校内实训室+校外实训基地+专创融合实践基地”等多类型的实训基地，校内实</w:t>
      </w:r>
      <w:r w:rsidRPr="003D6F09">
        <w:rPr>
          <w:rFonts w:ascii="宋体" w:eastAsia="宋体" w:hAnsi="宋体"/>
          <w:sz w:val="24"/>
          <w:szCs w:val="24"/>
          <w:lang w:eastAsia="zh-CN"/>
        </w:rPr>
        <w:t>训设备</w:t>
      </w:r>
      <w:r w:rsidRPr="003D6F09">
        <w:rPr>
          <w:rFonts w:ascii="宋体" w:eastAsia="宋体" w:hAnsi="宋体"/>
          <w:sz w:val="24"/>
          <w:szCs w:val="24"/>
          <w:lang w:eastAsia="zh-CN"/>
        </w:rPr>
        <w:t>总值751.68万元，实</w:t>
      </w:r>
      <w:r w:rsidRPr="003D6F09">
        <w:rPr>
          <w:rFonts w:ascii="宋体" w:eastAsia="宋体" w:hAnsi="宋体"/>
          <w:sz w:val="24"/>
          <w:szCs w:val="24"/>
          <w:lang w:eastAsia="zh-CN"/>
        </w:rPr>
        <w:t>训面积</w:t>
      </w:r>
      <w:r w:rsidRPr="003D6F09">
        <w:rPr>
          <w:rFonts w:ascii="宋体" w:eastAsia="宋体" w:hAnsi="宋体"/>
          <w:sz w:val="24"/>
          <w:szCs w:val="24"/>
          <w:lang w:eastAsia="zh-CN"/>
        </w:rPr>
        <w:t>4149平方米，校内实训室24个，校外合作优质企业88家，实</w:t>
      </w:r>
      <w:r w:rsidRPr="003D6F09">
        <w:rPr>
          <w:rFonts w:ascii="宋体" w:eastAsia="宋体" w:hAnsi="宋体"/>
          <w:sz w:val="24"/>
          <w:szCs w:val="24"/>
          <w:lang w:eastAsia="zh-CN"/>
        </w:rPr>
        <w:t>训条件</w:t>
      </w:r>
      <w:r w:rsidRPr="003D6F09">
        <w:rPr>
          <w:rFonts w:ascii="宋体" w:eastAsia="宋体" w:hAnsi="宋体"/>
          <w:sz w:val="24"/>
          <w:szCs w:val="24"/>
          <w:lang w:eastAsia="zh-CN"/>
        </w:rPr>
        <w:t>一流。</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校内实践教学基地：经管综合实训室、ERP模拟沙盘实训室、仿真会计岗位多功能手工实训室、物流管理综合实训室等。</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校外实习基地：与88家企业的合作，以利于工学结合、顶岗实习等教学活动的开展。</w:t>
      </w:r>
      <w:r w:rsidRPr="003D6F09">
        <w:rPr>
          <w:rFonts w:ascii="宋体" w:eastAsia="宋体" w:hAnsi="宋体"/>
          <w:sz w:val="24"/>
          <w:szCs w:val="24"/>
          <w:lang w:eastAsia="zh-CN"/>
        </w:rPr>
        <w:t>专创融合</w:t>
      </w:r>
      <w:r w:rsidRPr="003D6F09">
        <w:rPr>
          <w:rFonts w:ascii="宋体" w:eastAsia="宋体" w:hAnsi="宋体"/>
          <w:sz w:val="24"/>
          <w:szCs w:val="24"/>
          <w:lang w:eastAsia="zh-CN"/>
        </w:rPr>
        <w:t>实践基地：基于“政校行企·创新创业学院高校联盟”校企合作开发的“创业就业公共服务平台”，将专业教育与创新创业</w:t>
      </w:r>
      <w:r>
        <w:rPr>
          <w:rFonts w:ascii="宋体" w:eastAsia="宋体" w:hAnsi="宋体"/>
          <w:sz w:val="24"/>
          <w:szCs w:val="24"/>
          <w:lang w:eastAsia="zh-CN"/>
        </w:rPr>
        <w:t>教育深度融合，推进双创活动教学化</w:t>
      </w:r>
      <w:r w:rsidRPr="003D6F09">
        <w:rPr>
          <w:rFonts w:ascii="宋体" w:eastAsia="宋体" w:hAnsi="宋体"/>
          <w:sz w:val="24"/>
          <w:szCs w:val="24"/>
          <w:lang w:eastAsia="zh-CN"/>
        </w:rPr>
        <w:t>。</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3.教学资源丰富</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建成校级资源库“电商专业教学资源库”，形成了6个岗位100门在线课程的课程体系；立项精品在线课17门，其中《创业营销》精品在线课程资源被</w:t>
      </w:r>
      <w:r>
        <w:rPr>
          <w:rFonts w:ascii="宋体" w:eastAsia="宋体" w:hAnsi="宋体"/>
          <w:sz w:val="24"/>
          <w:szCs w:val="24"/>
          <w:lang w:eastAsia="zh-CN"/>
        </w:rPr>
        <w:t>湛江</w:t>
      </w:r>
      <w:r w:rsidRPr="003D6F09">
        <w:rPr>
          <w:rFonts w:ascii="宋体" w:eastAsia="宋体" w:hAnsi="宋体"/>
          <w:sz w:val="24"/>
          <w:szCs w:val="24"/>
          <w:lang w:eastAsia="zh-CN"/>
        </w:rPr>
        <w:t>创业青年联合会应用，作为面向</w:t>
      </w:r>
      <w:r w:rsidRPr="003D6F09">
        <w:rPr>
          <w:rFonts w:ascii="宋体" w:eastAsia="宋体" w:hAnsi="宋体"/>
          <w:sz w:val="24"/>
          <w:szCs w:val="24"/>
          <w:lang w:eastAsia="zh-CN"/>
        </w:rPr>
        <w:t>全体创客的</w:t>
      </w:r>
      <w:r w:rsidRPr="003D6F09">
        <w:rPr>
          <w:rFonts w:ascii="宋体" w:eastAsia="宋体" w:hAnsi="宋体"/>
          <w:sz w:val="24"/>
          <w:szCs w:val="24"/>
          <w:lang w:eastAsia="zh-CN"/>
        </w:rPr>
        <w:t>核心课程资源；实现以“学生为中心”的线上线下混合教学模式的融合，形成课堂教学新形态，加强职业氛围和企业文化渗透，有效提升课程教学质量；专业</w:t>
      </w:r>
      <w:r w:rsidRPr="003D6F09">
        <w:rPr>
          <w:rFonts w:ascii="宋体" w:eastAsia="宋体" w:hAnsi="宋体"/>
          <w:sz w:val="24"/>
          <w:szCs w:val="24"/>
          <w:lang w:eastAsia="zh-CN"/>
        </w:rPr>
        <w:t>群教师</w:t>
      </w:r>
      <w:r w:rsidRPr="003D6F09">
        <w:rPr>
          <w:rFonts w:ascii="宋体" w:eastAsia="宋体" w:hAnsi="宋体"/>
          <w:sz w:val="24"/>
          <w:szCs w:val="24"/>
          <w:lang w:eastAsia="zh-CN"/>
        </w:rPr>
        <w:t>团队出版教材22本，其中《国际贸易实务》入选教育部职业教育与成人教育司推荐教材。</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表2：部</w:t>
      </w:r>
      <w:r w:rsidRPr="003D6F09">
        <w:rPr>
          <w:rFonts w:ascii="宋体" w:eastAsia="宋体" w:hAnsi="宋体"/>
          <w:sz w:val="24"/>
          <w:szCs w:val="24"/>
          <w:lang w:eastAsia="zh-CN"/>
        </w:rPr>
        <w:t>分校级</w:t>
      </w:r>
      <w:r w:rsidRPr="003D6F09">
        <w:rPr>
          <w:rFonts w:ascii="宋体" w:eastAsia="宋体" w:hAnsi="宋体"/>
          <w:sz w:val="24"/>
          <w:szCs w:val="24"/>
          <w:lang w:eastAsia="zh-CN"/>
        </w:rPr>
        <w:t>精品在线课一览表</w:t>
      </w:r>
    </w:p>
    <w:tbl>
      <w:tblPr>
        <w:tblStyle w:val="TableNormal"/>
        <w:tblW w:w="5000" w:type="pct"/>
        <w:jc w:val="center"/>
        <w:tblCellMar>
          <w:left w:w="0" w:type="dxa"/>
          <w:right w:w="0" w:type="dxa"/>
        </w:tblCellMar>
        <w:tblLook w:val="01E0"/>
      </w:tblPr>
      <w:tblGrid>
        <w:gridCol w:w="917"/>
        <w:gridCol w:w="3177"/>
        <w:gridCol w:w="2626"/>
        <w:gridCol w:w="2598"/>
      </w:tblGrid>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317362" w:rsidP="00317362">
            <w:pPr>
              <w:jc w:val="center"/>
              <w:rPr>
                <w:b/>
              </w:rPr>
            </w:pPr>
            <w:r w:rsidRPr="00317362">
              <w:rPr>
                <w:b/>
              </w:rPr>
              <w:t>序号</w:t>
            </w:r>
          </w:p>
        </w:tc>
        <w:tc>
          <w:tcPr>
            <w:tcW w:w="1705"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317362" w:rsidP="00317362">
            <w:pPr>
              <w:jc w:val="center"/>
              <w:rPr>
                <w:b/>
              </w:rPr>
            </w:pPr>
            <w:r w:rsidRPr="00317362">
              <w:rPr>
                <w:b/>
              </w:rPr>
              <w:t>资源名称</w:t>
            </w:r>
          </w:p>
        </w:tc>
        <w:tc>
          <w:tcPr>
            <w:tcW w:w="1409"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317362" w:rsidP="00317362">
            <w:pPr>
              <w:jc w:val="center"/>
              <w:rPr>
                <w:b/>
              </w:rPr>
            </w:pPr>
            <w:r w:rsidRPr="00317362">
              <w:rPr>
                <w:b/>
              </w:rPr>
              <w:t>课程类型</w:t>
            </w:r>
          </w:p>
        </w:tc>
        <w:tc>
          <w:tcPr>
            <w:tcW w:w="1394"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317362" w:rsidP="00317362">
            <w:pPr>
              <w:jc w:val="center"/>
              <w:rPr>
                <w:b/>
              </w:rPr>
            </w:pPr>
            <w:r w:rsidRPr="00317362">
              <w:rPr>
                <w:b/>
              </w:rPr>
              <w:t>年份</w:t>
            </w:r>
          </w:p>
        </w:tc>
      </w:tr>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1</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消费心理分析</w:t>
            </w:r>
            <w:r w:rsidRPr="00BF30AB">
              <w:t>》</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2020</w:t>
            </w:r>
          </w:p>
        </w:tc>
      </w:tr>
    </w:tbl>
    <w:p>
      <w:pPr>
        <w:sectPr w:rsidSect="00317362">
          <w:footerReference w:type="default" r:id="rId13"/>
          <w:type w:val="nextPage"/>
          <w:pgSz w:w="11906" w:h="16838"/>
          <w:pgMar w:top="1304" w:right="1304" w:bottom="1304" w:left="1304" w:header="851" w:footer="992" w:gutter="0"/>
          <w:pgNumType w:start="7"/>
          <w:cols w:space="425"/>
          <w:titlePg w:val="0"/>
          <w:docGrid w:type="lines" w:linePitch="312"/>
        </w:sectPr>
      </w:pPr>
    </w:p>
    <w:tbl>
      <w:tblPr>
        <w:tblStyle w:val="TableNormal"/>
        <w:tblW w:w="5000" w:type="pct"/>
        <w:jc w:val="center"/>
        <w:tblCellMar>
          <w:left w:w="0" w:type="dxa"/>
          <w:right w:w="0" w:type="dxa"/>
        </w:tblCellMar>
        <w:tblLook w:val="01E0"/>
      </w:tblPr>
      <w:tblGrid>
        <w:gridCol w:w="917"/>
        <w:gridCol w:w="3177"/>
        <w:gridCol w:w="2626"/>
        <w:gridCol w:w="2598"/>
      </w:tblGrid>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3</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《国际货运代理实务》</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2020</w:t>
            </w:r>
          </w:p>
        </w:tc>
      </w:tr>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4</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外贸单证实务</w:t>
            </w:r>
            <w:r w:rsidRPr="00BF30AB">
              <w:t>》</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2019</w:t>
            </w:r>
          </w:p>
        </w:tc>
      </w:tr>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5</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仓储与配送管理</w:t>
            </w:r>
            <w:r w:rsidRPr="00BF30AB">
              <w:t>》</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2019</w:t>
            </w:r>
          </w:p>
        </w:tc>
      </w:tr>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6</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创业营销</w:t>
            </w:r>
            <w:r w:rsidRPr="00BF30AB">
              <w:t>》</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2019</w:t>
            </w:r>
          </w:p>
        </w:tc>
      </w:tr>
      <w:tr w:rsidTr="00317362">
        <w:tblPrEx>
          <w:tblW w:w="5000" w:type="pct"/>
          <w:jc w:val="center"/>
          <w:tblCellMar>
            <w:left w:w="0" w:type="dxa"/>
            <w:right w:w="0" w:type="dxa"/>
          </w:tblCellMar>
          <w:tblLook w:val="01E0"/>
        </w:tblPrEx>
        <w:trPr>
          <w:jc w:val="center"/>
        </w:trPr>
        <w:tc>
          <w:tcPr>
            <w:tcW w:w="49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7</w:t>
            </w:r>
          </w:p>
        </w:tc>
        <w:tc>
          <w:tcPr>
            <w:tcW w:w="1705"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国际贸易实务</w:t>
            </w:r>
            <w:r w:rsidRPr="00BF30AB">
              <w:t>》</w:t>
            </w:r>
          </w:p>
        </w:tc>
        <w:tc>
          <w:tcPr>
            <w:tcW w:w="1409"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精品在线开放课程</w:t>
            </w:r>
          </w:p>
        </w:tc>
        <w:tc>
          <w:tcPr>
            <w:tcW w:w="139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2018</w:t>
            </w:r>
          </w:p>
        </w:tc>
      </w:tr>
    </w:tbl>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表3：部分教材资源一览表</w:t>
      </w:r>
    </w:p>
    <w:tbl>
      <w:tblPr>
        <w:tblStyle w:val="TableNormal"/>
        <w:tblW w:w="5000" w:type="pct"/>
        <w:jc w:val="center"/>
        <w:tblCellMar>
          <w:left w:w="0" w:type="dxa"/>
          <w:right w:w="0" w:type="dxa"/>
        </w:tblCellMar>
        <w:tblLook w:val="01E0"/>
      </w:tblPr>
      <w:tblGrid>
        <w:gridCol w:w="753"/>
        <w:gridCol w:w="2354"/>
        <w:gridCol w:w="2158"/>
        <w:gridCol w:w="863"/>
        <w:gridCol w:w="3190"/>
      </w:tblGrid>
      <w:tr w:rsidTr="00317362">
        <w:tblPrEx>
          <w:tblW w:w="5000" w:type="pct"/>
          <w:jc w:val="center"/>
          <w:tblCellMar>
            <w:left w:w="0" w:type="dxa"/>
            <w:right w:w="0" w:type="dxa"/>
          </w:tblCellMar>
          <w:tblLook w:val="01E0"/>
        </w:tblPrEx>
        <w:trPr>
          <w:jc w:val="center"/>
        </w:trPr>
        <w:tc>
          <w:tcPr>
            <w:tcW w:w="404"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BF30AB" w:rsidP="00F3535D">
            <w:pPr>
              <w:jc w:val="center"/>
              <w:rPr>
                <w:b/>
              </w:rPr>
            </w:pPr>
            <w:r w:rsidRPr="00BF30AB">
              <w:rPr>
                <w:b/>
              </w:rPr>
              <w:t>序号</w:t>
            </w:r>
          </w:p>
        </w:tc>
        <w:tc>
          <w:tcPr>
            <w:tcW w:w="1263"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BF30AB" w:rsidP="00F3535D">
            <w:pPr>
              <w:jc w:val="center"/>
              <w:rPr>
                <w:b/>
              </w:rPr>
            </w:pPr>
            <w:r w:rsidRPr="00BF30AB">
              <w:rPr>
                <w:b/>
              </w:rPr>
              <w:t>教材名称</w:t>
            </w:r>
          </w:p>
        </w:tc>
        <w:tc>
          <w:tcPr>
            <w:tcW w:w="1158"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BF30AB" w:rsidP="00F3535D">
            <w:pPr>
              <w:jc w:val="center"/>
              <w:rPr>
                <w:b/>
              </w:rPr>
            </w:pPr>
            <w:r w:rsidRPr="00BF30AB">
              <w:rPr>
                <w:b/>
              </w:rPr>
              <w:t>出版社</w:t>
            </w:r>
          </w:p>
        </w:tc>
        <w:tc>
          <w:tcPr>
            <w:tcW w:w="463"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BF30AB" w:rsidP="00F3535D">
            <w:pPr>
              <w:jc w:val="center"/>
              <w:rPr>
                <w:b/>
              </w:rPr>
            </w:pPr>
            <w:r w:rsidRPr="00BF30AB">
              <w:rPr>
                <w:b/>
              </w:rPr>
              <w:t>年月</w:t>
            </w:r>
          </w:p>
        </w:tc>
        <w:tc>
          <w:tcPr>
            <w:tcW w:w="1712" w:type="pct"/>
            <w:tcBorders>
              <w:top w:val="single" w:sz="8" w:space="0" w:color="000000"/>
              <w:left w:val="single" w:sz="8" w:space="0" w:color="000000"/>
              <w:bottom w:val="single" w:sz="8" w:space="0" w:color="000000"/>
              <w:right w:val="single" w:sz="8" w:space="0" w:color="000000"/>
            </w:tcBorders>
            <w:shd w:val="clear" w:color="auto" w:fill="D5DCE4"/>
            <w:vAlign w:val="center"/>
          </w:tcPr>
          <w:p w:rsidR="00317362" w:rsidRPr="00BF30AB" w:rsidP="00F3535D">
            <w:pPr>
              <w:jc w:val="center"/>
              <w:rPr>
                <w:b/>
              </w:rPr>
            </w:pPr>
            <w:r w:rsidRPr="00BF30AB">
              <w:rPr>
                <w:b/>
              </w:rPr>
              <w:t>类型</w:t>
            </w:r>
          </w:p>
        </w:tc>
      </w:tr>
      <w:tr w:rsidTr="00317362">
        <w:tblPrEx>
          <w:tblW w:w="5000" w:type="pct"/>
          <w:jc w:val="center"/>
          <w:tblCellMar>
            <w:left w:w="0" w:type="dxa"/>
            <w:right w:w="0" w:type="dxa"/>
          </w:tblCellMar>
          <w:tblLook w:val="01E0"/>
        </w:tblPrEx>
        <w:trPr>
          <w:jc w:val="center"/>
        </w:trPr>
        <w:tc>
          <w:tcPr>
            <w:tcW w:w="40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1</w:t>
            </w:r>
          </w:p>
        </w:tc>
        <w:tc>
          <w:tcPr>
            <w:tcW w:w="12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《国际商务单证理论与实务》</w:t>
            </w:r>
          </w:p>
        </w:tc>
        <w:tc>
          <w:tcPr>
            <w:tcW w:w="1158"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中山大学出版社</w:t>
            </w:r>
          </w:p>
        </w:tc>
        <w:tc>
          <w:tcPr>
            <w:tcW w:w="4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2015</w:t>
            </w:r>
          </w:p>
        </w:tc>
        <w:tc>
          <w:tcPr>
            <w:tcW w:w="171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国家十三五高职高</w:t>
            </w:r>
            <w:r w:rsidRPr="00BF30AB">
              <w:rPr>
                <w:lang w:eastAsia="zh-CN"/>
              </w:rPr>
              <w:t>专规划</w:t>
            </w:r>
            <w:r w:rsidRPr="00BF30AB">
              <w:rPr>
                <w:lang w:eastAsia="zh-CN"/>
              </w:rPr>
              <w:t>教材</w:t>
            </w:r>
          </w:p>
        </w:tc>
      </w:tr>
      <w:tr w:rsidTr="00317362">
        <w:tblPrEx>
          <w:tblW w:w="5000" w:type="pct"/>
          <w:jc w:val="center"/>
          <w:tblCellMar>
            <w:left w:w="0" w:type="dxa"/>
            <w:right w:w="0" w:type="dxa"/>
          </w:tblCellMar>
          <w:tblLook w:val="01E0"/>
        </w:tblPrEx>
        <w:trPr>
          <w:jc w:val="center"/>
        </w:trPr>
        <w:tc>
          <w:tcPr>
            <w:tcW w:w="40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w:t>
            </w:r>
          </w:p>
        </w:tc>
        <w:tc>
          <w:tcPr>
            <w:tcW w:w="12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《跨境电子商务实务》</w:t>
            </w:r>
          </w:p>
        </w:tc>
        <w:tc>
          <w:tcPr>
            <w:tcW w:w="1158"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西南财经大学出版社</w:t>
            </w:r>
          </w:p>
        </w:tc>
        <w:tc>
          <w:tcPr>
            <w:tcW w:w="4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2021</w:t>
            </w:r>
          </w:p>
        </w:tc>
        <w:tc>
          <w:tcPr>
            <w:tcW w:w="171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国家十三五高职院校财经精品系列教材</w:t>
            </w:r>
          </w:p>
        </w:tc>
      </w:tr>
      <w:tr w:rsidTr="00317362">
        <w:tblPrEx>
          <w:tblW w:w="5000" w:type="pct"/>
          <w:jc w:val="center"/>
          <w:tblCellMar>
            <w:left w:w="0" w:type="dxa"/>
            <w:right w:w="0" w:type="dxa"/>
          </w:tblCellMar>
          <w:tblLook w:val="01E0"/>
        </w:tblPrEx>
        <w:trPr>
          <w:jc w:val="center"/>
        </w:trPr>
        <w:tc>
          <w:tcPr>
            <w:tcW w:w="40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3</w:t>
            </w:r>
          </w:p>
        </w:tc>
        <w:tc>
          <w:tcPr>
            <w:tcW w:w="12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w:t>
            </w:r>
            <w:r w:rsidRPr="00BF30AB">
              <w:t>国际贸易实务</w:t>
            </w:r>
            <w:r w:rsidRPr="00BF30AB">
              <w:t>》</w:t>
            </w:r>
          </w:p>
        </w:tc>
        <w:tc>
          <w:tcPr>
            <w:tcW w:w="1158"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西南师范大学出版社</w:t>
            </w:r>
          </w:p>
        </w:tc>
        <w:tc>
          <w:tcPr>
            <w:tcW w:w="4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2018</w:t>
            </w:r>
          </w:p>
        </w:tc>
        <w:tc>
          <w:tcPr>
            <w:tcW w:w="171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普通高等教育</w:t>
            </w:r>
            <w:r w:rsidRPr="00BF30AB">
              <w:rPr>
                <w:lang w:eastAsia="zh-CN"/>
              </w:rPr>
              <w:t>“</w:t>
            </w:r>
            <w:r w:rsidRPr="00BF30AB">
              <w:rPr>
                <w:lang w:eastAsia="zh-CN"/>
              </w:rPr>
              <w:t>十三五</w:t>
            </w:r>
            <w:r w:rsidRPr="00BF30AB">
              <w:rPr>
                <w:lang w:eastAsia="zh-CN"/>
              </w:rPr>
              <w:t>”</w:t>
            </w:r>
            <w:r w:rsidRPr="00BF30AB">
              <w:rPr>
                <w:lang w:eastAsia="zh-CN"/>
              </w:rPr>
              <w:t>规划教材</w:t>
            </w:r>
          </w:p>
        </w:tc>
      </w:tr>
      <w:tr w:rsidTr="00317362">
        <w:tblPrEx>
          <w:tblW w:w="5000" w:type="pct"/>
          <w:jc w:val="center"/>
          <w:tblCellMar>
            <w:left w:w="0" w:type="dxa"/>
            <w:right w:w="0" w:type="dxa"/>
          </w:tblCellMar>
          <w:tblLook w:val="01E0"/>
        </w:tblPrEx>
        <w:trPr>
          <w:jc w:val="center"/>
        </w:trPr>
        <w:tc>
          <w:tcPr>
            <w:tcW w:w="404"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4</w:t>
            </w:r>
          </w:p>
        </w:tc>
        <w:tc>
          <w:tcPr>
            <w:tcW w:w="12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《推销技巧与实战（第二版）》</w:t>
            </w:r>
          </w:p>
        </w:tc>
        <w:tc>
          <w:tcPr>
            <w:tcW w:w="1158"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清华大学出版社</w:t>
            </w:r>
          </w:p>
        </w:tc>
        <w:tc>
          <w:tcPr>
            <w:tcW w:w="463"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r w:rsidRPr="00BF30AB">
              <w:t>2012</w:t>
            </w:r>
          </w:p>
        </w:tc>
        <w:tc>
          <w:tcPr>
            <w:tcW w:w="1712" w:type="pct"/>
            <w:tcBorders>
              <w:top w:val="single" w:sz="8" w:space="0" w:color="000000"/>
              <w:left w:val="single" w:sz="8" w:space="0" w:color="000000"/>
              <w:bottom w:val="single" w:sz="8" w:space="0" w:color="000000"/>
              <w:right w:val="single" w:sz="8" w:space="0" w:color="000000"/>
            </w:tcBorders>
            <w:vAlign w:val="center"/>
          </w:tcPr>
          <w:p w:rsidR="00317362" w:rsidRPr="00BF30AB" w:rsidP="00F3535D">
            <w:pPr>
              <w:rPr>
                <w:lang w:eastAsia="zh-CN"/>
              </w:rPr>
            </w:pPr>
            <w:r w:rsidRPr="00BF30AB">
              <w:rPr>
                <w:lang w:eastAsia="zh-CN"/>
              </w:rPr>
              <w:t>新世纪高职高专课程与实</w:t>
            </w:r>
            <w:r w:rsidRPr="00BF30AB">
              <w:rPr>
                <w:lang w:eastAsia="zh-CN"/>
              </w:rPr>
              <w:t>训系列</w:t>
            </w:r>
            <w:r w:rsidRPr="00BF30AB">
              <w:rPr>
                <w:lang w:eastAsia="zh-CN"/>
              </w:rPr>
              <w:t>教材</w:t>
            </w:r>
          </w:p>
        </w:tc>
      </w:tr>
    </w:tbl>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专业群与企业开展深度合作，根据专业群各专业的特色优势，开发新型课程和课程资源，例如物流专业与企业共同开发《农产品电商仓储与配送》、《农产品国际物流》等课程，电子商务专业与</w:t>
      </w:r>
      <w:r>
        <w:rPr>
          <w:rFonts w:ascii="宋体" w:eastAsia="宋体" w:hAnsi="宋体"/>
          <w:sz w:val="24"/>
          <w:szCs w:val="24"/>
          <w:lang w:eastAsia="zh-CN"/>
        </w:rPr>
        <w:t>企业</w:t>
      </w:r>
      <w:r w:rsidRPr="003D6F09">
        <w:rPr>
          <w:rFonts w:ascii="宋体" w:eastAsia="宋体" w:hAnsi="宋体"/>
          <w:sz w:val="24"/>
          <w:szCs w:val="24"/>
          <w:lang w:eastAsia="zh-CN"/>
        </w:rPr>
        <w:t>根据典型岗位需求共同开发《</w:t>
      </w:r>
      <w:r>
        <w:rPr>
          <w:rFonts w:ascii="宋体" w:eastAsia="宋体" w:hAnsi="宋体"/>
          <w:sz w:val="24"/>
          <w:szCs w:val="24"/>
          <w:lang w:eastAsia="zh-CN"/>
        </w:rPr>
        <w:t>湛江市</w:t>
      </w:r>
      <w:r w:rsidRPr="003D6F09">
        <w:rPr>
          <w:rFonts w:ascii="宋体" w:eastAsia="宋体" w:hAnsi="宋体"/>
          <w:sz w:val="24"/>
          <w:szCs w:val="24"/>
          <w:lang w:eastAsia="zh-CN"/>
        </w:rPr>
        <w:t>网上销售农产品技能教程》，同时组织学生实战销售</w:t>
      </w:r>
      <w:r>
        <w:rPr>
          <w:rFonts w:ascii="宋体" w:eastAsia="宋体" w:hAnsi="宋体"/>
          <w:sz w:val="24"/>
          <w:szCs w:val="24"/>
          <w:lang w:eastAsia="zh-CN"/>
        </w:rPr>
        <w:t>湛江</w:t>
      </w:r>
      <w:r w:rsidRPr="003D6F09">
        <w:rPr>
          <w:rFonts w:ascii="宋体" w:eastAsia="宋体" w:hAnsi="宋体"/>
          <w:sz w:val="24"/>
          <w:szCs w:val="24"/>
          <w:lang w:eastAsia="zh-CN"/>
        </w:rPr>
        <w:t>特色农产品如荔枝、龙眼等，将理论与实践结合，提升职业技能。</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4.教学能力一流</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w:t>
      </w:r>
      <w:r w:rsidRPr="003D6F09">
        <w:rPr>
          <w:rFonts w:ascii="宋体" w:eastAsia="宋体" w:hAnsi="宋体"/>
          <w:sz w:val="24"/>
          <w:szCs w:val="24"/>
          <w:lang w:eastAsia="zh-CN"/>
        </w:rPr>
        <w:t>群通过</w:t>
      </w:r>
      <w:r w:rsidRPr="003D6F09">
        <w:rPr>
          <w:rFonts w:ascii="宋体" w:eastAsia="宋体" w:hAnsi="宋体"/>
          <w:sz w:val="24"/>
          <w:szCs w:val="24"/>
          <w:lang w:eastAsia="zh-CN"/>
        </w:rPr>
        <w:t>参与政府、企业项目、技能培训、人才引进等途径，鼓励教师到行业企业实践锻炼，培养教师的教学能力，将行业前沿知识技术深度融入课堂教学中，教师的教学能力显著提升，专业</w:t>
      </w:r>
      <w:r w:rsidRPr="003D6F09">
        <w:rPr>
          <w:rFonts w:ascii="宋体" w:eastAsia="宋体" w:hAnsi="宋体"/>
          <w:sz w:val="24"/>
          <w:szCs w:val="24"/>
          <w:lang w:eastAsia="zh-CN"/>
        </w:rPr>
        <w:t>群教师</w:t>
      </w:r>
      <w:r w:rsidRPr="003D6F09">
        <w:rPr>
          <w:rFonts w:ascii="宋体" w:eastAsia="宋体" w:hAnsi="宋体"/>
          <w:sz w:val="24"/>
          <w:szCs w:val="24"/>
          <w:lang w:eastAsia="zh-CN"/>
        </w:rPr>
        <w:t>参加广东省职业院校技能大赛教师教学能力比赛获得省级奖项13项。</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5.科研成果丰硕</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w:t>
      </w:r>
      <w:r w:rsidRPr="003D6F09">
        <w:rPr>
          <w:rFonts w:ascii="宋体" w:eastAsia="宋体" w:hAnsi="宋体"/>
          <w:sz w:val="24"/>
          <w:szCs w:val="24"/>
          <w:lang w:eastAsia="zh-CN"/>
        </w:rPr>
        <w:t>群科研</w:t>
      </w:r>
      <w:r w:rsidRPr="003D6F09">
        <w:rPr>
          <w:rFonts w:ascii="宋体" w:eastAsia="宋体" w:hAnsi="宋体"/>
          <w:sz w:val="24"/>
          <w:szCs w:val="24"/>
          <w:lang w:eastAsia="zh-CN"/>
        </w:rPr>
        <w:t>聚焦农村电商发展需求侧，科研团队主持省级科研项目20项，市级项目26项，发表核心期刊论文32篇、EI检索5</w:t>
      </w:r>
      <w:r>
        <w:rPr>
          <w:rFonts w:ascii="宋体" w:eastAsia="宋体" w:hAnsi="宋体"/>
          <w:sz w:val="24"/>
          <w:szCs w:val="24"/>
          <w:lang w:eastAsia="zh-CN"/>
        </w:rPr>
        <w:t>篇，相关成果被政府采纳</w:t>
      </w:r>
      <w:r w:rsidRPr="003D6F09">
        <w:rPr>
          <w:rFonts w:ascii="宋体" w:eastAsia="宋体" w:hAnsi="宋体"/>
          <w:sz w:val="24"/>
          <w:szCs w:val="24"/>
          <w:lang w:eastAsia="zh-CN"/>
        </w:rPr>
        <w:t>。</w:t>
      </w:r>
    </w:p>
    <w:p w:rsidR="00317362" w:rsidRPr="003D6F09" w:rsidP="00317362">
      <w:pPr>
        <w:spacing w:after="0" w:line="360" w:lineRule="auto"/>
        <w:ind w:firstLine="480" w:firstLineChars="200"/>
        <w:rPr>
          <w:rFonts w:ascii="宋体" w:eastAsia="宋体" w:hAnsi="宋体"/>
          <w:sz w:val="24"/>
          <w:szCs w:val="24"/>
          <w:lang w:eastAsia="zh-CN"/>
        </w:rPr>
        <w:sectPr w:rsidSect="00317362">
          <w:footerReference w:type="default" r:id="rId14"/>
          <w:type w:val="nextPage"/>
          <w:pgSz w:w="11906" w:h="16838"/>
          <w:pgMar w:top="1304" w:right="1304" w:bottom="1304" w:left="1304" w:header="851" w:footer="992" w:gutter="0"/>
          <w:pgNumType w:start="8"/>
          <w:cols w:space="425"/>
          <w:titlePg w:val="0"/>
          <w:docGrid w:type="lines" w:linePitch="312"/>
        </w:sectPr>
      </w:pPr>
      <w:r w:rsidRPr="003D6F09">
        <w:rPr>
          <w:rFonts w:ascii="宋体" w:eastAsia="宋体" w:hAnsi="宋体"/>
          <w:sz w:val="24"/>
          <w:szCs w:val="24"/>
          <w:lang w:eastAsia="zh-CN"/>
        </w:rPr>
        <w:t>6.人才培养素质高</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专业群立足农产品电商运营，培养具备电商平台操作能力、网络营销能力、物流管理</w:t>
      </w:r>
      <w:r w:rsidRPr="003D6F09">
        <w:rPr>
          <w:rFonts w:ascii="宋体" w:eastAsia="宋体" w:hAnsi="宋体"/>
          <w:sz w:val="24"/>
          <w:szCs w:val="24"/>
          <w:lang w:eastAsia="zh-CN"/>
        </w:rPr>
        <w:t>能力、外贸运作能力的农产品流通综合性人才，强化职业能力培养，学生职业技能得到全面提升，在职业技能竞赛中屡获佳绩，先后获得广东省教育厅奖项35次，其中一等奖10次。</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在就业方面，据麦可</w:t>
      </w:r>
      <w:r w:rsidRPr="003D6F09">
        <w:rPr>
          <w:rFonts w:ascii="宋体" w:eastAsia="宋体" w:hAnsi="宋体"/>
          <w:sz w:val="24"/>
          <w:szCs w:val="24"/>
          <w:lang w:eastAsia="zh-CN"/>
        </w:rPr>
        <w:t>思报告</w:t>
      </w:r>
      <w:r w:rsidRPr="003D6F09">
        <w:rPr>
          <w:rFonts w:ascii="宋体" w:eastAsia="宋体" w:hAnsi="宋体"/>
          <w:sz w:val="24"/>
          <w:szCs w:val="24"/>
          <w:lang w:eastAsia="zh-CN"/>
        </w:rPr>
        <w:t>显示，专业群2020届毕业生初次就业率为92.3%，基本实现充分就业，毕业生出口畅通，专业的社会需求和社会认可度高。2020届毕业生就业满意度比2019届提高10%，专业群各专业的毕业生就业岗位适应性、职业能力达成度、通用能力达成度、对教学的满意度、对专业核心课程评价、对实习实践综合评价等指标均普遍高于学校均值。</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7.社会服务效果好</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一是打造“农产品电商孵化平台”，为</w:t>
      </w:r>
      <w:r>
        <w:rPr>
          <w:rFonts w:ascii="宋体" w:eastAsia="宋体" w:hAnsi="宋体"/>
          <w:sz w:val="24"/>
          <w:szCs w:val="24"/>
          <w:lang w:eastAsia="zh-CN"/>
        </w:rPr>
        <w:t>湛江</w:t>
      </w:r>
      <w:r w:rsidRPr="003D6F09">
        <w:rPr>
          <w:rFonts w:ascii="宋体" w:eastAsia="宋体" w:hAnsi="宋体"/>
          <w:sz w:val="24"/>
          <w:szCs w:val="24"/>
          <w:lang w:eastAsia="zh-CN"/>
        </w:rPr>
        <w:t>农产品电子商务品牌塑造、平台运营和技术支持提供服务，每年孵化农产品特色基地1-2个。二是专业群师生与</w:t>
      </w:r>
      <w:r>
        <w:rPr>
          <w:rFonts w:ascii="宋体" w:eastAsia="宋体" w:hAnsi="宋体"/>
          <w:sz w:val="24"/>
          <w:szCs w:val="24"/>
          <w:lang w:eastAsia="zh-CN"/>
        </w:rPr>
        <w:t>企业</w:t>
      </w:r>
      <w:r w:rsidRPr="003D6F09">
        <w:rPr>
          <w:rFonts w:ascii="宋体" w:eastAsia="宋体" w:hAnsi="宋体"/>
          <w:sz w:val="24"/>
          <w:szCs w:val="24"/>
          <w:lang w:eastAsia="zh-CN"/>
        </w:rPr>
        <w:t>合作，下乡“一对一”帮扶农民，带动农产品销售200余万元。三是创建“乐农派”助农平台，开辟“三农动态”、“助农培训”、“惠农答疑”等专栏精准扶智，惠及180条省定贫困村，受益社群30000余人。四是利用科研成果、师资、场地等资源，对村民进行电商技术、经营管理、农产品加工与营销等方面的培训，帮助近3000名农民提升电子商务操作技能，农产品有关技术培训21982人次。五是制定广东省地方标准：《”北斗”+智慧物流定位跟踪教学实训平台技术设计规划》、《“北斗”+智慧物流集装箱管理教学实训平台技术设计规划》、《“北斗”+智慧物流冷链运输教学实训平台技术设计规划》；获得广东省物流标准化技术委员会颁发的行业企业行为标准。六是承接</w:t>
      </w:r>
      <w:r>
        <w:rPr>
          <w:rFonts w:ascii="宋体" w:eastAsia="宋体" w:hAnsi="宋体"/>
          <w:sz w:val="24"/>
          <w:szCs w:val="24"/>
          <w:lang w:eastAsia="zh-CN"/>
        </w:rPr>
        <w:t>湛江市</w:t>
      </w:r>
      <w:r w:rsidRPr="003D6F09">
        <w:rPr>
          <w:rFonts w:ascii="宋体" w:eastAsia="宋体" w:hAnsi="宋体"/>
          <w:sz w:val="24"/>
          <w:szCs w:val="24"/>
          <w:lang w:eastAsia="zh-CN"/>
        </w:rPr>
        <w:t>委组织部“村官大学生学历教育培训”，为粤西乡村培养具有大专学历的村官1709名。七是推动新型职业农民培训基地建设，建成村镇人才培养实践基地6个、</w:t>
      </w:r>
      <w:r w:rsidRPr="003D6F09">
        <w:rPr>
          <w:rFonts w:ascii="宋体" w:eastAsia="宋体" w:hAnsi="宋体"/>
          <w:sz w:val="24"/>
          <w:szCs w:val="24"/>
          <w:lang w:eastAsia="zh-CN"/>
        </w:rPr>
        <w:t>校村共</w:t>
      </w:r>
      <w:r w:rsidRPr="003D6F09">
        <w:rPr>
          <w:rFonts w:ascii="宋体" w:eastAsia="宋体" w:hAnsi="宋体"/>
          <w:sz w:val="24"/>
          <w:szCs w:val="24"/>
          <w:lang w:eastAsia="zh-CN"/>
        </w:rPr>
        <w:t>育人才培养基地2个。</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8.积极开展国际交流与合作</w:t>
      </w:r>
    </w:p>
    <w:p w:rsidR="00317362" w:rsidP="00317362">
      <w:pPr>
        <w:spacing w:after="0" w:line="360" w:lineRule="auto"/>
        <w:ind w:firstLine="480" w:firstLineChars="200"/>
        <w:rPr>
          <w:rFonts w:ascii="宋体" w:eastAsia="宋体" w:hAnsi="宋体" w:hint="eastAsia"/>
          <w:sz w:val="24"/>
          <w:szCs w:val="24"/>
          <w:lang w:eastAsia="zh-CN"/>
        </w:rPr>
      </w:pPr>
      <w:r w:rsidRPr="003D6F09">
        <w:rPr>
          <w:rFonts w:ascii="宋体" w:eastAsia="宋体" w:hAnsi="宋体"/>
          <w:sz w:val="24"/>
          <w:szCs w:val="24"/>
          <w:lang w:eastAsia="zh-CN"/>
        </w:rPr>
        <w:t>专业群建设紧紧围绕“一带一路”倡议、粤港澳大湾区国家战略部署，为进一步适应对外开放形势的需要，选派12名教师参加相关教学、学术交流进修项目，拓宽专业群师资团队的国际化视野，引入先进教育理念和其它优质国际教育资源，促进专业群的专业建设以及课程改革。同时，专业</w:t>
      </w:r>
      <w:r w:rsidRPr="003D6F09">
        <w:rPr>
          <w:rFonts w:ascii="宋体" w:eastAsia="宋体" w:hAnsi="宋体"/>
          <w:sz w:val="24"/>
          <w:szCs w:val="24"/>
          <w:lang w:eastAsia="zh-CN"/>
        </w:rPr>
        <w:t>群利用</w:t>
      </w:r>
      <w:r w:rsidRPr="003D6F09">
        <w:rPr>
          <w:rFonts w:ascii="宋体" w:eastAsia="宋体" w:hAnsi="宋体"/>
          <w:sz w:val="24"/>
          <w:szCs w:val="24"/>
          <w:lang w:eastAsia="zh-CN"/>
        </w:rPr>
        <w:t>多种渠道积极组织学生参加国际交流访问等活动，通过这些活动，拓展学生的眼界、丰富学习阅历、提升综合素质，培养学生的国际化视野与思维。</w:t>
      </w:r>
    </w:p>
    <w:p w:rsidR="00317362" w:rsidRPr="007F18F4" w:rsidP="00317362">
      <w:pPr>
        <w:spacing w:after="0" w:line="360" w:lineRule="auto"/>
        <w:ind w:firstLine="480" w:firstLineChars="200"/>
        <w:rPr>
          <w:rFonts w:ascii="宋体" w:eastAsia="宋体" w:hAnsi="宋体" w:hint="eastAsia"/>
          <w:b/>
          <w:sz w:val="24"/>
          <w:szCs w:val="24"/>
          <w:lang w:eastAsia="zh-CN"/>
        </w:rPr>
        <w:sectPr w:rsidSect="00317362">
          <w:footerReference w:type="default" r:id="rId15"/>
          <w:type w:val="nextPage"/>
          <w:pgSz w:w="11906" w:h="16838"/>
          <w:pgMar w:top="1304" w:right="1304" w:bottom="1304" w:left="1304" w:header="851" w:footer="992" w:gutter="0"/>
          <w:pgNumType w:start="9"/>
          <w:cols w:space="425"/>
          <w:titlePg w:val="0"/>
          <w:docGrid w:type="lines" w:linePitch="312"/>
        </w:sectPr>
      </w:pPr>
      <w:r w:rsidRPr="007F18F4">
        <w:rPr>
          <w:rFonts w:ascii="宋体" w:eastAsia="宋体" w:hAnsi="宋体"/>
          <w:b/>
          <w:sz w:val="24"/>
          <w:szCs w:val="24"/>
          <w:lang w:eastAsia="zh-CN"/>
        </w:rPr>
        <w:t>三、建设目标</w:t>
      </w:r>
    </w:p>
    <w:p w:rsidR="00317362" w:rsidRPr="007F18F4" w:rsidP="00317362">
      <w:pPr>
        <w:spacing w:after="0" w:line="360" w:lineRule="auto"/>
        <w:ind w:firstLine="480" w:firstLineChars="200"/>
        <w:rPr>
          <w:rFonts w:ascii="宋体" w:eastAsia="宋体" w:hAnsi="宋体" w:hint="eastAsia"/>
          <w:b/>
          <w:sz w:val="24"/>
          <w:szCs w:val="24"/>
          <w:lang w:eastAsia="zh-CN"/>
        </w:rPr>
      </w:pPr>
      <w:r w:rsidRPr="007F18F4">
        <w:rPr>
          <w:rFonts w:ascii="宋体" w:eastAsia="宋体" w:hAnsi="宋体"/>
          <w:b/>
          <w:sz w:val="24"/>
          <w:szCs w:val="24"/>
          <w:lang w:eastAsia="zh-CN"/>
        </w:rPr>
        <w:t>（一）标杆分析</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通过对省内高职院校的电子商务专业群进行分析，我们将广东科学技术职业学院电子商务专业群和广东轻工职业技术学院电子商务专业作为标杆，并对这两所学校在综合实力、师资力量、实训条件、标志性成果、校企合作、社会服务等方面进行了重点分析。</w:t>
      </w:r>
    </w:p>
    <w:p w:rsidR="00317362" w:rsidP="00317362">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标杆建设单位</w:t>
      </w:r>
      <w:r w:rsidRPr="003D6F09">
        <w:rPr>
          <w:rFonts w:ascii="宋体" w:eastAsia="宋体" w:hAnsi="宋体"/>
          <w:sz w:val="24"/>
          <w:szCs w:val="24"/>
          <w:lang w:eastAsia="zh-CN"/>
        </w:rPr>
        <w:t>：</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群标杆基本情况介绍：电子商务专业</w:t>
      </w:r>
      <w:r w:rsidRPr="003D6F09">
        <w:rPr>
          <w:rFonts w:ascii="宋体" w:eastAsia="宋体" w:hAnsi="宋体"/>
          <w:sz w:val="24"/>
          <w:szCs w:val="24"/>
          <w:lang w:eastAsia="zh-CN"/>
        </w:rPr>
        <w:t>群基础</w:t>
      </w:r>
      <w:r w:rsidRPr="003D6F09">
        <w:rPr>
          <w:rFonts w:ascii="宋体" w:eastAsia="宋体" w:hAnsi="宋体"/>
          <w:sz w:val="24"/>
          <w:szCs w:val="24"/>
          <w:lang w:eastAsia="zh-CN"/>
        </w:rPr>
        <w:t>扎实，综合实力强，办学条件优；主要针对电子商务产业链上生产制造企业、零售企业、贸易商、电子商务运营商、物流服务企业等高端技术技能人才需求，培养具有国际视野和互联网思维，具备商务数据分析能力、市场调研与分析能力、营销推广能力、国内+跨境电子商务运营能力、物流与供应链管理能力的高素质复合型技术技能人才。</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表4：与</w:t>
      </w:r>
      <w:r>
        <w:rPr>
          <w:rFonts w:ascii="宋体" w:eastAsia="宋体" w:hAnsi="宋体" w:hint="eastAsia"/>
          <w:sz w:val="24"/>
          <w:szCs w:val="24"/>
          <w:lang w:eastAsia="zh-CN"/>
        </w:rPr>
        <w:t>学校（1）</w:t>
      </w:r>
      <w:r w:rsidRPr="003D6F09">
        <w:rPr>
          <w:rFonts w:ascii="宋体" w:eastAsia="宋体" w:hAnsi="宋体"/>
          <w:sz w:val="24"/>
          <w:szCs w:val="24"/>
          <w:lang w:eastAsia="zh-CN"/>
        </w:rPr>
        <w:t>电子商务专业群对比指标</w:t>
      </w:r>
    </w:p>
    <w:tbl>
      <w:tblPr>
        <w:tblStyle w:val="TableNormal"/>
        <w:tblW w:w="5000" w:type="pct"/>
        <w:jc w:val="center"/>
        <w:tblCellMar>
          <w:left w:w="0" w:type="dxa"/>
          <w:right w:w="0" w:type="dxa"/>
        </w:tblCellMar>
        <w:tblLook w:val="01E0"/>
      </w:tblPr>
      <w:tblGrid>
        <w:gridCol w:w="1678"/>
        <w:gridCol w:w="2472"/>
        <w:gridCol w:w="2511"/>
        <w:gridCol w:w="2647"/>
      </w:tblGrid>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shd w:val="clear" w:color="auto" w:fill="DEEBF6"/>
            <w:vAlign w:val="center"/>
          </w:tcPr>
          <w:p w:rsidR="00317362" w:rsidRPr="00BF30AB" w:rsidP="00F3535D">
            <w:pPr>
              <w:jc w:val="center"/>
              <w:rPr>
                <w:b/>
              </w:rPr>
            </w:pPr>
            <w:r w:rsidRPr="00BF30AB">
              <w:rPr>
                <w:b/>
              </w:rPr>
              <w:t>比较指标</w:t>
            </w:r>
          </w:p>
        </w:tc>
        <w:tc>
          <w:tcPr>
            <w:tcW w:w="1328" w:type="pct"/>
            <w:tcBorders>
              <w:top w:val="single" w:sz="4" w:space="0" w:color="000000"/>
              <w:left w:val="single" w:sz="4" w:space="0" w:color="000000"/>
              <w:bottom w:val="single" w:sz="4" w:space="0" w:color="000000"/>
              <w:right w:val="single" w:sz="4" w:space="0" w:color="000000"/>
            </w:tcBorders>
            <w:shd w:val="clear" w:color="auto" w:fill="DEEBF6"/>
            <w:vAlign w:val="center"/>
          </w:tcPr>
          <w:p w:rsidR="00317362" w:rsidRPr="00BF30AB" w:rsidP="00F3535D">
            <w:pPr>
              <w:jc w:val="center"/>
              <w:rPr>
                <w:b/>
                <w:lang w:eastAsia="zh-CN"/>
              </w:rPr>
            </w:pPr>
            <w:r>
              <w:rPr>
                <w:rFonts w:hint="eastAsia"/>
                <w:b/>
                <w:lang w:eastAsia="zh-CN"/>
              </w:rPr>
              <w:t>学校</w:t>
            </w:r>
            <w:r>
              <w:rPr>
                <w:rFonts w:hint="eastAsia"/>
                <w:b/>
                <w:lang w:eastAsia="zh-CN"/>
              </w:rPr>
              <w:t>1</w:t>
            </w:r>
          </w:p>
        </w:tc>
        <w:tc>
          <w:tcPr>
            <w:tcW w:w="1349" w:type="pct"/>
            <w:tcBorders>
              <w:top w:val="single" w:sz="4" w:space="0" w:color="000000"/>
              <w:left w:val="single" w:sz="4" w:space="0" w:color="000000"/>
              <w:bottom w:val="single" w:sz="4" w:space="0" w:color="000000"/>
              <w:right w:val="single" w:sz="4" w:space="0" w:color="000000"/>
            </w:tcBorders>
            <w:shd w:val="clear" w:color="auto" w:fill="DEEBF6"/>
            <w:vAlign w:val="center"/>
          </w:tcPr>
          <w:p w:rsidR="00317362" w:rsidRPr="00BF30AB" w:rsidP="00F3535D">
            <w:pPr>
              <w:jc w:val="center"/>
              <w:rPr>
                <w:b/>
                <w:lang w:eastAsia="zh-CN"/>
              </w:rPr>
            </w:pPr>
            <w:r>
              <w:rPr>
                <w:rFonts w:hint="eastAsia"/>
                <w:b/>
                <w:lang w:eastAsia="zh-CN"/>
              </w:rPr>
              <w:t>学校</w:t>
            </w:r>
            <w:r>
              <w:rPr>
                <w:rFonts w:hint="eastAsia"/>
                <w:b/>
                <w:lang w:eastAsia="zh-CN"/>
              </w:rPr>
              <w:t>2</w:t>
            </w:r>
          </w:p>
        </w:tc>
        <w:tc>
          <w:tcPr>
            <w:tcW w:w="1422" w:type="pct"/>
            <w:tcBorders>
              <w:top w:val="single" w:sz="4" w:space="0" w:color="000000"/>
              <w:left w:val="single" w:sz="4" w:space="0" w:color="000000"/>
              <w:bottom w:val="single" w:sz="4" w:space="0" w:color="000000"/>
              <w:right w:val="single" w:sz="4" w:space="0" w:color="000000"/>
            </w:tcBorders>
            <w:shd w:val="clear" w:color="auto" w:fill="DEEBF6"/>
            <w:vAlign w:val="center"/>
          </w:tcPr>
          <w:p w:rsidR="00317362" w:rsidRPr="00BF30AB" w:rsidP="00F3535D">
            <w:pPr>
              <w:jc w:val="center"/>
              <w:rPr>
                <w:b/>
              </w:rPr>
            </w:pPr>
            <w:r w:rsidRPr="00BF30AB">
              <w:rPr>
                <w:b/>
              </w:rPr>
              <w:t>差异比较</w:t>
            </w: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群内专业</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对接产业链</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服务面向</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教学成果</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教学资源</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师资团队</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实践条件</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学生竞赛获奖</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国际交流与合作</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r w:rsidTr="00F3535D">
        <w:tblPrEx>
          <w:tblW w:w="5000" w:type="pct"/>
          <w:jc w:val="center"/>
          <w:tblCellMar>
            <w:left w:w="0" w:type="dxa"/>
            <w:right w:w="0" w:type="dxa"/>
          </w:tblCellMar>
          <w:tblLook w:val="01E0"/>
        </w:tblPrEx>
        <w:trPr>
          <w:jc w:val="center"/>
        </w:trPr>
        <w:tc>
          <w:tcPr>
            <w:tcW w:w="901"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r w:rsidRPr="00BF30AB">
              <w:t>社会影响力</w:t>
            </w:r>
          </w:p>
        </w:tc>
        <w:tc>
          <w:tcPr>
            <w:tcW w:w="1328"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tc>
        <w:tc>
          <w:tcPr>
            <w:tcW w:w="1349"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c>
          <w:tcPr>
            <w:tcW w:w="1422" w:type="pct"/>
            <w:tcBorders>
              <w:top w:val="single" w:sz="4" w:space="0" w:color="000000"/>
              <w:left w:val="single" w:sz="4" w:space="0" w:color="000000"/>
              <w:bottom w:val="single" w:sz="4" w:space="0" w:color="000000"/>
              <w:right w:val="single" w:sz="4" w:space="0" w:color="000000"/>
            </w:tcBorders>
            <w:vAlign w:val="center"/>
          </w:tcPr>
          <w:p w:rsidR="00317362" w:rsidRPr="00BF30AB" w:rsidP="00F3535D">
            <w:pPr>
              <w:rPr>
                <w:lang w:eastAsia="zh-CN"/>
              </w:rPr>
            </w:pPr>
          </w:p>
        </w:tc>
      </w:tr>
    </w:tbl>
    <w:p w:rsidR="00317362" w:rsidRPr="00BF30AB" w:rsidP="00317362">
      <w:pPr>
        <w:spacing w:after="0" w:line="360" w:lineRule="auto"/>
        <w:ind w:firstLine="480" w:firstLineChars="200"/>
        <w:rPr>
          <w:rFonts w:ascii="宋体" w:eastAsia="宋体" w:hAnsi="宋体"/>
          <w:b/>
          <w:sz w:val="24"/>
          <w:szCs w:val="24"/>
          <w:lang w:eastAsia="zh-CN"/>
        </w:rPr>
      </w:pPr>
      <w:r w:rsidRPr="00BF30AB">
        <w:rPr>
          <w:rFonts w:ascii="宋体" w:eastAsia="宋体" w:hAnsi="宋体"/>
          <w:b/>
          <w:sz w:val="24"/>
          <w:szCs w:val="24"/>
          <w:lang w:eastAsia="zh-CN"/>
        </w:rPr>
        <w:t>（二）本专业</w:t>
      </w:r>
      <w:r w:rsidRPr="00BF30AB">
        <w:rPr>
          <w:rFonts w:ascii="宋体" w:eastAsia="宋体" w:hAnsi="宋体"/>
          <w:b/>
          <w:sz w:val="24"/>
          <w:szCs w:val="24"/>
          <w:lang w:eastAsia="zh-CN"/>
        </w:rPr>
        <w:t>群重点</w:t>
      </w:r>
      <w:r w:rsidRPr="00BF30AB">
        <w:rPr>
          <w:rFonts w:ascii="宋体" w:eastAsia="宋体" w:hAnsi="宋体"/>
          <w:b/>
          <w:sz w:val="24"/>
          <w:szCs w:val="24"/>
          <w:lang w:eastAsia="zh-CN"/>
        </w:rPr>
        <w:t>建设领域及建设目标</w:t>
      </w:r>
    </w:p>
    <w:p w:rsidR="00317362"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t>1.本专业</w:t>
      </w:r>
      <w:r w:rsidRPr="003D6F09">
        <w:rPr>
          <w:rFonts w:ascii="宋体" w:eastAsia="宋体" w:hAnsi="宋体"/>
          <w:sz w:val="24"/>
          <w:szCs w:val="24"/>
          <w:lang w:eastAsia="zh-CN"/>
        </w:rPr>
        <w:t>群重点</w:t>
      </w:r>
      <w:r w:rsidRPr="003D6F09">
        <w:rPr>
          <w:rFonts w:ascii="宋体" w:eastAsia="宋体" w:hAnsi="宋体"/>
          <w:sz w:val="24"/>
          <w:szCs w:val="24"/>
          <w:lang w:eastAsia="zh-CN"/>
        </w:rPr>
        <w:t>建设领域</w:t>
      </w:r>
    </w:p>
    <w:p w:rsidR="00317362" w:rsidRPr="003D6F09" w:rsidP="00317362">
      <w:pPr>
        <w:spacing w:after="0" w:line="360" w:lineRule="auto"/>
        <w:ind w:firstLine="480" w:firstLineChars="200"/>
        <w:rPr>
          <w:rFonts w:ascii="宋体" w:eastAsia="宋体" w:hAnsi="宋体"/>
          <w:sz w:val="24"/>
          <w:szCs w:val="24"/>
          <w:lang w:eastAsia="zh-CN"/>
        </w:rPr>
      </w:pPr>
      <w:r w:rsidRPr="003D6F09">
        <w:rPr>
          <w:rFonts w:ascii="宋体" w:eastAsia="宋体" w:hAnsi="宋体"/>
          <w:sz w:val="24"/>
          <w:szCs w:val="24"/>
          <w:lang w:eastAsia="zh-CN"/>
        </w:rPr>
        <w:br/>
      </w:r>
      <w:r w:rsidRPr="003D6F09">
        <w:rPr>
          <w:rFonts w:ascii="宋体" w:eastAsia="宋体" w:hAnsi="宋体"/>
          <w:sz w:val="24"/>
          <w:szCs w:val="24"/>
          <w:lang w:eastAsia="zh-CN"/>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https://d.book118.com/048016031023006025</w:t>
        </w:r>
      </w:hyperlink>
    </w:p>
    <w:p w:rsidR="00317362" w:rsidRPr="003D6F09" w:rsidP="00317362">
      <w:pPr>
        <w:spacing w:after="0" w:line="360" w:lineRule="auto"/>
        <w:ind w:firstLine="480" w:firstLineChars="200"/>
        <w:rPr>
          <w:rFonts w:ascii="宋体" w:eastAsia="宋体" w:hAnsi="宋体"/>
          <w:sz w:val="24"/>
          <w:szCs w:val="24"/>
          <w:lang w:eastAsia="zh-CN"/>
        </w:rPr>
      </w:pPr>
    </w:p>
    <w:sectPr w:rsidSect="00317362">
      <w:footerReference w:type="default" r:id="rId17"/>
      <w:type w:val="nextPage"/>
      <w:pgSz w:w="11906" w:h="16838"/>
      <w:pgMar w:top="1304" w:right="1304" w:bottom="1304" w:left="1304"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4065611"/>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1838080"/>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484564"/>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0019487"/>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2504086"/>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5867530"/>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6</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7305785"/>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7</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692885"/>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8</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7042158"/>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9</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9122602"/>
      <w:docPartObj>
        <w:docPartGallery w:val="Page Numbers (Bottom of Page)"/>
        <w:docPartUnique/>
      </w:docPartObj>
    </w:sdtPr>
    <w:sdtContent>
      <w:p w:rsidR="00317362" w:rsidP="00317362">
        <w:pPr>
          <w:pStyle w:val="Footer"/>
          <w:jc w:val="center"/>
          <w:rPr>
            <w:rFonts w:hint="eastAsia"/>
          </w:rPr>
        </w:pPr>
        <w:r>
          <w:fldChar w:fldCharType="begin"/>
        </w:r>
        <w:r>
          <w:instrText>PAGE   \* MERGEFORMAT</w:instrText>
        </w:r>
        <w:r>
          <w:fldChar w:fldCharType="separate"/>
        </w:r>
        <w:r w:rsidRPr="00317362">
          <w:rPr>
            <w:noProof/>
            <w:lang w:val="zh-CN" w:eastAsia="zh-CN"/>
          </w:rPr>
          <w:t>10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362"/>
    <w:rsid w:val="00165B65"/>
    <w:rsid w:val="00317362"/>
    <w:rsid w:val="003D6F09"/>
    <w:rsid w:val="0079236A"/>
    <w:rsid w:val="007F18F4"/>
    <w:rsid w:val="00BF30AB"/>
    <w:rsid w:val="00E42257"/>
    <w:rsid w:val="00F1145E"/>
    <w:rsid w:val="00F3535D"/>
    <w:rsid w:val="00FD6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362"/>
    <w:pPr>
      <w:widowControl w:val="0"/>
      <w:spacing w:after="200" w:line="276" w:lineRule="auto"/>
    </w:pPr>
    <w:rPr>
      <w:kern w:val="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317362"/>
    <w:pPr>
      <w:spacing w:after="0" w:line="240" w:lineRule="auto"/>
    </w:pPr>
    <w:rPr>
      <w:sz w:val="18"/>
      <w:szCs w:val="18"/>
    </w:rPr>
  </w:style>
  <w:style w:type="character" w:customStyle="1" w:styleId="Char">
    <w:name w:val="批注框文本 Char"/>
    <w:basedOn w:val="DefaultParagraphFont"/>
    <w:link w:val="BalloonText"/>
    <w:uiPriority w:val="99"/>
    <w:semiHidden/>
    <w:rsid w:val="00317362"/>
    <w:rPr>
      <w:kern w:val="0"/>
      <w:sz w:val="18"/>
      <w:szCs w:val="18"/>
      <w:lang w:eastAsia="en-US"/>
    </w:rPr>
  </w:style>
  <w:style w:type="character" w:styleId="Hyperlink">
    <w:name w:val="Hyperlink"/>
    <w:basedOn w:val="DefaultParagraphFont"/>
    <w:uiPriority w:val="99"/>
    <w:unhideWhenUsed/>
    <w:rsid w:val="00317362"/>
    <w:rPr>
      <w:color w:val="0000FF" w:themeColor="hyperlink"/>
      <w:u w:val="single"/>
    </w:rPr>
  </w:style>
  <w:style w:type="paragraph" w:styleId="Header">
    <w:name w:val="header"/>
    <w:basedOn w:val="Normal"/>
    <w:link w:val="Char0"/>
    <w:uiPriority w:val="99"/>
    <w:unhideWhenUsed/>
    <w:rsid w:val="0031736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DefaultParagraphFont"/>
    <w:link w:val="Header"/>
    <w:uiPriority w:val="99"/>
    <w:rsid w:val="00317362"/>
    <w:rPr>
      <w:kern w:val="0"/>
      <w:sz w:val="18"/>
      <w:szCs w:val="18"/>
      <w:lang w:eastAsia="en-US"/>
    </w:rPr>
  </w:style>
  <w:style w:type="paragraph" w:styleId="Footer">
    <w:name w:val="footer"/>
    <w:basedOn w:val="Normal"/>
    <w:link w:val="Char1"/>
    <w:uiPriority w:val="99"/>
    <w:unhideWhenUsed/>
    <w:rsid w:val="00317362"/>
    <w:pPr>
      <w:tabs>
        <w:tab w:val="center" w:pos="4153"/>
        <w:tab w:val="right" w:pos="8306"/>
      </w:tabs>
      <w:snapToGrid w:val="0"/>
      <w:spacing w:line="240" w:lineRule="auto"/>
    </w:pPr>
    <w:rPr>
      <w:sz w:val="18"/>
      <w:szCs w:val="18"/>
    </w:rPr>
  </w:style>
  <w:style w:type="character" w:customStyle="1" w:styleId="Char1">
    <w:name w:val="页脚 Char"/>
    <w:basedOn w:val="DefaultParagraphFont"/>
    <w:link w:val="Footer"/>
    <w:uiPriority w:val="99"/>
    <w:rsid w:val="00317362"/>
    <w:rPr>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hyperlink" Target="https://d.book118.com/048016031023006025" TargetMode="External" /><Relationship Id="rId17" Type="http://schemas.openxmlformats.org/officeDocument/2006/relationships/footer" Target="footer10.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2761</Words>
  <Characters>15740</Characters>
  <Application>Microsoft Office Word</Application>
  <DocSecurity>0</DocSecurity>
  <Lines>131</Lines>
  <Paragraphs>36</Paragraphs>
  <ScaleCrop>false</ScaleCrop>
  <Company>Microsoft</Company>
  <LinksUpToDate>false</LinksUpToDate>
  <CharactersWithSpaces>18465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2023-03-01T06:26:00Z</dcterms:created>
  <dcterms:modified xsi:type="dcterms:W3CDTF">2023-03-01T06:28:00Z</dcterms:modified>
</cp:coreProperties>
</file>