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10401300</wp:posOffset>
            </wp:positionH>
            <wp:positionV relativeFrom="topMargin">
              <wp:posOffset>11341100</wp:posOffset>
            </wp:positionV>
            <wp:extent cx="381000" cy="330200"/>
            <wp:effectExtent l="0" t="0" r="0" b="12700"/>
            <wp:wrapNone/>
            <wp:docPr id="100091" name="图片 10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91" name="图片 1000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2023</w:t>
      </w:r>
      <w:r>
        <w:rPr>
          <w:rFonts w:ascii="宋体" w:eastAsia="宋体" w:hAnsi="宋体" w:cs="宋体"/>
          <w:b/>
          <w:color w:val="auto"/>
          <w:sz w:val="32"/>
        </w:rPr>
        <w:t>年陕西师大附中中考物理一模试卷</w:t>
      </w:r>
    </w:p>
    <w:p>
      <w:pPr>
        <w:spacing w:line="360" w:lineRule="auto"/>
        <w:jc w:val="left"/>
      </w:pPr>
      <w:r>
        <w:rPr>
          <w:rFonts w:ascii="宋体" w:eastAsia="宋体" w:hAnsi="宋体" w:cs="宋体"/>
          <w:b/>
          <w:color w:val="auto"/>
          <w:sz w:val="24"/>
        </w:rPr>
        <w:t>一、选择题（共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</w:t>
      </w:r>
      <w:r>
        <w:rPr>
          <w:rFonts w:ascii="宋体" w:eastAsia="宋体" w:hAnsi="宋体" w:cs="宋体"/>
          <w:b/>
          <w:color w:val="auto"/>
          <w:sz w:val="24"/>
        </w:rPr>
        <w:t>小题，每题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</w:t>
      </w:r>
      <w:r>
        <w:rPr>
          <w:rFonts w:ascii="宋体" w:eastAsia="宋体" w:hAnsi="宋体" w:cs="宋体"/>
          <w:b/>
          <w:color w:val="auto"/>
          <w:sz w:val="24"/>
        </w:rPr>
        <w:t>分，计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20</w:t>
      </w:r>
      <w:r>
        <w:rPr>
          <w:rFonts w:ascii="宋体" w:eastAsia="宋体" w:hAnsi="宋体" w:cs="宋体"/>
          <w:b/>
          <w:color w:val="auto"/>
          <w:sz w:val="24"/>
        </w:rPr>
        <w:t>分。每题只有一个选项是符合题意的）</w:t>
      </w:r>
    </w:p>
    <w:p>
      <w:pPr>
        <w:spacing w:line="360" w:lineRule="auto"/>
        <w:jc w:val="left"/>
      </w:pPr>
      <w:r>
        <w:rPr>
          <w:color w:val="auto"/>
        </w:rPr>
        <w:t xml:space="preserve">1. </w:t>
      </w:r>
      <w:r>
        <w:rPr>
          <w:rFonts w:ascii="Times New Roman" w:eastAsia="Times New Roman" w:hAnsi="Times New Roman" w:cs="Times New Roman"/>
          <w:color w:val="auto"/>
        </w:rPr>
        <w:t>3</w:t>
      </w:r>
      <w:r>
        <w:rPr>
          <w:rFonts w:ascii="宋体" w:eastAsia="宋体" w:hAnsi="宋体" w:cs="宋体"/>
          <w:color w:val="auto"/>
        </w:rPr>
        <w:t>月</w:t>
      </w:r>
      <w:r>
        <w:rPr>
          <w:rFonts w:ascii="Times New Roman" w:eastAsia="Times New Roman" w:hAnsi="Times New Roman" w:cs="Times New Roman"/>
          <w:color w:val="auto"/>
        </w:rPr>
        <w:t>9</w:t>
      </w:r>
      <w:r>
        <w:rPr>
          <w:rFonts w:ascii="宋体" w:eastAsia="宋体" w:hAnsi="宋体" w:cs="宋体"/>
          <w:color w:val="auto"/>
        </w:rPr>
        <w:t>日，陕西师范大学附属中学进行了初</w:t>
      </w:r>
      <w:r>
        <w:rPr>
          <w:rFonts w:ascii="Times New Roman" w:eastAsia="Times New Roman" w:hAnsi="Times New Roman" w:cs="Times New Roman"/>
          <w:color w:val="auto"/>
        </w:rPr>
        <w:t>2023</w:t>
      </w:r>
      <w:r>
        <w:rPr>
          <w:rFonts w:ascii="宋体" w:eastAsia="宋体" w:hAnsi="宋体" w:cs="宋体"/>
          <w:color w:val="auto"/>
        </w:rPr>
        <w:t>届中考倒计时</w:t>
      </w:r>
      <w:r>
        <w:rPr>
          <w:rFonts w:ascii="Times New Roman" w:eastAsia="Times New Roman" w:hAnsi="Times New Roman" w:cs="Times New Roman"/>
          <w:color w:val="auto"/>
        </w:rPr>
        <w:t>100</w:t>
      </w:r>
      <w:r>
        <w:rPr>
          <w:rFonts w:ascii="宋体" w:eastAsia="宋体" w:hAnsi="宋体" w:cs="宋体"/>
          <w:color w:val="auto"/>
        </w:rPr>
        <w:t>天励志活动。师生合唱《未来我来》，歌声铿锵有力，热情洋溢，点燃了在场所有师生的激情，将活动推向了高潮。下列有关声现象的说法正确的是（　　）</w:t>
      </w:r>
    </w:p>
    <w:p>
      <w:pPr>
        <w:spacing w:line="360" w:lineRule="auto"/>
        <w:jc w:val="left"/>
      </w:pPr>
      <w:r>
        <w:drawing>
          <wp:inline distT="0" distB="0" distL="114300" distR="114300">
            <wp:extent cx="1695450" cy="1038225"/>
            <wp:effectExtent l="0" t="0" r="0" b="952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 xml:space="preserve">  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rPr>
          <w:rFonts w:ascii="宋体" w:eastAsia="宋体" w:hAnsi="宋体" w:cs="宋体"/>
          <w:color w:val="auto"/>
        </w:rPr>
        <w:t>歌声只能在空气中传播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B. </w:t>
      </w:r>
      <w:r>
        <w:rPr>
          <w:rFonts w:ascii="宋体" w:eastAsia="宋体" w:hAnsi="宋体" w:cs="宋体"/>
          <w:color w:val="auto"/>
        </w:rPr>
        <w:t>能区分不同演唱者的声音是因为响度不同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t xml:space="preserve">C. </w:t>
      </w:r>
      <w:r>
        <w:rPr>
          <w:rFonts w:ascii="宋体" w:eastAsia="宋体" w:hAnsi="宋体" w:cs="宋体"/>
          <w:color w:val="auto"/>
        </w:rPr>
        <w:t>歌声是由声带的振动产生的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t xml:space="preserve">D. </w:t>
      </w:r>
      <w:r>
        <w:rPr>
          <w:rFonts w:ascii="宋体" w:eastAsia="宋体" w:hAnsi="宋体" w:cs="宋体"/>
          <w:color w:val="auto"/>
        </w:rPr>
        <w:t>主持人报幕说明声音可以传递能量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．歌声可以在空气中传播，也可以在液体和固体中传播，故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．能区分不同演唱者的声音是因为音色不同，故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．声音是由物体的振动产生的，歌声是由声带的振动产生的，故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．主持人报幕说明声音可以传递能传递信息，故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小明假期里学习了蒸包子的生活技能，丰富了假期生活。用蒸锅在天然气灶上烧水蒸包子的过程中，下列说法中正确的（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水沸腾时，持续吸热，温度不断升高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包子的温度越高，内能越大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天然气燃烧越充分，热值越大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用手拿包子感觉烫是通过做功的方式改变内能的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A．</w:t>
      </w:r>
      <w:r>
        <w:rPr>
          <w:rFonts w:ascii="宋体" w:eastAsia="宋体" w:hAnsi="宋体" w:cs="宋体"/>
          <w:color w:val="000000"/>
        </w:rPr>
        <w:t>沸腾后，水继续吸热，水的温度保持不变，不再升高，故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"/>
          <w:footerReference w:type="even" r:id="rId8"/>
          <w:headerReference w:type="first" r:id="rId9"/>
          <w:footerReference w:type="first" r:id="rId10"/>
          <w:pgSz w:w="11906" w:h="16838"/>
          <w:pgMar w:top="913" w:right="1080" w:bottom="1440" w:left="1080" w:header="152" w:footer="0" w:gutter="0"/>
          <w:cols w:num="1" w:space="0"/>
          <w:rtlGutter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B．</w:t>
      </w:r>
      <w:r>
        <w:rPr>
          <w:rFonts w:ascii="宋体" w:eastAsia="宋体" w:hAnsi="宋体" w:cs="宋体"/>
          <w:color w:val="000000"/>
        </w:rPr>
        <w:t>包子的温度越高，质量、状态不变，具有的内能越大，故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C．</w:t>
      </w:r>
      <w:r>
        <w:rPr>
          <w:rFonts w:ascii="宋体" w:eastAsia="宋体" w:hAnsi="宋体" w:cs="宋体"/>
          <w:color w:val="000000"/>
        </w:rPr>
        <w:t>热值是燃料本身的一种特性，热值由燃料本身决定，与燃料是否充分燃烧无关，故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D．</w:t>
      </w:r>
      <w:r>
        <w:rPr>
          <w:rFonts w:ascii="宋体" w:eastAsia="宋体" w:hAnsi="宋体" w:cs="宋体"/>
          <w:color w:val="000000"/>
        </w:rPr>
        <w:t>用手拿包子感觉烫，这是通过热传递的方式改变内能的，故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春暖花开，翠华山上绿意盎然，风景如画。节假日里，驱车前往赏春的游客络绎不绝，大饱山河美景。下列说法中正确的是（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838200" cy="1057275"/>
            <wp:effectExtent l="0" t="0" r="0" b="9525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路边树木的影子是光的折射现象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1114425" cy="838200"/>
            <wp:effectExtent l="0" t="0" r="952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游客看到红色的花朵是由于光的反射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1466850" cy="1038225"/>
            <wp:effectExtent l="0" t="0" r="0" b="952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游客看到天池中的“小鱼”是放大的实像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1495425" cy="1123950"/>
            <wp:effectExtent l="0" t="0" r="9525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用手机拍摄花朵，要使成的像变得小一些应该让手机离花朵近一些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．路边树木的影子是由光的直线传播形成的，故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．游客看到红色的花朵是因为花朵反射了红色光，属于光的反射现象，故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．游客看到天池中的“小鱼”是光的折射形成的放大的虚像，故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．用手机拍摄花朵，要使成的像变得小一些，像距变小，物距变大，应该让手机离花朵远一些，故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15"/>
          <w:footerReference w:type="even" r:id="rId16"/>
          <w:headerReference w:type="first" r:id="rId17"/>
          <w:footerReference w:type="first" r:id="rId18"/>
          <w:type w:val="nextPage"/>
          <w:pgSz w:w="11906" w:h="16838"/>
          <w:pgMar w:top="913" w:right="1080" w:bottom="1440" w:left="1080" w:header="152" w:footer="0" w:gutter="0"/>
          <w:pgNumType w:start="2"/>
          <w:cols w:num="1" w:space="0"/>
          <w:titlePg w:val="0"/>
          <w:rtlGutter w:val="0"/>
          <w:docGrid w:type="lines" w:linePitch="312" w:charSpace="0"/>
        </w:sectPr>
      </w:pPr>
      <w:r>
        <w:rPr>
          <w:color w:val="000000"/>
        </w:rPr>
        <w:t xml:space="preserve">4. </w:t>
      </w:r>
      <w:r>
        <w:rPr>
          <w:rFonts w:ascii="Times New Roman" w:eastAsia="Times New Roman" w:hAnsi="Times New Roman" w:cs="Times New Roman"/>
          <w:color w:val="000000"/>
        </w:rPr>
        <w:t>2023</w:t>
      </w:r>
      <w:r>
        <w:rPr>
          <w:rFonts w:ascii="宋体" w:eastAsia="宋体" w:hAnsi="宋体" w:cs="宋体"/>
          <w:color w:val="000000"/>
        </w:rPr>
        <w:t>年“甲流”病情在西安肆意传播，配戴医用口罩可以有效阻止病毒传播，使用含氯消毒剂能有效杀死病毒。已知“甲流病毒”的直径约为：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7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宋体" w:eastAsia="宋体" w:hAnsi="宋体" w:cs="宋体"/>
          <w:color w:val="000000"/>
        </w:rPr>
        <w:t>，原子的直径约为</w:t>
      </w:r>
      <w:r>
        <w:rPr>
          <w:rFonts w:ascii="Times New Roman" w:eastAsia="Times New Roman" w:hAnsi="Times New Roman" w:cs="Times New Roman"/>
          <w:color w:val="000000"/>
        </w:rPr>
        <w:t>1nm</w:t>
      </w:r>
      <w:r>
        <w:rPr>
          <w:rFonts w:ascii="宋体" w:eastAsia="宋体" w:hAnsi="宋体" w:cs="宋体"/>
          <w:color w:val="000000"/>
        </w:rPr>
        <w:t>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医用口罩中超细静电纤维布表面含有大量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428016707" name="图片 4280167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016707" name="图片 4280167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电子能够吸引病毒，是因为同种电荷相互吸引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微粒按照由大到小排列顺序为：甲流病毒——原子——电子——质子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喷洒过含氯消毒剂的场所会有刺鼻的气味，是因为分子永不停息地做无规则运动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病毒原子结构中原子核质量最大，占据空间最多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．医用口罩中超细静电纤维布表面含有大量的电子能够吸引病毒，是因为带电体能吸引轻小物体，故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．微粒按照由大到小排列顺序为：甲流病毒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原子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质子</w:t>
      </w:r>
      <w:r>
        <w:rPr>
          <w:rFonts w:ascii="Times New Roman" w:eastAsia="Times New Roman" w:hAnsi="Times New Roman" w:cs="Times New Roman"/>
          <w:color w:val="000000"/>
        </w:rPr>
        <w:t>——</w:t>
      </w:r>
      <w:r>
        <w:rPr>
          <w:rFonts w:ascii="宋体" w:eastAsia="宋体" w:hAnsi="宋体" w:cs="宋体"/>
          <w:color w:val="000000"/>
        </w:rPr>
        <w:t>电子，故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．我们能闻到喷洒过消毒剂的场所刺鼻的气味，是因为分子在不停地做无规则运动，故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．病毒原子结构中原子核质量最大，占据空间最小，故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如图所示，水平桌面上有甲、乙两个质量相同的薄壁容器，两个容器开口大小相同、底面积相同，分别装有质量相同的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两种液体，两个容器中的液面高度不同。下列说法正确的是（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933575" cy="704850"/>
            <wp:effectExtent l="0" t="0" r="9525" b="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3357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桌面对两个容器支持力的大小关系是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  <w:vertAlign w:val="subscript"/>
        </w:rPr>
        <w:t>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两种液体密度的大小关系是</w:t>
      </w:r>
      <w:r>
        <w:rPr>
          <w:rFonts w:ascii="Times New Roman" w:eastAsia="Times New Roman" w:hAnsi="Times New Roman" w:cs="Times New Roman"/>
          <w:i/>
          <w:color w:val="000000"/>
        </w:rPr>
        <w:t>ρ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ρ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两个容器对桌面压强的大小关系是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  <w:vertAlign w:val="subscript"/>
        </w:rPr>
        <w:t>乙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两种液体对容器底压强的大小关系是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．容器静止在水平桌面上，受到的竖直向下的重力和竖直向上的支持力是一对平衡力，桌面对容器支持力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  <w:vertAlign w:val="subscript"/>
        </w:rPr>
        <w:t>总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  <w:vertAlign w:val="subscript"/>
        </w:rPr>
        <w:t>容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  <w:vertAlign w:val="subscript"/>
        </w:rPr>
        <w:t>液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由于容器、液体的质量都相等，所以，桌面对两个容器支持力的大小关系是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  <w:vertAlign w:val="subscript"/>
        </w:rPr>
        <w:t>乙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．由图可知，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两种液体的体积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&gt;</w:t>
      </w:r>
      <w:r>
        <w:rPr>
          <w:rFonts w:ascii="Times New Roman" w:eastAsia="Times New Roman" w:hAnsi="Times New Roman" w:cs="Times New Roman"/>
          <w:i/>
          <w:color w:val="000000"/>
        </w:rPr>
        <w:t>V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  <w:r>
        <w:rPr>
          <w:rFonts w:ascii="宋体" w:eastAsia="宋体" w:hAnsi="宋体" w:cs="宋体"/>
          <w:color w:val="000000"/>
        </w:rPr>
        <w:t>，而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两种液体的质量是相等的，根据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5.25pt;height:30.75pt" o:ole="" coordsize="21600,21600" o:preferrelative="t" filled="f" stroked="f">
            <v:stroke joinstyle="miter"/>
            <v:imagedata r:id="rId21" o:title="eqIda3e8b5e08812f92622f79e7b17a5a78d"/>
            <o:lock v:ext="edit" aspectratio="t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/>
          <w:color w:val="000000"/>
        </w:rPr>
        <w:t>可知，</w:t>
      </w:r>
      <w:r>
        <w:rPr>
          <w:rFonts w:ascii="Times New Roman" w:eastAsia="Times New Roman" w:hAnsi="Times New Roman" w:cs="Times New Roman"/>
          <w:i/>
          <w:color w:val="000000"/>
        </w:rPr>
        <w:t>ρ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Times New Roman" w:eastAsia="Times New Roman" w:hAnsi="Times New Roman" w:cs="Times New Roman"/>
          <w:i/>
          <w:color w:val="000000"/>
        </w:rPr>
        <w:t>ρ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23"/>
          <w:footerReference w:type="even" r:id="rId24"/>
          <w:headerReference w:type="first" r:id="rId25"/>
          <w:footerReference w:type="first" r:id="rId26"/>
          <w:type w:val="nextPage"/>
          <w:pgSz w:w="11906" w:h="16838"/>
          <w:pgMar w:top="913" w:right="1080" w:bottom="1440" w:left="1080" w:header="152" w:footer="0" w:gutter="0"/>
          <w:pgNumType w:start="3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．容器的总重力相同，对水平桌面的压力相等，受力面积相同，根据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33.75pt;height:30.75pt" o:ole="" coordsize="21600,21600" o:preferrelative="t" filled="f" stroked="f">
            <v:stroke joinstyle="miter"/>
            <v:imagedata r:id="rId27" o:title="eqIde512e223efc50cd873f7d5b0e9896c8e"/>
            <o:lock v:ext="edit" aspectratio="t"/>
            <w10:anchorlock/>
          </v:shape>
          <o:OLEObject Type="Embed" ProgID="Equation.DSMT4" ShapeID="_x0000_i1026" DrawAspect="Content" ObjectID="_1468075726" r:id="rId2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可知，两个容器对桌面压强的大小关系是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  <w:vertAlign w:val="subscript"/>
        </w:rPr>
        <w:t>甲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  <w:vertAlign w:val="subscript"/>
        </w:rPr>
        <w:t>乙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．根据图示可知，液体对甲容器底部的压力等于甲容器中液体的重力，乙容器中液体对容器底部的压力大于液体的重力，受力面积相同，根据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33.75pt;height:30.75pt" o:ole="" coordsize="21600,21600" o:preferrelative="t" filled="f" stroked="f">
            <v:stroke joinstyle="miter"/>
            <v:imagedata r:id="rId27" o:title="eqIde512e223efc50cd873f7d5b0e9896c8e"/>
            <o:lock v:ext="edit" aspectratio="t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/>
          <w:color w:val="000000"/>
        </w:rPr>
        <w:t>可知，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a</w:t>
      </w:r>
      <w:r>
        <w:rPr>
          <w:rFonts w:ascii="Times New Roman" w:eastAsia="Times New Roman" w:hAnsi="Times New Roman" w:cs="Times New Roman"/>
          <w:color w:val="000000"/>
        </w:rPr>
        <w:t>&lt;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i/>
          <w:color w:val="000000"/>
          <w:vertAlign w:val="subscript"/>
        </w:rPr>
        <w:t>b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小明家装了一款不需要电池的自发电门铃，可直接粘贴在门上，如图所示，当按压门铃的圆形按钮时，按钮后面的弹簧会带动磁体运动，发声元件便可以发出声音，下列有关说法正确的是（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095375" cy="1066800"/>
            <wp:effectExtent l="0" t="0" r="9525" b="0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按压门铃时，门铃受到的摩擦力增大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门铃将声信号转化为电信号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门铃工作的原理是电磁感应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门铃工作的过程中将电能转化为机械能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．按压门铃时，门铃处于静止状态，受到的重力和摩擦力始终是一对平衡力，所以门铃受到的摩擦力不变，故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BCD</w:t>
      </w:r>
      <w:r>
        <w:rPr>
          <w:rFonts w:ascii="宋体" w:eastAsia="宋体" w:hAnsi="宋体" w:cs="宋体"/>
          <w:color w:val="000000"/>
        </w:rPr>
        <w:t>．按压门铃按钮时，闭合电路的一部分导体在磁场中做切割磁感线运动，导体中会产生感应电流，这是电磁感应现象；该过程中，机械能转化为电能，通过门铃有电流，门铃发声，将电信号转化为声信号，故</w:t>
      </w:r>
      <w:r>
        <w:rPr>
          <w:rFonts w:ascii="Times New Roman" w:eastAsia="Times New Roman" w:hAnsi="Times New Roman" w:cs="Times New Roman"/>
          <w:color w:val="000000"/>
        </w:rPr>
        <w:t>BD</w:t>
      </w:r>
      <w:r>
        <w:rPr>
          <w:rFonts w:ascii="宋体" w:eastAsia="宋体" w:hAnsi="宋体" w:cs="宋体"/>
          <w:color w:val="000000"/>
        </w:rPr>
        <w:t>错误，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能源、信息和材料是现代社会的三大支柱，下列说法正确的是（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核电站是利用核裂变提供的能量发电的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超导材料可用于制作白炽灯泡的灯丝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电磁波不能在真空中传播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光纤通信是利用激光在内壁上多次折射来传递信息的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1"/>
          <w:footerReference w:type="even" r:id="rId32"/>
          <w:headerReference w:type="first" r:id="rId33"/>
          <w:footerReference w:type="first" r:id="rId34"/>
          <w:type w:val="nextPage"/>
          <w:pgSz w:w="11906" w:h="16838"/>
          <w:pgMar w:top="913" w:right="1080" w:bottom="1440" w:left="1080" w:header="152" w:footer="0" w:gutter="0"/>
          <w:pgNumType w:start="4"/>
          <w:cols w:num="1" w:space="0"/>
          <w:titlePg w:val="0"/>
          <w:rtlGutter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．核能包括核裂变和核聚变。核电站是利用核裂变释放能量来发电的，故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B．</w:t>
      </w:r>
      <w:r>
        <w:rPr>
          <w:rFonts w:ascii="宋体" w:eastAsia="宋体" w:hAnsi="宋体" w:cs="宋体"/>
          <w:color w:val="000000"/>
        </w:rPr>
        <w:t>超导材料的电阻为零，超导体材料不可用于制作白炽灯泡的灯丝，故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．电磁波可以在真空中传播，故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．光纤通信是利用激光从光纤的一端射入，在内壁上经多次反射后在另一端放射出来，故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eastAsia="宋体" w:hAnsi="宋体" w:cs="宋体"/>
          <w:color w:val="000000"/>
        </w:rPr>
        <w:t>中考体育即将来临，同学们在体育课进行实心球投掷训练，如图所示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表示实心球离开手之前的运动轨迹；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表示实心球离开手之后的运动轨迹，空气阻力忽略不计。下列分析正确的是（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571625" cy="723900"/>
            <wp:effectExtent l="0" t="0" r="9525" b="0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实心球从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的过程中，实心球的运动状态保持不变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实心球到达最高点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时，它将处于平衡状态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实心球从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过程中，没有力对它做功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实心球从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过程中，实心球的重力势能转化为动能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．实心球从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的过程中，实心球的运动方向、运动速度发生了改变，运动状态改变，故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．实心球到达最高点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时，竖直方向的速度为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rFonts w:ascii="宋体" w:eastAsia="宋体" w:hAnsi="宋体" w:cs="宋体"/>
          <w:color w:val="000000"/>
        </w:rPr>
        <w:t>，但水平方向有速度，此时实心球只受重力的作用，受力不平衡，不会处于静止状态，故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．实心球因重力作用而下降，重力对其做功，故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．实心球从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→</w:t>
      </w:r>
      <w:r>
        <w:rPr>
          <w:rFonts w:ascii="Times New Roman" w:eastAsia="Times New Roman" w:hAnsi="Times New Roman" w:cs="Times New Roman"/>
          <w:i/>
          <w:color w:val="000000"/>
        </w:rPr>
        <w:t>D</w:t>
      </w:r>
      <w:r>
        <w:rPr>
          <w:rFonts w:ascii="宋体" w:eastAsia="宋体" w:hAnsi="宋体" w:cs="宋体"/>
          <w:color w:val="000000"/>
        </w:rPr>
        <w:t>过程中，实心球的质量不变，速度变大，动能变大，高度变小，重力势能变小，是重力势能转化为动能，故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36"/>
          <w:footerReference w:type="even" r:id="rId37"/>
          <w:headerReference w:type="first" r:id="rId38"/>
          <w:footerReference w:type="first" r:id="rId39"/>
          <w:type w:val="nextPage"/>
          <w:pgSz w:w="11906" w:h="16838"/>
          <w:pgMar w:top="913" w:right="1080" w:bottom="1440" w:left="1080" w:header="152" w:footer="0" w:gutter="0"/>
          <w:pgNumType w:start="5"/>
          <w:cols w:num="1" w:space="0"/>
          <w:titlePg w:val="0"/>
          <w:rtlGutter w:val="0"/>
          <w:docGrid w:type="lines" w:linePitch="312" w:charSpace="0"/>
        </w:sect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如图所示，分别以两种方式拉物体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，物体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重</w:t>
      </w:r>
      <w:r>
        <w:rPr>
          <w:rFonts w:ascii="Times New Roman" w:eastAsia="Times New Roman" w:hAnsi="Times New Roman" w:cs="Times New Roman"/>
          <w:color w:val="000000"/>
        </w:rPr>
        <w:t>200N</w:t>
      </w:r>
      <w:r>
        <w:rPr>
          <w:rFonts w:ascii="宋体" w:eastAsia="宋体" w:hAnsi="宋体" w:cs="宋体"/>
          <w:color w:val="000000"/>
        </w:rPr>
        <w:t>，物体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重</w:t>
      </w:r>
      <w:r>
        <w:rPr>
          <w:rFonts w:ascii="Times New Roman" w:eastAsia="Times New Roman" w:hAnsi="Times New Roman" w:cs="Times New Roman"/>
          <w:color w:val="000000"/>
        </w:rPr>
        <w:t>300N</w:t>
      </w:r>
      <w:r>
        <w:rPr>
          <w:rFonts w:ascii="宋体" w:eastAsia="宋体" w:hAnsi="宋体" w:cs="宋体"/>
          <w:color w:val="000000"/>
        </w:rPr>
        <w:t>，拉力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的大小均为</w:t>
      </w:r>
      <w:r>
        <w:rPr>
          <w:rFonts w:ascii="Times New Roman" w:eastAsia="Times New Roman" w:hAnsi="Times New Roman" w:cs="Times New Roman"/>
          <w:color w:val="000000"/>
        </w:rPr>
        <w:t>80N</w:t>
      </w:r>
      <w:r>
        <w:rPr>
          <w:rFonts w:ascii="宋体" w:eastAsia="宋体" w:hAnsi="宋体" w:cs="宋体"/>
          <w:color w:val="000000"/>
        </w:rPr>
        <w:t>，两物体在拉力的作用下均做匀速直线运动，物体运动的速度均为</w:t>
      </w:r>
      <w:r>
        <w:rPr>
          <w:rFonts w:ascii="Times New Roman" w:eastAsia="Times New Roman" w:hAnsi="Times New Roman" w:cs="Times New Roman"/>
          <w:color w:val="000000"/>
        </w:rPr>
        <w:t>0.2m/s</w:t>
      </w:r>
      <w:r>
        <w:rPr>
          <w:rFonts w:ascii="宋体" w:eastAsia="宋体" w:hAnsi="宋体" w:cs="宋体"/>
          <w:color w:val="000000"/>
        </w:rPr>
        <w:t>，不计绳重及绳与滑轮间的摩擦，则（</w:t>
      </w:r>
      <w:r>
        <w:rPr>
          <w:rFonts w:ascii="Times New Roman" w:eastAsia="Times New Roman" w:hAnsi="Times New Roman" w:cs="Times New Roman"/>
          <w:color w:val="000000"/>
        </w:rPr>
        <w:t xml:space="preserve">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162175" cy="1571625"/>
            <wp:effectExtent l="0" t="0" r="0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中动滑轮的重为</w:t>
      </w:r>
      <w:r>
        <w:rPr>
          <w:rFonts w:ascii="Times New Roman" w:eastAsia="Times New Roman" w:hAnsi="Times New Roman" w:cs="Times New Roman"/>
          <w:color w:val="000000"/>
        </w:rPr>
        <w:t>4N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中</w:t>
      </w:r>
      <w:r>
        <w:rPr>
          <w:rFonts w:ascii="Times New Roman" w:eastAsia="Times New Roman" w:hAnsi="Times New Roman" w:cs="Times New Roman"/>
          <w:color w:val="000000"/>
        </w:rPr>
        <w:t>1min</w:t>
      </w:r>
      <w:r>
        <w:rPr>
          <w:rFonts w:ascii="宋体" w:eastAsia="宋体" w:hAnsi="宋体" w:cs="宋体"/>
          <w:color w:val="000000"/>
        </w:rPr>
        <w:t>内所做的有用功为</w:t>
      </w:r>
      <w:r>
        <w:rPr>
          <w:rFonts w:ascii="Times New Roman" w:eastAsia="Times New Roman" w:hAnsi="Times New Roman" w:cs="Times New Roman"/>
          <w:color w:val="000000"/>
        </w:rPr>
        <w:t>3600J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两图中</w:t>
      </w:r>
      <w:r>
        <w:rPr>
          <w:rFonts w:ascii="Times New Roman" w:eastAsia="Times New Roman" w:hAnsi="Times New Roman" w:cs="Times New Roman"/>
          <w:color w:val="000000"/>
        </w:rPr>
        <w:t>1min</w:t>
      </w:r>
      <w:r>
        <w:rPr>
          <w:rFonts w:ascii="宋体" w:eastAsia="宋体" w:hAnsi="宋体" w:cs="宋体"/>
          <w:color w:val="000000"/>
        </w:rPr>
        <w:t>内绳子自由端移动的距离为</w:t>
      </w:r>
      <w:r>
        <w:rPr>
          <w:rFonts w:ascii="Times New Roman" w:eastAsia="Times New Roman" w:hAnsi="Times New Roman" w:cs="Times New Roman"/>
          <w:color w:val="000000"/>
        </w:rPr>
        <w:t>36m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两图中拉力</w:t>
      </w: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宋体" w:eastAsia="宋体" w:hAnsi="宋体" w:cs="宋体"/>
          <w:color w:val="000000"/>
        </w:rPr>
        <w:t>的功率、机械效率均相同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．不计绳重及摩擦，使用甲滑轮组时，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＝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，根据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77pt;height:31pt" o:ole="" coordsize="21600,21600" o:preferrelative="t" filled="f" stroked="f">
            <v:stroke joinstyle="miter"/>
            <v:imagedata r:id="rId41" o:title="eqIdbd9939b3c98a31dbfc6e774450d6b09b"/>
            <o:lock v:ext="edit" aspectratio="t"/>
            <w10:anchorlock/>
          </v:shape>
          <o:OLEObject Type="Embed" ProgID="Equation.DSMT4" ShapeID="_x0000_i1028" DrawAspect="Content" ObjectID="_1468075728" r:id="rId4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可知，动滑轮的重力为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178pt;height:19pt" o:ole="" coordsize="21600,21600" o:preferrelative="t" filled="f" stroked="f">
            <v:stroke joinstyle="miter"/>
            <v:imagedata r:id="rId43" o:title="eqId7c759a7497a99b994d6fc9a5ded7e741"/>
            <o:lock v:ext="edit" aspectratio="t"/>
            <w10:anchorlock/>
          </v:shape>
          <o:OLEObject Type="Embed" ProgID="Equation.DSMT4" ShapeID="_x0000_i1029" DrawAspect="Content" ObjectID="_1468075729" r:id="rId4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．由于拉动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物体时，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物体受到的摩擦力未知，无法计算克服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受到的摩擦力所做有用功的大小，故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．由图知，两图中通过动滑轮绳子的段数</w:t>
      </w:r>
      <w:r>
        <w:rPr>
          <w:rFonts w:ascii="Times New Roman" w:eastAsia="Times New Roman" w:hAnsi="Times New Roman" w:cs="Times New Roman"/>
          <w:i/>
          <w:color w:val="000000"/>
        </w:rPr>
        <w:t>n</w:t>
      </w:r>
      <w:r>
        <w:rPr>
          <w:rFonts w:ascii="宋体" w:eastAsia="宋体" w:hAnsi="宋体" w:cs="宋体"/>
          <w:color w:val="000000"/>
        </w:rPr>
        <w:t>都为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1min</w:t>
      </w:r>
      <w:r>
        <w:rPr>
          <w:rFonts w:ascii="宋体" w:eastAsia="宋体" w:hAnsi="宋体" w:cs="宋体"/>
          <w:color w:val="000000"/>
        </w:rPr>
        <w:t>物体移动距离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142pt;height:19pt" o:ole="" coordsize="21600,21600" o:preferrelative="t" filled="f" stroked="f">
            <v:stroke joinstyle="miter"/>
            <v:imagedata r:id="rId45" o:title="eqIde513c92d36a3fc257ec9195898138e89"/>
            <o:lock v:ext="edit" aspectratio="t"/>
            <w10:anchorlock/>
          </v:shape>
          <o:OLEObject Type="Embed" ProgID="Equation.DSMT4" ShapeID="_x0000_i1030" DrawAspect="Content" ObjectID="_1468075730" r:id="rId46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所以绳子自由端移动距离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14pt;height:19pt" o:ole="" coordsize="21600,21600" o:preferrelative="t" filled="f" stroked="f">
            <v:stroke joinstyle="miter"/>
            <v:imagedata r:id="rId47" o:title="eqIdb45a97ba77a99bdcf676ac07d7272725"/>
            <o:lock v:ext="edit" aspectratio="t"/>
            <w10:anchorlock/>
          </v:shape>
          <o:OLEObject Type="Embed" ProgID="Equation.DSMT4" ShapeID="_x0000_i1031" DrawAspect="Content" ObjectID="_1468075731" r:id="rId48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符合题意；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．由题知，两种方式的拉力相同，物体速度相同，绳端速度也相同，由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87.9pt;height:30.85pt" o:ole="" coordsize="21600,21600" o:preferrelative="t" filled="f" stroked="f">
            <v:stroke joinstyle="miter"/>
            <v:imagedata r:id="rId49" o:title="eqIdc8e5fab81b3b0ca86e0fc73894cc50e7"/>
            <o:lock v:ext="edit" aspectratio="t"/>
            <w10:anchorlock/>
          </v:shape>
          <o:OLEObject Type="Embed" ProgID="Equation.DSMT4" ShapeID="_x0000_i1032" DrawAspect="Content" ObjectID="_1468075732" r:id="rId50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可知，两图中拉力的功率相同，由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36.75pt;height:14.25pt" o:ole="" coordsize="21600,21600" o:preferrelative="t" filled="f" stroked="f">
            <v:stroke joinstyle="miter"/>
            <v:imagedata r:id="rId51" o:title="eqId212a78242e0e0cff6336e2a0ac89335f"/>
            <o:lock v:ext="edit" aspectratio="t"/>
            <w10:anchorlock/>
          </v:shape>
          <o:OLEObject Type="Embed" ProgID="Equation.DSMT4" ShapeID="_x0000_i1033" DrawAspect="Content" ObjectID="_1468075733" r:id="rId52"/>
        </w:objec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53"/>
          <w:footerReference w:type="even" r:id="rId54"/>
          <w:headerReference w:type="first" r:id="rId55"/>
          <w:footerReference w:type="first" r:id="rId56"/>
          <w:type w:val="nextPage"/>
          <w:pgSz w:w="11906" w:h="16838"/>
          <w:pgMar w:top="913" w:right="1080" w:bottom="1440" w:left="1080" w:header="152" w:footer="0" w:gutter="0"/>
          <w:pgNumType w:start="6"/>
          <w:cols w:num="1" w:space="0"/>
          <w:titlePg w:val="0"/>
          <w:rtlGutter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可知，两种方式的总功相同，但由于拉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物体时的有用功无法确定，所以两滑轮组的机械效率大小是否相等不能确定，故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不符合题意。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如图所示电路，电源电压保持不变，小灯泡额定电压为</w:t>
      </w:r>
      <w:r>
        <w:rPr>
          <w:rFonts w:ascii="Times New Roman" w:eastAsia="Times New Roman" w:hAnsi="Times New Roman" w:cs="Times New Roman"/>
          <w:color w:val="000000"/>
        </w:rPr>
        <w:t>8V</w:t>
      </w:r>
      <w:r>
        <w:rPr>
          <w:rFonts w:ascii="宋体" w:eastAsia="宋体" w:hAnsi="宋体" w:cs="宋体"/>
          <w:color w:val="000000"/>
        </w:rPr>
        <w:t>，不考虑灯丝电阻随温度的变化。闭合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，断开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，当滑动变阻器的滑片在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端之间移动的过程中，电压表示数变化范围是</w:t>
      </w:r>
      <w:r>
        <w:rPr>
          <w:rFonts w:ascii="Times New Roman" w:eastAsia="Times New Roman" w:hAnsi="Times New Roman" w:cs="Times New Roman"/>
          <w:color w:val="000000"/>
        </w:rPr>
        <w:t>0~8V</w:t>
      </w:r>
      <w:r>
        <w:rPr>
          <w:rFonts w:ascii="宋体" w:eastAsia="宋体" w:hAnsi="宋体" w:cs="宋体"/>
          <w:color w:val="000000"/>
        </w:rPr>
        <w:t>，电流表示数变化范围是</w:t>
      </w:r>
      <w:r>
        <w:rPr>
          <w:rFonts w:ascii="Times New Roman" w:eastAsia="Times New Roman" w:hAnsi="Times New Roman" w:cs="Times New Roman"/>
          <w:color w:val="000000"/>
        </w:rPr>
        <w:t>0.8~2.4A</w:t>
      </w:r>
      <w:r>
        <w:rPr>
          <w:rFonts w:ascii="宋体" w:eastAsia="宋体" w:hAnsi="宋体" w:cs="宋体"/>
          <w:color w:val="000000"/>
        </w:rPr>
        <w:t>；闭合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，断开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，当滑动变阻器的滑片在中点时小灯泡正常发光。在保证电路安全的前提下，下列说法正确的是（　　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371725" cy="1685925"/>
            <wp:effectExtent l="0" t="0" r="0" b="0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电源电压为</w:t>
      </w:r>
      <w:r>
        <w:rPr>
          <w:rFonts w:ascii="Times New Roman" w:eastAsia="Times New Roman" w:hAnsi="Times New Roman" w:cs="Times New Roman"/>
          <w:color w:val="000000"/>
        </w:rPr>
        <w:t>10V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闭合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断开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消耗电功率的最小值为</w:t>
      </w:r>
      <w:r>
        <w:rPr>
          <w:rFonts w:ascii="Times New Roman" w:eastAsia="Times New Roman" w:hAnsi="Times New Roman" w:cs="Times New Roman"/>
          <w:color w:val="000000"/>
        </w:rPr>
        <w:t>6.4W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闭合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断开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两端电压变化范围为</w:t>
      </w:r>
      <w:r>
        <w:rPr>
          <w:rFonts w:ascii="Times New Roman" w:eastAsia="Times New Roman" w:hAnsi="Times New Roman" w:cs="Times New Roman"/>
          <w:color w:val="000000"/>
        </w:rPr>
        <w:t>4V~6V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闭合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断开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，整个电路消耗的电功率范围为</w:t>
      </w:r>
      <w:r>
        <w:rPr>
          <w:rFonts w:ascii="Times New Roman" w:eastAsia="Times New Roman" w:hAnsi="Times New Roman" w:cs="Times New Roman"/>
          <w:color w:val="000000"/>
        </w:rPr>
        <w:t>7.2W~9.6W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、断开开关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串联，电压表测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两端电压，电流表测电路中的电流，当滑片位于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端时，接入电路中的电阻为零，此时电路中的电流最大，由欧姆定律可得，电源的电压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  <w:vertAlign w:val="subscript"/>
        </w:rPr>
        <w:t>大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=2.4A×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……①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当滑片位于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端时，滑动变阻器接入电路最大阻值，此时电路中的电流最小，电压表的示数最大，因串联电路中总电压等于各分电压之和，所以，电源的电压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+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  <w:vertAlign w:val="subscript"/>
        </w:rPr>
        <w:t>小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=8V+0.8A×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……②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</w:t>
      </w:r>
      <w:r>
        <w:rPr>
          <w:rFonts w:ascii="Times New Roman" w:eastAsia="Times New Roman" w:hAnsi="Times New Roman" w:cs="Times New Roman"/>
          <w:color w:val="000000"/>
        </w:rPr>
        <w:t>①②</w:t>
      </w:r>
      <w:r>
        <w:rPr>
          <w:rFonts w:ascii="宋体" w:eastAsia="宋体" w:hAnsi="宋体" w:cs="宋体"/>
          <w:color w:val="000000"/>
        </w:rPr>
        <w:t>可得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</w:rPr>
        <w:t>=12V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=5Ω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．闭合开关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、断开开关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时，滑动变阻器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和定值电阻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串联，根据</w:t>
      </w: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宋体" w:eastAsia="宋体" w:hAnsi="宋体" w:cs="宋体"/>
          <w:color w:val="000000"/>
        </w:rPr>
        <w:t>可知当电路电流最小时，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消耗电功率的最小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  <w:vertAlign w:val="subscript"/>
        </w:rPr>
        <w:t>小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  <w:vertAlign w:val="subscript"/>
        </w:rPr>
        <w:t>小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=(0.8A)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 xml:space="preserve"> 2</w:t>
      </w:r>
      <w:r>
        <w:rPr>
          <w:rFonts w:ascii="Times New Roman" w:eastAsia="Times New Roman" w:hAnsi="Times New Roman" w:cs="Times New Roman"/>
          <w:color w:val="000000"/>
        </w:rPr>
        <w:t>×5Ω=3.2W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58"/>
          <w:footerReference w:type="even" r:id="rId59"/>
          <w:headerReference w:type="first" r:id="rId60"/>
          <w:footerReference w:type="first" r:id="rId61"/>
          <w:type w:val="nextPage"/>
          <w:pgSz w:w="11906" w:h="16838"/>
          <w:pgMar w:top="913" w:right="1080" w:bottom="1440" w:left="1080" w:header="152" w:footer="0" w:gutter="0"/>
          <w:pgNumType w:start="7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CD</w:t>
      </w:r>
      <w:r>
        <w:rPr>
          <w:rFonts w:ascii="宋体" w:eastAsia="宋体" w:hAnsi="宋体" w:cs="宋体"/>
          <w:color w:val="000000"/>
        </w:rPr>
        <w:t>．滑动变阻器的最大阻值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111.75pt;height:35.25pt" o:ole="" coordsize="21600,21600" o:preferrelative="t" filled="f" stroked="f">
            <v:stroke joinstyle="miter"/>
            <v:imagedata r:id="rId62" o:title="eqId653636cb37b5cd098717983d8172b798"/>
            <o:lock v:ext="edit" aspectratio="t"/>
            <w10:anchorlock/>
          </v:shape>
          <o:OLEObject Type="Embed" ProgID="Equation.DSMT4" ShapeID="_x0000_i1034" DrawAspect="Content" ObjectID="_1468075734" r:id="rId63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闭合开关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，断开开关</w:t>
      </w:r>
      <w:r>
        <w:rPr>
          <w:rFonts w:ascii="Times New Roman" w:eastAsia="Times New Roman" w:hAnsi="Times New Roman" w:cs="Times New Roman"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宋体" w:eastAsia="宋体" w:hAnsi="宋体" w:cs="宋体"/>
          <w:color w:val="000000"/>
        </w:rPr>
        <w:t>时，滑动变阻器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和灯泡</w:t>
      </w:r>
      <w:r>
        <w:rPr>
          <w:rFonts w:ascii="Times New Roman" w:eastAsia="Times New Roman" w:hAnsi="Times New Roman" w:cs="Times New Roman"/>
          <w:color w:val="000000"/>
        </w:rPr>
        <w:t>L</w:t>
      </w:r>
      <w:r>
        <w:rPr>
          <w:rFonts w:ascii="宋体" w:eastAsia="宋体" w:hAnsi="宋体" w:cs="宋体"/>
          <w:color w:val="000000"/>
        </w:rPr>
        <w:t>串联，电压表测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两端电压，当滑动变阻器的滑片在中点时小灯泡正常发光，根据串联电路电压规律可得此时滑动变阻器两端的电压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1</w:t>
      </w:r>
      <w:r>
        <w:rPr>
          <w:rFonts w:ascii="Times New Roman" w:eastAsia="Times New Roman" w:hAnsi="Times New Roman" w:cs="Times New Roman"/>
          <w:color w:val="000000"/>
        </w:rPr>
        <w:t>′=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L</w:t>
      </w:r>
      <w:r>
        <w:rPr>
          <w:rFonts w:ascii="Times New Roman" w:eastAsia="Times New Roman" w:hAnsi="Times New Roman" w:cs="Times New Roman"/>
          <w:color w:val="000000"/>
        </w:rPr>
        <w:t>=12V-8V=4V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则电路中的最大电流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140.25pt;height:45.75pt" o:ole="" coordsize="21600,21600" o:preferrelative="t" filled="f" stroked="f">
            <v:stroke joinstyle="miter"/>
            <v:imagedata r:id="rId64" o:title="eqIdb61483937d6b94b0208b6b45b6c070ac"/>
            <o:lock v:ext="edit" aspectratio="t"/>
            <w10:anchorlock/>
          </v:shape>
          <o:OLEObject Type="Embed" ProgID="Equation.DSMT4" ShapeID="_x0000_i1035" DrawAspect="Content" ObjectID="_1468075735" r:id="rId6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此时灯泡两端的电压最大，整个电路消耗的电功率最大，则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  <w:vertAlign w:val="subscript"/>
        </w:rPr>
        <w:t>大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UI</w:t>
      </w:r>
      <w:r>
        <w:rPr>
          <w:rFonts w:ascii="宋体" w:eastAsia="宋体" w:hAnsi="宋体" w:cs="宋体"/>
          <w:color w:val="000000"/>
          <w:vertAlign w:val="subscript"/>
        </w:rPr>
        <w:t>大</w:t>
      </w:r>
      <w:r>
        <w:rPr>
          <w:rFonts w:ascii="Times New Roman" w:eastAsia="Times New Roman" w:hAnsi="Times New Roman" w:cs="Times New Roman"/>
          <w:color w:val="000000"/>
        </w:rPr>
        <w:t>′=12V×0.8A=9.6W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灯泡的电阻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114pt;height:35.25pt" o:ole="" coordsize="21600,21600" o:preferrelative="t" filled="f" stroked="f">
            <v:stroke joinstyle="miter"/>
            <v:imagedata r:id="rId66" o:title="eqIdbb4a6726c3cc3fdf18fb876cb4ba287f"/>
            <o:lock v:ext="edit" aspectratio="t"/>
            <w10:anchorlock/>
          </v:shape>
          <o:OLEObject Type="Embed" ProgID="Equation.DSMT4" ShapeID="_x0000_i1036" DrawAspect="Content" ObjectID="_1468075736" r:id="rId6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当滑动变阻器接入电路中的电阻最大时，电路中的电流最小，灯泡两端的电压最小，电路消耗的电功率最小，因串联电路中总电阻等于各分电阻之和，根据欧姆定律可得电路中的最小电流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168.75pt;height:33.75pt" o:ole="" coordsize="21600,21600" o:preferrelative="t" filled="f" stroked="f">
            <v:stroke joinstyle="miter"/>
            <v:imagedata r:id="rId68" o:title="eqId7e612b2c5587bbaca97983809fd1164e"/>
            <o:lock v:ext="edit" aspectratio="t"/>
            <w10:anchorlock/>
          </v:shape>
          <o:OLEObject Type="Embed" ProgID="Equation.DSMT4" ShapeID="_x0000_i1037" DrawAspect="Content" ObjectID="_1468075737" r:id="rId6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则灯泡两端的最小电压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U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L</w:t>
      </w:r>
      <w:r>
        <w:rPr>
          <w:rFonts w:ascii="Times New Roman" w:eastAsia="Times New Roman" w:hAnsi="Times New Roman" w:cs="Times New Roman"/>
          <w:color w:val="000000"/>
        </w:rPr>
        <w:t>′=</w:t>
      </w:r>
      <w:r>
        <w:rPr>
          <w:rFonts w:ascii="Times New Roman" w:eastAsia="Times New Roman" w:hAnsi="Times New Roman" w:cs="Times New Roman"/>
          <w:i/>
          <w:color w:val="000000"/>
        </w:rPr>
        <w:t>I</w:t>
      </w:r>
      <w:r>
        <w:rPr>
          <w:rFonts w:ascii="宋体" w:eastAsia="宋体" w:hAnsi="宋体" w:cs="宋体"/>
          <w:color w:val="000000"/>
          <w:vertAlign w:val="subscript"/>
        </w:rPr>
        <w:t>小</w:t>
      </w:r>
      <w:r>
        <w:rPr>
          <w:rFonts w:ascii="Times New Roman" w:eastAsia="Times New Roman" w:hAnsi="Times New Roman" w:cs="Times New Roman"/>
          <w:color w:val="000000"/>
        </w:rPr>
        <w:t>′</w:t>
      </w:r>
      <w:r>
        <w:rPr>
          <w:rFonts w:ascii="Times New Roman" w:eastAsia="Times New Roman" w:hAnsi="Times New Roman" w:cs="Times New Roman"/>
          <w:i/>
          <w:color w:val="000000"/>
        </w:rPr>
        <w:t>R</w:t>
      </w:r>
      <w:r>
        <w:rPr>
          <w:rFonts w:ascii="Times New Roman" w:eastAsia="Times New Roman" w:hAnsi="Times New Roman" w:cs="Times New Roman"/>
          <w:color w:val="000000"/>
          <w:vertAlign w:val="subscript"/>
        </w:rPr>
        <w:t>L</w:t>
      </w:r>
      <w:r>
        <w:rPr>
          <w:rFonts w:ascii="Times New Roman" w:eastAsia="Times New Roman" w:hAnsi="Times New Roman" w:cs="Times New Roman"/>
          <w:color w:val="000000"/>
        </w:rPr>
        <w:t>=0.6A×10Ω=6V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所以，灯泡两端电压变化范围为</w:t>
      </w:r>
      <w:r>
        <w:rPr>
          <w:rFonts w:ascii="Times New Roman" w:eastAsia="Times New Roman" w:hAnsi="Times New Roman" w:cs="Times New Roman"/>
          <w:color w:val="000000"/>
        </w:rPr>
        <w:t>6V~8V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错误；电路消耗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0"/>
            <wp:docPr id="428016711" name="图片 428016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016711" name="图片 4280167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最小电功率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P</w:t>
      </w:r>
      <w:r>
        <w:rPr>
          <w:rFonts w:ascii="宋体" w:eastAsia="宋体" w:hAnsi="宋体" w:cs="宋体"/>
          <w:color w:val="000000"/>
          <w:vertAlign w:val="subscript"/>
        </w:rPr>
        <w:t>小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UI</w:t>
      </w:r>
      <w:r>
        <w:rPr>
          <w:rFonts w:ascii="宋体" w:eastAsia="宋体" w:hAnsi="宋体" w:cs="宋体"/>
          <w:color w:val="000000"/>
          <w:vertAlign w:val="subscript"/>
        </w:rPr>
        <w:t>小</w:t>
      </w:r>
      <w:r>
        <w:rPr>
          <w:rFonts w:ascii="Times New Roman" w:eastAsia="Times New Roman" w:hAnsi="Times New Roman" w:cs="Times New Roman"/>
          <w:color w:val="000000"/>
        </w:rPr>
        <w:t>′=12V×0.6A=7.2W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所以，整个电路消耗的电功率范围为</w:t>
      </w:r>
      <w:r>
        <w:rPr>
          <w:rFonts w:ascii="Times New Roman" w:eastAsia="Times New Roman" w:hAnsi="Times New Roman" w:cs="Times New Roman"/>
          <w:color w:val="000000"/>
        </w:rPr>
        <w:t>7.2W~9.6W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二、填空与作图题（共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小题，每空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</w:t>
      </w:r>
      <w:r>
        <w:rPr>
          <w:rFonts w:ascii="宋体" w:eastAsia="宋体" w:hAnsi="宋体" w:cs="宋体"/>
          <w:b/>
          <w:color w:val="000000"/>
          <w:sz w:val="24"/>
        </w:rPr>
        <w:t>分，每图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</w:t>
      </w:r>
      <w:r>
        <w:rPr>
          <w:rFonts w:ascii="宋体" w:eastAsia="宋体" w:hAnsi="宋体" w:cs="宋体"/>
          <w:b/>
          <w:color w:val="000000"/>
          <w:sz w:val="24"/>
        </w:rPr>
        <w:t>分，计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22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低碳出行，共享单车给人们带来快捷与便利。如图所示，为某同学在水平路面上骑行共享单车时的情景，他用力蹬脚踏板后，车子加速前进，此过程中，单车的动能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，惯性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（选填“变大”、“不变”或“变小”）；以他骑行的共享单车为参照物，该同学是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（选填“运动”或“静止”）的。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0"/>
          <w:footerReference w:type="even" r:id="rId71"/>
          <w:headerReference w:type="first" r:id="rId72"/>
          <w:footerReference w:type="first" r:id="rId73"/>
          <w:type w:val="nextPage"/>
          <w:pgSz w:w="11906" w:h="16838"/>
          <w:pgMar w:top="913" w:right="1080" w:bottom="1440" w:left="1080" w:header="152" w:footer="0" w:gutter="0"/>
          <w:pgNumType w:start="8"/>
          <w:cols w:num="1" w:space="0"/>
          <w:titlePg w:val="0"/>
          <w:rtlGutter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1314450" cy="1038225"/>
            <wp:effectExtent l="0" t="0" r="0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428016709" name="图片 428016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016709" name="图片 4280167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变大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不变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静止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此过程中，单车速度变大，质量不变，单车的动能变大。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惯性大小只与质量有关，加速后，单车的惯性不变。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[3]</w:t>
      </w:r>
      <w:r>
        <w:rPr>
          <w:rFonts w:ascii="宋体" w:eastAsia="宋体" w:hAnsi="宋体" w:cs="宋体"/>
          <w:color w:val="000000"/>
        </w:rPr>
        <w:t>以他骑行的共享单车为参照物，该同学与自行车没有位置变化，是静止的。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汽车是当今人们出行的重要交通工具，汽油机是汽车的重要部件。如图所示是汽油机的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冲程，已知某型汽油机转速为</w:t>
      </w:r>
      <w:r>
        <w:rPr>
          <w:rFonts w:ascii="Times New Roman" w:eastAsia="Times New Roman" w:hAnsi="Times New Roman" w:cs="Times New Roman"/>
          <w:color w:val="000000"/>
        </w:rPr>
        <w:t>1800r/min</w:t>
      </w:r>
      <w:r>
        <w:rPr>
          <w:rFonts w:ascii="宋体" w:eastAsia="宋体" w:hAnsi="宋体" w:cs="宋体"/>
          <w:color w:val="000000"/>
        </w:rPr>
        <w:t>，那么该汽油机每秒共经历了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个冲程。汽车发动机通常用水来作为冷却剂，是利用了水的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大的物理属性。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838200" cy="1495425"/>
            <wp:effectExtent l="0" t="0" r="0" b="0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做功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比热容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如图所示的冲程中，两气门关闭，活塞向下运动，为做功冲程。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某型汽油机飞轮的转速为</w:t>
      </w:r>
      <w:r>
        <w:rPr>
          <w:rFonts w:ascii="Times New Roman" w:eastAsia="Times New Roman" w:hAnsi="Times New Roman" w:cs="Times New Roman"/>
          <w:color w:val="000000"/>
        </w:rPr>
        <w:t>1800r/min</w:t>
      </w:r>
      <w:r>
        <w:rPr>
          <w:rFonts w:ascii="宋体" w:eastAsia="宋体" w:hAnsi="宋体" w:cs="宋体"/>
          <w:color w:val="000000"/>
        </w:rPr>
        <w:t>即</w:t>
      </w:r>
      <w:r>
        <w:rPr>
          <w:rFonts w:ascii="Times New Roman" w:eastAsia="Times New Roman" w:hAnsi="Times New Roman" w:cs="Times New Roman"/>
          <w:color w:val="000000"/>
        </w:rPr>
        <w:t>30r/s</w:t>
      </w:r>
      <w:r>
        <w:rPr>
          <w:rFonts w:ascii="宋体" w:eastAsia="宋体" w:hAnsi="宋体" w:cs="宋体"/>
          <w:color w:val="000000"/>
        </w:rPr>
        <w:t>，即每秒飞轮转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rFonts w:ascii="宋体" w:eastAsia="宋体" w:hAnsi="宋体" w:cs="宋体"/>
          <w:color w:val="000000"/>
        </w:rPr>
        <w:t>周，因为汽油机在一个工作循环中，经历四个冲程，飞轮转动两周，所以该汽油机每秒共经历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个冲程。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[3]</w:t>
      </w:r>
      <w:r>
        <w:rPr>
          <w:rFonts w:ascii="宋体" w:eastAsia="宋体" w:hAnsi="宋体" w:cs="宋体"/>
          <w:color w:val="000000"/>
        </w:rPr>
        <w:t>水的比热容大，由</w:t>
      </w:r>
      <w:r>
        <w:rPr>
          <w:rFonts w:ascii="Times New Roman" w:eastAsia="Times New Roman" w:hAnsi="Times New Roman" w:cs="Times New Roman"/>
          <w:i/>
          <w:color w:val="000000"/>
        </w:rPr>
        <w:t>Q</w:t>
      </w:r>
      <w:r>
        <w:rPr>
          <w:rFonts w:ascii="宋体" w:eastAsia="宋体" w:hAnsi="宋体" w:cs="宋体"/>
          <w:color w:val="000000"/>
          <w:vertAlign w:val="subscript"/>
        </w:rPr>
        <w:t>吸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  <w:vertAlign w:val="subscript"/>
        </w:rPr>
        <w:t>水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</w:rPr>
        <w:t>Δ</w:t>
      </w:r>
      <w:r>
        <w:rPr>
          <w:rFonts w:ascii="Times New Roman" w:eastAsia="Times New Roman" w:hAnsi="Times New Roman" w:cs="Times New Roman"/>
          <w:i/>
          <w:color w:val="000000"/>
        </w:rPr>
        <w:t>t</w:t>
      </w:r>
      <w:r>
        <w:rPr>
          <w:rFonts w:ascii="宋体" w:eastAsia="宋体" w:hAnsi="宋体" w:cs="宋体"/>
          <w:color w:val="000000"/>
        </w:rPr>
        <w:t>可知，在质量和升高温度一定时，水吸收的热量多，冷却效果好，故用水作冷却剂，是利用了水的比热容大的特性。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如图是终南山上的一段盘山公路，为了看到</w:t>
      </w:r>
      <w:r>
        <w:rPr>
          <w:rFonts w:ascii="Times New Roman" w:eastAsia="Times New Roman" w:hAnsi="Times New Roman" w:cs="Times New Roman"/>
          <w:i/>
          <w:color w:val="000000"/>
        </w:rPr>
        <w:t>BC</w:t>
      </w:r>
      <w:r>
        <w:rPr>
          <w:rFonts w:ascii="宋体" w:eastAsia="宋体" w:hAnsi="宋体" w:cs="宋体"/>
          <w:color w:val="000000"/>
        </w:rPr>
        <w:t>路段情况，人们利用反射规律，在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位置安装一块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面镜，盘山公路就是斜面，使用斜面时不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（选填“省力”或“省功”）。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09700" cy="1000125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凸</w:t>
      </w:r>
      <w:r>
        <w:rPr>
          <w:color w:val="000000"/>
        </w:rPr>
        <w:t xml:space="preserve">    ②. </w:t>
      </w:r>
      <w:r>
        <w:rPr>
          <w:rFonts w:ascii="宋体" w:eastAsia="宋体" w:hAnsi="宋体" w:cs="宋体"/>
          <w:color w:val="000000"/>
        </w:rPr>
        <w:t>省功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headerReference w:type="even" r:id="rId78"/>
          <w:footerReference w:type="even" r:id="rId79"/>
          <w:headerReference w:type="first" r:id="rId80"/>
          <w:footerReference w:type="first" r:id="rId81"/>
          <w:type w:val="nextPage"/>
          <w:pgSz w:w="11906" w:h="16838"/>
          <w:pgMar w:top="913" w:right="1080" w:bottom="1440" w:left="1080" w:header="152" w:footer="0" w:gutter="0"/>
          <w:pgNumType w:start="9"/>
          <w:cols w:num="1" w:space="0"/>
          <w:titlePg w:val="0"/>
          <w:rtlGutter w:val="0"/>
          <w:docGrid w:type="lines" w:linePitch="312" w:charSpace="0"/>
        </w:sect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</w:t>
      </w:r>
      <w:r>
        <w:rPr>
          <w:rFonts w:ascii="宋体" w:eastAsia="宋体" w:hAnsi="宋体" w:cs="宋体"/>
          <w:color w:val="000000"/>
        </w:rPr>
        <w:t>由图可知，在盘山公路的转弯处，为了使司机能提前看到另一侧的路段情况，应在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位置安装一块凸面镜，利用凸面镜对光发散的性质来扩大视野。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[2]</w:t>
      </w:r>
      <w:r>
        <w:rPr>
          <w:rFonts w:ascii="宋体" w:eastAsia="宋体" w:hAnsi="宋体" w:cs="宋体"/>
          <w:color w:val="000000"/>
        </w:rPr>
        <w:t>盘山公路的实质是斜面，使用斜面时能省力，但不能省功。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如图为自制发球机示意图，当吹风机向水平管吹风时，乒乓球上方的气体压强变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</w:t>
      </w:r>
      <w:r>
        <w:rPr>
          <w:rFonts w:ascii="宋体" w:eastAsia="宋体" w:hAnsi="宋体" w:cs="宋体"/>
          <w:color w:val="000000"/>
        </w:rPr>
        <w:t>。已知球的质量为</w:t>
      </w:r>
      <w:r>
        <w:rPr>
          <w:rFonts w:ascii="Times New Roman" w:eastAsia="Times New Roman" w:hAnsi="Times New Roman" w:cs="Times New Roman"/>
          <w:color w:val="000000"/>
        </w:rPr>
        <w:t>3g</w:t>
      </w:r>
      <w:r>
        <w:rPr>
          <w:rFonts w:ascii="宋体" w:eastAsia="宋体" w:hAnsi="宋体" w:cs="宋体"/>
          <w:color w:val="000000"/>
        </w:rPr>
        <w:t>，竖直方向受大气压作用的等效面积为</w:t>
      </w:r>
      <w:r>
        <w:rPr>
          <w:rFonts w:ascii="Times New Roman" w:eastAsia="Times New Roman" w:hAnsi="Times New Roman" w:cs="Times New Roman"/>
          <w:color w:val="000000"/>
        </w:rPr>
        <w:t>10cm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宋体" w:eastAsia="宋体" w:hAnsi="宋体" w:cs="宋体"/>
          <w:color w:val="000000"/>
        </w:rPr>
        <w:t>，若不计管壁摩擦，当乒乓球下方和上方气压差为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Times New Roman" w:eastAsia="Times New Roman" w:hAnsi="Times New Roman" w:cs="Times New Roman"/>
          <w:color w:val="000000"/>
        </w:rPr>
        <w:t>Pa</w:t>
      </w:r>
      <w:r>
        <w:rPr>
          <w:rFonts w:ascii="宋体" w:eastAsia="宋体" w:hAnsi="宋体" w:cs="宋体"/>
          <w:color w:val="000000"/>
        </w:rPr>
        <w:t>时，球恰能上升；若考虑管壁摩擦，则需要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乒乓球上方的风速（选填“增大”或“减小”）（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宋体" w:eastAsia="宋体" w:hAnsi="宋体" w:cs="宋体"/>
          <w:color w:val="000000"/>
        </w:rPr>
        <w:t>取</w:t>
      </w:r>
      <w:r>
        <w:rPr>
          <w:rFonts w:ascii="Times New Roman" w:eastAsia="Times New Roman" w:hAnsi="Times New Roman" w:cs="Times New Roman"/>
          <w:color w:val="000000"/>
        </w:rPr>
        <w:t>10N/kg</w:t>
      </w:r>
      <w:r>
        <w:rPr>
          <w:rFonts w:ascii="宋体" w:eastAsia="宋体" w:hAnsi="宋体" w:cs="宋体"/>
          <w:color w:val="000000"/>
        </w:rPr>
        <w:t>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885950" cy="1219200"/>
            <wp:effectExtent l="0" t="0" r="0" b="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宋体" w:eastAsia="宋体" w:hAnsi="宋体" w:cs="宋体"/>
          <w:color w:val="000000"/>
        </w:rPr>
        <w:t>小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30</w:t>
      </w:r>
      <w:r>
        <w:rPr>
          <w:color w:val="000000"/>
        </w:rPr>
        <w:t xml:space="preserve">    ③. </w:t>
      </w:r>
      <w:r>
        <w:rPr>
          <w:rFonts w:ascii="宋体" w:eastAsia="宋体" w:hAnsi="宋体" w:cs="宋体"/>
          <w:color w:val="000000"/>
        </w:rPr>
        <w:t>增大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[1][2][3]</w:t>
      </w:r>
      <w:r>
        <w:rPr>
          <w:rFonts w:ascii="宋体" w:eastAsia="宋体" w:hAnsi="宋体" w:cs="宋体"/>
          <w:color w:val="000000"/>
        </w:rPr>
        <w:t>当吹风机向水平管吹风时，乒乓球上方的气体流速大，压强小，小于下端管口气体压强，原本静止的乒乓球沿管上升；球的重力为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mg</w:t>
      </w:r>
      <w:r>
        <w:rPr>
          <w:rFonts w:ascii="Times New Roman" w:eastAsia="Times New Roman" w:hAnsi="Times New Roman" w:cs="Times New Roman"/>
          <w:color w:val="000000"/>
        </w:rPr>
        <w:t>=3×10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3</w:t>
      </w:r>
      <w:r>
        <w:rPr>
          <w:rFonts w:ascii="Times New Roman" w:eastAsia="Times New Roman" w:hAnsi="Times New Roman" w:cs="Times New Roman"/>
          <w:color w:val="000000"/>
        </w:rPr>
        <w:t>kg×10N/kg=3×10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气体对球的压力差为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F</w:t>
      </w:r>
      <w:r>
        <w:rPr>
          <w:rFonts w:ascii="Times New Roman" w:eastAsia="Times New Roman" w:hAnsi="Times New Roman" w:cs="Times New Roman"/>
          <w:color w:val="000000"/>
        </w:rPr>
        <w:t>=</w:t>
      </w:r>
      <w:r>
        <w:rPr>
          <w:rFonts w:ascii="Times New Roman" w:eastAsia="Times New Roman" w:hAnsi="Times New Roman" w:cs="Times New Roman"/>
          <w:i/>
          <w:color w:val="000000"/>
        </w:rPr>
        <w:t>G</w:t>
      </w:r>
      <w:r>
        <w:rPr>
          <w:rFonts w:ascii="Times New Roman" w:eastAsia="Times New Roman" w:hAnsi="Times New Roman" w:cs="Times New Roman"/>
          <w:color w:val="000000"/>
        </w:rPr>
        <w:t>=3×10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N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受力面积为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S</w:t>
      </w:r>
      <w:r>
        <w:rPr>
          <w:rFonts w:ascii="Times New Roman" w:eastAsia="Times New Roman" w:hAnsi="Times New Roman" w:cs="Times New Roman"/>
          <w:color w:val="000000"/>
        </w:rPr>
        <w:t>=10cm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  <w:r>
        <w:rPr>
          <w:rFonts w:ascii="Times New Roman" w:eastAsia="Times New Roman" w:hAnsi="Times New Roman" w:cs="Times New Roman"/>
          <w:color w:val="000000"/>
        </w:rPr>
        <w:t>=10×10</w:t>
      </w:r>
      <w:r>
        <w:rPr>
          <w:rFonts w:ascii="宋体" w:eastAsia="宋体" w:hAnsi="宋体" w:cs="宋体"/>
          <w:color w:val="000000"/>
          <w:vertAlign w:val="superscript"/>
        </w:rPr>
        <w:t>﹣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>
        <w:rPr>
          <w:rFonts w:ascii="Times New Roman" w:eastAsia="Times New Roman" w:hAnsi="Times New Roman" w:cs="Times New Roman"/>
          <w:color w:val="000000"/>
        </w:rPr>
        <w:t>m</w:t>
      </w:r>
      <w:r>
        <w:rPr>
          <w:rFonts w:ascii="Times New Roman" w:eastAsia="Times New Roman" w:hAnsi="Times New Roman" w:cs="Times New Roman"/>
          <w:color w:val="000000"/>
          <w:vertAlign w:val="superscript"/>
        </w:rPr>
        <w:t>2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球下方和上方气压差为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140pt;height:33.2pt" o:ole="" coordsize="21600,21600" o:preferrelative="t" filled="f" stroked="f">
            <v:stroke joinstyle="miter"/>
            <v:imagedata r:id="rId83" o:title="eqIdb124f214d120ec5a7702383d3f4b6c01"/>
            <o:lock v:ext="edit" aspectratio="t"/>
            <w10:anchorlock/>
          </v:shape>
          <o:OLEObject Type="Embed" ProgID="Equation.DSMT4" ShapeID="_x0000_i1038" DrawAspect="Content" ObjectID="_1468075738" r:id="rId84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若考虑管壁摩擦，则需要增大乒乓球上方的风速，则球下方和上方气压差增大，从而使球沿竖直管上升。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eastAsia="宋体" w:hAnsi="宋体" w:cs="宋体"/>
          <w:color w:val="000000"/>
        </w:rPr>
        <w:t>小王学习了家庭电路之后，对家里的电能表进行观察。他发现电能表月初的示数为</w:t>
      </w:r>
      <w:r>
        <w:rPr>
          <w:color w:val="000000"/>
        </w:rPr>
        <w:drawing>
          <wp:inline distT="0" distB="0" distL="114300" distR="114300">
            <wp:extent cx="895350" cy="304800"/>
            <wp:effectExtent l="0" t="0" r="0" b="0"/>
            <wp:docPr id="100031" name="图片 10003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，月底示数如图，则他家本月消耗电能为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4pt;height:14pt" o:ole="" coordsize="21600,21600" o:preferrelative="t" filled="f" stroked="f">
            <v:stroke joinstyle="miter"/>
            <v:imagedata r:id="rId86" o:title="eqIdb4efbcdb90b28563485995178e82f2c9"/>
            <o:lock v:ext="edit" aspectratio="t"/>
            <w10:anchorlock/>
          </v:shape>
          <o:OLEObject Type="Embed" ProgID="Equation.DSMT4" ShapeID="_x0000_i1039" DrawAspect="Content" ObjectID="_1468075739" r:id="rId87"/>
        </w:object>
      </w:r>
      <w:r>
        <w:rPr>
          <w:rFonts w:ascii="宋体" w:eastAsia="宋体" w:hAnsi="宋体" w:cs="宋体"/>
          <w:color w:val="000000"/>
        </w:rPr>
        <w:t>。当他家里只有一台电水壶连续工作，该同学观察到</w:t>
      </w:r>
      <w:r>
        <w:rPr>
          <w:rFonts w:ascii="Times New Roman" w:eastAsia="Times New Roman" w:hAnsi="Times New Roman" w:cs="Times New Roman"/>
          <w:color w:val="000000"/>
        </w:rPr>
        <w:t>8min</w:t>
      </w:r>
      <w:r>
        <w:rPr>
          <w:rFonts w:ascii="宋体" w:eastAsia="宋体" w:hAnsi="宋体" w:cs="宋体"/>
          <w:color w:val="000000"/>
        </w:rPr>
        <w:t>内，该表的指示灯闪了</w:t>
      </w:r>
      <w:r>
        <w:rPr>
          <w:rFonts w:ascii="Times New Roman" w:eastAsia="Times New Roman" w:hAnsi="Times New Roman" w:cs="Times New Roman"/>
          <w:color w:val="000000"/>
        </w:rPr>
        <w:t>600</w:t>
      </w:r>
      <w:r>
        <w:rPr>
          <w:rFonts w:ascii="宋体" w:eastAsia="宋体" w:hAnsi="宋体" w:cs="宋体"/>
          <w:color w:val="000000"/>
        </w:rPr>
        <w:t>次，在这段时间内电水壶消耗的电能为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4pt;height:14pt" o:ole="" coordsize="21600,21600" o:preferrelative="t" filled="f" stroked="f">
            <v:stroke joinstyle="miter"/>
            <v:imagedata r:id="rId86" o:title="eqIdb4efbcdb90b28563485995178e82f2c9"/>
            <o:lock v:ext="edit" aspectratio="t"/>
            <w10:anchorlock/>
          </v:shape>
          <o:OLEObject Type="Embed" ProgID="Equation.DSMT4" ShapeID="_x0000_i1040" DrawAspect="Content" ObjectID="_1468075740" r:id="rId88"/>
        </w:object>
      </w:r>
      <w:r>
        <w:rPr>
          <w:rFonts w:ascii="宋体" w:eastAsia="宋体" w:hAnsi="宋体" w:cs="宋体"/>
          <w:color w:val="000000"/>
        </w:rPr>
        <w:t>。若电水壶中水的质量为</w:t>
      </w:r>
      <w:r>
        <w:rPr>
          <w:rFonts w:ascii="Times New Roman" w:eastAsia="Times New Roman" w:hAnsi="Times New Roman" w:cs="Times New Roman"/>
          <w:color w:val="000000"/>
        </w:rPr>
        <w:t>2kg</w:t>
      </w:r>
      <w:r>
        <w:rPr>
          <w:rFonts w:ascii="宋体" w:eastAsia="宋体" w:hAnsi="宋体" w:cs="宋体"/>
          <w:color w:val="000000"/>
        </w:rPr>
        <w:t>，水温从</w:t>
      </w:r>
      <w:r>
        <w:rPr>
          <w:rFonts w:ascii="Times New Roman" w:eastAsia="Times New Roman" w:hAnsi="Times New Roman" w:cs="Times New Roman"/>
          <w:color w:val="000000"/>
        </w:rPr>
        <w:t>20℃</w:t>
      </w:r>
      <w:r>
        <w:rPr>
          <w:rFonts w:ascii="宋体" w:eastAsia="宋体" w:hAnsi="宋体" w:cs="宋体"/>
          <w:color w:val="000000"/>
        </w:rPr>
        <w:t>升高到</w:t>
      </w:r>
      <w:r>
        <w:rPr>
          <w:rFonts w:ascii="Times New Roman" w:eastAsia="Times New Roman" w:hAnsi="Times New Roman" w:cs="Times New Roman"/>
          <w:color w:val="000000"/>
        </w:rPr>
        <w:t>100℃</w:t>
      </w:r>
      <w:r>
        <w:rPr>
          <w:rFonts w:ascii="宋体" w:eastAsia="宋体" w:hAnsi="宋体" w:cs="宋体"/>
          <w:color w:val="000000"/>
        </w:rPr>
        <w:t>，则水需要吸收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_____________</w:t>
      </w:r>
      <w:r>
        <w:rPr>
          <w:rFonts w:ascii="Times New Roman" w:eastAsia="Times New Roman" w:hAnsi="Times New Roman" w:cs="Times New Roman"/>
          <w:color w:val="000000"/>
        </w:rPr>
        <w:t>J</w:t>
      </w:r>
      <w:r>
        <w:rPr>
          <w:rFonts w:ascii="宋体" w:eastAsia="宋体" w:hAnsi="宋体" w:cs="宋体"/>
          <w:color w:val="000000"/>
        </w:rPr>
        <w:t>的热量，电水壶的效率为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</w:t>
      </w:r>
      <w:r>
        <w:rPr>
          <w:rFonts w:ascii="Times New Roman" w:eastAsia="Times New Roman" w:hAnsi="Times New Roman" w:cs="Times New Roman"/>
          <w:color w:val="000000"/>
        </w:rPr>
        <w:t>[</w:t>
      </w:r>
      <w:r>
        <w:rPr>
          <w:rFonts w:ascii="宋体" w:eastAsia="宋体" w:hAnsi="宋体" w:cs="宋体"/>
          <w:color w:val="000000"/>
        </w:rPr>
        <w:t>已知水的比热容为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91pt;height:18pt" o:ole="" coordsize="21600,21600" o:preferrelative="t" filled="f" stroked="f">
            <v:stroke joinstyle="miter"/>
            <v:imagedata r:id="rId89" o:title="eqIddc9157a522cfb63d310106ea9bfd897c"/>
            <o:lock v:ext="edit" aspectratio="t"/>
            <w10:anchorlock/>
          </v:shape>
          <o:OLEObject Type="Embed" ProgID="Equation.DSMT4" ShapeID="_x0000_i1041" DrawAspect="Content" ObjectID="_1468075741" r:id="rId90"/>
        </w:object>
      </w:r>
      <w:r>
        <w:rPr>
          <w:rFonts w:ascii="宋体" w:eastAsia="宋体" w:hAnsi="宋体" w:cs="宋体"/>
          <w:color w:val="000000"/>
        </w:rPr>
        <w:t>，结果保留一位小数</w:t>
      </w:r>
      <w:r>
        <w:rPr>
          <w:rFonts w:ascii="Times New Roman" w:eastAsia="Times New Roman" w:hAnsi="Times New Roman" w:cs="Times New Roman"/>
          <w:color w:val="000000"/>
        </w:rPr>
        <w:t>]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https://d.book118.com/048021013052006044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headerReference w:type="even" r:id="rId92"/>
      <w:footerReference w:type="even" r:id="rId93"/>
      <w:headerReference w:type="first" r:id="rId94"/>
      <w:footerReference w:type="first" r:id="rId95"/>
      <w:type w:val="nextPage"/>
      <w:pgSz w:w="11906" w:h="16838"/>
      <w:pgMar w:top="913" w:right="1080" w:bottom="1440" w:left="1080" w:header="152" w:footer="0" w:gutter="0"/>
      <w:pgNumType w:start="10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3FAF5E08"/>
    <w:rsid w:val="67AB0056"/>
  </w:rsids>
  <w:docVars>
    <w:docVar w:name="commondata" w:val="eyJoZGlkIjoiNzg5OGFkZDRlNzY3MDQ0OWI3YTlkNTdhOTliMzU2Zj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3.png" /><Relationship Id="rId12" Type="http://schemas.openxmlformats.org/officeDocument/2006/relationships/image" Target="media/image4.jpeg" /><Relationship Id="rId13" Type="http://schemas.openxmlformats.org/officeDocument/2006/relationships/image" Target="media/image5.png" /><Relationship Id="rId14" Type="http://schemas.openxmlformats.org/officeDocument/2006/relationships/image" Target="media/image6.jpe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header" Target="header4.xml" /><Relationship Id="rId18" Type="http://schemas.openxmlformats.org/officeDocument/2006/relationships/footer" Target="footer4.xml" /><Relationship Id="rId19" Type="http://schemas.openxmlformats.org/officeDocument/2006/relationships/image" Target="media/image7.wmf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1" Type="http://schemas.openxmlformats.org/officeDocument/2006/relationships/image" Target="media/image9.wmf" /><Relationship Id="rId22" Type="http://schemas.openxmlformats.org/officeDocument/2006/relationships/oleObject" Target="embeddings/oleObject1.bin" /><Relationship Id="rId23" Type="http://schemas.openxmlformats.org/officeDocument/2006/relationships/header" Target="header5.xml" /><Relationship Id="rId24" Type="http://schemas.openxmlformats.org/officeDocument/2006/relationships/footer" Target="footer5.xml" /><Relationship Id="rId25" Type="http://schemas.openxmlformats.org/officeDocument/2006/relationships/header" Target="header6.xml" /><Relationship Id="rId26" Type="http://schemas.openxmlformats.org/officeDocument/2006/relationships/footer" Target="footer6.xml" /><Relationship Id="rId27" Type="http://schemas.openxmlformats.org/officeDocument/2006/relationships/image" Target="media/image10.wmf" /><Relationship Id="rId28" Type="http://schemas.openxmlformats.org/officeDocument/2006/relationships/oleObject" Target="embeddings/oleObject2.bin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header" Target="header7.xml" /><Relationship Id="rId32" Type="http://schemas.openxmlformats.org/officeDocument/2006/relationships/footer" Target="footer7.xml" /><Relationship Id="rId33" Type="http://schemas.openxmlformats.org/officeDocument/2006/relationships/header" Target="header8.xml" /><Relationship Id="rId34" Type="http://schemas.openxmlformats.org/officeDocument/2006/relationships/footer" Target="footer8.xml" /><Relationship Id="rId35" Type="http://schemas.openxmlformats.org/officeDocument/2006/relationships/image" Target="media/image12.png" /><Relationship Id="rId36" Type="http://schemas.openxmlformats.org/officeDocument/2006/relationships/header" Target="header9.xml" /><Relationship Id="rId37" Type="http://schemas.openxmlformats.org/officeDocument/2006/relationships/footer" Target="footer9.xml" /><Relationship Id="rId38" Type="http://schemas.openxmlformats.org/officeDocument/2006/relationships/header" Target="header10.xml" /><Relationship Id="rId39" Type="http://schemas.openxmlformats.org/officeDocument/2006/relationships/footer" Target="footer10.xml" /><Relationship Id="rId4" Type="http://schemas.openxmlformats.org/officeDocument/2006/relationships/customXml" Target="../customXml/item1.xml" /><Relationship Id="rId40" Type="http://schemas.openxmlformats.org/officeDocument/2006/relationships/image" Target="media/image13.png" /><Relationship Id="rId41" Type="http://schemas.openxmlformats.org/officeDocument/2006/relationships/image" Target="media/image14.wmf" /><Relationship Id="rId42" Type="http://schemas.openxmlformats.org/officeDocument/2006/relationships/oleObject" Target="embeddings/oleObject4.bin" /><Relationship Id="rId43" Type="http://schemas.openxmlformats.org/officeDocument/2006/relationships/image" Target="media/image15.wmf" /><Relationship Id="rId44" Type="http://schemas.openxmlformats.org/officeDocument/2006/relationships/oleObject" Target="embeddings/oleObject5.bin" /><Relationship Id="rId45" Type="http://schemas.openxmlformats.org/officeDocument/2006/relationships/image" Target="media/image16.wmf" /><Relationship Id="rId46" Type="http://schemas.openxmlformats.org/officeDocument/2006/relationships/oleObject" Target="embeddings/oleObject6.bin" /><Relationship Id="rId47" Type="http://schemas.openxmlformats.org/officeDocument/2006/relationships/image" Target="media/image17.wmf" /><Relationship Id="rId48" Type="http://schemas.openxmlformats.org/officeDocument/2006/relationships/oleObject" Target="embeddings/oleObject7.bin" /><Relationship Id="rId49" Type="http://schemas.openxmlformats.org/officeDocument/2006/relationships/image" Target="media/image1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8.bin" /><Relationship Id="rId51" Type="http://schemas.openxmlformats.org/officeDocument/2006/relationships/image" Target="media/image19.wmf" /><Relationship Id="rId52" Type="http://schemas.openxmlformats.org/officeDocument/2006/relationships/oleObject" Target="embeddings/oleObject9.bin" /><Relationship Id="rId53" Type="http://schemas.openxmlformats.org/officeDocument/2006/relationships/header" Target="header11.xml" /><Relationship Id="rId54" Type="http://schemas.openxmlformats.org/officeDocument/2006/relationships/footer" Target="footer11.xml" /><Relationship Id="rId55" Type="http://schemas.openxmlformats.org/officeDocument/2006/relationships/header" Target="header12.xml" /><Relationship Id="rId56" Type="http://schemas.openxmlformats.org/officeDocument/2006/relationships/footer" Target="footer12.xml" /><Relationship Id="rId57" Type="http://schemas.openxmlformats.org/officeDocument/2006/relationships/image" Target="media/image20.png" /><Relationship Id="rId58" Type="http://schemas.openxmlformats.org/officeDocument/2006/relationships/header" Target="header13.xml" /><Relationship Id="rId59" Type="http://schemas.openxmlformats.org/officeDocument/2006/relationships/footer" Target="footer13.xml" /><Relationship Id="rId6" Type="http://schemas.openxmlformats.org/officeDocument/2006/relationships/image" Target="media/image2.png" /><Relationship Id="rId60" Type="http://schemas.openxmlformats.org/officeDocument/2006/relationships/header" Target="header14.xml" /><Relationship Id="rId61" Type="http://schemas.openxmlformats.org/officeDocument/2006/relationships/footer" Target="footer14.xml" /><Relationship Id="rId62" Type="http://schemas.openxmlformats.org/officeDocument/2006/relationships/image" Target="media/image21.wmf" /><Relationship Id="rId63" Type="http://schemas.openxmlformats.org/officeDocument/2006/relationships/oleObject" Target="embeddings/oleObject10.bin" /><Relationship Id="rId64" Type="http://schemas.openxmlformats.org/officeDocument/2006/relationships/image" Target="media/image22.wmf" /><Relationship Id="rId65" Type="http://schemas.openxmlformats.org/officeDocument/2006/relationships/oleObject" Target="embeddings/oleObject11.bin" /><Relationship Id="rId66" Type="http://schemas.openxmlformats.org/officeDocument/2006/relationships/image" Target="media/image23.wmf" /><Relationship Id="rId67" Type="http://schemas.openxmlformats.org/officeDocument/2006/relationships/oleObject" Target="embeddings/oleObject12.bin" /><Relationship Id="rId68" Type="http://schemas.openxmlformats.org/officeDocument/2006/relationships/image" Target="media/image24.wmf" /><Relationship Id="rId69" Type="http://schemas.openxmlformats.org/officeDocument/2006/relationships/oleObject" Target="embeddings/oleObject13.bin" /><Relationship Id="rId7" Type="http://schemas.openxmlformats.org/officeDocument/2006/relationships/header" Target="header1.xml" /><Relationship Id="rId70" Type="http://schemas.openxmlformats.org/officeDocument/2006/relationships/header" Target="header15.xml" /><Relationship Id="rId71" Type="http://schemas.openxmlformats.org/officeDocument/2006/relationships/footer" Target="footer15.xml" /><Relationship Id="rId72" Type="http://schemas.openxmlformats.org/officeDocument/2006/relationships/header" Target="header16.xml" /><Relationship Id="rId73" Type="http://schemas.openxmlformats.org/officeDocument/2006/relationships/footer" Target="footer16.xml" /><Relationship Id="rId74" Type="http://schemas.openxmlformats.org/officeDocument/2006/relationships/image" Target="media/image25.png" /><Relationship Id="rId75" Type="http://schemas.openxmlformats.org/officeDocument/2006/relationships/image" Target="media/image26.wmf" /><Relationship Id="rId76" Type="http://schemas.openxmlformats.org/officeDocument/2006/relationships/image" Target="media/image27.png" /><Relationship Id="rId77" Type="http://schemas.openxmlformats.org/officeDocument/2006/relationships/image" Target="media/image28.png" /><Relationship Id="rId78" Type="http://schemas.openxmlformats.org/officeDocument/2006/relationships/header" Target="header17.xml" /><Relationship Id="rId79" Type="http://schemas.openxmlformats.org/officeDocument/2006/relationships/footer" Target="footer17.xml" /><Relationship Id="rId8" Type="http://schemas.openxmlformats.org/officeDocument/2006/relationships/footer" Target="footer1.xml" /><Relationship Id="rId80" Type="http://schemas.openxmlformats.org/officeDocument/2006/relationships/header" Target="header18.xml" /><Relationship Id="rId81" Type="http://schemas.openxmlformats.org/officeDocument/2006/relationships/footer" Target="footer18.xml" /><Relationship Id="rId82" Type="http://schemas.openxmlformats.org/officeDocument/2006/relationships/image" Target="media/image29.png" /><Relationship Id="rId83" Type="http://schemas.openxmlformats.org/officeDocument/2006/relationships/image" Target="media/image30.wmf" /><Relationship Id="rId84" Type="http://schemas.openxmlformats.org/officeDocument/2006/relationships/oleObject" Target="embeddings/oleObject14.bin" /><Relationship Id="rId85" Type="http://schemas.openxmlformats.org/officeDocument/2006/relationships/image" Target="media/image31.png" /><Relationship Id="rId86" Type="http://schemas.openxmlformats.org/officeDocument/2006/relationships/image" Target="media/image32.wmf" /><Relationship Id="rId87" Type="http://schemas.openxmlformats.org/officeDocument/2006/relationships/oleObject" Target="embeddings/oleObject15.bin" /><Relationship Id="rId88" Type="http://schemas.openxmlformats.org/officeDocument/2006/relationships/oleObject" Target="embeddings/oleObject16.bin" /><Relationship Id="rId89" Type="http://schemas.openxmlformats.org/officeDocument/2006/relationships/image" Target="media/image33.wmf" /><Relationship Id="rId9" Type="http://schemas.openxmlformats.org/officeDocument/2006/relationships/header" Target="header2.xml" /><Relationship Id="rId90" Type="http://schemas.openxmlformats.org/officeDocument/2006/relationships/oleObject" Target="embeddings/oleObject17.bin" /><Relationship Id="rId91" Type="http://schemas.openxmlformats.org/officeDocument/2006/relationships/hyperlink" Target="https://d.book118.com/048021013052006044" TargetMode="External" /><Relationship Id="rId92" Type="http://schemas.openxmlformats.org/officeDocument/2006/relationships/header" Target="header19.xml" /><Relationship Id="rId93" Type="http://schemas.openxmlformats.org/officeDocument/2006/relationships/footer" Target="footer19.xml" /><Relationship Id="rId94" Type="http://schemas.openxmlformats.org/officeDocument/2006/relationships/header" Target="header20.xml" /><Relationship Id="rId95" Type="http://schemas.openxmlformats.org/officeDocument/2006/relationships/footer" Target="footer20.xml" /><Relationship Id="rId96" Type="http://schemas.openxmlformats.org/officeDocument/2006/relationships/theme" Target="theme/theme1.xml" /><Relationship Id="rId9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一米阳光</cp:lastModifiedBy>
  <cp:revision>0</cp:revision>
  <dcterms:created xsi:type="dcterms:W3CDTF">2023-09-24T19:40:00Z</dcterms:created>
  <dcterms:modified xsi:type="dcterms:W3CDTF">2024-03-06T02:55:00Z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608FA65903C949FE9C5B668FBBDD359C_13</vt:lpwstr>
  </property>
  <property fmtid="{D5CDD505-2E9C-101B-9397-08002B2CF9AE}" pid="7" name="KSOProductBuildVer">
    <vt:lpwstr>2052-12.1.0.16388</vt:lpwstr>
  </property>
</Properties>
</file>