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3242A" w:rsidRPr="004B037F" w:rsidP="0083242A">
      <w:pPr>
        <w:jc w:val="center"/>
        <w:outlineLvl w:val="0"/>
        <w:rPr>
          <w:rFonts w:ascii="黑体" w:eastAsia="黑体" w:hAnsi="黑体" w:cs="Times New Roman" w:hint="eastAsia"/>
          <w:b/>
          <w:bCs/>
          <w:color w:val="FF0000"/>
          <w:sz w:val="44"/>
          <w:szCs w:val="44"/>
          <w14:shadow w14:blurRad="69850" w14:dist="43180" w14:dir="5400000" w14:sx="0" w14:sy="0" w14:kx="0" w14:ky="0" w14:algn="none">
            <w14:srgbClr w14:val="000000">
              <w14:alpha w14:val="35000"/>
            </w14:srgbClr>
          </w14:shadow>
          <w14:textOutline w14:w="952">
            <w14:noFill/>
            <w14:prstDash w14:val="solid"/>
            <w14:round/>
          </w14:textOutline>
        </w:rPr>
      </w:pPr>
      <w:bookmarkStart w:id="0" w:name="_Toc208484204"/>
      <w:bookmarkStart w:id="1" w:name="_Toc203211717"/>
      <w:bookmarkStart w:id="2" w:name="_Toc203211473"/>
      <w:bookmarkStart w:id="3" w:name="_GoBack"/>
      <w:bookmarkEnd w:id="3"/>
      <w:r w:rsidRPr="004B037F">
        <w:rPr>
          <w:rFonts w:ascii="黑体" w:eastAsia="黑体" w:hAnsi="黑体" w:cs="Times New Roman" w:hint="eastAsia"/>
          <w:b/>
          <w:bCs/>
          <w:color w:val="FF0000"/>
          <w:sz w:val="44"/>
          <w:szCs w:val="44"/>
          <w14:shadow w14:blurRad="69850" w14:dist="43180" w14:dir="5400000" w14:sx="0" w14:sy="0" w14:kx="0" w14:ky="0" w14:algn="none">
            <w14:srgbClr w14:val="000000">
              <w14:alpha w14:val="35000"/>
            </w14:srgbClr>
          </w14:shadow>
          <w14:textOutline w14:w="952">
            <w14:noFill/>
            <w14:prstDash w14:val="solid"/>
            <w14:round/>
          </w14:textOutline>
        </w:rPr>
        <w:t>风</w:t>
      </w:r>
      <w:r w:rsidRPr="004B037F">
        <w:rPr>
          <w:rFonts w:ascii="黑体" w:eastAsia="黑体" w:hAnsi="黑体" w:cs="Times New Roman" w:hint="eastAsia"/>
          <w:b/>
          <w:bCs/>
          <w:color w:val="FF0000"/>
          <w:sz w:val="44"/>
          <w:szCs w:val="44"/>
          <w14:shadow w14:blurRad="69850" w14:dist="43180" w14:dir="5400000" w14:sx="0" w14:sy="0" w14:kx="0" w14:ky="0" w14:algn="none">
            <w14:srgbClr w14:val="000000">
              <w14:alpha w14:val="35000"/>
            </w14:srgbClr>
          </w14:shadow>
          <w14:textOutline w14:w="952">
            <w14:noFill/>
            <w14:prstDash w14:val="solid"/>
            <w14:round/>
          </w14:textOutline>
        </w:rPr>
        <w:t>电项目</w:t>
      </w:r>
      <w:r w:rsidRPr="004B037F">
        <w:rPr>
          <w:rFonts w:ascii="黑体" w:eastAsia="黑体" w:hAnsi="黑体" w:cs="Times New Roman" w:hint="eastAsia"/>
          <w:b/>
          <w:bCs/>
          <w:color w:val="FF0000"/>
          <w:sz w:val="44"/>
          <w:szCs w:val="44"/>
          <w14:shadow w14:blurRad="69850" w14:dist="43180" w14:dir="5400000" w14:sx="0" w14:sy="0" w14:kx="0" w14:ky="0" w14:algn="none">
            <w14:srgbClr w14:val="000000">
              <w14:alpha w14:val="35000"/>
            </w14:srgbClr>
          </w14:shadow>
          <w14:textOutline w14:w="952">
            <w14:noFill/>
            <w14:prstDash w14:val="solid"/>
            <w14:round/>
          </w14:textOutline>
        </w:rPr>
        <w:t>绿色施工方案</w:t>
      </w:r>
    </w:p>
    <w:p w:rsidR="0083242A" w:rsidRPr="0083242A" w:rsidP="0083242A">
      <w:pPr>
        <w:spacing w:line="360" w:lineRule="auto"/>
        <w:jc w:val="center"/>
        <w:rPr>
          <w:rFonts w:ascii="宋体" w:eastAsia="宋体" w:hAnsi="宋体" w:cs="宋体" w:hint="eastAsia"/>
          <w:b/>
          <w:sz w:val="32"/>
          <w:szCs w:val="32"/>
        </w:rPr>
      </w:pPr>
      <w:r w:rsidRPr="0083242A">
        <w:rPr>
          <w:rFonts w:ascii="宋体" w:eastAsia="宋体" w:hAnsi="宋体" w:cs="宋体" w:hint="eastAsia"/>
          <w:b/>
          <w:sz w:val="32"/>
          <w:szCs w:val="32"/>
          <w:lang w:val="zh-CN"/>
        </w:rPr>
        <w:t>目录</w:t>
      </w:r>
    </w:p>
    <w:p w:rsidR="0083242A" w:rsidRPr="0083242A" w:rsidP="0083242A">
      <w:pPr>
        <w:tabs>
          <w:tab w:val="right" w:leader="dot" w:pos="8306"/>
        </w:tabs>
        <w:spacing w:line="360" w:lineRule="auto"/>
        <w:rPr>
          <w:rFonts w:ascii="宋体" w:eastAsia="宋体" w:hAnsi="宋体" w:cs="宋体" w:hint="eastAsia"/>
          <w:sz w:val="24"/>
          <w:szCs w:val="24"/>
        </w:rPr>
      </w:pPr>
      <w:r>
        <w:rPr>
          <w:noProof/>
        </w:rPr>
        <w:drawing>
          <wp:anchor distT="0" distB="0" distL="114300" distR="114300" simplePos="0" relativeHeight="251658240" behindDoc="0" locked="0" layoutInCell="1" allowOverlap="1">
            <wp:simplePos x="0" y="0"/>
            <wp:positionH relativeFrom="column">
              <wp:posOffset>2630805</wp:posOffset>
            </wp:positionH>
            <wp:positionV relativeFrom="paragraph">
              <wp:posOffset>87630</wp:posOffset>
            </wp:positionV>
            <wp:extent cx="3379470" cy="2686050"/>
            <wp:effectExtent l="19050" t="0" r="11430" b="857250"/>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3379470" cy="2686050"/>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hyperlink w:anchor="_Toc25524" w:history="1">
        <w:r w:rsidRPr="0083242A">
          <w:rPr>
            <w:rFonts w:ascii="宋体" w:eastAsia="宋体" w:hAnsi="宋体" w:cs="宋体" w:hint="eastAsia"/>
            <w:bCs/>
            <w:sz w:val="24"/>
            <w:szCs w:val="24"/>
          </w:rPr>
          <w:t>1.工程概况</w:t>
        </w:r>
        <w:r w:rsidRPr="0083242A">
          <w:rPr>
            <w:rFonts w:ascii="宋体" w:eastAsia="宋体" w:hAnsi="宋体" w:cs="宋体" w:hint="eastAsia"/>
            <w:sz w:val="24"/>
            <w:szCs w:val="24"/>
          </w:rPr>
          <w:tab/>
        </w:r>
        <w:r w:rsidRPr="0083242A">
          <w:rPr>
            <w:rFonts w:ascii="宋体" w:eastAsia="宋体" w:hAnsi="宋体" w:cs="宋体" w:hint="eastAsia"/>
            <w:sz w:val="24"/>
            <w:szCs w:val="24"/>
          </w:rPr>
          <w:fldChar w:fldCharType="begin"/>
        </w:r>
        <w:r w:rsidRPr="0083242A">
          <w:rPr>
            <w:rFonts w:ascii="宋体" w:eastAsia="宋体" w:hAnsi="宋体" w:cs="宋体" w:hint="eastAsia"/>
            <w:sz w:val="24"/>
            <w:szCs w:val="24"/>
          </w:rPr>
          <w:instrText xml:space="preserve"> PAGEREF _Toc25524 \h </w:instrText>
        </w:r>
        <w:r w:rsidRPr="0083242A">
          <w:rPr>
            <w:rFonts w:ascii="宋体" w:eastAsia="宋体" w:hAnsi="宋体" w:cs="宋体" w:hint="eastAsia"/>
            <w:sz w:val="24"/>
            <w:szCs w:val="24"/>
          </w:rPr>
          <w:fldChar w:fldCharType="separate"/>
        </w:r>
        <w:r w:rsidRPr="0083242A">
          <w:rPr>
            <w:rFonts w:ascii="宋体" w:eastAsia="宋体" w:hAnsi="宋体" w:cs="宋体" w:hint="eastAsia"/>
            <w:sz w:val="24"/>
            <w:szCs w:val="24"/>
          </w:rPr>
          <w:t>1</w:t>
        </w:r>
        <w:r w:rsidRPr="0083242A">
          <w:rPr>
            <w:rFonts w:ascii="宋体" w:eastAsia="宋体" w:hAnsi="宋体" w:cs="宋体" w:hint="eastAsia"/>
            <w:sz w:val="24"/>
            <w:szCs w:val="24"/>
          </w:rPr>
          <w:fldChar w:fldCharType="end"/>
        </w:r>
      </w:hyperlink>
    </w:p>
    <w:p w:rsidR="0083242A" w:rsidRPr="0083242A" w:rsidP="0083242A">
      <w:pPr>
        <w:tabs>
          <w:tab w:val="right" w:leader="dot" w:pos="8306"/>
        </w:tabs>
        <w:spacing w:line="360" w:lineRule="auto"/>
        <w:rPr>
          <w:rFonts w:ascii="宋体" w:eastAsia="宋体" w:hAnsi="宋体" w:cs="宋体" w:hint="eastAsia"/>
          <w:sz w:val="24"/>
          <w:szCs w:val="24"/>
        </w:rPr>
      </w:pPr>
      <w:hyperlink w:anchor="_Toc2529" w:history="1">
        <w:r w:rsidRPr="0083242A">
          <w:rPr>
            <w:rFonts w:ascii="宋体" w:eastAsia="宋体" w:hAnsi="宋体" w:cs="宋体" w:hint="eastAsia"/>
            <w:bCs/>
            <w:sz w:val="24"/>
            <w:szCs w:val="24"/>
          </w:rPr>
          <w:t>2.编制依据</w:t>
        </w:r>
        <w:r w:rsidRPr="0083242A">
          <w:rPr>
            <w:rFonts w:ascii="宋体" w:eastAsia="宋体" w:hAnsi="宋体" w:cs="宋体" w:hint="eastAsia"/>
            <w:sz w:val="24"/>
            <w:szCs w:val="24"/>
          </w:rPr>
          <w:tab/>
        </w:r>
        <w:r w:rsidRPr="0083242A">
          <w:rPr>
            <w:rFonts w:ascii="宋体" w:eastAsia="宋体" w:hAnsi="宋体" w:cs="宋体" w:hint="eastAsia"/>
            <w:sz w:val="24"/>
            <w:szCs w:val="24"/>
          </w:rPr>
          <w:fldChar w:fldCharType="begin"/>
        </w:r>
        <w:r w:rsidRPr="0083242A">
          <w:rPr>
            <w:rFonts w:ascii="宋体" w:eastAsia="宋体" w:hAnsi="宋体" w:cs="宋体" w:hint="eastAsia"/>
            <w:sz w:val="24"/>
            <w:szCs w:val="24"/>
          </w:rPr>
          <w:instrText xml:space="preserve"> PAGEREF _Toc2529 \h </w:instrText>
        </w:r>
        <w:r w:rsidRPr="0083242A">
          <w:rPr>
            <w:rFonts w:ascii="宋体" w:eastAsia="宋体" w:hAnsi="宋体" w:cs="宋体" w:hint="eastAsia"/>
            <w:sz w:val="24"/>
            <w:szCs w:val="24"/>
          </w:rPr>
          <w:fldChar w:fldCharType="separate"/>
        </w:r>
        <w:r w:rsidRPr="0083242A">
          <w:rPr>
            <w:rFonts w:ascii="宋体" w:eastAsia="宋体" w:hAnsi="宋体" w:cs="宋体" w:hint="eastAsia"/>
            <w:sz w:val="24"/>
            <w:szCs w:val="24"/>
          </w:rPr>
          <w:t>1</w:t>
        </w:r>
        <w:r w:rsidRPr="0083242A">
          <w:rPr>
            <w:rFonts w:ascii="宋体" w:eastAsia="宋体" w:hAnsi="宋体" w:cs="宋体" w:hint="eastAsia"/>
            <w:sz w:val="24"/>
            <w:szCs w:val="24"/>
          </w:rPr>
          <w:fldChar w:fldCharType="end"/>
        </w:r>
      </w:hyperlink>
    </w:p>
    <w:p w:rsidR="0083242A" w:rsidRPr="0083242A" w:rsidP="0083242A">
      <w:pPr>
        <w:tabs>
          <w:tab w:val="right" w:leader="dot" w:pos="8306"/>
        </w:tabs>
        <w:spacing w:line="360" w:lineRule="auto"/>
        <w:rPr>
          <w:rFonts w:ascii="宋体" w:eastAsia="宋体" w:hAnsi="宋体" w:cs="宋体" w:hint="eastAsia"/>
          <w:sz w:val="24"/>
          <w:szCs w:val="24"/>
        </w:rPr>
      </w:pPr>
      <w:hyperlink w:anchor="_Toc14980" w:history="1">
        <w:r w:rsidRPr="0083242A">
          <w:rPr>
            <w:rFonts w:ascii="宋体" w:eastAsia="宋体" w:hAnsi="宋体" w:cs="宋体" w:hint="eastAsia"/>
            <w:bCs/>
            <w:sz w:val="24"/>
            <w:szCs w:val="24"/>
          </w:rPr>
          <w:t>3.绿色施工目标与要求</w:t>
        </w:r>
        <w:r w:rsidRPr="0083242A">
          <w:rPr>
            <w:rFonts w:ascii="宋体" w:eastAsia="宋体" w:hAnsi="宋体" w:cs="宋体" w:hint="eastAsia"/>
            <w:sz w:val="24"/>
            <w:szCs w:val="24"/>
          </w:rPr>
          <w:tab/>
          <w:t>1</w:t>
        </w:r>
      </w:hyperlink>
    </w:p>
    <w:p w:rsidR="0083242A" w:rsidRPr="0083242A" w:rsidP="0083242A">
      <w:pPr>
        <w:tabs>
          <w:tab w:val="right" w:leader="dot" w:pos="8306"/>
        </w:tabs>
        <w:spacing w:line="360" w:lineRule="auto"/>
        <w:rPr>
          <w:rFonts w:ascii="宋体" w:eastAsia="宋体" w:hAnsi="宋体" w:cs="宋体" w:hint="eastAsia"/>
          <w:sz w:val="24"/>
          <w:szCs w:val="24"/>
        </w:rPr>
      </w:pPr>
      <w:hyperlink w:anchor="_Toc4659" w:history="1">
        <w:r w:rsidRPr="0083242A">
          <w:rPr>
            <w:rFonts w:ascii="宋体" w:eastAsia="宋体" w:hAnsi="宋体" w:cs="宋体" w:hint="eastAsia"/>
            <w:bCs/>
            <w:sz w:val="24"/>
            <w:szCs w:val="24"/>
          </w:rPr>
          <w:t>4.绿色施工组织机构及管理</w:t>
        </w:r>
        <w:r w:rsidRPr="0083242A">
          <w:rPr>
            <w:rFonts w:ascii="宋体" w:eastAsia="宋体" w:hAnsi="宋体" w:cs="宋体" w:hint="eastAsia"/>
            <w:sz w:val="24"/>
            <w:szCs w:val="24"/>
          </w:rPr>
          <w:tab/>
        </w:r>
        <w:r w:rsidRPr="0083242A">
          <w:rPr>
            <w:rFonts w:ascii="宋体" w:eastAsia="宋体" w:hAnsi="宋体" w:cs="宋体" w:hint="eastAsia"/>
            <w:sz w:val="24"/>
            <w:szCs w:val="24"/>
          </w:rPr>
          <w:fldChar w:fldCharType="begin"/>
        </w:r>
        <w:r w:rsidRPr="0083242A">
          <w:rPr>
            <w:rFonts w:ascii="宋体" w:eastAsia="宋体" w:hAnsi="宋体" w:cs="宋体" w:hint="eastAsia"/>
            <w:sz w:val="24"/>
            <w:szCs w:val="24"/>
          </w:rPr>
          <w:instrText xml:space="preserve"> PAGEREF _Toc4659 \h </w:instrText>
        </w:r>
        <w:r w:rsidRPr="0083242A">
          <w:rPr>
            <w:rFonts w:ascii="宋体" w:eastAsia="宋体" w:hAnsi="宋体" w:cs="宋体" w:hint="eastAsia"/>
            <w:sz w:val="24"/>
            <w:szCs w:val="24"/>
          </w:rPr>
          <w:fldChar w:fldCharType="separate"/>
        </w:r>
        <w:r w:rsidRPr="0083242A">
          <w:rPr>
            <w:rFonts w:ascii="宋体" w:eastAsia="宋体" w:hAnsi="宋体" w:cs="宋体" w:hint="eastAsia"/>
            <w:sz w:val="24"/>
            <w:szCs w:val="24"/>
          </w:rPr>
          <w:t>5</w:t>
        </w:r>
        <w:r w:rsidRPr="0083242A">
          <w:rPr>
            <w:rFonts w:ascii="宋体" w:eastAsia="宋体" w:hAnsi="宋体" w:cs="宋体" w:hint="eastAsia"/>
            <w:sz w:val="24"/>
            <w:szCs w:val="24"/>
          </w:rPr>
          <w:fldChar w:fldCharType="end"/>
        </w:r>
      </w:hyperlink>
    </w:p>
    <w:p w:rsidR="0083242A" w:rsidRPr="0083242A" w:rsidP="0083242A">
      <w:pPr>
        <w:tabs>
          <w:tab w:val="right" w:leader="dot" w:pos="8306"/>
        </w:tabs>
        <w:spacing w:line="360" w:lineRule="auto"/>
        <w:rPr>
          <w:rFonts w:ascii="宋体" w:eastAsia="宋体" w:hAnsi="宋体" w:cs="宋体" w:hint="eastAsia"/>
          <w:color w:val="000000"/>
          <w:sz w:val="24"/>
          <w:szCs w:val="24"/>
          <w:lang w:bidi="en-US"/>
        </w:rPr>
      </w:pPr>
      <w:hyperlink w:anchor="_Toc4659" w:history="1">
        <w:r w:rsidRPr="0083242A">
          <w:rPr>
            <w:rFonts w:ascii="宋体" w:eastAsia="宋体" w:hAnsi="宋体" w:cs="宋体" w:hint="eastAsia"/>
            <w:bCs/>
            <w:sz w:val="24"/>
            <w:szCs w:val="24"/>
          </w:rPr>
          <w:t>5.环境保护</w:t>
        </w:r>
        <w:r w:rsidRPr="0083242A">
          <w:rPr>
            <w:rFonts w:ascii="宋体" w:eastAsia="宋体" w:hAnsi="宋体" w:cs="宋体" w:hint="eastAsia"/>
            <w:sz w:val="24"/>
            <w:szCs w:val="24"/>
          </w:rPr>
          <w:tab/>
          <w:t>7</w:t>
        </w:r>
      </w:hyperlink>
    </w:p>
    <w:p w:rsidR="0083242A" w:rsidRPr="0083242A" w:rsidP="0083242A">
      <w:pPr>
        <w:tabs>
          <w:tab w:val="right" w:leader="dot" w:pos="8306"/>
        </w:tabs>
        <w:spacing w:line="360" w:lineRule="auto"/>
        <w:rPr>
          <w:rFonts w:ascii="宋体" w:eastAsia="宋体" w:hAnsi="宋体" w:cs="宋体"/>
          <w:sz w:val="24"/>
          <w:szCs w:val="24"/>
        </w:rPr>
      </w:pPr>
      <w:hyperlink w:anchor="_Toc10069" w:history="1">
        <w:r w:rsidRPr="0083242A">
          <w:rPr>
            <w:rFonts w:ascii="宋体" w:eastAsia="宋体" w:hAnsi="宋体" w:cs="宋体" w:hint="eastAsia"/>
            <w:bCs/>
            <w:sz w:val="24"/>
            <w:szCs w:val="24"/>
          </w:rPr>
          <w:t>6.节材与材料资源利用</w:t>
        </w:r>
        <w:r w:rsidRPr="0083242A">
          <w:rPr>
            <w:rFonts w:ascii="宋体" w:eastAsia="宋体" w:hAnsi="宋体" w:cs="宋体" w:hint="eastAsia"/>
            <w:sz w:val="24"/>
            <w:szCs w:val="24"/>
          </w:rPr>
          <w:tab/>
          <w:t>1</w:t>
        </w:r>
      </w:hyperlink>
      <w:r w:rsidRPr="0083242A">
        <w:rPr>
          <w:rFonts w:ascii="宋体" w:eastAsia="宋体" w:hAnsi="宋体" w:cs="宋体" w:hint="eastAsia"/>
          <w:color w:val="000000"/>
          <w:sz w:val="24"/>
          <w:szCs w:val="24"/>
          <w:lang w:bidi="en-US"/>
        </w:rPr>
        <w:t>1</w:t>
      </w:r>
    </w:p>
    <w:p w:rsidR="0083242A" w:rsidRPr="0083242A" w:rsidP="0083242A">
      <w:pPr>
        <w:tabs>
          <w:tab w:val="right" w:leader="dot" w:pos="8306"/>
        </w:tabs>
        <w:spacing w:line="360" w:lineRule="auto"/>
        <w:rPr>
          <w:rFonts w:ascii="宋体" w:eastAsia="宋体" w:hAnsi="宋体" w:cs="宋体"/>
          <w:sz w:val="24"/>
          <w:szCs w:val="24"/>
        </w:rPr>
      </w:pPr>
      <w:hyperlink w:anchor="_Toc18506" w:history="1">
        <w:r w:rsidRPr="0083242A">
          <w:rPr>
            <w:rFonts w:ascii="宋体" w:eastAsia="宋体" w:hAnsi="宋体" w:cs="宋体" w:hint="eastAsia"/>
            <w:bCs/>
            <w:sz w:val="24"/>
            <w:szCs w:val="24"/>
          </w:rPr>
          <w:t>7.节水与水资源利用</w:t>
        </w:r>
        <w:r w:rsidRPr="0083242A">
          <w:rPr>
            <w:rFonts w:ascii="宋体" w:eastAsia="宋体" w:hAnsi="宋体" w:cs="宋体" w:hint="eastAsia"/>
            <w:sz w:val="24"/>
            <w:szCs w:val="24"/>
          </w:rPr>
          <w:tab/>
          <w:t>1</w:t>
        </w:r>
      </w:hyperlink>
      <w:r w:rsidRPr="0083242A">
        <w:rPr>
          <w:rFonts w:ascii="宋体" w:eastAsia="宋体" w:hAnsi="宋体" w:cs="宋体" w:hint="eastAsia"/>
          <w:color w:val="000000"/>
          <w:sz w:val="24"/>
          <w:szCs w:val="24"/>
          <w:lang w:bidi="en-US"/>
        </w:rPr>
        <w:t>2</w:t>
      </w:r>
    </w:p>
    <w:p w:rsidR="0083242A" w:rsidRPr="0083242A" w:rsidP="0083242A">
      <w:pPr>
        <w:tabs>
          <w:tab w:val="right" w:leader="dot" w:pos="8306"/>
        </w:tabs>
        <w:spacing w:line="360" w:lineRule="auto"/>
        <w:rPr>
          <w:rFonts w:ascii="宋体" w:eastAsia="宋体" w:hAnsi="宋体" w:cs="宋体"/>
          <w:sz w:val="24"/>
          <w:szCs w:val="24"/>
        </w:rPr>
      </w:pPr>
      <w:hyperlink w:anchor="_Toc6926" w:history="1">
        <w:r w:rsidRPr="0083242A">
          <w:rPr>
            <w:rFonts w:ascii="宋体" w:eastAsia="宋体" w:hAnsi="宋体" w:cs="宋体" w:hint="eastAsia"/>
            <w:bCs/>
            <w:sz w:val="24"/>
            <w:szCs w:val="24"/>
          </w:rPr>
          <w:t>8.节能与能源利用</w:t>
        </w:r>
        <w:r w:rsidRPr="0083242A">
          <w:rPr>
            <w:rFonts w:ascii="宋体" w:eastAsia="宋体" w:hAnsi="宋体" w:cs="宋体" w:hint="eastAsia"/>
            <w:sz w:val="24"/>
            <w:szCs w:val="24"/>
          </w:rPr>
          <w:tab/>
          <w:t>1</w:t>
        </w:r>
      </w:hyperlink>
      <w:r w:rsidRPr="0083242A">
        <w:rPr>
          <w:rFonts w:ascii="宋体" w:eastAsia="宋体" w:hAnsi="宋体" w:cs="宋体" w:hint="eastAsia"/>
          <w:color w:val="000000"/>
          <w:sz w:val="24"/>
          <w:szCs w:val="24"/>
          <w:lang w:bidi="en-US"/>
        </w:rPr>
        <w:t>2</w:t>
      </w:r>
    </w:p>
    <w:p w:rsidR="0083242A" w:rsidRPr="0083242A" w:rsidP="0083242A">
      <w:pPr>
        <w:tabs>
          <w:tab w:val="right" w:leader="dot" w:pos="8306"/>
        </w:tabs>
        <w:spacing w:line="360" w:lineRule="auto"/>
        <w:rPr>
          <w:rFonts w:ascii="宋体" w:eastAsia="宋体" w:hAnsi="宋体" w:cs="宋体" w:hint="eastAsia"/>
          <w:sz w:val="24"/>
          <w:szCs w:val="24"/>
        </w:rPr>
      </w:pPr>
      <w:hyperlink w:anchor="_Toc10159" w:history="1">
        <w:r w:rsidRPr="0083242A">
          <w:rPr>
            <w:rFonts w:ascii="宋体" w:eastAsia="宋体" w:hAnsi="宋体" w:cs="宋体" w:hint="eastAsia"/>
            <w:bCs/>
            <w:sz w:val="24"/>
            <w:szCs w:val="24"/>
          </w:rPr>
          <w:t>9.节地与施工用地保护</w:t>
        </w:r>
        <w:r w:rsidRPr="0083242A">
          <w:rPr>
            <w:rFonts w:ascii="宋体" w:eastAsia="宋体" w:hAnsi="宋体" w:cs="宋体" w:hint="eastAsia"/>
            <w:sz w:val="24"/>
            <w:szCs w:val="24"/>
          </w:rPr>
          <w:tab/>
          <w:t>1</w:t>
        </w:r>
      </w:hyperlink>
      <w:r w:rsidRPr="0083242A">
        <w:rPr>
          <w:rFonts w:ascii="宋体" w:eastAsia="宋体" w:hAnsi="宋体" w:cs="宋体" w:hint="eastAsia"/>
          <w:color w:val="000000"/>
          <w:sz w:val="24"/>
          <w:szCs w:val="24"/>
          <w:lang w:bidi="en-US"/>
        </w:rPr>
        <w:t>3</w:t>
      </w:r>
    </w:p>
    <w:p w:rsidR="0083242A" w:rsidRPr="0083242A" w:rsidP="0083242A">
      <w:pPr>
        <w:keepNext/>
        <w:keepLines/>
        <w:snapToGrid w:val="0"/>
        <w:spacing w:line="360" w:lineRule="auto"/>
        <w:outlineLvl w:val="0"/>
        <w:rPr>
          <w:rFonts w:ascii="宋体" w:eastAsia="宋体" w:hAnsi="宋体" w:cs="宋体" w:hint="eastAsia"/>
          <w:b/>
          <w:bCs/>
          <w:sz w:val="24"/>
          <w:szCs w:val="24"/>
        </w:rPr>
      </w:pPr>
      <w:bookmarkStart w:id="4" w:name="_Toc12685"/>
      <w:r w:rsidRPr="0083242A">
        <w:rPr>
          <w:rFonts w:ascii="宋体" w:eastAsia="宋体" w:hAnsi="宋体" w:cs="宋体" w:hint="eastAsia"/>
          <w:b/>
          <w:bCs/>
          <w:sz w:val="24"/>
          <w:szCs w:val="24"/>
        </w:rPr>
        <w:t xml:space="preserve">1 </w:t>
      </w:r>
      <w:r>
        <w:rPr>
          <w:rFonts w:ascii="宋体" w:eastAsia="宋体" w:hAnsi="宋体" w:cs="宋体" w:hint="eastAsia"/>
          <w:b/>
          <w:bCs/>
          <w:sz w:val="24"/>
          <w:szCs w:val="24"/>
        </w:rPr>
        <w:t xml:space="preserve"> </w:t>
      </w:r>
      <w:r w:rsidRPr="0083242A">
        <w:rPr>
          <w:rFonts w:ascii="宋体" w:eastAsia="宋体" w:hAnsi="宋体" w:cs="宋体" w:hint="eastAsia"/>
          <w:b/>
          <w:bCs/>
          <w:sz w:val="24"/>
          <w:szCs w:val="24"/>
        </w:rPr>
        <w:t>工程概况</w:t>
      </w:r>
      <w:bookmarkEnd w:id="0"/>
      <w:bookmarkEnd w:id="1"/>
      <w:bookmarkEnd w:id="2"/>
      <w:bookmarkEnd w:id="4"/>
    </w:p>
    <w:p w:rsidR="0083242A" w:rsidRPr="0083242A" w:rsidP="0083242A">
      <w:pPr>
        <w:snapToGrid w:val="0"/>
        <w:spacing w:line="360" w:lineRule="auto"/>
        <w:outlineLvl w:val="1"/>
        <w:rPr>
          <w:rFonts w:ascii="宋体" w:eastAsia="宋体" w:hAnsi="宋体" w:cs="宋体" w:hint="eastAsia"/>
          <w:b/>
          <w:sz w:val="24"/>
          <w:szCs w:val="24"/>
        </w:rPr>
      </w:pPr>
      <w:bookmarkStart w:id="5" w:name="_Toc208484205"/>
      <w:bookmarkStart w:id="6" w:name="_Toc9712"/>
      <w:r w:rsidRPr="0083242A">
        <w:rPr>
          <w:rFonts w:ascii="宋体" w:eastAsia="宋体" w:hAnsi="宋体" w:cs="宋体" w:hint="eastAsia"/>
          <w:b/>
          <w:sz w:val="24"/>
          <w:szCs w:val="24"/>
        </w:rPr>
        <w:t>1.1</w:t>
      </w:r>
      <w:bookmarkEnd w:id="5"/>
      <w:r w:rsidRPr="0083242A">
        <w:rPr>
          <w:rFonts w:ascii="宋体" w:eastAsia="宋体" w:hAnsi="宋体" w:cs="宋体" w:hint="eastAsia"/>
          <w:b/>
          <w:sz w:val="24"/>
          <w:szCs w:val="24"/>
        </w:rPr>
        <w:t xml:space="preserve">  工程名称</w:t>
      </w:r>
      <w:bookmarkEnd w:id="6"/>
    </w:p>
    <w:p w:rsidR="0083242A" w:rsidRPr="0083242A" w:rsidP="0083242A">
      <w:pPr>
        <w:snapToGrid w:val="0"/>
        <w:spacing w:line="360" w:lineRule="auto"/>
        <w:ind w:firstLine="480" w:firstLineChars="200"/>
        <w:rPr>
          <w:rFonts w:ascii="宋体" w:eastAsia="宋体" w:hAnsi="宋体" w:cs="宋体" w:hint="eastAsia"/>
          <w:bCs/>
          <w:sz w:val="24"/>
        </w:rPr>
      </w:pPr>
      <w:bookmarkStart w:id="7" w:name="_Toc3290"/>
      <w:r w:rsidRPr="0083242A">
        <w:rPr>
          <w:rFonts w:ascii="宋体" w:eastAsia="宋体" w:hAnsi="宋体" w:cs="宋体" w:hint="eastAsia"/>
          <w:bCs/>
          <w:sz w:val="24"/>
        </w:rPr>
        <w:t>150MW风电项目</w:t>
      </w:r>
    </w:p>
    <w:p w:rsidR="0083242A" w:rsidRPr="0083242A" w:rsidP="0083242A">
      <w:pPr>
        <w:snapToGrid w:val="0"/>
        <w:spacing w:line="360" w:lineRule="auto"/>
        <w:outlineLvl w:val="1"/>
        <w:rPr>
          <w:rFonts w:ascii="宋体" w:eastAsia="宋体" w:hAnsi="宋体" w:cs="宋体" w:hint="eastAsia"/>
          <w:b/>
          <w:sz w:val="24"/>
          <w:szCs w:val="24"/>
        </w:rPr>
      </w:pPr>
      <w:r w:rsidRPr="0083242A">
        <w:rPr>
          <w:rFonts w:ascii="宋体" w:eastAsia="宋体" w:hAnsi="宋体" w:cs="宋体" w:hint="eastAsia"/>
          <w:b/>
          <w:sz w:val="24"/>
          <w:szCs w:val="24"/>
        </w:rPr>
        <w:t>1.2  工程地点</w:t>
      </w:r>
      <w:bookmarkEnd w:id="7"/>
    </w:p>
    <w:p w:rsidR="0083242A" w:rsidRPr="0083242A" w:rsidP="0083242A">
      <w:pPr>
        <w:tabs>
          <w:tab w:val="left" w:pos="315"/>
        </w:tabs>
        <w:spacing w:line="360" w:lineRule="auto"/>
        <w:ind w:firstLine="480" w:firstLineChars="200"/>
        <w:jc w:val="left"/>
        <w:rPr>
          <w:rFonts w:ascii="宋体" w:eastAsia="宋体" w:hAnsi="宋体" w:cs="宋体" w:hint="eastAsia"/>
          <w:bCs/>
          <w:sz w:val="24"/>
        </w:rPr>
      </w:pPr>
      <w:r w:rsidRPr="0083242A">
        <w:rPr>
          <w:rFonts w:ascii="宋体" w:eastAsia="宋体" w:hAnsi="宋体" w:cs="宋体" w:hint="eastAsia"/>
          <w:bCs/>
          <w:sz w:val="24"/>
        </w:rPr>
        <w:t>150MW风</w:t>
      </w:r>
      <w:r w:rsidRPr="0083242A">
        <w:rPr>
          <w:rFonts w:ascii="宋体" w:eastAsia="宋体" w:hAnsi="宋体" w:cs="宋体" w:hint="eastAsia"/>
          <w:bCs/>
          <w:sz w:val="24"/>
        </w:rPr>
        <w:t>电项目</w:t>
      </w:r>
      <w:r w:rsidRPr="0083242A">
        <w:rPr>
          <w:rFonts w:ascii="宋体" w:eastAsia="宋体" w:hAnsi="宋体" w:cs="宋体" w:hint="eastAsia"/>
          <w:bCs/>
          <w:sz w:val="24"/>
        </w:rPr>
        <w:t>位于属内陆山地风</w:t>
      </w:r>
      <w:r>
        <w:rPr>
          <w:rFonts w:ascii="宋体" w:eastAsia="宋体" w:hAnsi="宋体" w:cs="宋体" w:hint="eastAsia"/>
          <w:bCs/>
          <w:sz w:val="24"/>
        </w:rPr>
        <w:t>电场，场址中心距</w:t>
      </w:r>
      <w:r w:rsidRPr="0083242A">
        <w:rPr>
          <w:rFonts w:ascii="宋体" w:eastAsia="宋体" w:hAnsi="宋体" w:cs="宋体" w:hint="eastAsia"/>
          <w:bCs/>
          <w:sz w:val="24"/>
        </w:rPr>
        <w:t>市约120km</w:t>
      </w:r>
      <w:r>
        <w:rPr>
          <w:rFonts w:ascii="宋体" w:eastAsia="宋体" w:hAnsi="宋体" w:cs="宋体" w:hint="eastAsia"/>
          <w:bCs/>
          <w:sz w:val="24"/>
        </w:rPr>
        <w:t>，</w:t>
      </w:r>
      <w:r>
        <w:rPr>
          <w:rFonts w:ascii="宋体" w:eastAsia="宋体" w:hAnsi="宋体" w:cs="宋体" w:hint="eastAsia"/>
          <w:bCs/>
          <w:sz w:val="24"/>
        </w:rPr>
        <w:t>距离</w:t>
      </w:r>
      <w:r w:rsidRPr="0083242A">
        <w:rPr>
          <w:rFonts w:ascii="宋体" w:eastAsia="宋体" w:hAnsi="宋体" w:cs="宋体" w:hint="eastAsia"/>
          <w:bCs/>
          <w:sz w:val="24"/>
        </w:rPr>
        <w:t>市</w:t>
      </w:r>
      <w:r w:rsidRPr="0083242A">
        <w:rPr>
          <w:rFonts w:ascii="宋体" w:eastAsia="宋体" w:hAnsi="宋体" w:cs="宋体" w:hint="eastAsia"/>
          <w:bCs/>
          <w:sz w:val="24"/>
        </w:rPr>
        <w:t>约45km，</w:t>
      </w:r>
      <w:r w:rsidRPr="0083242A">
        <w:rPr>
          <w:rFonts w:ascii="宋体" w:eastAsia="宋体" w:hAnsi="宋体" w:cs="宋体" w:hint="eastAsia"/>
          <w:bCs/>
          <w:sz w:val="24"/>
        </w:rPr>
        <w:t>距离海</w:t>
      </w:r>
      <w:r w:rsidRPr="0083242A">
        <w:rPr>
          <w:rFonts w:ascii="宋体" w:eastAsia="宋体" w:hAnsi="宋体" w:cs="宋体" w:hint="eastAsia"/>
          <w:bCs/>
          <w:sz w:val="24"/>
        </w:rPr>
        <w:t>城市约25km。风场范围为不规则多边形，南北约30km，东西约20km，风场面积约600km²，海拔高度60～620m。地貌主要为低山丘陵，植被一般发育，主要为梨树等经济作物或灌木为主。</w:t>
      </w:r>
    </w:p>
    <w:p w:rsidR="0083242A" w:rsidRPr="0083242A" w:rsidP="0083242A">
      <w:pPr>
        <w:tabs>
          <w:tab w:val="left" w:pos="315"/>
        </w:tabs>
        <w:spacing w:line="360" w:lineRule="auto"/>
        <w:ind w:firstLine="480" w:firstLineChars="200"/>
        <w:jc w:val="left"/>
        <w:rPr>
          <w:rFonts w:ascii="宋体" w:eastAsia="宋体" w:hAnsi="宋体" w:cs="宋体" w:hint="eastAsia"/>
          <w:bCs/>
          <w:sz w:val="24"/>
        </w:rPr>
      </w:pPr>
      <w:r w:rsidRPr="0083242A">
        <w:rPr>
          <w:rFonts w:ascii="宋体" w:eastAsia="宋体" w:hAnsi="宋体" w:cs="宋体" w:hint="eastAsia"/>
          <w:bCs/>
          <w:kern w:val="0"/>
          <w:sz w:val="24"/>
        </w:rPr>
        <w:t>配套新建一座220kV升压站，并配置15MW/30MWh储能系统，</w:t>
      </w:r>
      <w:r w:rsidRPr="0083242A">
        <w:rPr>
          <w:rFonts w:ascii="宋体" w:eastAsia="宋体" w:hAnsi="宋体" w:cs="宋体" w:hint="eastAsia"/>
          <w:bCs/>
          <w:sz w:val="24"/>
        </w:rPr>
        <w:t>拟安装24台型号GWH204-6.25风力发电机组，单机容量6250kW，叶轮直径204m，轮毂高度115m/14台、125m/10台，总装机容量150MW。风</w:t>
      </w:r>
      <w:r w:rsidRPr="0083242A">
        <w:rPr>
          <w:rFonts w:ascii="宋体" w:eastAsia="宋体" w:hAnsi="宋体" w:cs="宋体" w:hint="eastAsia"/>
          <w:bCs/>
          <w:sz w:val="24"/>
        </w:rPr>
        <w:t>电场集电线路</w:t>
      </w:r>
      <w:r w:rsidRPr="0083242A">
        <w:rPr>
          <w:rFonts w:ascii="宋体" w:eastAsia="宋体" w:hAnsi="宋体" w:cs="宋体" w:hint="eastAsia"/>
          <w:bCs/>
          <w:sz w:val="24"/>
        </w:rPr>
        <w:t>采用</w:t>
      </w:r>
      <w:r w:rsidRPr="0083242A">
        <w:rPr>
          <w:rFonts w:ascii="宋体" w:eastAsia="宋体" w:hAnsi="宋体" w:cs="宋体" w:hint="eastAsia"/>
          <w:bCs/>
          <w:sz w:val="24"/>
        </w:rPr>
        <w:t>一</w:t>
      </w:r>
      <w:r w:rsidRPr="0083242A">
        <w:rPr>
          <w:rFonts w:ascii="宋体" w:eastAsia="宋体" w:hAnsi="宋体" w:cs="宋体" w:hint="eastAsia"/>
          <w:bCs/>
          <w:sz w:val="24"/>
        </w:rPr>
        <w:t>机一变的方式，将风机电压升压至35kV后通过6回35kV</w:t>
      </w:r>
      <w:r w:rsidRPr="0083242A">
        <w:rPr>
          <w:rFonts w:ascii="宋体" w:eastAsia="宋体" w:hAnsi="宋体" w:cs="宋体" w:hint="eastAsia"/>
          <w:bCs/>
          <w:sz w:val="24"/>
        </w:rPr>
        <w:t>集电线路</w:t>
      </w:r>
      <w:r w:rsidRPr="0083242A">
        <w:rPr>
          <w:rFonts w:ascii="宋体" w:eastAsia="宋体" w:hAnsi="宋体" w:cs="宋体" w:hint="eastAsia"/>
          <w:bCs/>
          <w:sz w:val="24"/>
        </w:rPr>
        <w:t>直接汇接入新建的三峡海城220kV升压站。</w:t>
      </w:r>
    </w:p>
    <w:p w:rsidR="0083242A" w:rsidRPr="0083242A" w:rsidP="0083242A">
      <w:pPr>
        <w:snapToGrid w:val="0"/>
        <w:spacing w:line="360" w:lineRule="auto"/>
        <w:outlineLvl w:val="1"/>
        <w:rPr>
          <w:rFonts w:ascii="宋体" w:eastAsia="宋体" w:hAnsi="宋体" w:cs="宋体" w:hint="eastAsia"/>
          <w:b/>
          <w:sz w:val="24"/>
          <w:szCs w:val="24"/>
        </w:rPr>
      </w:pPr>
      <w:r w:rsidRPr="0083242A">
        <w:rPr>
          <w:rFonts w:ascii="宋体" w:eastAsia="宋体" w:hAnsi="宋体" w:cs="宋体" w:hint="eastAsia"/>
          <w:b/>
          <w:sz w:val="24"/>
          <w:szCs w:val="24"/>
        </w:rPr>
        <w:t>1.3  质量目标</w:t>
      </w:r>
    </w:p>
    <w:p w:rsidR="0083242A" w:rsidRPr="0083242A" w:rsidP="0083242A">
      <w:pPr>
        <w:tabs>
          <w:tab w:val="left" w:pos="1020"/>
        </w:tabs>
        <w:snapToGrid w:val="0"/>
        <w:spacing w:line="360" w:lineRule="auto"/>
        <w:rPr>
          <w:rFonts w:ascii="宋体" w:eastAsia="宋体" w:hAnsi="宋体" w:cs="宋体"/>
          <w:sz w:val="24"/>
          <w:szCs w:val="24"/>
        </w:rPr>
      </w:pPr>
      <w:r w:rsidRPr="0083242A">
        <w:rPr>
          <w:rFonts w:ascii="宋体" w:eastAsia="宋体" w:hAnsi="宋体" w:cs="宋体" w:hint="eastAsia"/>
          <w:sz w:val="24"/>
          <w:szCs w:val="24"/>
        </w:rPr>
        <w:t>1</w:t>
      </w:r>
      <w:r w:rsidRPr="0083242A">
        <w:rPr>
          <w:rFonts w:ascii="宋体" w:eastAsia="宋体" w:hAnsi="宋体" w:cs="宋体"/>
          <w:sz w:val="24"/>
          <w:szCs w:val="24"/>
        </w:rPr>
        <w:t>.</w:t>
      </w:r>
      <w:r w:rsidRPr="0083242A">
        <w:rPr>
          <w:rFonts w:ascii="宋体" w:eastAsia="宋体" w:hAnsi="宋体" w:cs="宋体" w:hint="eastAsia"/>
          <w:sz w:val="24"/>
          <w:szCs w:val="24"/>
        </w:rPr>
        <w:t>3</w:t>
      </w:r>
      <w:r w:rsidRPr="0083242A">
        <w:rPr>
          <w:rFonts w:ascii="宋体" w:eastAsia="宋体" w:hAnsi="宋体" w:cs="宋体"/>
          <w:sz w:val="24"/>
          <w:szCs w:val="24"/>
        </w:rPr>
        <w:t xml:space="preserve">.1 </w:t>
      </w:r>
      <w:r>
        <w:rPr>
          <w:rFonts w:ascii="宋体" w:eastAsia="宋体" w:hAnsi="宋体" w:cs="宋体" w:hint="eastAsia"/>
          <w:sz w:val="24"/>
          <w:szCs w:val="24"/>
        </w:rPr>
        <w:t xml:space="preserve"> </w:t>
      </w:r>
      <w:r w:rsidRPr="0083242A">
        <w:rPr>
          <w:rFonts w:ascii="宋体" w:eastAsia="宋体" w:hAnsi="宋体" w:cs="宋体"/>
          <w:sz w:val="24"/>
          <w:szCs w:val="24"/>
        </w:rPr>
        <w:t>实现达标投产</w:t>
      </w:r>
      <w:r w:rsidRPr="0083242A">
        <w:rPr>
          <w:rFonts w:ascii="宋体" w:eastAsia="宋体" w:hAnsi="宋体" w:cs="宋体" w:hint="eastAsia"/>
          <w:sz w:val="24"/>
          <w:szCs w:val="24"/>
        </w:rPr>
        <w:t>，</w:t>
      </w:r>
      <w:r w:rsidRPr="0083242A">
        <w:rPr>
          <w:rFonts w:ascii="宋体" w:eastAsia="宋体" w:hAnsi="宋体" w:cs="宋体"/>
          <w:sz w:val="24"/>
          <w:szCs w:val="24"/>
        </w:rPr>
        <w:t>争创行业优质工程。</w:t>
      </w:r>
    </w:p>
    <w:p w:rsidR="0083242A" w:rsidRPr="0083242A" w:rsidP="0083242A">
      <w:pPr>
        <w:tabs>
          <w:tab w:val="left" w:pos="1020"/>
        </w:tabs>
        <w:snapToGrid w:val="0"/>
        <w:spacing w:line="360" w:lineRule="auto"/>
        <w:rPr>
          <w:rFonts w:ascii="宋体" w:eastAsia="宋体" w:hAnsi="宋体" w:cs="宋体"/>
          <w:sz w:val="24"/>
          <w:szCs w:val="24"/>
        </w:rPr>
      </w:pPr>
      <w:r w:rsidRPr="0083242A">
        <w:rPr>
          <w:rFonts w:ascii="宋体" w:eastAsia="宋体" w:hAnsi="宋体" w:cs="宋体" w:hint="eastAsia"/>
          <w:sz w:val="24"/>
          <w:szCs w:val="24"/>
        </w:rPr>
        <w:t>1</w:t>
      </w:r>
      <w:r w:rsidRPr="0083242A">
        <w:rPr>
          <w:rFonts w:ascii="宋体" w:eastAsia="宋体" w:hAnsi="宋体" w:cs="宋体"/>
          <w:sz w:val="24"/>
          <w:szCs w:val="24"/>
        </w:rPr>
        <w:t>.</w:t>
      </w:r>
      <w:r w:rsidRPr="0083242A">
        <w:rPr>
          <w:rFonts w:ascii="宋体" w:eastAsia="宋体" w:hAnsi="宋体" w:cs="宋体" w:hint="eastAsia"/>
          <w:sz w:val="24"/>
          <w:szCs w:val="24"/>
        </w:rPr>
        <w:t>3</w:t>
      </w:r>
      <w:r w:rsidRPr="0083242A">
        <w:rPr>
          <w:rFonts w:ascii="宋体" w:eastAsia="宋体" w:hAnsi="宋体" w:cs="宋体"/>
          <w:sz w:val="24"/>
          <w:szCs w:val="24"/>
        </w:rPr>
        <w:t xml:space="preserve">.2 </w:t>
      </w:r>
      <w:r>
        <w:rPr>
          <w:rFonts w:ascii="宋体" w:eastAsia="宋体" w:hAnsi="宋体" w:cs="宋体" w:hint="eastAsia"/>
          <w:sz w:val="24"/>
          <w:szCs w:val="24"/>
        </w:rPr>
        <w:t xml:space="preserve"> </w:t>
      </w:r>
      <w:r w:rsidRPr="0083242A">
        <w:rPr>
          <w:rFonts w:ascii="宋体" w:eastAsia="宋体" w:hAnsi="宋体" w:cs="宋体" w:hint="eastAsia"/>
          <w:sz w:val="24"/>
          <w:szCs w:val="24"/>
        </w:rPr>
        <w:t>土建</w:t>
      </w:r>
      <w:r w:rsidRPr="0083242A">
        <w:rPr>
          <w:rFonts w:ascii="宋体" w:eastAsia="宋体" w:hAnsi="宋体" w:cs="宋体"/>
          <w:sz w:val="24"/>
          <w:szCs w:val="24"/>
        </w:rPr>
        <w:t>工程一次性合格率</w:t>
      </w:r>
      <w:r w:rsidRPr="0083242A">
        <w:rPr>
          <w:rFonts w:ascii="宋体" w:eastAsia="宋体" w:hAnsi="宋体" w:cs="宋体" w:hint="eastAsia"/>
          <w:sz w:val="24"/>
          <w:szCs w:val="24"/>
        </w:rPr>
        <w:t>100</w:t>
      </w:r>
      <w:r w:rsidRPr="0083242A">
        <w:rPr>
          <w:rFonts w:ascii="宋体" w:eastAsia="宋体" w:hAnsi="宋体" w:cs="宋体"/>
          <w:sz w:val="24"/>
          <w:szCs w:val="24"/>
        </w:rPr>
        <w:t>%、单位工程优良率</w:t>
      </w:r>
      <w:r w:rsidRPr="0083242A">
        <w:rPr>
          <w:rFonts w:ascii="宋体" w:eastAsia="宋体" w:hAnsi="宋体" w:cs="宋体" w:hint="eastAsia"/>
          <w:sz w:val="24"/>
          <w:szCs w:val="24"/>
        </w:rPr>
        <w:t>≥95</w:t>
      </w:r>
      <w:r w:rsidRPr="0083242A">
        <w:rPr>
          <w:rFonts w:ascii="宋体" w:eastAsia="宋体" w:hAnsi="宋体" w:cs="宋体"/>
          <w:sz w:val="24"/>
          <w:szCs w:val="24"/>
        </w:rPr>
        <w:t>%</w:t>
      </w:r>
      <w:r w:rsidRPr="0083242A">
        <w:rPr>
          <w:rFonts w:ascii="宋体" w:eastAsia="宋体" w:hAnsi="宋体" w:cs="宋体" w:hint="eastAsia"/>
          <w:sz w:val="24"/>
          <w:szCs w:val="24"/>
        </w:rPr>
        <w:t>；</w:t>
      </w:r>
    </w:p>
    <w:p w:rsidR="0083242A" w:rsidRPr="0083242A" w:rsidP="0083242A">
      <w:pPr>
        <w:tabs>
          <w:tab w:val="left" w:pos="1020"/>
        </w:tabs>
        <w:snapToGrid w:val="0"/>
        <w:spacing w:line="360" w:lineRule="auto"/>
        <w:ind w:firstLine="720" w:firstLineChars="300"/>
        <w:rPr>
          <w:rFonts w:ascii="宋体" w:eastAsia="宋体" w:hAnsi="宋体" w:cs="宋体" w:hint="eastAsia"/>
          <w:sz w:val="24"/>
          <w:szCs w:val="24"/>
        </w:rPr>
      </w:pPr>
      <w:r w:rsidRPr="0083242A">
        <w:rPr>
          <w:rFonts w:ascii="宋体" w:eastAsia="宋体" w:hAnsi="宋体" w:cs="宋体"/>
          <w:sz w:val="24"/>
          <w:szCs w:val="24"/>
        </w:rPr>
        <w:t>安装工程一次性合格率</w:t>
      </w:r>
      <w:r w:rsidRPr="0083242A">
        <w:rPr>
          <w:rFonts w:ascii="宋体" w:eastAsia="宋体" w:hAnsi="宋体" w:cs="宋体" w:hint="eastAsia"/>
          <w:sz w:val="24"/>
          <w:szCs w:val="24"/>
        </w:rPr>
        <w:t>100</w:t>
      </w:r>
      <w:r w:rsidRPr="0083242A">
        <w:rPr>
          <w:rFonts w:ascii="宋体" w:eastAsia="宋体" w:hAnsi="宋体" w:cs="宋体"/>
          <w:sz w:val="24"/>
          <w:szCs w:val="24"/>
        </w:rPr>
        <w:t>%，单位工程</w:t>
      </w:r>
      <w:r w:rsidRPr="0083242A">
        <w:rPr>
          <w:rFonts w:ascii="宋体" w:eastAsia="宋体" w:hAnsi="宋体" w:cs="宋体" w:hint="eastAsia"/>
          <w:sz w:val="24"/>
          <w:szCs w:val="24"/>
        </w:rPr>
        <w:t>有优良率≥98</w:t>
      </w:r>
      <w:r w:rsidRPr="0083242A">
        <w:rPr>
          <w:rFonts w:ascii="宋体" w:eastAsia="宋体" w:hAnsi="宋体" w:cs="宋体"/>
          <w:sz w:val="24"/>
          <w:szCs w:val="24"/>
        </w:rPr>
        <w:t>%</w:t>
      </w:r>
      <w:r w:rsidRPr="0083242A">
        <w:rPr>
          <w:rFonts w:ascii="宋体" w:eastAsia="宋体" w:hAnsi="宋体" w:cs="宋体" w:hint="eastAsia"/>
          <w:sz w:val="24"/>
          <w:szCs w:val="24"/>
        </w:rPr>
        <w:t>；</w:t>
      </w:r>
    </w:p>
    <w:p w:rsidR="0083242A" w:rsidRPr="0083242A" w:rsidP="0083242A">
      <w:pPr>
        <w:tabs>
          <w:tab w:val="left" w:pos="1020"/>
        </w:tabs>
        <w:snapToGrid w:val="0"/>
        <w:spacing w:line="360" w:lineRule="auto"/>
        <w:rPr>
          <w:rFonts w:ascii="宋体" w:eastAsia="宋体" w:hAnsi="宋体" w:cs="宋体" w:hint="eastAsia"/>
          <w:sz w:val="24"/>
          <w:szCs w:val="24"/>
        </w:rPr>
        <w:sectPr w:rsidSect="002B6412">
          <w:headerReference w:type="default" r:id="rId6"/>
          <w:footerReference w:type="default" r:id="rId7"/>
          <w:pgSz w:w="11906" w:h="16838"/>
          <w:pgMar w:top="1134" w:right="1418" w:bottom="1077" w:left="1077" w:header="851" w:footer="686" w:gutter="0"/>
          <w:cols w:space="720"/>
          <w:docGrid w:type="lines" w:linePitch="312"/>
        </w:sectPr>
      </w:pPr>
      <w:r w:rsidRPr="0083242A">
        <w:rPr>
          <w:rFonts w:ascii="宋体" w:eastAsia="宋体" w:hAnsi="宋体" w:cs="宋体" w:hint="eastAsia"/>
          <w:sz w:val="24"/>
          <w:szCs w:val="24"/>
        </w:rPr>
        <w:t>1</w:t>
      </w:r>
      <w:r w:rsidRPr="0083242A">
        <w:rPr>
          <w:rFonts w:ascii="宋体" w:eastAsia="宋体" w:hAnsi="宋体" w:cs="宋体"/>
          <w:sz w:val="24"/>
          <w:szCs w:val="24"/>
        </w:rPr>
        <w:t>.</w:t>
      </w:r>
      <w:r w:rsidRPr="0083242A">
        <w:rPr>
          <w:rFonts w:ascii="宋体" w:eastAsia="宋体" w:hAnsi="宋体" w:cs="宋体" w:hint="eastAsia"/>
          <w:sz w:val="24"/>
          <w:szCs w:val="24"/>
        </w:rPr>
        <w:t>3</w:t>
      </w:r>
      <w:r w:rsidRPr="0083242A">
        <w:rPr>
          <w:rFonts w:ascii="宋体" w:eastAsia="宋体" w:hAnsi="宋体" w:cs="宋体"/>
          <w:sz w:val="24"/>
          <w:szCs w:val="24"/>
        </w:rPr>
        <w:t>.</w:t>
      </w:r>
      <w:r w:rsidRPr="0083242A">
        <w:rPr>
          <w:rFonts w:ascii="宋体" w:eastAsia="宋体" w:hAnsi="宋体" w:cs="宋体" w:hint="eastAsia"/>
          <w:sz w:val="24"/>
          <w:szCs w:val="24"/>
        </w:rPr>
        <w:t xml:space="preserve">3 </w:t>
      </w:r>
      <w:r>
        <w:rPr>
          <w:rFonts w:ascii="宋体" w:eastAsia="宋体" w:hAnsi="宋体" w:cs="宋体" w:hint="eastAsia"/>
          <w:sz w:val="24"/>
          <w:szCs w:val="24"/>
        </w:rPr>
        <w:t xml:space="preserve"> </w:t>
      </w:r>
      <w:r w:rsidRPr="0083242A">
        <w:rPr>
          <w:rFonts w:ascii="宋体" w:eastAsia="宋体" w:hAnsi="宋体" w:cs="宋体" w:hint="eastAsia"/>
          <w:sz w:val="24"/>
          <w:szCs w:val="24"/>
        </w:rPr>
        <w:t>绿色、文明施工目标：噪音不影响周边牧民，污水排放达标不影响环境，文明施工考核优良，绿色施工达标。</w:t>
      </w:r>
    </w:p>
    <w:p w:rsidR="0083242A" w:rsidRPr="0083242A" w:rsidP="0083242A">
      <w:pPr>
        <w:keepNext/>
        <w:keepLines/>
        <w:snapToGrid w:val="0"/>
        <w:spacing w:line="360" w:lineRule="auto"/>
        <w:outlineLvl w:val="0"/>
        <w:rPr>
          <w:rFonts w:ascii="宋体" w:eastAsia="宋体" w:hAnsi="宋体" w:cs="宋体" w:hint="eastAsia"/>
          <w:b/>
          <w:bCs/>
          <w:sz w:val="24"/>
          <w:szCs w:val="24"/>
        </w:rPr>
      </w:pPr>
      <w:bookmarkStart w:id="8" w:name="_Toc21588"/>
      <w:r w:rsidRPr="0083242A">
        <w:rPr>
          <w:rFonts w:ascii="宋体" w:eastAsia="宋体" w:hAnsi="宋体" w:cs="宋体" w:hint="eastAsia"/>
          <w:b/>
          <w:bCs/>
          <w:sz w:val="24"/>
          <w:szCs w:val="24"/>
        </w:rPr>
        <w:t>2</w:t>
      </w:r>
      <w:r>
        <w:rPr>
          <w:rFonts w:ascii="宋体" w:eastAsia="宋体" w:hAnsi="宋体" w:cs="宋体" w:hint="eastAsia"/>
          <w:b/>
          <w:bCs/>
          <w:sz w:val="24"/>
          <w:szCs w:val="24"/>
        </w:rPr>
        <w:t xml:space="preserve"> </w:t>
      </w:r>
      <w:r w:rsidRPr="0083242A">
        <w:rPr>
          <w:rFonts w:ascii="宋体" w:eastAsia="宋体" w:hAnsi="宋体" w:cs="宋体" w:hint="eastAsia"/>
          <w:b/>
          <w:bCs/>
          <w:sz w:val="24"/>
          <w:szCs w:val="24"/>
        </w:rPr>
        <w:t xml:space="preserve"> 编制依据</w:t>
      </w:r>
      <w:bookmarkEnd w:id="8"/>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2.1 </w:t>
      </w:r>
      <w:r>
        <w:rPr>
          <w:rFonts w:ascii="宋体" w:eastAsia="宋体" w:hAnsi="宋体" w:cs="宋体" w:hint="eastAsia"/>
          <w:sz w:val="24"/>
          <w:szCs w:val="24"/>
        </w:rPr>
        <w:t xml:space="preserve"> </w:t>
      </w:r>
      <w:r w:rsidRPr="0083242A">
        <w:rPr>
          <w:rFonts w:ascii="宋体" w:eastAsia="宋体" w:hAnsi="宋体" w:cs="宋体" w:hint="eastAsia"/>
          <w:sz w:val="24"/>
          <w:szCs w:val="24"/>
        </w:rPr>
        <w:t>《建筑工程绿色施工评价标准》GB/50640-2010</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2.2 </w:t>
      </w:r>
      <w:r>
        <w:rPr>
          <w:rFonts w:ascii="宋体" w:eastAsia="宋体" w:hAnsi="宋体" w:cs="宋体" w:hint="eastAsia"/>
          <w:sz w:val="24"/>
          <w:szCs w:val="24"/>
        </w:rPr>
        <w:t xml:space="preserve"> </w:t>
      </w:r>
      <w:r w:rsidRPr="0083242A">
        <w:rPr>
          <w:rFonts w:ascii="宋体" w:eastAsia="宋体" w:hAnsi="宋体" w:cs="宋体" w:hint="eastAsia"/>
          <w:sz w:val="24"/>
          <w:szCs w:val="24"/>
        </w:rPr>
        <w:t>《建筑施工现场环境与卫生标准》JGJ146-2013</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2.3 </w:t>
      </w:r>
      <w:r>
        <w:rPr>
          <w:rFonts w:ascii="宋体" w:eastAsia="宋体" w:hAnsi="宋体" w:cs="宋体" w:hint="eastAsia"/>
          <w:sz w:val="24"/>
          <w:szCs w:val="24"/>
        </w:rPr>
        <w:t xml:space="preserve"> </w:t>
      </w:r>
      <w:r w:rsidRPr="0083242A">
        <w:rPr>
          <w:rFonts w:ascii="宋体" w:eastAsia="宋体" w:hAnsi="宋体" w:cs="宋体" w:hint="eastAsia"/>
          <w:sz w:val="24"/>
          <w:szCs w:val="24"/>
        </w:rPr>
        <w:t>《建筑施工现场安全检查标准》JGJ59-2011</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2.4</w:t>
      </w:r>
      <w:r>
        <w:rPr>
          <w:rFonts w:ascii="宋体" w:eastAsia="宋体" w:hAnsi="宋体" w:cs="宋体" w:hint="eastAsia"/>
          <w:sz w:val="24"/>
          <w:szCs w:val="24"/>
        </w:rPr>
        <w:t xml:space="preserve"> </w:t>
      </w:r>
      <w:r w:rsidRPr="0083242A">
        <w:rPr>
          <w:rFonts w:ascii="宋体" w:eastAsia="宋体" w:hAnsi="宋体" w:cs="宋体" w:hint="eastAsia"/>
          <w:sz w:val="24"/>
          <w:szCs w:val="24"/>
        </w:rPr>
        <w:t xml:space="preserve"> 《节水型生活用水器具》CJ/164-2014</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2.5 </w:t>
      </w:r>
      <w:r>
        <w:rPr>
          <w:rFonts w:ascii="宋体" w:eastAsia="宋体" w:hAnsi="宋体" w:cs="宋体" w:hint="eastAsia"/>
          <w:sz w:val="24"/>
          <w:szCs w:val="24"/>
        </w:rPr>
        <w:t xml:space="preserve"> </w:t>
      </w:r>
      <w:r w:rsidRPr="0083242A">
        <w:rPr>
          <w:rFonts w:ascii="宋体" w:eastAsia="宋体" w:hAnsi="宋体" w:cs="宋体" w:hint="eastAsia"/>
          <w:sz w:val="24"/>
          <w:szCs w:val="24"/>
        </w:rPr>
        <w:t>《建筑照明设计标准》GB50034-2013</w:t>
      </w:r>
    </w:p>
    <w:p w:rsidR="0083242A" w:rsidRPr="0083242A" w:rsidP="0083242A">
      <w:pPr>
        <w:adjustRightInd w:val="0"/>
        <w:snapToGrid w:val="0"/>
        <w:spacing w:line="360" w:lineRule="auto"/>
        <w:rPr>
          <w:rFonts w:ascii="宋体" w:eastAsia="宋体" w:hAnsi="宋体" w:cs="宋体"/>
          <w:sz w:val="24"/>
          <w:szCs w:val="24"/>
        </w:rPr>
      </w:pPr>
      <w:r w:rsidRPr="0083242A">
        <w:rPr>
          <w:rFonts w:ascii="宋体" w:eastAsia="宋体" w:hAnsi="宋体" w:cs="宋体" w:hint="eastAsia"/>
          <w:sz w:val="24"/>
          <w:szCs w:val="24"/>
        </w:rPr>
        <w:t xml:space="preserve">2.6 </w:t>
      </w:r>
      <w:r>
        <w:rPr>
          <w:rFonts w:ascii="宋体" w:eastAsia="宋体" w:hAnsi="宋体" w:cs="宋体" w:hint="eastAsia"/>
          <w:sz w:val="24"/>
          <w:szCs w:val="24"/>
        </w:rPr>
        <w:t xml:space="preserve"> </w:t>
      </w:r>
      <w:r w:rsidRPr="0083242A">
        <w:rPr>
          <w:rFonts w:ascii="宋体" w:eastAsia="宋体" w:hAnsi="宋体" w:cs="宋体" w:hint="eastAsia"/>
          <w:sz w:val="24"/>
          <w:szCs w:val="24"/>
        </w:rPr>
        <w:t>《污水综合排放标准》GB20426-2018</w:t>
      </w:r>
    </w:p>
    <w:p w:rsidR="0083242A" w:rsidRPr="0083242A" w:rsidP="0083242A">
      <w:pPr>
        <w:spacing w:line="360" w:lineRule="auto"/>
        <w:rPr>
          <w:rFonts w:ascii="Times New Roman" w:eastAsia="宋体" w:hAnsi="Times New Roman" w:cs="Times New Roman" w:hint="eastAsia"/>
          <w:szCs w:val="24"/>
        </w:rPr>
      </w:pPr>
      <w:r w:rsidRPr="0083242A">
        <w:rPr>
          <w:rFonts w:ascii="宋体" w:eastAsia="宋体" w:hAnsi="宋体" w:cs="宋体" w:hint="eastAsia"/>
          <w:sz w:val="24"/>
          <w:szCs w:val="24"/>
        </w:rPr>
        <w:t xml:space="preserve">2.7 </w:t>
      </w:r>
      <w:r>
        <w:rPr>
          <w:rFonts w:ascii="宋体" w:eastAsia="宋体" w:hAnsi="宋体" w:cs="宋体" w:hint="eastAsia"/>
          <w:sz w:val="24"/>
          <w:szCs w:val="24"/>
        </w:rPr>
        <w:t xml:space="preserve"> </w:t>
      </w:r>
      <w:r w:rsidRPr="0083242A">
        <w:rPr>
          <w:rFonts w:ascii="Times New Roman" w:eastAsia="宋体" w:hAnsi="Times New Roman" w:cs="Times New Roman" w:hint="eastAsia"/>
          <w:sz w:val="24"/>
          <w:szCs w:val="24"/>
        </w:rPr>
        <w:t>《建筑施工场界环境噪声排放标准》（</w:t>
      </w:r>
      <w:r w:rsidRPr="0083242A">
        <w:rPr>
          <w:rFonts w:ascii="Times New Roman" w:eastAsia="宋体" w:hAnsi="Times New Roman" w:cs="Times New Roman" w:hint="eastAsia"/>
          <w:sz w:val="24"/>
          <w:szCs w:val="24"/>
        </w:rPr>
        <w:t>GB12523-2011</w:t>
      </w:r>
      <w:r w:rsidRPr="0083242A">
        <w:rPr>
          <w:rFonts w:ascii="Times New Roman" w:eastAsia="宋体" w:hAnsi="Times New Roman" w:cs="Times New Roman" w:hint="eastAsia"/>
          <w:sz w:val="24"/>
          <w:szCs w:val="24"/>
        </w:rPr>
        <w:t>）</w:t>
      </w:r>
    </w:p>
    <w:p w:rsidR="0083242A" w:rsidRPr="0083242A" w:rsidP="0083242A">
      <w:pPr>
        <w:spacing w:line="360" w:lineRule="auto"/>
        <w:rPr>
          <w:rFonts w:ascii="Times New Roman" w:eastAsia="宋体" w:hAnsi="Times New Roman" w:cs="Times New Roman" w:hint="eastAsia"/>
          <w:sz w:val="24"/>
          <w:szCs w:val="24"/>
        </w:rPr>
      </w:pPr>
      <w:r w:rsidRPr="0083242A">
        <w:rPr>
          <w:rFonts w:ascii="宋体" w:eastAsia="宋体" w:hAnsi="宋体" w:cs="宋体" w:hint="eastAsia"/>
          <w:sz w:val="24"/>
          <w:szCs w:val="24"/>
        </w:rPr>
        <w:t>2.8</w:t>
      </w:r>
      <w:r>
        <w:rPr>
          <w:rFonts w:ascii="宋体" w:eastAsia="宋体" w:hAnsi="宋体" w:cs="宋体" w:hint="eastAsia"/>
          <w:sz w:val="24"/>
          <w:szCs w:val="24"/>
        </w:rPr>
        <w:t xml:space="preserve"> </w:t>
      </w:r>
      <w:r w:rsidRPr="0083242A">
        <w:rPr>
          <w:rFonts w:ascii="Times New Roman" w:eastAsia="宋体" w:hAnsi="宋体" w:cs="宋体" w:hint="eastAsia"/>
          <w:sz w:val="24"/>
          <w:szCs w:val="24"/>
        </w:rPr>
        <w:t xml:space="preserve"> </w:t>
      </w:r>
      <w:r w:rsidRPr="0083242A">
        <w:rPr>
          <w:rFonts w:ascii="Times New Roman" w:eastAsia="宋体" w:hAnsi="Times New Roman" w:cs="Times New Roman" w:hint="eastAsia"/>
          <w:sz w:val="24"/>
          <w:szCs w:val="24"/>
        </w:rPr>
        <w:t>《建筑节能工程施工质量验收规范》（</w:t>
      </w:r>
      <w:r w:rsidRPr="0083242A">
        <w:rPr>
          <w:rFonts w:ascii="Times New Roman" w:eastAsia="宋体" w:hAnsi="Times New Roman" w:cs="Times New Roman" w:hint="eastAsia"/>
          <w:sz w:val="24"/>
          <w:szCs w:val="24"/>
        </w:rPr>
        <w:t>SZJG 31-2019</w:t>
      </w:r>
      <w:r w:rsidRPr="0083242A">
        <w:rPr>
          <w:rFonts w:ascii="Times New Roman" w:eastAsia="宋体" w:hAnsi="Times New Roman" w:cs="Times New Roman" w:hint="eastAsia"/>
          <w:sz w:val="24"/>
          <w:szCs w:val="24"/>
        </w:rPr>
        <w:t>）</w:t>
      </w:r>
    </w:p>
    <w:p w:rsidR="0083242A" w:rsidRPr="0083242A" w:rsidP="0083242A">
      <w:pPr>
        <w:adjustRightInd w:val="0"/>
        <w:jc w:val="center"/>
        <w:textAlignment w:val="baseline"/>
        <w:rPr>
          <w:rFonts w:ascii="宋体" w:eastAsia="宋体" w:hAnsi="Times New Roman" w:cs="Times New Roman"/>
          <w:snapToGrid w:val="0"/>
          <w:sz w:val="24"/>
          <w:szCs w:val="24"/>
        </w:rPr>
      </w:pPr>
    </w:p>
    <w:p w:rsidR="0083242A" w:rsidRPr="0083242A" w:rsidP="0083242A">
      <w:pPr>
        <w:keepNext/>
        <w:keepLines/>
        <w:snapToGrid w:val="0"/>
        <w:spacing w:line="360" w:lineRule="auto"/>
        <w:outlineLvl w:val="0"/>
        <w:rPr>
          <w:rFonts w:ascii="宋体" w:eastAsia="宋体" w:hAnsi="宋体" w:cs="宋体" w:hint="eastAsia"/>
          <w:b/>
          <w:bCs/>
          <w:sz w:val="24"/>
          <w:szCs w:val="24"/>
        </w:rPr>
      </w:pPr>
      <w:bookmarkStart w:id="9" w:name="_Toc13912"/>
      <w:r w:rsidRPr="0083242A">
        <w:rPr>
          <w:rFonts w:ascii="宋体" w:eastAsia="宋体" w:hAnsi="宋体" w:cs="宋体" w:hint="eastAsia"/>
          <w:b/>
          <w:bCs/>
          <w:sz w:val="24"/>
          <w:szCs w:val="24"/>
        </w:rPr>
        <w:t>3</w:t>
      </w:r>
      <w:r>
        <w:rPr>
          <w:rFonts w:ascii="宋体" w:eastAsia="宋体" w:hAnsi="宋体" w:cs="宋体" w:hint="eastAsia"/>
          <w:b/>
          <w:bCs/>
          <w:sz w:val="24"/>
          <w:szCs w:val="24"/>
        </w:rPr>
        <w:t xml:space="preserve"> </w:t>
      </w:r>
      <w:r w:rsidRPr="0083242A">
        <w:rPr>
          <w:rFonts w:ascii="宋体" w:eastAsia="宋体" w:hAnsi="宋体" w:cs="宋体" w:hint="eastAsia"/>
          <w:b/>
          <w:bCs/>
          <w:sz w:val="24"/>
          <w:szCs w:val="24"/>
        </w:rPr>
        <w:t xml:space="preserve"> 绿色施工目标与要求</w:t>
      </w:r>
      <w:bookmarkEnd w:id="9"/>
    </w:p>
    <w:p w:rsidR="0083242A" w:rsidRPr="0083242A" w:rsidP="0083242A">
      <w:pPr>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3.1 </w:t>
      </w:r>
      <w:r>
        <w:rPr>
          <w:rFonts w:ascii="宋体" w:eastAsia="宋体" w:hAnsi="宋体" w:cs="宋体" w:hint="eastAsia"/>
          <w:sz w:val="24"/>
          <w:szCs w:val="24"/>
        </w:rPr>
        <w:t xml:space="preserve"> </w:t>
      </w:r>
      <w:r w:rsidRPr="0083242A">
        <w:rPr>
          <w:rFonts w:ascii="宋体" w:eastAsia="宋体" w:hAnsi="宋体" w:cs="宋体" w:hint="eastAsia"/>
          <w:sz w:val="24"/>
          <w:szCs w:val="24"/>
        </w:rPr>
        <w:t>运用ISO14000和ISO18000管理体系，在保证质量、安全等基本要求的前提下，通过科学管理和技术进步，最大限度的节约资源与减少对环境负面影响的施工活动——尽可能的应用绿色施工的新技术、新设备、新材料与新工艺，实现四节</w:t>
      </w:r>
      <w:r w:rsidRPr="0083242A">
        <w:rPr>
          <w:rFonts w:ascii="宋体" w:eastAsia="宋体" w:hAnsi="宋体" w:cs="宋体" w:hint="eastAsia"/>
          <w:sz w:val="24"/>
          <w:szCs w:val="24"/>
        </w:rPr>
        <w:t>一</w:t>
      </w:r>
      <w:r w:rsidRPr="0083242A">
        <w:rPr>
          <w:rFonts w:ascii="宋体" w:eastAsia="宋体" w:hAnsi="宋体" w:cs="宋体" w:hint="eastAsia"/>
          <w:sz w:val="24"/>
          <w:szCs w:val="24"/>
        </w:rPr>
        <w:t>环保（节能、节地、节水、节材和环境保护）。</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3.2 绿色与施工指标体系由节地与室外环境、节能与能源利用、节水与水资源利用、节材与材料资源、环境质量等五类指标组成。如下图所示：</w:t>
      </w:r>
    </w:p>
    <w:p w:rsidR="0083242A" w:rsidRPr="0083242A" w:rsidP="0083242A">
      <w:pPr>
        <w:adjustRightInd w:val="0"/>
        <w:snapToGrid w:val="0"/>
        <w:spacing w:line="360" w:lineRule="auto"/>
        <w:ind w:firstLine="523" w:firstLineChars="218"/>
        <w:rPr>
          <w:rFonts w:ascii="宋体" w:eastAsia="宋体" w:hAnsi="宋体" w:cs="宋体" w:hint="eastAsia"/>
          <w:sz w:val="24"/>
          <w:szCs w:val="24"/>
        </w:rPr>
      </w:pPr>
      <w:r>
        <w:rPr>
          <w:rFonts w:ascii="宋体" w:eastAsia="宋体" w:hAnsi="宋体" w:cs="宋体" w:hint="eastAsia"/>
          <w:noProof/>
          <w:sz w:val="24"/>
          <w:szCs w:val="24"/>
        </w:rPr>
        <w:drawing>
          <wp:inline distT="0" distB="0" distL="0" distR="0">
            <wp:extent cx="5762625" cy="3981450"/>
            <wp:effectExtent l="0" t="0" r="9525" b="0"/>
            <wp:docPr id="1" name="图片 1" descr="{FF642613-A3B5-47EF-A7F2-AF91D4BDD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FF642613-A3B5-47EF-A7F2-AF91D4BDDBA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2625" cy="3981450"/>
                    </a:xfrm>
                    <a:prstGeom prst="rect">
                      <a:avLst/>
                    </a:prstGeom>
                    <a:noFill/>
                    <a:ln>
                      <a:noFill/>
                    </a:ln>
                  </pic:spPr>
                </pic:pic>
              </a:graphicData>
            </a:graphic>
          </wp:inline>
        </w:drawing>
      </w:r>
    </w:p>
    <w:p w:rsidR="0083242A" w:rsidRPr="0083242A" w:rsidP="0083242A">
      <w:pPr>
        <w:adjustRightInd w:val="0"/>
        <w:snapToGrid w:val="0"/>
        <w:spacing w:line="360" w:lineRule="auto"/>
        <w:rPr>
          <w:rFonts w:ascii="宋体" w:eastAsia="宋体" w:hAnsi="宋体" w:cs="宋体" w:hint="eastAsia"/>
          <w:sz w:val="24"/>
          <w:szCs w:val="24"/>
        </w:rPr>
        <w:sectPr w:rsidSect="002B6412">
          <w:headerReference w:type="default" r:id="rId9"/>
          <w:footerReference w:type="default" r:id="rId10"/>
          <w:type w:val="nextPage"/>
          <w:pgSz w:w="11906" w:h="16838"/>
          <w:pgMar w:top="1134" w:right="1418" w:bottom="1077" w:left="1077" w:header="851" w:footer="686" w:gutter="0"/>
          <w:pgNumType w:start="2"/>
          <w:cols w:space="720"/>
          <w:titlePg w:val="0"/>
          <w:docGrid w:type="lines" w:linePitch="312"/>
        </w:sectPr>
      </w:pPr>
      <w:r w:rsidRPr="0083242A">
        <w:rPr>
          <w:rFonts w:ascii="宋体" w:eastAsia="宋体" w:hAnsi="宋体" w:cs="宋体" w:hint="eastAsia"/>
          <w:sz w:val="24"/>
          <w:szCs w:val="24"/>
        </w:rPr>
        <w:t xml:space="preserve">3.3 </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生活能耗控制指标：</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3.3.1</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 xml:space="preserve"> 施工现场劳务人员生活用电平均每人每月&lt;25千瓦时（含食堂、浴室等生活区公共用电）。</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3.3.2 </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施工现场劳务人员生活用水平均每人每月&lt;1.5立方米（含食堂、浴室等生活区公共用电）。</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3.4 </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节材控制指标</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3.4.1 </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建筑材料损耗不高于现行定额规定的损耗比例。</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3.4.2 </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模板等周转材料的周转率不低于定额要求。</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3.5 </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工程废料回收再利用率：</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3.5.1 </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钢、木等材料再利用率≥50%。</w:t>
      </w:r>
    </w:p>
    <w:p w:rsidR="0083242A" w:rsidRPr="0083242A" w:rsidP="0083242A">
      <w:pPr>
        <w:adjustRightInd w:val="0"/>
        <w:snapToGrid w:val="0"/>
        <w:spacing w:line="360" w:lineRule="auto"/>
        <w:rPr>
          <w:rFonts w:ascii="宋体" w:eastAsia="宋体" w:hAnsi="宋体" w:cs="宋体" w:hint="eastAsia"/>
          <w:sz w:val="24"/>
          <w:szCs w:val="24"/>
        </w:rPr>
      </w:pPr>
      <w:r w:rsidRPr="0083242A">
        <w:rPr>
          <w:rFonts w:ascii="宋体" w:eastAsia="宋体" w:hAnsi="宋体" w:cs="宋体" w:hint="eastAsia"/>
          <w:sz w:val="24"/>
          <w:szCs w:val="24"/>
        </w:rPr>
        <w:t xml:space="preserve">3.5.2 </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砂石、碎砖类材料再利用率≥80%。</w:t>
      </w:r>
    </w:p>
    <w:p w:rsidR="0083242A" w:rsidRPr="0083242A" w:rsidP="0083242A">
      <w:pPr>
        <w:adjustRightInd w:val="0"/>
        <w:snapToGrid w:val="0"/>
        <w:spacing w:line="360" w:lineRule="auto"/>
        <w:rPr>
          <w:rFonts w:ascii="宋体" w:eastAsia="宋体" w:hAnsi="宋体" w:cs="Times New Roman" w:hint="eastAsia"/>
          <w:sz w:val="24"/>
          <w:szCs w:val="24"/>
        </w:rPr>
      </w:pPr>
      <w:r w:rsidRPr="0083242A">
        <w:rPr>
          <w:rFonts w:ascii="宋体" w:eastAsia="宋体" w:hAnsi="宋体" w:cs="宋体" w:hint="eastAsia"/>
          <w:sz w:val="24"/>
          <w:szCs w:val="24"/>
        </w:rPr>
        <w:t>3.5.3</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 xml:space="preserve"> 其余建筑垃圾每万平方米&lt;200吨。</w:t>
      </w:r>
      <w:bookmarkStart w:id="10" w:name="_Toc32100"/>
    </w:p>
    <w:p w:rsidR="0083242A" w:rsidRPr="0083242A" w:rsidP="0083242A">
      <w:pPr>
        <w:rPr>
          <w:rFonts w:ascii="宋体" w:eastAsia="宋体" w:hAnsi="宋体" w:cs="宋体" w:hint="eastAsia"/>
          <w:sz w:val="24"/>
          <w:szCs w:val="24"/>
        </w:rPr>
      </w:pPr>
      <w:bookmarkStart w:id="11" w:name="_Toc13698"/>
      <w:r w:rsidRPr="0083242A">
        <w:rPr>
          <w:rFonts w:ascii="宋体" w:eastAsia="宋体" w:hAnsi="宋体" w:cs="宋体" w:hint="eastAsia"/>
          <w:sz w:val="24"/>
          <w:szCs w:val="24"/>
        </w:rPr>
        <w:t>3.6</w:t>
      </w:r>
      <w:r w:rsidR="005051E6">
        <w:rPr>
          <w:rFonts w:ascii="宋体" w:eastAsia="宋体" w:hAnsi="宋体" w:cs="宋体" w:hint="eastAsia"/>
          <w:sz w:val="24"/>
          <w:szCs w:val="24"/>
        </w:rPr>
        <w:t xml:space="preserve">  </w:t>
      </w:r>
      <w:r w:rsidRPr="0083242A">
        <w:rPr>
          <w:rFonts w:ascii="宋体" w:eastAsia="宋体" w:hAnsi="宋体" w:cs="宋体" w:hint="eastAsia"/>
          <w:sz w:val="24"/>
          <w:szCs w:val="24"/>
        </w:rPr>
        <w:t>绿色施工小组组成及分工</w:t>
      </w:r>
      <w:bookmarkEnd w:id="11"/>
    </w:p>
    <w:tbl>
      <w:tblPr>
        <w:tblStyle w:val="TableNormal"/>
        <w:tblW w:w="963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710"/>
        <w:gridCol w:w="2346"/>
        <w:gridCol w:w="6583"/>
      </w:tblGrid>
      <w:tr w:rsidTr="0083242A">
        <w:tblPrEx>
          <w:tblW w:w="963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序号</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绿色施工职务</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分工情况</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1</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组长（项目经理）</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组织制定项目经理为绿色施工第一负责人，负责绿色施工的全面管理工作。组织制定绿色施工方案、措施；负责绿色施工的组织实施及目标实现，并制定绿色施工管理人员和监督人员。</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2</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副组长（项目副经理）</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协助项目经理制定绿色施工方案目标及规划；组织协调绿色施工所需的人员、设备、场地等资源，全面监督绿色施工方案执行。</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3</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副组长（项目总工）</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协助项目经理制定绿色施工方案、措施、管理办法和各项规章制度，并监督实施。</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负责组织按绿色施工要求，制定施工目标，编制施工方案，制定各种节约措施；推广新工艺、新材料、提供绿色施工中的技术支持。</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贯彻国家及地方环境保护法律、法规、标准及文件规定。</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参加环保检查和检测，并根据检测结果，确定是否需要采取更为严格的防控措施，确保现场污染排放始终控制在国家及地方有关环境保护法规的允许范围内。</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4</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工程部、生产经营部</w:t>
            </w:r>
          </w:p>
        </w:tc>
        <w:tc>
          <w:tcPr>
            <w:tcW w:w="6583" w:type="dxa"/>
            <w:vAlign w:val="center"/>
          </w:tcPr>
          <w:p w:rsidR="0083242A" w:rsidRPr="0083242A" w:rsidP="0083242A">
            <w:pPr>
              <w:numPr>
                <w:ilvl w:val="0"/>
                <w:numId w:val="1"/>
              </w:numPr>
              <w:rPr>
                <w:rFonts w:ascii="宋体" w:eastAsia="宋体" w:hAnsi="宋体" w:cs="宋体" w:hint="eastAsia"/>
                <w:sz w:val="24"/>
                <w:szCs w:val="24"/>
              </w:rPr>
            </w:pPr>
            <w:r w:rsidRPr="0083242A">
              <w:rPr>
                <w:rFonts w:ascii="宋体" w:eastAsia="宋体" w:hAnsi="宋体" w:cs="宋体" w:hint="eastAsia"/>
                <w:sz w:val="24"/>
                <w:szCs w:val="24"/>
              </w:rPr>
              <w:t>依据规范、标准及组长、副组长的意见编制绿色施工方案，并提出技术支持。</w:t>
            </w:r>
          </w:p>
          <w:p w:rsidR="0083242A" w:rsidRPr="0083242A" w:rsidP="0083242A">
            <w:pPr>
              <w:numPr>
                <w:ilvl w:val="0"/>
                <w:numId w:val="1"/>
              </w:numPr>
              <w:rPr>
                <w:rFonts w:ascii="宋体" w:eastAsia="宋体" w:hAnsi="宋体" w:cs="宋体" w:hint="eastAsia"/>
                <w:sz w:val="24"/>
                <w:szCs w:val="24"/>
              </w:rPr>
            </w:pPr>
            <w:r w:rsidRPr="0083242A">
              <w:rPr>
                <w:rFonts w:ascii="宋体" w:eastAsia="宋体" w:hAnsi="宋体" w:cs="宋体" w:hint="eastAsia"/>
                <w:sz w:val="24"/>
                <w:szCs w:val="24"/>
              </w:rPr>
              <w:t>据绿色施工方案目标及规划，负责将各项绿色施工要求明示在合约条款中，并监督检查其执行情况。</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3.负责绿色施工方案落实，协助项目执行经理对人员、机械、设备进行组织协调。</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4.负责监督绿色施工质量执行情况。</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负责扬尘污染控制；负责有害气体排放控制，固体废弃物控制；负责水土污染控制，日间噪声控制及光污染控制；夜间噪音控制及光污染控制、地下设施及文物保护；避免钢筋浪费、混凝土浪费、模板浪费；</w:t>
            </w:r>
          </w:p>
        </w:tc>
      </w:tr>
    </w:tbl>
    <w:p>
      <w:pPr>
        <w:sectPr w:rsidSect="002B6412">
          <w:headerReference w:type="default" r:id="rId11"/>
          <w:footerReference w:type="default" r:id="rId12"/>
          <w:type w:val="nextPage"/>
          <w:pgSz w:w="11906" w:h="16838"/>
          <w:pgMar w:top="1134" w:right="1418" w:bottom="1077" w:left="1077" w:header="851" w:footer="686" w:gutter="0"/>
          <w:pgNumType w:start="3"/>
          <w:cols w:space="720"/>
          <w:titlePg w:val="0"/>
          <w:docGrid w:type="lines" w:linePitch="312"/>
        </w:sectPr>
      </w:pPr>
    </w:p>
    <w:tbl>
      <w:tblPr>
        <w:tblStyle w:val="TableNormal"/>
        <w:tblW w:w="963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710"/>
        <w:gridCol w:w="2346"/>
        <w:gridCol w:w="6583"/>
      </w:tblGrid>
      <w:tr w:rsidTr="0083242A">
        <w:tblPrEx>
          <w:tblW w:w="963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5</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安全监察部</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负责监督绿色施工中职业健康执行情况。</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1、负责职业健康及卫生防疫；2、负责作业条件及环境安全；3、完善安全防护措施，以保证相关人员的培训与教育；</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6</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噪声控制组</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按照方案及平面图中所给定的噪声控制点，安装好测量仪器并妥善保护，每天早、中、晚分别记录噪音读数，并做好每日记录。</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7</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扬尘控制组</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按照方案要求，每天落实土方施工阶段防扬尘污染措施的执行。</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做好不同施工阶段厂区内目测扬尘高度记录整理汇总分析。</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8</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防污染控制组</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做好防止光污染、水污染、土壤污染、固体废弃污染的具体措施。</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9</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采购部、物资管理部</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负责监督绿色施工中资源节约的执行情况，制定采购计划，监督各部门节约材料的执行情况，制定采购计划，监督各部门节约材料的执行，对周转材料进行维护保养。</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10</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材料消耗控制组</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按照绿色施工方案及项目部材料管理规定，对工程用各种消耗材料、周转材料：</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提出准确的材料计划，明确材料的具体要求。及时组织材料进厂，并确保进场材料质量。</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控制施工中的材料使用，执行工清料净等检查工作，避免浪费。</w:t>
            </w:r>
          </w:p>
        </w:tc>
      </w:tr>
      <w:tr w:rsidTr="0083242A">
        <w:tblPrEx>
          <w:tblW w:w="9639" w:type="dxa"/>
          <w:jc w:val="center"/>
          <w:tblLayout w:type="fixed"/>
          <w:tblLook w:val="0000"/>
        </w:tblPrEx>
        <w:trPr>
          <w:trHeight w:val="284"/>
          <w:jc w:val="center"/>
        </w:trPr>
        <w:tc>
          <w:tcPr>
            <w:tcW w:w="710"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11</w:t>
            </w:r>
          </w:p>
        </w:tc>
        <w:tc>
          <w:tcPr>
            <w:tcW w:w="2346"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水电消耗控制组</w:t>
            </w:r>
          </w:p>
        </w:tc>
        <w:tc>
          <w:tcPr>
            <w:tcW w:w="6583" w:type="dxa"/>
            <w:vAlign w:val="center"/>
          </w:tcPr>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根据绿色施工方案中水电消耗管理内容及项目部水电管理规定，做好：</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根据施工方案要求，落实每块水表，电表的安装情况，并定期检查。</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每月8日按时抄水表、电表读数，并做好记录。</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根据水表、电表记录做好统计分析工作。</w:t>
            </w:r>
          </w:p>
          <w:p w:rsidR="0083242A" w:rsidRPr="0083242A" w:rsidP="0083242A">
            <w:pPr>
              <w:rPr>
                <w:rFonts w:ascii="宋体" w:eastAsia="宋体" w:hAnsi="宋体" w:cs="宋体" w:hint="eastAsia"/>
                <w:sz w:val="24"/>
                <w:szCs w:val="24"/>
              </w:rPr>
            </w:pPr>
            <w:r w:rsidRPr="0083242A">
              <w:rPr>
                <w:rFonts w:ascii="宋体" w:eastAsia="宋体" w:hAnsi="宋体" w:cs="宋体" w:hint="eastAsia"/>
                <w:sz w:val="24"/>
                <w:szCs w:val="24"/>
              </w:rPr>
              <w:t>根据方案要求落实各项节水、节电措施。</w:t>
            </w:r>
          </w:p>
        </w:tc>
      </w:tr>
    </w:tbl>
    <w:bookmarkEnd w:id="10"/>
    <w:p w:rsidR="0083242A" w:rsidP="0083242A">
      <w:pPr>
        <w:keepNext/>
        <w:keepLines/>
        <w:snapToGrid w:val="0"/>
        <w:spacing w:line="360" w:lineRule="auto"/>
        <w:outlineLvl w:val="0"/>
        <w:rPr>
          <w:rFonts w:ascii="宋体" w:eastAsia="宋体" w:hAnsi="宋体" w:cs="宋体" w:hint="eastAsia"/>
          <w:b/>
          <w:bCs/>
          <w:sz w:val="24"/>
          <w:szCs w:val="24"/>
        </w:rPr>
      </w:pPr>
      <w:r w:rsidRPr="0083242A">
        <w:rPr>
          <w:rFonts w:ascii="宋体" w:eastAsia="宋体" w:hAnsi="宋体" w:cs="宋体" w:hint="eastAsia"/>
          <w:b/>
          <w:bCs/>
          <w:sz w:val="24"/>
          <w:szCs w:val="24"/>
        </w:rPr>
        <w:t xml:space="preserve">4 </w:t>
      </w:r>
      <w:r w:rsidR="002B6412">
        <w:rPr>
          <w:rFonts w:ascii="宋体" w:eastAsia="宋体" w:hAnsi="宋体" w:cs="宋体" w:hint="eastAsia"/>
          <w:b/>
          <w:bCs/>
          <w:sz w:val="24"/>
          <w:szCs w:val="24"/>
        </w:rPr>
        <w:t xml:space="preserve"> </w:t>
      </w:r>
      <w:r w:rsidRPr="0083242A">
        <w:rPr>
          <w:rFonts w:ascii="宋体" w:eastAsia="宋体" w:hAnsi="宋体" w:cs="宋体" w:hint="eastAsia"/>
          <w:b/>
          <w:bCs/>
          <w:sz w:val="24"/>
          <w:szCs w:val="24"/>
        </w:rPr>
        <w:t>绿色施工组织机构及管理</w:t>
      </w:r>
    </w:p>
    <w:p w:rsidR="002B6412" w:rsidRPr="002B6412" w:rsidP="002B6412">
      <w:pPr>
        <w:keepNext/>
        <w:keepLines/>
        <w:snapToGrid w:val="0"/>
        <w:spacing w:line="360" w:lineRule="auto"/>
        <w:rPr>
          <w:rFonts w:ascii="宋体" w:eastAsia="宋体" w:hAnsi="宋体" w:cs="宋体" w:hint="eastAsia"/>
          <w:bCs/>
          <w:sz w:val="24"/>
          <w:szCs w:val="24"/>
        </w:rPr>
      </w:pPr>
      <w:r w:rsidRPr="002B6412">
        <w:rPr>
          <w:rFonts w:ascii="宋体" w:eastAsia="宋体" w:hAnsi="宋体" w:cs="宋体" w:hint="eastAsia"/>
          <w:bCs/>
          <w:sz w:val="24"/>
          <w:szCs w:val="24"/>
        </w:rPr>
        <w:t>4.1  绿色施工组织机构：</w:t>
      </w:r>
    </w:p>
    <w:p w:rsidR="002B6412" w:rsidRPr="002B6412" w:rsidP="002B6412">
      <w:pPr>
        <w:keepNext/>
        <w:keepLines/>
        <w:snapToGrid w:val="0"/>
        <w:spacing w:line="360" w:lineRule="auto"/>
        <w:rPr>
          <w:rFonts w:ascii="宋体" w:eastAsia="宋体" w:hAnsi="宋体" w:cs="宋体" w:hint="eastAsia"/>
          <w:b/>
          <w:bCs/>
          <w:sz w:val="24"/>
          <w:szCs w:val="24"/>
        </w:rPr>
      </w:pPr>
      <w:r>
        <w:rPr>
          <w:noProof/>
        </w:rPr>
        <w:drawing>
          <wp:inline distT="0" distB="0" distL="0" distR="0">
            <wp:extent cx="5324475" cy="2133600"/>
            <wp:effectExtent l="0" t="0" r="952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13"/>
                    <a:stretch>
                      <a:fillRect/>
                    </a:stretch>
                  </pic:blipFill>
                  <pic:spPr>
                    <a:xfrm>
                      <a:off x="0" y="0"/>
                      <a:ext cx="5324475" cy="2133600"/>
                    </a:xfrm>
                    <a:prstGeom prst="rect">
                      <a:avLst/>
                    </a:prstGeom>
                  </pic:spPr>
                </pic:pic>
              </a:graphicData>
            </a:graphic>
          </wp:inline>
        </w:drawing>
      </w:r>
    </w:p>
    <w:p w:rsidR="0083242A" w:rsidRPr="0083242A" w:rsidP="0083242A">
      <w:pPr>
        <w:spacing w:line="360" w:lineRule="auto"/>
        <w:rPr>
          <w:rFonts w:ascii="宋体" w:eastAsia="宋体" w:hAnsi="宋体" w:cs="宋体"/>
          <w:sz w:val="24"/>
          <w:szCs w:val="24"/>
        </w:rPr>
      </w:pPr>
      <w:bookmarkStart w:id="12" w:name="_Toc12533"/>
      <w:r w:rsidRPr="0083242A">
        <w:rPr>
          <w:rFonts w:ascii="宋体" w:eastAsia="宋体" w:hAnsi="宋体" w:cs="宋体" w:hint="eastAsia"/>
          <w:sz w:val="24"/>
          <w:szCs w:val="24"/>
        </w:rPr>
        <w:t>4.2</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绿色施工管理</w:t>
      </w:r>
    </w:p>
    <w:p w:rsidR="0083242A" w:rsidRPr="0083242A" w:rsidP="0083242A">
      <w:pPr>
        <w:spacing w:line="360" w:lineRule="auto"/>
        <w:ind w:firstLine="480" w:firstLineChars="200"/>
        <w:rPr>
          <w:rFonts w:ascii="宋体" w:eastAsia="宋体" w:hAnsi="宋体" w:cs="宋体" w:hint="eastAsia"/>
          <w:sz w:val="24"/>
          <w:szCs w:val="24"/>
        </w:rPr>
        <w:sectPr w:rsidSect="002B6412">
          <w:headerReference w:type="default" r:id="rId14"/>
          <w:footerReference w:type="default" r:id="rId15"/>
          <w:type w:val="nextPage"/>
          <w:pgSz w:w="11906" w:h="16838"/>
          <w:pgMar w:top="1134" w:right="1418" w:bottom="1077" w:left="1077" w:header="851" w:footer="686" w:gutter="0"/>
          <w:pgNumType w:start="4"/>
          <w:cols w:space="720"/>
          <w:titlePg w:val="0"/>
          <w:docGrid w:type="lines" w:linePitch="312"/>
        </w:sectPr>
      </w:pPr>
      <w:r w:rsidRPr="0083242A">
        <w:rPr>
          <w:rFonts w:ascii="宋体" w:eastAsia="宋体" w:hAnsi="宋体" w:cs="宋体" w:hint="eastAsia"/>
          <w:sz w:val="24"/>
          <w:szCs w:val="24"/>
        </w:rPr>
        <w:t>绿色施工是指工程建设中，在保证质量、安全等基本要求的前提下，通过科学管理和技术进步，最大限度地节约资源与减少对环境负面影响的施工活动，实现四节</w:t>
      </w:r>
      <w:r w:rsidRPr="0083242A">
        <w:rPr>
          <w:rFonts w:ascii="宋体" w:eastAsia="宋体" w:hAnsi="宋体" w:cs="宋体" w:hint="eastAsia"/>
          <w:sz w:val="24"/>
          <w:szCs w:val="24"/>
        </w:rPr>
        <w:t>一</w:t>
      </w:r>
      <w:r w:rsidRPr="0083242A">
        <w:rPr>
          <w:rFonts w:ascii="宋体" w:eastAsia="宋体" w:hAnsi="宋体" w:cs="宋体" w:hint="eastAsia"/>
          <w:sz w:val="24"/>
          <w:szCs w:val="24"/>
        </w:rPr>
        <w:t>环保(节能、节地、节水、节材和环境保护)。绿色施工管理主要包括组织管理、规划管理、实施管理、</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评价管理和人员安全与健康管理五个方面。</w:t>
      </w:r>
    </w:p>
    <w:p w:rsidR="0083242A" w:rsidRPr="0083242A" w:rsidP="0083242A">
      <w:pPr>
        <w:spacing w:line="360" w:lineRule="auto"/>
        <w:rPr>
          <w:rFonts w:ascii="宋体" w:eastAsia="宋体" w:hAnsi="宋体" w:cs="宋体" w:hint="eastAsia"/>
          <w:sz w:val="24"/>
          <w:szCs w:val="24"/>
        </w:rPr>
      </w:pPr>
      <w:bookmarkStart w:id="13" w:name="_Toc318274170"/>
      <w:bookmarkStart w:id="14" w:name="_Toc31494"/>
      <w:r w:rsidRPr="0083242A">
        <w:rPr>
          <w:rFonts w:ascii="宋体" w:eastAsia="宋体" w:hAnsi="宋体" w:cs="宋体" w:hint="eastAsia"/>
          <w:sz w:val="24"/>
          <w:szCs w:val="24"/>
        </w:rPr>
        <w:t>4.2.1</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规划管理</w:t>
      </w:r>
      <w:bookmarkEnd w:id="13"/>
      <w:bookmarkEnd w:id="14"/>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编制专项绿色施工方案，按我公司有关规定进行审批。绿色施工方案包括以下内容：</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（1）</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环境保护措施，制定环境管理计划及应急救援预案,采取有效措施，降低环境负荷；</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（2）</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节材措施，在保证工程安全与质量的前提下，制定节材措施。如进行施工方案的节材优化，尽量避免工地现场材料浪费，建筑垃圾减量化，尽量利用可循环材料等</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（3）</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节水措施，根据工程所在地的水资源状况，制定节水措施；</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（4）</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节能措施，进行施工节能策划，确定目标，制定节能措施；</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（5）</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节地与施工用地保护措施，施工总平面布置规划及临时用地节地措施等。</w:t>
      </w:r>
    </w:p>
    <w:p w:rsidR="0083242A" w:rsidRPr="0083242A" w:rsidP="0083242A">
      <w:pPr>
        <w:spacing w:line="360" w:lineRule="auto"/>
        <w:rPr>
          <w:rFonts w:ascii="宋体" w:eastAsia="宋体" w:hAnsi="宋体" w:cs="宋体" w:hint="eastAsia"/>
          <w:sz w:val="24"/>
          <w:szCs w:val="24"/>
        </w:rPr>
      </w:pPr>
      <w:bookmarkStart w:id="15" w:name="_Toc318274171"/>
      <w:bookmarkStart w:id="16" w:name="_Toc12101"/>
      <w:r w:rsidRPr="0083242A">
        <w:rPr>
          <w:rFonts w:ascii="宋体" w:eastAsia="宋体" w:hAnsi="宋体" w:cs="宋体" w:hint="eastAsia"/>
          <w:sz w:val="24"/>
          <w:szCs w:val="24"/>
        </w:rPr>
        <w:t>4.2.2</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实施管理</w:t>
      </w:r>
      <w:bookmarkEnd w:id="15"/>
      <w:bookmarkEnd w:id="16"/>
    </w:p>
    <w:p w:rsidR="0083242A" w:rsidRPr="0083242A" w:rsidP="0083242A">
      <w:pPr>
        <w:numPr>
          <w:ilvl w:val="0"/>
          <w:numId w:val="6"/>
        </w:num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  </w:t>
      </w:r>
      <w:r w:rsidRPr="0083242A">
        <w:rPr>
          <w:rFonts w:ascii="宋体" w:eastAsia="宋体" w:hAnsi="宋体" w:cs="宋体" w:hint="eastAsia"/>
          <w:sz w:val="24"/>
          <w:szCs w:val="24"/>
        </w:rPr>
        <w:t>土石方作业阶段：采取洒水、覆盖等措施，达到作业区目测扬尘高度小于1.5米，不扩散到产区外。装载土石方时，挖掘机应将土石方轻放，避免扬尘。开挖至设计标高后，不能及时进行下部施工的区域，用密目网进行覆盖。</w:t>
      </w:r>
    </w:p>
    <w:p w:rsidR="0083242A" w:rsidRPr="0083242A" w:rsidP="0083242A">
      <w:pPr>
        <w:numPr>
          <w:ilvl w:val="0"/>
          <w:numId w:val="6"/>
        </w:num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  </w:t>
      </w:r>
      <w:r w:rsidRPr="0083242A">
        <w:rPr>
          <w:rFonts w:ascii="宋体" w:eastAsia="宋体" w:hAnsi="宋体" w:cs="宋体" w:hint="eastAsia"/>
          <w:sz w:val="24"/>
          <w:szCs w:val="24"/>
        </w:rPr>
        <w:t>桩基工程阶段：采用</w:t>
      </w:r>
      <w:r w:rsidRPr="0083242A">
        <w:rPr>
          <w:rFonts w:ascii="宋体" w:eastAsia="宋体" w:hAnsi="宋体" w:cs="宋体" w:hint="eastAsia"/>
          <w:sz w:val="24"/>
          <w:szCs w:val="24"/>
        </w:rPr>
        <w:t>养护车</w:t>
      </w:r>
      <w:r w:rsidRPr="0083242A">
        <w:rPr>
          <w:rFonts w:ascii="宋体" w:eastAsia="宋体" w:hAnsi="宋体" w:cs="宋体" w:hint="eastAsia"/>
          <w:sz w:val="24"/>
          <w:szCs w:val="24"/>
        </w:rPr>
        <w:t>拖车的方式运输材料，减少运输车辆进入现场，减少对周边交通的影响；常规采取湿式施工方式，减少粉尘的产生；对施工过程中产生的噪音、粉尘等进行实时监测，确保达标排放；加强垃圾分类、收集、处理工作，减少现场产生的垃圾量，提高资源利用效率。</w:t>
      </w:r>
    </w:p>
    <w:p w:rsidR="0083242A" w:rsidRPr="0083242A" w:rsidP="0083242A">
      <w:pPr>
        <w:numPr>
          <w:ilvl w:val="0"/>
          <w:numId w:val="6"/>
        </w:num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  </w:t>
      </w:r>
      <w:r w:rsidRPr="0083242A">
        <w:rPr>
          <w:rFonts w:ascii="宋体" w:eastAsia="宋体" w:hAnsi="宋体" w:cs="宋体" w:hint="eastAsia"/>
          <w:sz w:val="24"/>
          <w:szCs w:val="24"/>
        </w:rPr>
        <w:t>钢筋工程阶段：施工过程中产生的杂质、废弃物等应及时清理回收。钢筋加工过程中，因使用工具或人工操作产生的废弃物如锯屑、成品端头等，应及时收集处理，将回收材料送至再生利用站进行回收；减少施工过程中的能源消耗，尽可能施工再生资源。</w:t>
      </w:r>
    </w:p>
    <w:p w:rsidR="0083242A" w:rsidRPr="0083242A" w:rsidP="0083242A">
      <w:pPr>
        <w:numPr>
          <w:ilvl w:val="0"/>
          <w:numId w:val="6"/>
        </w:num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  </w:t>
      </w:r>
      <w:r w:rsidRPr="0083242A">
        <w:rPr>
          <w:rFonts w:ascii="宋体" w:eastAsia="宋体" w:hAnsi="宋体" w:cs="宋体" w:hint="eastAsia"/>
          <w:sz w:val="24"/>
          <w:szCs w:val="24"/>
        </w:rPr>
        <w:t>模板工程阶段：本工程使用钢制模板，代替了木型模板，大大降低了材料损耗。提高了环境保护。</w:t>
      </w:r>
    </w:p>
    <w:p w:rsidR="0083242A" w:rsidRPr="0083242A" w:rsidP="0083242A">
      <w:pPr>
        <w:numPr>
          <w:ilvl w:val="0"/>
          <w:numId w:val="6"/>
        </w:num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  </w:t>
      </w:r>
      <w:r w:rsidRPr="0083242A">
        <w:rPr>
          <w:rFonts w:ascii="宋体" w:eastAsia="宋体" w:hAnsi="宋体" w:cs="宋体" w:hint="eastAsia"/>
          <w:sz w:val="24"/>
          <w:szCs w:val="24"/>
        </w:rPr>
        <w:t>混凝土工程阶段：采用低噪音振捣棒，采用隔音措施，减少施工噪音，振捣</w:t>
      </w:r>
      <w:r w:rsidRPr="0083242A">
        <w:rPr>
          <w:rFonts w:ascii="宋体" w:eastAsia="宋体" w:hAnsi="宋体" w:cs="宋体" w:hint="eastAsia"/>
          <w:sz w:val="24"/>
          <w:szCs w:val="24"/>
        </w:rPr>
        <w:t>棒不得</w:t>
      </w:r>
      <w:r w:rsidRPr="0083242A">
        <w:rPr>
          <w:rFonts w:ascii="宋体" w:eastAsia="宋体" w:hAnsi="宋体" w:cs="宋体" w:hint="eastAsia"/>
          <w:sz w:val="24"/>
          <w:szCs w:val="24"/>
        </w:rPr>
        <w:t>与钢筋、模板长时间接触。振捣棒在不使用时应关闭电源，避免产生噪音；严禁混凝土罐车在耕地及道路两侧随意冲洗，污染环境。</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在绿色施工过程中对整个施工过程实施动态管理，加强对施工策划、施工准备、材料采购、现场施工、工程验收等各阶段的管理和监督。</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结合工程项目的特点，有针对性地对绿色施工作相应的宣传，通过宣传营造绿色施工的氛围。</w:t>
      </w:r>
    </w:p>
    <w:p w:rsidR="0083242A" w:rsidRPr="0083242A" w:rsidP="0083242A">
      <w:pPr>
        <w:spacing w:line="360" w:lineRule="auto"/>
        <w:ind w:firstLine="480" w:firstLineChars="200"/>
        <w:rPr>
          <w:rFonts w:ascii="宋体" w:eastAsia="宋体" w:hAnsi="宋体" w:cs="宋体" w:hint="eastAsia"/>
          <w:sz w:val="24"/>
          <w:szCs w:val="24"/>
        </w:rPr>
        <w:sectPr w:rsidSect="002B6412">
          <w:headerReference w:type="default" r:id="rId16"/>
          <w:footerReference w:type="default" r:id="rId17"/>
          <w:type w:val="nextPage"/>
          <w:pgSz w:w="11906" w:h="16838"/>
          <w:pgMar w:top="1134" w:right="1418" w:bottom="1077" w:left="1077" w:header="851" w:footer="686" w:gutter="0"/>
          <w:pgNumType w:start="5"/>
          <w:cols w:space="720"/>
          <w:titlePg w:val="0"/>
          <w:docGrid w:type="lines" w:linePitch="312"/>
        </w:sectPr>
      </w:pPr>
      <w:r w:rsidRPr="0083242A">
        <w:rPr>
          <w:rFonts w:ascii="宋体" w:eastAsia="宋体" w:hAnsi="宋体" w:cs="宋体" w:hint="eastAsia"/>
          <w:sz w:val="24"/>
          <w:szCs w:val="24"/>
        </w:rPr>
        <w:t>定期对施工班组人员进行绿色施工知识培训，增强绿色施工意识。</w:t>
      </w:r>
    </w:p>
    <w:p w:rsidR="0083242A" w:rsidRPr="0083242A" w:rsidP="0083242A">
      <w:pPr>
        <w:spacing w:line="360" w:lineRule="auto"/>
        <w:rPr>
          <w:rFonts w:ascii="宋体" w:eastAsia="宋体" w:hAnsi="宋体" w:cs="宋体" w:hint="eastAsia"/>
          <w:sz w:val="24"/>
          <w:szCs w:val="24"/>
        </w:rPr>
      </w:pPr>
      <w:bookmarkStart w:id="17" w:name="_Toc318274172"/>
      <w:bookmarkStart w:id="18" w:name="_Toc17423"/>
      <w:r w:rsidRPr="0083242A">
        <w:rPr>
          <w:rFonts w:ascii="宋体" w:eastAsia="宋体" w:hAnsi="宋体" w:cs="宋体" w:hint="eastAsia"/>
          <w:sz w:val="24"/>
          <w:szCs w:val="24"/>
        </w:rPr>
        <w:t>4.2.3</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评价管理</w:t>
      </w:r>
      <w:bookmarkEnd w:id="17"/>
      <w:bookmarkEnd w:id="18"/>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根据绿色施工方案，结合工程特点，对绿色施工的效果及采用的新技术、新设备、新材料与新工艺，进行自我评估。</w:t>
      </w:r>
    </w:p>
    <w:p w:rsidR="0083242A" w:rsidRPr="0083242A" w:rsidP="0083242A">
      <w:pPr>
        <w:spacing w:line="360" w:lineRule="auto"/>
        <w:rPr>
          <w:rFonts w:ascii="宋体" w:eastAsia="宋体" w:hAnsi="宋体" w:cs="宋体" w:hint="eastAsia"/>
          <w:sz w:val="24"/>
          <w:szCs w:val="24"/>
        </w:rPr>
      </w:pPr>
      <w:bookmarkStart w:id="19" w:name="_Toc318274173"/>
      <w:bookmarkStart w:id="20" w:name="_Toc3021"/>
      <w:r w:rsidRPr="0083242A">
        <w:rPr>
          <w:rFonts w:ascii="宋体" w:eastAsia="宋体" w:hAnsi="宋体" w:cs="宋体" w:hint="eastAsia"/>
          <w:sz w:val="24"/>
          <w:szCs w:val="24"/>
        </w:rPr>
        <w:t>4.2.4</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人员安全与健康管理</w:t>
      </w:r>
      <w:bookmarkEnd w:id="19"/>
      <w:bookmarkEnd w:id="20"/>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在施工方案中制订施工防尘、防毒、防辐射等职业危害的措施，保障施工人员的长期职业健康。</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根据实际场地合理布置施工现场，保护生活及办公区不受施工活动的有害影响。施工现场建立卫生急救、保健防疫制度，在安全事故和疾病疫情出现时提供及时救助。</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提供卫生、健康的工作与生活环境，加强对施工人员的住宿、膳食、饮用水等生活与环境卫生等管理，明显改善施工人员的生活条件。</w:t>
      </w:r>
    </w:p>
    <w:p w:rsidR="0083242A" w:rsidRPr="0083242A" w:rsidP="0083242A">
      <w:pPr>
        <w:keepNext/>
        <w:keepLines/>
        <w:spacing w:line="360" w:lineRule="auto"/>
        <w:outlineLvl w:val="0"/>
        <w:rPr>
          <w:rFonts w:ascii="宋体" w:eastAsia="宋体" w:hAnsi="宋体" w:cs="宋体" w:hint="eastAsia"/>
          <w:b/>
          <w:bCs/>
          <w:sz w:val="24"/>
          <w:szCs w:val="24"/>
        </w:rPr>
      </w:pPr>
      <w:r w:rsidRPr="0083242A">
        <w:rPr>
          <w:rFonts w:ascii="宋体" w:eastAsia="宋体" w:hAnsi="宋体" w:cs="宋体" w:hint="eastAsia"/>
          <w:b/>
          <w:bCs/>
          <w:sz w:val="24"/>
          <w:szCs w:val="24"/>
        </w:rPr>
        <w:t>5</w:t>
      </w:r>
      <w:bookmarkEnd w:id="12"/>
      <w:r w:rsidR="002B6412">
        <w:rPr>
          <w:rFonts w:ascii="宋体" w:eastAsia="宋体" w:hAnsi="宋体" w:cs="宋体" w:hint="eastAsia"/>
          <w:b/>
          <w:bCs/>
          <w:sz w:val="24"/>
          <w:szCs w:val="24"/>
        </w:rPr>
        <w:t xml:space="preserve">  </w:t>
      </w:r>
      <w:r w:rsidRPr="0083242A">
        <w:rPr>
          <w:rFonts w:ascii="宋体" w:eastAsia="宋体" w:hAnsi="宋体" w:cs="宋体" w:hint="eastAsia"/>
          <w:b/>
          <w:bCs/>
          <w:sz w:val="24"/>
          <w:szCs w:val="24"/>
        </w:rPr>
        <w:t>环境保护</w:t>
      </w:r>
    </w:p>
    <w:p w:rsidR="0083242A" w:rsidRPr="0083242A" w:rsidP="0083242A">
      <w:pPr>
        <w:spacing w:line="360" w:lineRule="auto"/>
        <w:rPr>
          <w:rFonts w:ascii="宋体" w:eastAsia="宋体" w:hAnsi="宋体" w:cs="宋体" w:hint="eastAsia"/>
          <w:sz w:val="24"/>
          <w:szCs w:val="24"/>
        </w:rPr>
      </w:pPr>
      <w:bookmarkStart w:id="21" w:name="_Toc22101"/>
      <w:bookmarkStart w:id="22" w:name="_Toc318274175"/>
      <w:r w:rsidRPr="0083242A">
        <w:rPr>
          <w:rFonts w:ascii="宋体" w:eastAsia="宋体" w:hAnsi="宋体" w:cs="宋体" w:hint="eastAsia"/>
          <w:sz w:val="24"/>
          <w:szCs w:val="24"/>
        </w:rPr>
        <w:t>5.1</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扬尘控制</w:t>
      </w:r>
      <w:bookmarkEnd w:id="21"/>
      <w:bookmarkEnd w:id="22"/>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在运送土方、垃圾、设备及建筑材料等物质时，</w:t>
      </w:r>
      <w:r w:rsidRPr="0083242A">
        <w:rPr>
          <w:rFonts w:ascii="宋体" w:eastAsia="宋体" w:hAnsi="宋体" w:cs="宋体" w:hint="eastAsia"/>
          <w:sz w:val="24"/>
          <w:szCs w:val="24"/>
        </w:rPr>
        <w:t>不</w:t>
      </w:r>
      <w:r w:rsidRPr="0083242A">
        <w:rPr>
          <w:rFonts w:ascii="宋体" w:eastAsia="宋体" w:hAnsi="宋体" w:cs="宋体" w:hint="eastAsia"/>
          <w:sz w:val="24"/>
          <w:szCs w:val="24"/>
        </w:rPr>
        <w:t>污损场外道路。运输容易散落、飞扬、流漏的物料的车辆，采取措施封闭严密，保证车辆清洁。施工现场出口设置冲洗平台，及时清洗车辆上的泥土，防止泥土外带。</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结构施工、安装等施工阶段，作业区目测扬尘高度小于0.5m。对易产生扬尘的堆放材料应采取密目网覆盖措施；对粉末状材料应封闭存放；场区内可能引起扬尘的材料及建筑垃圾搬运应有降尘措施，如覆盖、洒水等；浇筑混凝土前清理灰尘和垃圾时利用吸尘器清理，机械剔凿作业时可用局部遮挡、掩盖、水淋等防护措施；高层或多层建筑清理垃圾应搭设封闭性临时专用道或采用容器吊运。</w:t>
      </w:r>
    </w:p>
    <w:p w:rsidR="0083242A" w:rsidRPr="0083242A" w:rsidP="0083242A">
      <w:pPr>
        <w:spacing w:line="360" w:lineRule="auto"/>
        <w:ind w:firstLine="480" w:firstLineChars="200"/>
        <w:rPr>
          <w:rFonts w:ascii="宋体" w:eastAsia="宋体" w:hAnsi="宋体" w:cs="宋体" w:hint="eastAsia"/>
          <w:sz w:val="24"/>
          <w:szCs w:val="24"/>
        </w:rPr>
      </w:pPr>
      <w:r w:rsidRPr="0083242A">
        <w:rPr>
          <w:rFonts w:ascii="宋体" w:eastAsia="宋体" w:hAnsi="宋体" w:cs="宋体" w:hint="eastAsia"/>
          <w:sz w:val="24"/>
          <w:szCs w:val="24"/>
        </w:rPr>
        <w:t>施工现场非作业区达到目测无扬尘的要求。对现场易飞扬物质采取有效措施，如洒水、地面硬化、围档、密网覆盖、封闭等，防止扬尘产生。</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构筑物机械拆除前，做好扬尘控制计划。可采取清理积尘、拆除体洒水、设置隔档等措施。</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现场具体措施：</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5.1.1</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场地的封闭及绿化：现场永久路和临时路均采用碎石铺设。</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5.1.2</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散状颗粒物的防尘措施：回填土，砂子等进场后，临时用密目网或者苫布进行覆盖，控制一次进场量，边用边进，减少散发面积。用完后清扫干净。运土坡道要注意覆盖，防止扬尘。</w:t>
      </w:r>
    </w:p>
    <w:p w:rsidR="0083242A" w:rsidRPr="0083242A" w:rsidP="0083242A">
      <w:pPr>
        <w:spacing w:line="360" w:lineRule="auto"/>
        <w:rPr>
          <w:rFonts w:ascii="宋体" w:eastAsia="宋体" w:hAnsi="宋体" w:cs="宋体" w:hint="eastAsia"/>
          <w:sz w:val="24"/>
          <w:szCs w:val="24"/>
        </w:rPr>
        <w:sectPr w:rsidSect="002B6412">
          <w:headerReference w:type="default" r:id="rId18"/>
          <w:footerReference w:type="default" r:id="rId19"/>
          <w:type w:val="nextPage"/>
          <w:pgSz w:w="11906" w:h="16838"/>
          <w:pgMar w:top="1134" w:right="1418" w:bottom="1077" w:left="1077" w:header="851" w:footer="686" w:gutter="0"/>
          <w:pgNumType w:start="6"/>
          <w:cols w:space="720"/>
          <w:titlePg w:val="0"/>
          <w:docGrid w:type="lines" w:linePitch="312"/>
        </w:sectPr>
      </w:pPr>
      <w:r w:rsidRPr="0083242A">
        <w:rPr>
          <w:rFonts w:ascii="宋体" w:eastAsia="宋体" w:hAnsi="宋体" w:cs="宋体" w:hint="eastAsia"/>
          <w:sz w:val="24"/>
          <w:szCs w:val="24"/>
        </w:rPr>
        <w:t>5.1.3</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垃圾站：在现场设置1个垃圾站。施工垃圾用铲车运至垃圾站，对垃圾按无毒无害可回收、无毒无害不可回收、有毒</w:t>
      </w:r>
      <w:r w:rsidRPr="0083242A">
        <w:rPr>
          <w:rFonts w:ascii="宋体" w:eastAsia="宋体" w:hAnsi="宋体" w:cs="宋体" w:hint="eastAsia"/>
          <w:sz w:val="24"/>
          <w:szCs w:val="24"/>
        </w:rPr>
        <w:t>有害可</w:t>
      </w:r>
      <w:r w:rsidRPr="0083242A">
        <w:rPr>
          <w:rFonts w:ascii="宋体" w:eastAsia="宋体" w:hAnsi="宋体" w:cs="宋体" w:hint="eastAsia"/>
          <w:sz w:val="24"/>
          <w:szCs w:val="24"/>
        </w:rPr>
        <w:t>回收、有毒有害不可回收分类分拣、存放，并选择有垃圾消纳资质的承包商外运至规定的垃圾处理场。</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5.1.4</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切割、钻孔的防尘措施：</w:t>
      </w:r>
      <w:r w:rsidRPr="0083242A">
        <w:rPr>
          <w:rFonts w:ascii="宋体" w:eastAsia="宋体" w:hAnsi="宋体" w:cs="宋体" w:hint="eastAsia"/>
          <w:sz w:val="24"/>
          <w:szCs w:val="24"/>
        </w:rPr>
        <w:t>齿锯切割</w:t>
      </w:r>
      <w:r w:rsidRPr="0083242A">
        <w:rPr>
          <w:rFonts w:ascii="宋体" w:eastAsia="宋体" w:hAnsi="宋体" w:cs="宋体" w:hint="eastAsia"/>
          <w:sz w:val="24"/>
          <w:szCs w:val="24"/>
        </w:rPr>
        <w:t>木材时，在锯机的下方设置遮挡锯末挡板，使锯末在内部沉淀后回收。钻孔用水钻进行，在下方设置疏水槽，将浆水引至容器内沉淀后处理。</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5.1.5</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撒水防尘：常温施工期间，每天派专人撒水，将沉淀池内的水</w:t>
      </w:r>
      <w:r w:rsidRPr="0083242A">
        <w:rPr>
          <w:rFonts w:ascii="宋体" w:eastAsia="宋体" w:hAnsi="宋体" w:cs="宋体" w:hint="eastAsia"/>
          <w:sz w:val="24"/>
          <w:szCs w:val="24"/>
        </w:rPr>
        <w:t>抽至撒水车</w:t>
      </w:r>
      <w:r w:rsidRPr="0083242A">
        <w:rPr>
          <w:rFonts w:ascii="宋体" w:eastAsia="宋体" w:hAnsi="宋体" w:cs="宋体" w:hint="eastAsia"/>
          <w:sz w:val="24"/>
          <w:szCs w:val="24"/>
        </w:rPr>
        <w:t>内，边走边撒。撒水车前设置钻孔的水管，保证撒水均匀。</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5.1.8</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利用吸尘器清理：结构施工期间，对模板内的木削、废渣的清理采用大型吸尘器吸尘，防止灰尘的扩散，并避免影响混凝土成型质量。</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5.1.9</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车辆运输防尘：保证运土车、垃圾运输车、混凝土搅拌运输车、大型货物运输车辆运行状况完好，表面清洁。散装货箱带有可开启式翻盖，</w:t>
      </w:r>
      <w:r w:rsidRPr="0083242A">
        <w:rPr>
          <w:rFonts w:ascii="宋体" w:eastAsia="宋体" w:hAnsi="宋体" w:cs="宋体" w:hint="eastAsia"/>
          <w:sz w:val="24"/>
          <w:szCs w:val="24"/>
        </w:rPr>
        <w:t>装料至盖底</w:t>
      </w:r>
      <w:r w:rsidRPr="0083242A">
        <w:rPr>
          <w:rFonts w:ascii="宋体" w:eastAsia="宋体" w:hAnsi="宋体" w:cs="宋体" w:hint="eastAsia"/>
          <w:sz w:val="24"/>
          <w:szCs w:val="24"/>
        </w:rPr>
        <w:t>为止，限制超载。挖土期间，在车辆出门前，派专人清洗泥土车轮胎；运输坡道上设置钢筋网格振落轮胎上的泥土。在完全硬化的混凝土道路上设置</w:t>
      </w:r>
      <w:r w:rsidRPr="0083242A">
        <w:rPr>
          <w:rFonts w:ascii="宋体" w:eastAsia="宋体" w:hAnsi="宋体" w:cs="宋体" w:hint="eastAsia"/>
          <w:sz w:val="24"/>
          <w:szCs w:val="24"/>
        </w:rPr>
        <w:t>淋</w:t>
      </w:r>
      <w:r w:rsidRPr="0083242A">
        <w:rPr>
          <w:rFonts w:ascii="宋体" w:eastAsia="宋体" w:hAnsi="宋体" w:cs="宋体" w:hint="eastAsia"/>
          <w:sz w:val="24"/>
          <w:szCs w:val="24"/>
        </w:rPr>
        <w:t>湿地毡，防止车辆带土和扬尘。</w:t>
      </w:r>
    </w:p>
    <w:p w:rsidR="0083242A" w:rsidRPr="0083242A" w:rsidP="0083242A">
      <w:pPr>
        <w:spacing w:line="360" w:lineRule="auto"/>
        <w:rPr>
          <w:rFonts w:ascii="宋体" w:eastAsia="宋体" w:hAnsi="宋体" w:cs="宋体" w:hint="eastAsia"/>
          <w:sz w:val="24"/>
          <w:szCs w:val="24"/>
        </w:rPr>
      </w:pPr>
      <w:bookmarkStart w:id="23" w:name="_Toc29535"/>
      <w:bookmarkStart w:id="24" w:name="_Toc318274176"/>
      <w:r w:rsidRPr="0083242A">
        <w:rPr>
          <w:rFonts w:ascii="宋体" w:eastAsia="宋体" w:hAnsi="宋体" w:cs="宋体" w:hint="eastAsia"/>
          <w:sz w:val="24"/>
          <w:szCs w:val="24"/>
        </w:rPr>
        <w:t>5.2</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废气排量控制</w:t>
      </w:r>
      <w:bookmarkEnd w:id="23"/>
      <w:bookmarkEnd w:id="24"/>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与运输单位签署环保协议，使用满足本地区尾气排放标准的运输车辆，不达标的车辆不允许进入施工现场。</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2）  </w:t>
      </w:r>
      <w:r w:rsidRPr="0083242A">
        <w:rPr>
          <w:rFonts w:ascii="宋体" w:eastAsia="宋体" w:hAnsi="宋体" w:cs="宋体" w:hint="eastAsia"/>
          <w:sz w:val="24"/>
          <w:szCs w:val="24"/>
        </w:rPr>
        <w:t>项目部自用车辆均为排放达标车辆。</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3）  </w:t>
      </w:r>
      <w:r w:rsidRPr="0083242A">
        <w:rPr>
          <w:rFonts w:ascii="宋体" w:eastAsia="宋体" w:hAnsi="宋体" w:cs="宋体" w:hint="eastAsia"/>
          <w:sz w:val="24"/>
          <w:szCs w:val="24"/>
        </w:rPr>
        <w:t>所有机械设备由专业公司负责提供，有专人负责保养、维修，定期检查，确保完好。</w:t>
      </w:r>
    </w:p>
    <w:p w:rsidR="0083242A" w:rsidRPr="0083242A" w:rsidP="0083242A">
      <w:pPr>
        <w:spacing w:line="360" w:lineRule="auto"/>
        <w:rPr>
          <w:rFonts w:ascii="宋体" w:eastAsia="宋体" w:hAnsi="宋体" w:cs="宋体" w:hint="eastAsia"/>
          <w:sz w:val="24"/>
          <w:szCs w:val="24"/>
        </w:rPr>
      </w:pPr>
      <w:bookmarkStart w:id="25" w:name="_Toc318274177"/>
      <w:bookmarkStart w:id="26" w:name="_Toc20896"/>
      <w:r w:rsidRPr="0083242A">
        <w:rPr>
          <w:rFonts w:ascii="宋体" w:eastAsia="宋体" w:hAnsi="宋体" w:cs="宋体" w:hint="eastAsia"/>
          <w:sz w:val="24"/>
          <w:szCs w:val="24"/>
        </w:rPr>
        <w:t>5.3</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噪音与振动控制</w:t>
      </w:r>
      <w:bookmarkEnd w:id="25"/>
      <w:bookmarkEnd w:id="26"/>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在施工过程中严格控制噪音，对噪音进行实时监测与控制。监测方法执行国家标准《建筑施工场界环境噪声排放标准》（GB12523-2011）。</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2）  </w:t>
      </w:r>
      <w:r w:rsidRPr="0083242A">
        <w:rPr>
          <w:rFonts w:ascii="宋体" w:eastAsia="宋体" w:hAnsi="宋体" w:cs="宋体" w:hint="eastAsia"/>
          <w:sz w:val="24"/>
          <w:szCs w:val="24"/>
        </w:rPr>
        <w:t>使现场噪音排放不得超过国家标准《建筑施工场界环境噪声排放标准》（GB12523-2011）的规定。</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3）  </w:t>
      </w:r>
      <w:r w:rsidRPr="0083242A">
        <w:rPr>
          <w:rFonts w:ascii="宋体" w:eastAsia="宋体" w:hAnsi="宋体" w:cs="宋体" w:hint="eastAsia"/>
          <w:sz w:val="24"/>
          <w:szCs w:val="24"/>
        </w:rPr>
        <w:t>使用低噪音、低振动的机具，采取隔音与隔振措施，避免或减少施工噪音和振动。</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该项目降低噪音具体措施：</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5.3.1</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一般设备噪音控制：</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4）  </w:t>
      </w:r>
      <w:r w:rsidRPr="0083242A">
        <w:rPr>
          <w:rFonts w:ascii="宋体" w:eastAsia="宋体" w:hAnsi="宋体" w:cs="宋体" w:hint="eastAsia"/>
          <w:sz w:val="24"/>
          <w:szCs w:val="24"/>
        </w:rPr>
        <w:t>打桩机：本工程暂定使用4台打桩机械，性能完善；运行平稳且噪音小。</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5）  </w:t>
      </w:r>
      <w:r w:rsidRPr="0083242A">
        <w:rPr>
          <w:rFonts w:ascii="宋体" w:eastAsia="宋体" w:hAnsi="宋体" w:cs="宋体" w:hint="eastAsia"/>
          <w:sz w:val="24"/>
          <w:szCs w:val="24"/>
        </w:rPr>
        <w:t>钢筋加工机械：本工程的钢筋加工机械，性能良好，运行稳定，噪音小。</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6）  </w:t>
      </w:r>
      <w:r w:rsidRPr="0083242A">
        <w:rPr>
          <w:rFonts w:ascii="宋体" w:eastAsia="宋体" w:hAnsi="宋体" w:cs="宋体" w:hint="eastAsia"/>
          <w:sz w:val="24"/>
          <w:szCs w:val="24"/>
        </w:rPr>
        <w:t>木材切割噪音控制：在木材加工场设置半封闭操作棚，尽量减少噪音污染。</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7）  </w:t>
      </w:r>
      <w:r w:rsidRPr="0083242A">
        <w:rPr>
          <w:rFonts w:ascii="宋体" w:eastAsia="宋体" w:hAnsi="宋体" w:cs="宋体" w:hint="eastAsia"/>
          <w:sz w:val="24"/>
          <w:szCs w:val="24"/>
        </w:rPr>
        <w:t>混凝土输送泵噪音控制：结构施工期间，根据现场实际情况确定泵送车位置，采用噪音小的设备，并在输送泵的外围搭设隔音棚，减少噪音扰民。</w:t>
      </w:r>
    </w:p>
    <w:p w:rsidR="0083242A" w:rsidRPr="0083242A" w:rsidP="0083242A">
      <w:pPr>
        <w:spacing w:line="360" w:lineRule="auto"/>
        <w:ind w:firstLine="480" w:firstLineChars="200"/>
        <w:rPr>
          <w:rFonts w:ascii="宋体" w:eastAsia="宋体" w:hAnsi="宋体" w:cs="宋体" w:hint="eastAsia"/>
          <w:sz w:val="24"/>
          <w:szCs w:val="24"/>
        </w:rPr>
        <w:sectPr w:rsidSect="002B6412">
          <w:headerReference w:type="default" r:id="rId20"/>
          <w:footerReference w:type="default" r:id="rId21"/>
          <w:type w:val="nextPage"/>
          <w:pgSz w:w="11906" w:h="16838"/>
          <w:pgMar w:top="1134" w:right="1418" w:bottom="1077" w:left="1077" w:header="851" w:footer="686" w:gutter="0"/>
          <w:pgNumType w:start="7"/>
          <w:cols w:space="720"/>
          <w:titlePg w:val="0"/>
          <w:docGrid w:type="lines" w:linePitch="312"/>
        </w:sectPr>
      </w:pPr>
      <w:r>
        <w:rPr>
          <w:rFonts w:ascii="宋体" w:eastAsia="宋体" w:hAnsi="宋体" w:cs="宋体" w:hint="eastAsia"/>
          <w:sz w:val="24"/>
          <w:szCs w:val="24"/>
        </w:rPr>
        <w:t xml:space="preserve">8）  </w:t>
      </w:r>
      <w:r w:rsidRPr="0083242A">
        <w:rPr>
          <w:rFonts w:ascii="宋体" w:eastAsia="宋体" w:hAnsi="宋体" w:cs="宋体" w:hint="eastAsia"/>
          <w:sz w:val="24"/>
          <w:szCs w:val="24"/>
        </w:rPr>
        <w:t>混凝土浇筑：尽量安排在白天浇筑。选择低噪音的振捣设备。</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9）  </w:t>
      </w:r>
      <w:r w:rsidRPr="0083242A">
        <w:rPr>
          <w:rFonts w:ascii="宋体" w:eastAsia="宋体" w:hAnsi="宋体" w:cs="宋体" w:hint="eastAsia"/>
          <w:sz w:val="24"/>
          <w:szCs w:val="24"/>
        </w:rPr>
        <w:t>施工时间尽量安排在8:00—19:00进行，因生产工艺上要求必须连续施工或特殊需要夜间施工的，在施工前到工程所在地建设行政主管部门提出申请经批准后，并在环保部门备案后方可施工。</w:t>
      </w:r>
    </w:p>
    <w:p w:rsidR="0083242A" w:rsidRPr="0083242A" w:rsidP="0083242A">
      <w:pPr>
        <w:spacing w:line="360" w:lineRule="auto"/>
        <w:rPr>
          <w:rFonts w:ascii="宋体" w:eastAsia="宋体" w:hAnsi="宋体" w:cs="宋体" w:hint="eastAsia"/>
          <w:sz w:val="24"/>
          <w:szCs w:val="24"/>
        </w:rPr>
      </w:pPr>
      <w:bookmarkStart w:id="27" w:name="_Toc433"/>
      <w:bookmarkStart w:id="28" w:name="_Toc318274178"/>
      <w:r w:rsidRPr="0083242A">
        <w:rPr>
          <w:rFonts w:ascii="宋体" w:eastAsia="宋体" w:hAnsi="宋体" w:cs="宋体" w:hint="eastAsia"/>
          <w:sz w:val="24"/>
          <w:szCs w:val="24"/>
        </w:rPr>
        <w:t>5.4</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光污染控制</w:t>
      </w:r>
      <w:bookmarkEnd w:id="27"/>
      <w:bookmarkEnd w:id="28"/>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尽量避免或减少施工过程中的光污染。夜间室外照明灯加设灯罩，透光方向集中在施工范围。</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2）  </w:t>
      </w:r>
      <w:r w:rsidRPr="0083242A">
        <w:rPr>
          <w:rFonts w:ascii="宋体" w:eastAsia="宋体" w:hAnsi="宋体" w:cs="宋体" w:hint="eastAsia"/>
          <w:sz w:val="24"/>
          <w:szCs w:val="24"/>
        </w:rPr>
        <w:t>电焊作业采取遮挡措施，避免电焊弧光外泄。</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3）  </w:t>
      </w:r>
      <w:r w:rsidRPr="0083242A">
        <w:rPr>
          <w:rFonts w:ascii="宋体" w:eastAsia="宋体" w:hAnsi="宋体" w:cs="宋体" w:hint="eastAsia"/>
          <w:sz w:val="24"/>
          <w:szCs w:val="24"/>
        </w:rPr>
        <w:t>具体措施：设置焊接加工棚：焊接加工设置加工棚，防止强光外射对工地周围区域造成影响。控制照明光线的角度：工地周边及灯塔上设置大型罩式灯，随着工地的进度及时调整罩灯的角度，保证强光线不射出工地外。施工工地上设置的碘钨灯照射方向始终朝向工地内侧。</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4）  </w:t>
      </w:r>
      <w:r w:rsidRPr="0083242A">
        <w:rPr>
          <w:rFonts w:ascii="宋体" w:eastAsia="宋体" w:hAnsi="宋体" w:cs="宋体" w:hint="eastAsia"/>
          <w:sz w:val="24"/>
          <w:szCs w:val="24"/>
        </w:rPr>
        <w:t>必要时在工作面设置挡光彩条布或者密目网遮挡强光。</w:t>
      </w:r>
    </w:p>
    <w:p w:rsidR="0083242A" w:rsidRPr="0083242A" w:rsidP="0083242A">
      <w:pPr>
        <w:spacing w:line="360" w:lineRule="auto"/>
        <w:rPr>
          <w:rFonts w:ascii="宋体" w:eastAsia="宋体" w:hAnsi="宋体" w:cs="宋体" w:hint="eastAsia"/>
          <w:sz w:val="24"/>
          <w:szCs w:val="24"/>
        </w:rPr>
      </w:pPr>
      <w:bookmarkStart w:id="29" w:name="_Toc4141"/>
      <w:bookmarkStart w:id="30" w:name="_Toc318274179"/>
      <w:r w:rsidRPr="0083242A">
        <w:rPr>
          <w:rFonts w:ascii="宋体" w:eastAsia="宋体" w:hAnsi="宋体" w:cs="宋体" w:hint="eastAsia"/>
          <w:sz w:val="24"/>
          <w:szCs w:val="24"/>
        </w:rPr>
        <w:t>5.5</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水污染控制</w:t>
      </w:r>
      <w:bookmarkEnd w:id="29"/>
      <w:bookmarkEnd w:id="30"/>
    </w:p>
    <w:p w:rsidR="0083242A" w:rsidRPr="0083242A" w:rsidP="002B6412">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施工现场污水排放应达到国家标准《污水综合排放标准》（</w:t>
      </w:r>
      <w:hyperlink r:id="rId22" w:tgtFrame="_blank" w:history="1">
        <w:r w:rsidRPr="0083242A">
          <w:rPr>
            <w:rFonts w:ascii="宋体" w:eastAsia="宋体" w:hAnsi="宋体" w:cs="宋体" w:hint="eastAsia"/>
            <w:color w:val="000000"/>
            <w:sz w:val="24"/>
            <w:szCs w:val="24"/>
            <w:u w:val="single"/>
          </w:rPr>
          <w:t>DB12/ 356-2018</w:t>
        </w:r>
      </w:hyperlink>
      <w:r w:rsidRPr="0083242A">
        <w:rPr>
          <w:rFonts w:ascii="宋体" w:eastAsia="宋体" w:hAnsi="宋体" w:cs="宋体" w:hint="eastAsia"/>
          <w:sz w:val="24"/>
          <w:szCs w:val="24"/>
        </w:rPr>
        <w:t>）的要求。在施工现场应针对不同的污水，设置相应的处理设施。设置沉淀池、隔油池、化粪池。</w:t>
      </w:r>
    </w:p>
    <w:p w:rsidR="0083242A" w:rsidRPr="0083242A" w:rsidP="002B6412">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2）  </w:t>
      </w:r>
      <w:r w:rsidRPr="0083242A">
        <w:rPr>
          <w:rFonts w:ascii="宋体" w:eastAsia="宋体" w:hAnsi="宋体" w:cs="宋体" w:hint="eastAsia"/>
          <w:sz w:val="24"/>
          <w:szCs w:val="24"/>
        </w:rPr>
        <w:t>具体措施：雨水：雨水经过沉淀池后排入市政管网。由于场地全硬化，这样减轻了沉积物的数量。</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3）  </w:t>
      </w:r>
      <w:r w:rsidRPr="0083242A">
        <w:rPr>
          <w:rFonts w:ascii="宋体" w:eastAsia="宋体" w:hAnsi="宋体" w:cs="宋体" w:hint="eastAsia"/>
          <w:sz w:val="24"/>
          <w:szCs w:val="24"/>
        </w:rPr>
        <w:t>污水排放：办公区设置污水沟。在厕所附近设置化粪池，污水经过化粪池沉淀后排入地下。</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4）  </w:t>
      </w:r>
      <w:r w:rsidRPr="0083242A">
        <w:rPr>
          <w:rFonts w:ascii="宋体" w:eastAsia="宋体" w:hAnsi="宋体" w:cs="宋体" w:hint="eastAsia"/>
          <w:sz w:val="24"/>
          <w:szCs w:val="24"/>
        </w:rPr>
        <w:t>保护地下水环境。采用隔水性能好的边坡支护技术。在缺水地区或地下水位持续下降的地区，基坑降水尽可能少地抽取地下水。</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5）  </w:t>
      </w:r>
      <w:r w:rsidRPr="0083242A">
        <w:rPr>
          <w:rFonts w:ascii="宋体" w:eastAsia="宋体" w:hAnsi="宋体" w:cs="宋体" w:hint="eastAsia"/>
          <w:sz w:val="24"/>
          <w:szCs w:val="24"/>
        </w:rPr>
        <w:t>对于化学品等有毒材料、油料的储存地，应有严格的隔水层设计，做好渗漏液收集和处理。</w:t>
      </w:r>
    </w:p>
    <w:p w:rsidR="0083242A" w:rsidRPr="0083242A" w:rsidP="0083242A">
      <w:pPr>
        <w:spacing w:line="360" w:lineRule="auto"/>
        <w:rPr>
          <w:rFonts w:ascii="宋体" w:eastAsia="宋体" w:hAnsi="宋体" w:cs="宋体" w:hint="eastAsia"/>
          <w:sz w:val="24"/>
          <w:szCs w:val="24"/>
        </w:rPr>
      </w:pPr>
      <w:bookmarkStart w:id="31" w:name="_Toc318274180"/>
      <w:bookmarkStart w:id="32" w:name="_Toc19232"/>
      <w:r w:rsidRPr="0083242A">
        <w:rPr>
          <w:rFonts w:ascii="宋体" w:eastAsia="宋体" w:hAnsi="宋体" w:cs="宋体" w:hint="eastAsia"/>
          <w:sz w:val="24"/>
          <w:szCs w:val="24"/>
        </w:rPr>
        <w:t>5.6</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土壤保护</w:t>
      </w:r>
      <w:bookmarkEnd w:id="31"/>
      <w:bookmarkEnd w:id="32"/>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保护地表环境，防止土壤侵蚀、流失。因施工造成的裸土，及时覆盖砂石或种植速生草种，以减少土壤侵蚀；因施工造成容易发生地表径流土壤流失的情况，应采取设置地表排水系统、稳定斜坡、植被覆盖等措施，减少土壤流失。</w:t>
      </w:r>
    </w:p>
    <w:p w:rsidR="0083242A" w:rsidRPr="0083242A" w:rsidP="0083242A">
      <w:pPr>
        <w:spacing w:line="360" w:lineRule="auto"/>
        <w:ind w:firstLine="480" w:firstLineChars="200"/>
        <w:rPr>
          <w:rFonts w:ascii="宋体" w:eastAsia="宋体" w:hAnsi="宋体" w:cs="宋体" w:hint="eastAsia"/>
          <w:sz w:val="24"/>
          <w:szCs w:val="24"/>
        </w:rPr>
        <w:sectPr w:rsidSect="002B6412">
          <w:headerReference w:type="default" r:id="rId23"/>
          <w:footerReference w:type="default" r:id="rId24"/>
          <w:type w:val="nextPage"/>
          <w:pgSz w:w="11906" w:h="16838"/>
          <w:pgMar w:top="1134" w:right="1418" w:bottom="1077" w:left="1077" w:header="851" w:footer="686" w:gutter="0"/>
          <w:pgNumType w:start="8"/>
          <w:cols w:space="720"/>
          <w:titlePg w:val="0"/>
          <w:docGrid w:type="lines" w:linePitch="312"/>
        </w:sectPr>
      </w:pPr>
      <w:r>
        <w:rPr>
          <w:rFonts w:ascii="宋体" w:eastAsia="宋体" w:hAnsi="宋体" w:cs="宋体" w:hint="eastAsia"/>
          <w:sz w:val="24"/>
          <w:szCs w:val="24"/>
        </w:rPr>
        <w:t xml:space="preserve">2）  </w:t>
      </w:r>
      <w:r w:rsidRPr="0083242A">
        <w:rPr>
          <w:rFonts w:ascii="宋体" w:eastAsia="宋体" w:hAnsi="宋体" w:cs="宋体" w:hint="eastAsia"/>
          <w:sz w:val="24"/>
          <w:szCs w:val="24"/>
        </w:rPr>
        <w:t>对于有毒有害废弃物如电池、墨盒、油漆、涂料等应回收后交有资质的单位处理，不能作为建筑垃圾外运；废旧电池要回收，在领取新电池时交回旧电池，最后由项目部统一移交公司处理，避免污染土壤和地下水。</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3）  </w:t>
      </w:r>
      <w:r w:rsidRPr="0083242A">
        <w:rPr>
          <w:rFonts w:ascii="宋体" w:eastAsia="宋体" w:hAnsi="宋体" w:cs="宋体" w:hint="eastAsia"/>
          <w:sz w:val="24"/>
          <w:szCs w:val="24"/>
        </w:rPr>
        <w:t>机械机油处理：在机械的下方铺设苫布，上面铺上</w:t>
      </w:r>
      <w:r w:rsidRPr="0083242A">
        <w:rPr>
          <w:rFonts w:ascii="宋体" w:eastAsia="宋体" w:hAnsi="宋体" w:cs="宋体" w:hint="eastAsia"/>
          <w:sz w:val="24"/>
          <w:szCs w:val="24"/>
        </w:rPr>
        <w:t>一层沙吸油</w:t>
      </w:r>
      <w:r w:rsidRPr="0083242A">
        <w:rPr>
          <w:rFonts w:ascii="宋体" w:eastAsia="宋体" w:hAnsi="宋体" w:cs="宋体" w:hint="eastAsia"/>
          <w:sz w:val="24"/>
          <w:szCs w:val="24"/>
        </w:rPr>
        <w:t>，最后集中找有资质的单位处理。</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4）  </w:t>
      </w:r>
      <w:r w:rsidRPr="0083242A">
        <w:rPr>
          <w:rFonts w:ascii="宋体" w:eastAsia="宋体" w:hAnsi="宋体" w:cs="宋体" w:hint="eastAsia"/>
          <w:sz w:val="24"/>
          <w:szCs w:val="24"/>
        </w:rPr>
        <w:t>施工后应恢复施工活动破坏的植被。与当地园林、环保部门或当地植物研究机构进行合作，在先前开发地区种植当地或其他合适的植物，以恢复剩余空地地貌或科学绿化，补救施工活动中人为破坏植被和地貌造成的土壤侵蚀。</w:t>
      </w:r>
    </w:p>
    <w:p w:rsidR="0083242A" w:rsidRPr="0083242A" w:rsidP="0083242A">
      <w:pPr>
        <w:spacing w:line="360" w:lineRule="auto"/>
        <w:rPr>
          <w:rFonts w:ascii="宋体" w:eastAsia="宋体" w:hAnsi="宋体" w:cs="宋体" w:hint="eastAsia"/>
          <w:sz w:val="24"/>
          <w:szCs w:val="24"/>
        </w:rPr>
      </w:pPr>
      <w:bookmarkStart w:id="33" w:name="_Toc24515"/>
      <w:bookmarkStart w:id="34" w:name="_Toc318274181"/>
      <w:r w:rsidRPr="0083242A">
        <w:rPr>
          <w:rFonts w:ascii="宋体" w:eastAsia="宋体" w:hAnsi="宋体" w:cs="宋体" w:hint="eastAsia"/>
          <w:sz w:val="24"/>
          <w:szCs w:val="24"/>
        </w:rPr>
        <w:t>5.7</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建筑垃圾控制</w:t>
      </w:r>
      <w:bookmarkEnd w:id="33"/>
      <w:bookmarkEnd w:id="34"/>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施工现场的固体废弃物对环境产生的影响教大。据不完全统计，目前城市建筑垃圾已经占到垃圾总量得30%~40%，这些垃圾不易降解，对环境产生长期影响。</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2）  </w:t>
      </w:r>
      <w:r w:rsidRPr="0083242A">
        <w:rPr>
          <w:rFonts w:ascii="宋体" w:eastAsia="宋体" w:hAnsi="宋体" w:cs="宋体" w:hint="eastAsia"/>
          <w:sz w:val="24"/>
          <w:szCs w:val="24"/>
        </w:rPr>
        <w:t>制定建筑垃圾减量化计划：每万平方米的建筑垃圾不宜超过400吨。</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3）  </w:t>
      </w:r>
      <w:r w:rsidRPr="0083242A">
        <w:rPr>
          <w:rFonts w:ascii="宋体" w:eastAsia="宋体" w:hAnsi="宋体" w:cs="宋体" w:hint="eastAsia"/>
          <w:sz w:val="24"/>
          <w:szCs w:val="24"/>
        </w:rPr>
        <w:t>加强建筑垃圾的回收再利用，力争建筑垃圾的再利用和回收率达到30%，建筑物拆除产生的废弃物的再利用和回收率大于40%。对于碎石类、土石方类建筑垃圾，采用地基填埋、铺路等方式提高再利用率，力争再利用率大于50%。</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4）  </w:t>
      </w:r>
      <w:r w:rsidRPr="0083242A">
        <w:rPr>
          <w:rFonts w:ascii="宋体" w:eastAsia="宋体" w:hAnsi="宋体" w:cs="宋体" w:hint="eastAsia"/>
          <w:sz w:val="24"/>
          <w:szCs w:val="24"/>
        </w:rPr>
        <w:t>施工现场生活区设置垃圾场，施工场地生活垃圾实行袋装化，及时清运。对建筑垃圾进行分类，并收集到现场封闭式垃圾站，集中运出。</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5）  </w:t>
      </w:r>
      <w:r w:rsidRPr="0083242A">
        <w:rPr>
          <w:rFonts w:ascii="宋体" w:eastAsia="宋体" w:hAnsi="宋体" w:cs="宋体" w:hint="eastAsia"/>
          <w:sz w:val="24"/>
          <w:szCs w:val="24"/>
        </w:rPr>
        <w:t>在该工程中我们要按照“减量化、资源化和无害化”的原则采取以下措施：</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5.7.1</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固体废弃物减量化：</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通过合理下料技术措施，准确下料，尽量减少建筑垃圾。</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2）  </w:t>
      </w:r>
      <w:r w:rsidRPr="0083242A">
        <w:rPr>
          <w:rFonts w:ascii="宋体" w:eastAsia="宋体" w:hAnsi="宋体" w:cs="宋体" w:hint="eastAsia"/>
          <w:sz w:val="24"/>
          <w:szCs w:val="24"/>
        </w:rPr>
        <w:t>实行“工完场清”等管理措施，每个工作在结束该段施工工序时，在递交工序交接单前，负责把自己工序的垃圾清扫干净。充分利用以建筑垃圾废弃物的落地砂浆、混凝土等材料。</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3）  </w:t>
      </w:r>
      <w:r w:rsidRPr="0083242A">
        <w:rPr>
          <w:rFonts w:ascii="宋体" w:eastAsia="宋体" w:hAnsi="宋体" w:cs="宋体" w:hint="eastAsia"/>
          <w:sz w:val="24"/>
          <w:szCs w:val="24"/>
        </w:rPr>
        <w:t>提高施工质量标准，减少建筑垃圾的产生，如提高墙、地面的施工平整度，一次性达到找平层的要求，提高模板拼缝的质量，避免或减少漏浆。</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4）  </w:t>
      </w:r>
      <w:r w:rsidRPr="0083242A">
        <w:rPr>
          <w:rFonts w:ascii="宋体" w:eastAsia="宋体" w:hAnsi="宋体" w:cs="宋体" w:hint="eastAsia"/>
          <w:sz w:val="24"/>
          <w:szCs w:val="24"/>
        </w:rPr>
        <w:t>尽量采用工厂化生产的建筑构件，减少现场切割。</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5.7.2</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固体废弃物资源化</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废旧材料的再利用：利用废弃模板</w:t>
      </w:r>
      <w:r w:rsidRPr="0083242A">
        <w:rPr>
          <w:rFonts w:ascii="宋体" w:eastAsia="宋体" w:hAnsi="宋体" w:cs="宋体" w:hint="eastAsia"/>
          <w:sz w:val="24"/>
          <w:szCs w:val="24"/>
        </w:rPr>
        <w:t>来钉做一些</w:t>
      </w:r>
      <w:r w:rsidRPr="0083242A">
        <w:rPr>
          <w:rFonts w:ascii="宋体" w:eastAsia="宋体" w:hAnsi="宋体" w:cs="宋体" w:hint="eastAsia"/>
          <w:sz w:val="24"/>
          <w:szCs w:val="24"/>
        </w:rPr>
        <w:t>维护结构,如遮光棚，隔音板等；利用废弃的钢筋头制作马凳，地锚拉环等。</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2）  </w:t>
      </w:r>
      <w:r w:rsidRPr="0083242A">
        <w:rPr>
          <w:rFonts w:ascii="宋体" w:eastAsia="宋体" w:hAnsi="宋体" w:cs="宋体" w:hint="eastAsia"/>
          <w:sz w:val="24"/>
          <w:szCs w:val="24"/>
        </w:rPr>
        <w:t>利用木方、木胶合板来搭设道路边的防护板和</w:t>
      </w:r>
      <w:r w:rsidRPr="0083242A">
        <w:rPr>
          <w:rFonts w:ascii="宋体" w:eastAsia="宋体" w:hAnsi="宋体" w:cs="宋体" w:hint="eastAsia"/>
          <w:sz w:val="24"/>
          <w:szCs w:val="24"/>
        </w:rPr>
        <w:t>后浇带的</w:t>
      </w:r>
      <w:r w:rsidRPr="0083242A">
        <w:rPr>
          <w:rFonts w:ascii="宋体" w:eastAsia="宋体" w:hAnsi="宋体" w:cs="宋体" w:hint="eastAsia"/>
          <w:sz w:val="24"/>
          <w:szCs w:val="24"/>
        </w:rPr>
        <w:t>防护板。</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3）  </w:t>
      </w:r>
      <w:r w:rsidRPr="0083242A">
        <w:rPr>
          <w:rFonts w:ascii="宋体" w:eastAsia="宋体" w:hAnsi="宋体" w:cs="宋体" w:hint="eastAsia"/>
          <w:sz w:val="24"/>
          <w:szCs w:val="24"/>
        </w:rPr>
        <w:t>每次浇注完剩余的混凝土用来浇注水沟预制盖板和</w:t>
      </w:r>
      <w:r w:rsidRPr="0083242A">
        <w:rPr>
          <w:rFonts w:ascii="宋体" w:eastAsia="宋体" w:hAnsi="宋体" w:cs="宋体" w:hint="eastAsia"/>
          <w:sz w:val="24"/>
          <w:szCs w:val="24"/>
        </w:rPr>
        <w:t>后浇带预制</w:t>
      </w:r>
      <w:r w:rsidRPr="0083242A">
        <w:rPr>
          <w:rFonts w:ascii="宋体" w:eastAsia="宋体" w:hAnsi="宋体" w:cs="宋体" w:hint="eastAsia"/>
          <w:sz w:val="24"/>
          <w:szCs w:val="24"/>
        </w:rPr>
        <w:t>盖板等小构件。</w:t>
      </w:r>
    </w:p>
    <w:p w:rsidR="0083242A" w:rsidRPr="0083242A" w:rsidP="0083242A">
      <w:pPr>
        <w:spacing w:line="360" w:lineRule="auto"/>
        <w:rPr>
          <w:rFonts w:ascii="宋体" w:eastAsia="宋体" w:hAnsi="宋体" w:cs="宋体" w:hint="eastAsia"/>
          <w:sz w:val="24"/>
          <w:szCs w:val="24"/>
        </w:rPr>
      </w:pPr>
      <w:r w:rsidRPr="0083242A">
        <w:rPr>
          <w:rFonts w:ascii="宋体" w:eastAsia="宋体" w:hAnsi="宋体" w:cs="宋体" w:hint="eastAsia"/>
          <w:sz w:val="24"/>
          <w:szCs w:val="24"/>
        </w:rPr>
        <w:t>5.7.3</w:t>
      </w:r>
      <w:r w:rsidR="002B6412">
        <w:rPr>
          <w:rFonts w:ascii="宋体" w:eastAsia="宋体" w:hAnsi="宋体" w:cs="宋体" w:hint="eastAsia"/>
          <w:sz w:val="24"/>
          <w:szCs w:val="24"/>
        </w:rPr>
        <w:t xml:space="preserve">  </w:t>
      </w:r>
      <w:r w:rsidRPr="0083242A">
        <w:rPr>
          <w:rFonts w:ascii="宋体" w:eastAsia="宋体" w:hAnsi="宋体" w:cs="宋体" w:hint="eastAsia"/>
          <w:sz w:val="24"/>
          <w:szCs w:val="24"/>
        </w:rPr>
        <w:t>固体废弃物分类处理</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1）  </w:t>
      </w:r>
      <w:r w:rsidRPr="0083242A">
        <w:rPr>
          <w:rFonts w:ascii="宋体" w:eastAsia="宋体" w:hAnsi="宋体" w:cs="宋体" w:hint="eastAsia"/>
          <w:sz w:val="24"/>
          <w:szCs w:val="24"/>
        </w:rPr>
        <w:t>垃圾分类处理，可回收材料中的木料、木板由胶合板厂、造纸厂回收再利用。</w:t>
      </w:r>
    </w:p>
    <w:p w:rsidR="0083242A" w:rsidRPr="0083242A" w:rsidP="0083242A">
      <w:pPr>
        <w:spacing w:line="360" w:lineRule="auto"/>
        <w:ind w:firstLine="480" w:firstLineChars="200"/>
        <w:rPr>
          <w:rFonts w:ascii="宋体" w:eastAsia="宋体" w:hAnsi="宋体" w:cs="宋体" w:hint="eastAsia"/>
          <w:sz w:val="24"/>
          <w:szCs w:val="24"/>
        </w:rPr>
      </w:pPr>
      <w:r>
        <w:rPr>
          <w:rFonts w:ascii="宋体" w:eastAsia="宋体" w:hAnsi="宋体" w:cs="宋体" w:hint="eastAsia"/>
          <w:sz w:val="24"/>
          <w:szCs w:val="24"/>
        </w:rPr>
        <w:t xml:space="preserve">2）  </w:t>
      </w:r>
      <w:r w:rsidRPr="0083242A">
        <w:rPr>
          <w:rFonts w:ascii="宋体" w:eastAsia="宋体" w:hAnsi="宋体" w:cs="宋体" w:hint="eastAsia"/>
          <w:sz w:val="24"/>
          <w:szCs w:val="24"/>
        </w:rPr>
        <w:t>非存档文件纸张采用双面打印或复印，废弃纸张最终与其他纸制品一同由造纸厂</w:t>
      </w:r>
      <w:r w:rsidRPr="0083242A">
        <w:rPr>
          <w:rFonts w:ascii="宋体" w:eastAsia="宋体" w:hAnsi="宋体" w:cs="宋体" w:hint="eastAsia"/>
          <w:sz w:val="24"/>
          <w:szCs w:val="24"/>
        </w:rPr>
        <w:br/>
      </w:r>
      <w:r w:rsidRPr="0083242A">
        <w:rPr>
          <w:rFonts w:ascii="宋体" w:eastAsia="宋体" w:hAnsi="宋体" w:cs="宋体" w:hint="eastAsia"/>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https://d.book118.com/048032043001006043</w:t>
        </w:r>
      </w:hyperlink>
    </w:p>
    <w:p w:rsidR="0083242A" w:rsidRPr="0083242A" w:rsidP="0083242A">
      <w:pPr>
        <w:spacing w:line="360" w:lineRule="auto"/>
        <w:ind w:firstLine="480" w:firstLineChars="200"/>
        <w:rPr>
          <w:rFonts w:ascii="宋体" w:eastAsia="宋体" w:hAnsi="宋体" w:cs="宋体" w:hint="eastAsia"/>
          <w:sz w:val="24"/>
          <w:szCs w:val="24"/>
        </w:rPr>
      </w:pPr>
    </w:p>
    <w:sectPr w:rsidSect="002B6412">
      <w:headerReference w:type="default" r:id="rId26"/>
      <w:footerReference w:type="default" r:id="rId27"/>
      <w:type w:val="nextPage"/>
      <w:pgSz w:w="11906" w:h="16838"/>
      <w:pgMar w:top="1134" w:right="1418" w:bottom="1077" w:left="1077" w:header="851" w:footer="686" w:gutter="0"/>
      <w:pgNumType w:start="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1740091218"/>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1270" t="0" r="6350" b="2540"/>
                  <wp:wrapNone/>
                  <wp:docPr id="654"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49"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58240"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1</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1528430655"/>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61312" behindDoc="0" locked="0" layoutInCell="1" allowOverlap="1">
                  <wp:simplePos x="0" y="0"/>
                  <wp:positionH relativeFrom="page">
                    <wp:align>right</wp:align>
                  </wp:positionH>
                  <wp:positionV relativeFrom="page">
                    <wp:align>bottom</wp:align>
                  </wp:positionV>
                  <wp:extent cx="2125980" cy="2054860"/>
                  <wp:effectExtent l="1270" t="0" r="6350" b="2540"/>
                  <wp:wrapNone/>
                  <wp:docPr id="1955389665"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50"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60288"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2</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2119347067"/>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63360" behindDoc="0" locked="0" layoutInCell="1" allowOverlap="1">
                  <wp:simplePos x="0" y="0"/>
                  <wp:positionH relativeFrom="page">
                    <wp:align>right</wp:align>
                  </wp:positionH>
                  <wp:positionV relativeFrom="page">
                    <wp:align>bottom</wp:align>
                  </wp:positionV>
                  <wp:extent cx="2125980" cy="2054860"/>
                  <wp:effectExtent l="1270" t="0" r="6350" b="2540"/>
                  <wp:wrapNone/>
                  <wp:docPr id="1873010172"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3</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51"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62336"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3</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820761270"/>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65408" behindDoc="0" locked="0" layoutInCell="1" allowOverlap="1">
                  <wp:simplePos x="0" y="0"/>
                  <wp:positionH relativeFrom="page">
                    <wp:align>right</wp:align>
                  </wp:positionH>
                  <wp:positionV relativeFrom="page">
                    <wp:align>bottom</wp:align>
                  </wp:positionV>
                  <wp:extent cx="2125980" cy="2054860"/>
                  <wp:effectExtent l="1270" t="0" r="6350" b="2540"/>
                  <wp:wrapNone/>
                  <wp:docPr id="1622988958"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4</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52"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64384"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4</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334282140"/>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67456" behindDoc="0" locked="0" layoutInCell="1" allowOverlap="1">
                  <wp:simplePos x="0" y="0"/>
                  <wp:positionH relativeFrom="page">
                    <wp:align>right</wp:align>
                  </wp:positionH>
                  <wp:positionV relativeFrom="page">
                    <wp:align>bottom</wp:align>
                  </wp:positionV>
                  <wp:extent cx="2125980" cy="2054860"/>
                  <wp:effectExtent l="1270" t="0" r="6350" b="2540"/>
                  <wp:wrapNone/>
                  <wp:docPr id="810914231"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5</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53"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66432"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5</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524021255"/>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69504" behindDoc="0" locked="0" layoutInCell="1" allowOverlap="1">
                  <wp:simplePos x="0" y="0"/>
                  <wp:positionH relativeFrom="page">
                    <wp:align>right</wp:align>
                  </wp:positionH>
                  <wp:positionV relativeFrom="page">
                    <wp:align>bottom</wp:align>
                  </wp:positionV>
                  <wp:extent cx="2125980" cy="2054860"/>
                  <wp:effectExtent l="1270" t="0" r="6350" b="2540"/>
                  <wp:wrapNone/>
                  <wp:docPr id="872665092"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6</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54"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68480"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6</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340459199"/>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71552" behindDoc="0" locked="0" layoutInCell="1" allowOverlap="1">
                  <wp:simplePos x="0" y="0"/>
                  <wp:positionH relativeFrom="page">
                    <wp:align>right</wp:align>
                  </wp:positionH>
                  <wp:positionV relativeFrom="page">
                    <wp:align>bottom</wp:align>
                  </wp:positionV>
                  <wp:extent cx="2125980" cy="2054860"/>
                  <wp:effectExtent l="1270" t="0" r="6350" b="2540"/>
                  <wp:wrapNone/>
                  <wp:docPr id="604728386"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7</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55"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70528"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7</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1132231993"/>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73600" behindDoc="0" locked="0" layoutInCell="1" allowOverlap="1">
                  <wp:simplePos x="0" y="0"/>
                  <wp:positionH relativeFrom="page">
                    <wp:align>right</wp:align>
                  </wp:positionH>
                  <wp:positionV relativeFrom="page">
                    <wp:align>bottom</wp:align>
                  </wp:positionV>
                  <wp:extent cx="2125980" cy="2054860"/>
                  <wp:effectExtent l="1270" t="0" r="6350" b="2540"/>
                  <wp:wrapNone/>
                  <wp:docPr id="1137122600"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8</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56"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72576"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8</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宋体" w:hAnsi="宋体" w:hint="eastAsia"/>
        <w:bCs/>
      </w:rPr>
      <w:id w:val="1459190171"/>
      <w:docPartObj>
        <w:docPartGallery w:val="Page Numbers (Bottom of Page)"/>
        <w:docPartUnique/>
      </w:docPartObj>
    </w:sdtPr>
    <w:sdtContent>
      <w:p w:rsidR="0083242A">
        <w:pPr>
          <w:pStyle w:val="Footer"/>
          <w:jc w:val="center"/>
          <w:rPr>
            <w:rFonts w:ascii="宋体" w:hAnsi="宋体" w:hint="eastAsia"/>
            <w:bCs/>
          </w:rPr>
        </w:pPr>
        <w:r w:rsidRPr="00421756">
          <w:rPr>
            <w:rFonts w:ascii="宋体" w:hAnsi="宋体"/>
            <w:bCs/>
            <w:noProof/>
          </w:rPr>
          <mc:AlternateContent>
            <mc:Choice Requires="wps">
              <w:drawing>
                <wp:anchor distT="0" distB="0" distL="114300" distR="114300" simplePos="0" relativeHeight="251675648" behindDoc="0" locked="0" layoutInCell="1" allowOverlap="1">
                  <wp:simplePos x="0" y="0"/>
                  <wp:positionH relativeFrom="page">
                    <wp:align>right</wp:align>
                  </wp:positionH>
                  <wp:positionV relativeFrom="page">
                    <wp:align>bottom</wp:align>
                  </wp:positionV>
                  <wp:extent cx="2125980" cy="2054860"/>
                  <wp:effectExtent l="1270" t="0" r="6350" b="2540"/>
                  <wp:wrapNone/>
                  <wp:docPr id="282568687" name="自选图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25980" cy="2054860"/>
                          </a:xfrm>
                          <a:prstGeom prst="triangle">
                            <a:avLst>
                              <a:gd name="adj" fmla="val 100000"/>
                            </a:avLst>
                          </a:prstGeom>
                          <a:solidFill>
                            <a:srgbClr val="D2EAF1"/>
                          </a:solidFill>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9</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3" o:spid="_x0000_s2057" type="#_x0000_t5" style="width:167.4pt;height:161.8pt;margin-top:0;margin-left:0;mso-height-percent:0;mso-height-relative:page;mso-position-horizontal:right;mso-position-horizontal-relative:page;mso-position-vertical:bottom;mso-position-vertical-relative:page;mso-width-percent:0;mso-width-relative:page;mso-wrap-distance-bottom:0;mso-wrap-distance-left:9pt;mso-wrap-distance-right:9pt;mso-wrap-distance-top:0;position:absolute;v-text-anchor:top;z-index:251674624" fillcolor="#d2eaf1">
                  <v:textbox>
                    <w:txbxContent>
                      <w:p w:rsidR="00421756">
                        <w:pPr>
                          <w:jc w:val="center"/>
                          <w:rPr>
                            <w:szCs w:val="72"/>
                          </w:rPr>
                        </w:pPr>
                        <w:r>
                          <w:rPr>
                            <w:sz w:val="22"/>
                          </w:rPr>
                          <w:fldChar w:fldCharType="begin"/>
                        </w:r>
                        <w:r>
                          <w:instrText>PAGE    \* MERGEFORMAT</w:instrText>
                        </w:r>
                        <w:r>
                          <w:rPr>
                            <w:sz w:val="22"/>
                          </w:rPr>
                          <w:fldChar w:fldCharType="separate"/>
                        </w:r>
                        <w:r w:rsidRPr="004B037F" w:rsidR="004B037F">
                          <w:rPr>
                            <w:rFonts w:asciiTheme="majorHAnsi" w:eastAsiaTheme="majorEastAsia" w:hAnsiTheme="majorHAnsi" w:cstheme="majorBidi"/>
                            <w:noProof/>
                            <w:color w:val="FFFFFF" w:themeColor="background1"/>
                            <w:sz w:val="72"/>
                            <w:szCs w:val="72"/>
                            <w:lang w:val="zh-CN"/>
                          </w:rPr>
                          <w:t>9</w:t>
                        </w:r>
                        <w:r>
                          <w:rPr>
                            <w:rFonts w:asciiTheme="majorHAnsi" w:eastAsiaTheme="majorEastAsia" w:hAnsiTheme="majorHAnsi" w:cstheme="majorBidi"/>
                            <w:color w:val="FFFFFF" w:themeColor="background1"/>
                            <w:sz w:val="72"/>
                            <w:szCs w:val="72"/>
                          </w:rPr>
                          <w:fldChar w:fldCharType="end"/>
                        </w:r>
                      </w:p>
                    </w:txbxContent>
                  </v:textbox>
                </v:shape>
              </w:pict>
            </mc:Fallback>
          </mc:AlternateConten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42A">
    <w:pPr>
      <w:pStyle w:val="Header"/>
      <w:pBdr>
        <w:bottom w:val="single" w:sz="4" w:space="1"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C9ACCE7"/>
    <w:multiLevelType w:val="singleLevel"/>
    <w:tmpl w:val="9C9ACCE7"/>
    <w:lvl w:ilvl="0">
      <w:start w:val="4"/>
      <w:numFmt w:val="decimal"/>
      <w:suff w:val="nothing"/>
      <w:lvlText w:val="%1、"/>
      <w:lvlJc w:val="left"/>
    </w:lvl>
  </w:abstractNum>
  <w:abstractNum w:abstractNumId="1">
    <w:nsid w:val="A873CA50"/>
    <w:multiLevelType w:val="singleLevel"/>
    <w:tmpl w:val="A873CA50"/>
    <w:lvl w:ilvl="0">
      <w:start w:val="1"/>
      <w:numFmt w:val="decimal"/>
      <w:suff w:val="nothing"/>
      <w:lvlText w:val="%1、"/>
      <w:lvlJc w:val="left"/>
    </w:lvl>
  </w:abstractNum>
  <w:abstractNum w:abstractNumId="2">
    <w:nsid w:val="D8A538AE"/>
    <w:multiLevelType w:val="singleLevel"/>
    <w:tmpl w:val="D8A538AE"/>
    <w:lvl w:ilvl="0">
      <w:start w:val="1"/>
      <w:numFmt w:val="decimal"/>
      <w:suff w:val="nothing"/>
      <w:lvlText w:val="%1、"/>
      <w:lvlJc w:val="left"/>
      <w:pPr>
        <w:ind w:left="421" w:firstLine="0"/>
      </w:pPr>
    </w:lvl>
  </w:abstractNum>
  <w:abstractNum w:abstractNumId="3">
    <w:nsid w:val="1552B53A"/>
    <w:multiLevelType w:val="singleLevel"/>
    <w:tmpl w:val="1552B53A"/>
    <w:lvl w:ilvl="0">
      <w:start w:val="6"/>
      <w:numFmt w:val="decimal"/>
      <w:suff w:val="nothing"/>
      <w:lvlText w:val="%1、"/>
      <w:lvlJc w:val="left"/>
    </w:lvl>
  </w:abstractNum>
  <w:abstractNum w:abstractNumId="4">
    <w:nsid w:val="1F5907A0"/>
    <w:multiLevelType w:val="singleLevel"/>
    <w:tmpl w:val="1F5907A0"/>
    <w:lvl w:ilvl="0">
      <w:start w:val="1"/>
      <w:numFmt w:val="decimal"/>
      <w:suff w:val="nothing"/>
      <w:lvlText w:val="（%1）"/>
      <w:lvlJc w:val="left"/>
    </w:lvl>
  </w:abstractNum>
  <w:abstractNum w:abstractNumId="5">
    <w:nsid w:val="50ABCF00"/>
    <w:multiLevelType w:val="singleLevel"/>
    <w:tmpl w:val="1F5907A0"/>
    <w:lvl w:ilvl="0">
      <w:start w:val="1"/>
      <w:numFmt w:val="decimal"/>
      <w:suff w:val="nothing"/>
      <w:lvlText w:val="（%1）"/>
      <w:lvlJc w:val="left"/>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89"/>
    <w:rsid w:val="000926AF"/>
    <w:rsid w:val="002B6412"/>
    <w:rsid w:val="00331175"/>
    <w:rsid w:val="00421756"/>
    <w:rsid w:val="004B037F"/>
    <w:rsid w:val="005051E6"/>
    <w:rsid w:val="0066247D"/>
    <w:rsid w:val="0083242A"/>
    <w:rsid w:val="00D71989"/>
    <w:rsid w:val="00D97AB0"/>
    <w:rsid w:val="00E056CF"/>
    <w:rsid w:val="00E42B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Char"/>
    <w:rsid w:val="0083242A"/>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DefaultParagraphFont"/>
    <w:link w:val="Footer"/>
    <w:rsid w:val="0083242A"/>
    <w:rPr>
      <w:rFonts w:ascii="Times New Roman" w:eastAsia="宋体" w:hAnsi="Times New Roman" w:cs="Times New Roman"/>
      <w:sz w:val="18"/>
      <w:szCs w:val="18"/>
    </w:rPr>
  </w:style>
  <w:style w:type="paragraph" w:styleId="Header">
    <w:name w:val="header"/>
    <w:basedOn w:val="Normal"/>
    <w:link w:val="Char0"/>
    <w:uiPriority w:val="99"/>
    <w:rsid w:val="0083242A"/>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0">
    <w:name w:val="页眉 Char"/>
    <w:basedOn w:val="DefaultParagraphFont"/>
    <w:link w:val="Header"/>
    <w:uiPriority w:val="99"/>
    <w:rsid w:val="0083242A"/>
    <w:rPr>
      <w:rFonts w:ascii="Times New Roman" w:eastAsia="宋体" w:hAnsi="Times New Roman" w:cs="Times New Roman"/>
      <w:sz w:val="18"/>
      <w:szCs w:val="18"/>
    </w:rPr>
  </w:style>
  <w:style w:type="character" w:styleId="PageNumber">
    <w:name w:val="page number"/>
    <w:basedOn w:val="DefaultParagraphFont"/>
    <w:rsid w:val="0083242A"/>
  </w:style>
  <w:style w:type="paragraph" w:styleId="BalloonText">
    <w:name w:val="Balloon Text"/>
    <w:basedOn w:val="Normal"/>
    <w:link w:val="Char1"/>
    <w:uiPriority w:val="99"/>
    <w:semiHidden/>
    <w:unhideWhenUsed/>
    <w:rsid w:val="0083242A"/>
    <w:rPr>
      <w:sz w:val="18"/>
      <w:szCs w:val="18"/>
    </w:rPr>
  </w:style>
  <w:style w:type="character" w:customStyle="1" w:styleId="Char1">
    <w:name w:val="批注框文本 Char"/>
    <w:basedOn w:val="DefaultParagraphFont"/>
    <w:link w:val="BalloonText"/>
    <w:uiPriority w:val="99"/>
    <w:semiHidden/>
    <w:rsid w:val="0083242A"/>
    <w:rPr>
      <w:sz w:val="18"/>
      <w:szCs w:val="18"/>
    </w:rPr>
  </w:style>
  <w:style w:type="table" w:styleId="TableGrid">
    <w:name w:val="Table Grid"/>
    <w:basedOn w:val="TableNormal"/>
    <w:rsid w:val="0083242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3.png"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7.xml" /><Relationship Id="rId22" Type="http://schemas.openxmlformats.org/officeDocument/2006/relationships/hyperlink" Target="http://www.csres.com/detail/310928.html" TargetMode="External"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yperlink" Target="https://d.book118.com/048032043001006043" TargetMode="Externa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2.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0B0B3-4944-4305-BC7E-75FC8834F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3165</Words>
  <Characters>18047</Characters>
  <Application>Microsoft Office Word</Application>
  <DocSecurity>0</DocSecurity>
  <Lines>150</Lines>
  <Paragraphs>42</Paragraphs>
  <ScaleCrop>false</ScaleCrop>
  <Company/>
  <LinksUpToDate>false</LinksUpToDate>
  <CharactersWithSpaces>21170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李春龙</dc:creator>
  <cp:lastModifiedBy>李春龙</cp:lastModifiedBy>
  <cp:revision>7</cp:revision>
  <dcterms:created xsi:type="dcterms:W3CDTF">2024-03-04T23:06:00Z</dcterms:created>
  <dcterms:modified xsi:type="dcterms:W3CDTF">2024-03-05T03:18:00Z</dcterms:modified>
</cp:coreProperties>
</file>