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04"/>
      </w:pPr>
    </w:p>
    <w:p>
      <w:pPr>
        <w:sectPr>
          <w:headerReference w:type="default" r:id="rId4"/>
          <w:pgSz w:w="11906" w:h="16838"/>
          <w:pgMar w:top="400" w:right="456" w:bottom="0" w:left="0" w:header="0" w:footer="0" w:gutter="0"/>
          <w:cols w:num="1" w:space="708" w:equalWidth="0">
            <w:col w:w="11450" w:space="0"/>
          </w:cols>
        </w:sectPr>
      </w:pPr>
    </w:p>
    <w:p>
      <w:pPr>
        <w:spacing w:before="184" w:line="290" w:lineRule="exact"/>
        <w:ind w:left="1426"/>
      </w:pPr>
      <w:r>
        <w:rPr>
          <w:position w:val="-6"/>
        </w:rPr>
        <w:drawing>
          <wp:inline distT="0" distB="0" distL="0" distR="0">
            <wp:extent cx="121564" cy="1839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21564" cy="183959"/>
                    </a:xfrm>
                    <a:prstGeom prst="rect">
                      <a:avLst/>
                    </a:prstGeom>
                  </pic:spPr>
                </pic:pic>
              </a:graphicData>
            </a:graphic>
          </wp:inline>
        </w:drawing>
      </w:r>
    </w:p>
    <w:p>
      <w:pPr>
        <w:spacing w:before="116" w:line="181" w:lineRule="auto"/>
        <w:ind w:left="1364"/>
        <w:rPr>
          <w:rFonts w:ascii="Microsoft YaHei" w:eastAsia="Microsoft YaHei" w:hAnsi="Microsoft YaHei" w:cs="Microsoft YaHei"/>
          <w:sz w:val="16"/>
          <w:szCs w:val="16"/>
        </w:rPr>
      </w:pPr>
      <w:r>
        <w:rPr>
          <w:rFonts w:ascii="Microsoft YaHei" w:eastAsia="Microsoft YaHei" w:hAnsi="Microsoft YaHei" w:cs="Microsoft YaHei"/>
          <w:b/>
          <w:bCs/>
          <w:color w:val="231916"/>
          <w:spacing w:val="-1"/>
          <w:sz w:val="16"/>
          <w:szCs w:val="16"/>
          <w:u w:val="single" w:color="211715"/>
        </w:rPr>
        <w:t>报告</w:t>
      </w:r>
    </w:p>
    <w:p>
      <w:pPr>
        <w:spacing w:before="135" w:line="178" w:lineRule="auto"/>
        <w:ind w:left="729"/>
        <w:rPr>
          <w:rFonts w:ascii="Microsoft YaHei" w:eastAsia="Microsoft YaHei" w:hAnsi="Microsoft YaHei" w:cs="Microsoft YaHei"/>
          <w:sz w:val="16"/>
          <w:szCs w:val="16"/>
        </w:rPr>
      </w:pPr>
      <w:r>
        <w:rPr>
          <w:rFonts w:ascii="Microsoft YaHei" w:eastAsia="Microsoft YaHei" w:hAnsi="Microsoft YaHei" w:cs="Microsoft YaHei"/>
          <w:color w:val="231916"/>
          <w:spacing w:val="-1"/>
          <w:sz w:val="16"/>
          <w:szCs w:val="16"/>
        </w:rPr>
        <w:t>第一太平戴维斯研究部</w:t>
      </w:r>
    </w:p>
    <w:p>
      <w:pPr>
        <w:spacing w:line="14" w:lineRule="auto"/>
        <w:rPr>
          <w:rFonts w:ascii="Arial"/>
          <w:sz w:val="2"/>
        </w:rPr>
      </w:pPr>
      <w:r>
        <w:rPr>
          <w:rFonts w:ascii="Arial" w:eastAsia="Arial" w:hAnsi="Arial" w:cs="Arial"/>
          <w:sz w:val="2"/>
          <w:szCs w:val="2"/>
        </w:rPr>
        <w:br w:type="column"/>
      </w:r>
    </w:p>
    <w:p>
      <w:pPr>
        <w:spacing w:before="122" w:line="175" w:lineRule="auto"/>
        <w:ind w:left="1447"/>
        <w:rPr>
          <w:rFonts w:ascii="Microsoft YaHei" w:eastAsia="Microsoft YaHei" w:hAnsi="Microsoft YaHei" w:cs="Microsoft YaHei"/>
          <w:sz w:val="18"/>
          <w:szCs w:val="18"/>
        </w:rPr>
      </w:pPr>
      <w:r>
        <w:rPr>
          <w:rFonts w:ascii="Microsoft YaHei" w:eastAsia="Microsoft YaHei" w:hAnsi="Microsoft YaHei" w:cs="Microsoft YaHei"/>
          <w:color w:val="231916"/>
          <w:spacing w:val="2"/>
          <w:sz w:val="18"/>
          <w:szCs w:val="18"/>
        </w:rPr>
        <w:t xml:space="preserve">中国写字楼 </w:t>
      </w:r>
      <w:r>
        <w:rPr>
          <w:rFonts w:ascii="Arial" w:eastAsia="Arial" w:hAnsi="Arial" w:cs="Arial"/>
          <w:color w:val="231916"/>
          <w:spacing w:val="2"/>
          <w:sz w:val="18"/>
          <w:szCs w:val="18"/>
        </w:rPr>
        <w:t>- 2024</w:t>
      </w:r>
      <w:r>
        <w:rPr>
          <w:rFonts w:ascii="Arial" w:eastAsia="Arial" w:hAnsi="Arial" w:cs="Arial"/>
          <w:color w:val="231916"/>
          <w:spacing w:val="12"/>
          <w:w w:val="101"/>
          <w:sz w:val="18"/>
          <w:szCs w:val="18"/>
        </w:rPr>
        <w:t xml:space="preserve"> </w:t>
      </w:r>
      <w:r>
        <w:rPr>
          <w:rFonts w:ascii="Microsoft YaHei" w:eastAsia="Microsoft YaHei" w:hAnsi="Microsoft YaHei" w:cs="Microsoft YaHei"/>
          <w:color w:val="231916"/>
          <w:spacing w:val="2"/>
          <w:sz w:val="18"/>
          <w:szCs w:val="18"/>
        </w:rPr>
        <w:t xml:space="preserve">年 </w:t>
      </w:r>
      <w:r>
        <w:rPr>
          <w:rFonts w:ascii="Arial" w:eastAsia="Arial" w:hAnsi="Arial" w:cs="Arial"/>
          <w:color w:val="231916"/>
          <w:spacing w:val="2"/>
          <w:sz w:val="18"/>
          <w:szCs w:val="18"/>
        </w:rPr>
        <w:t xml:space="preserve">3 </w:t>
      </w:r>
      <w:r>
        <w:rPr>
          <w:rFonts w:ascii="Microsoft YaHei" w:eastAsia="Microsoft YaHei" w:hAnsi="Microsoft YaHei" w:cs="Microsoft YaHei"/>
          <w:color w:val="231916"/>
          <w:spacing w:val="2"/>
          <w:sz w:val="18"/>
          <w:szCs w:val="18"/>
        </w:rPr>
        <w:t>月</w:t>
      </w:r>
    </w:p>
    <w:p>
      <w:pPr>
        <w:spacing w:before="240" w:line="176" w:lineRule="auto"/>
        <w:outlineLvl w:val="0"/>
        <w:rPr>
          <w:rFonts w:ascii="Microsoft YaHei" w:eastAsia="Microsoft YaHei" w:hAnsi="Microsoft YaHei" w:cs="Microsoft YaHei"/>
          <w:sz w:val="50"/>
          <w:szCs w:val="50"/>
        </w:rPr>
      </w:pPr>
      <w:r>
        <w:rPr>
          <w:rFonts w:ascii="Microsoft YaHei" w:eastAsia="Microsoft YaHei" w:hAnsi="Microsoft YaHei" w:cs="Microsoft YaHei"/>
          <w:color w:val="231916"/>
          <w:spacing w:val="-3"/>
          <w:sz w:val="50"/>
          <w:szCs w:val="50"/>
        </w:rPr>
        <w:t>大湾区甲级写字楼指数</w:t>
      </w:r>
    </w:p>
    <w:p>
      <w:pPr>
        <w:spacing w:line="14" w:lineRule="auto"/>
        <w:rPr>
          <w:rFonts w:ascii="Arial"/>
          <w:sz w:val="2"/>
        </w:rPr>
      </w:pPr>
      <w:r>
        <w:rPr>
          <w:rFonts w:ascii="Arial" w:eastAsia="Arial" w:hAnsi="Arial" w:cs="Arial"/>
          <w:sz w:val="2"/>
          <w:szCs w:val="2"/>
        </w:rPr>
        <w:br w:type="column"/>
      </w:r>
    </w:p>
    <w:p>
      <w:pPr>
        <w:spacing w:line="1302" w:lineRule="exact"/>
      </w:pPr>
      <w:r>
        <w:rPr>
          <w:position w:val="-26"/>
        </w:rPr>
        <w:pict>
          <v:group id="_x0000_i1025" style="width:65.2pt;height:65.2pt;mso-position-horizontal-relative:char;mso-position-vertical-relative:line" coordorigin="0,0" coordsize="1303,1303" filled="f" stroked="f">
            <v:shapetype id="_x0000_t202" coordsize="21600,21600" o:spt="202" path="m,l,21600r21600,l21600,xe">
              <v:stroke joinstyle="miter"/>
              <v:path gradientshapeok="t" o:connecttype="rect"/>
            </v:shapetype>
            <v:shape id="_x0000_s1026" type="#_x0000_t202" style="width:1303;height:1303;position:absolute" filled="t" fillcolor="#f6e14b" stroked="f">
              <o:lock v:ext="edit" aspectratio="f"/>
              <v:textbox inset="0,0,0,0">
                <w:txbxContent>
                  <w:p>
                    <w:pPr>
                      <w:spacing w:line="259" w:lineRule="auto"/>
                      <w:rPr>
                        <w:rFonts w:ascii="Arial"/>
                        <w:sz w:val="21"/>
                      </w:rPr>
                    </w:pPr>
                  </w:p>
                  <w:p>
                    <w:pPr>
                      <w:spacing w:line="259" w:lineRule="auto"/>
                      <w:rPr>
                        <w:rFonts w:ascii="Arial"/>
                        <w:sz w:val="21"/>
                      </w:rPr>
                    </w:pPr>
                  </w:p>
                  <w:p>
                    <w:pPr>
                      <w:spacing w:before="124" w:line="188" w:lineRule="auto"/>
                      <w:jc w:val="right"/>
                      <w:rPr>
                        <w:rFonts w:ascii="Arial" w:eastAsia="Arial" w:hAnsi="Arial" w:cs="Arial"/>
                        <w:sz w:val="43"/>
                        <w:szCs w:val="43"/>
                      </w:rPr>
                    </w:pPr>
                    <w:r>
                      <w:rPr>
                        <w:rFonts w:ascii="Arial" w:eastAsia="Arial" w:hAnsi="Arial" w:cs="Arial"/>
                        <w:color w:val="BE1B21"/>
                        <w:sz w:val="43"/>
                        <w:szCs w:val="43"/>
                      </w:rPr>
                      <w:t>sav</w:t>
                    </w:r>
                    <w:r>
                      <w:rPr>
                        <w:rFonts w:ascii="Arial" w:eastAsia="Arial" w:hAnsi="Arial" w:cs="Arial"/>
                        <w:color w:val="BE1B21"/>
                        <w:spacing w:val="-41"/>
                        <w:sz w:val="43"/>
                        <w:szCs w:val="43"/>
                      </w:rPr>
                      <w:t xml:space="preserve"> </w:t>
                    </w:r>
                    <w:r>
                      <w:rPr>
                        <w:rFonts w:ascii="Arial" w:eastAsia="Arial" w:hAnsi="Arial" w:cs="Arial"/>
                        <w:color w:val="BE1B21"/>
                        <w:sz w:val="43"/>
                        <w:szCs w:val="43"/>
                      </w:rPr>
                      <w:t>lls</w:t>
                    </w:r>
                  </w:p>
                  <w:p>
                    <w:pPr>
                      <w:spacing w:before="67" w:line="135" w:lineRule="exact"/>
                      <w:ind w:left="87"/>
                      <w:rPr>
                        <w:rFonts w:ascii="Microsoft YaHei" w:eastAsia="Microsoft YaHei" w:hAnsi="Microsoft YaHei" w:cs="Microsoft YaHei"/>
                        <w:sz w:val="13"/>
                        <w:szCs w:val="13"/>
                      </w:rPr>
                    </w:pPr>
                    <w:r>
                      <w:rPr>
                        <w:rFonts w:ascii="Microsoft YaHei" w:eastAsia="Microsoft YaHei" w:hAnsi="Microsoft YaHei" w:cs="Microsoft YaHei"/>
                        <w:color w:val="211715"/>
                        <w:spacing w:val="28"/>
                        <w:sz w:val="13"/>
                        <w:szCs w:val="13"/>
                      </w:rPr>
                      <w:t>第</w:t>
                    </w:r>
                    <w:r>
                      <w:rPr>
                        <w:rFonts w:ascii="Microsoft YaHei" w:eastAsia="Microsoft YaHei" w:hAnsi="Microsoft YaHei" w:cs="Microsoft YaHei"/>
                        <w:color w:val="211715"/>
                        <w:spacing w:val="-23"/>
                        <w:sz w:val="13"/>
                        <w:szCs w:val="13"/>
                      </w:rPr>
                      <w:t xml:space="preserve"> </w:t>
                    </w:r>
                    <w:r>
                      <w:rPr>
                        <w:rFonts w:ascii="Microsoft YaHei" w:eastAsia="Microsoft YaHei" w:hAnsi="Microsoft YaHei" w:cs="Microsoft YaHei"/>
                        <w:color w:val="211715"/>
                        <w:spacing w:val="28"/>
                        <w:sz w:val="13"/>
                        <w:szCs w:val="13"/>
                      </w:rPr>
                      <w:t>一</w:t>
                    </w:r>
                    <w:r>
                      <w:rPr>
                        <w:rFonts w:ascii="Microsoft YaHei" w:eastAsia="Microsoft YaHei" w:hAnsi="Microsoft YaHei" w:cs="Microsoft YaHei"/>
                        <w:color w:val="211715"/>
                        <w:spacing w:val="-22"/>
                        <w:sz w:val="13"/>
                        <w:szCs w:val="13"/>
                      </w:rPr>
                      <w:t xml:space="preserve"> </w:t>
                    </w:r>
                    <w:r>
                      <w:rPr>
                        <w:rFonts w:ascii="Microsoft YaHei" w:eastAsia="Microsoft YaHei" w:hAnsi="Microsoft YaHei" w:cs="Microsoft YaHei"/>
                        <w:color w:val="211715"/>
                        <w:spacing w:val="28"/>
                        <w:sz w:val="13"/>
                        <w:szCs w:val="13"/>
                      </w:rPr>
                      <w:t>太</w:t>
                    </w:r>
                    <w:r>
                      <w:rPr>
                        <w:position w:val="-2"/>
                        <w:sz w:val="13"/>
                        <w:szCs w:val="13"/>
                      </w:rPr>
                      <w:drawing>
                        <wp:inline distT="0" distB="0" distL="0" distR="0">
                          <wp:extent cx="104041" cy="8042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04041" cy="80429"/>
                                  </a:xfrm>
                                  <a:prstGeom prst="rect">
                                    <a:avLst/>
                                  </a:prstGeom>
                                </pic:spPr>
                              </pic:pic>
                            </a:graphicData>
                          </a:graphic>
                        </wp:inline>
                      </w:drawing>
                    </w:r>
                    <w:r>
                      <w:rPr>
                        <w:rFonts w:ascii="Microsoft YaHei" w:eastAsia="Microsoft YaHei" w:hAnsi="Microsoft YaHei" w:cs="Microsoft YaHei"/>
                        <w:color w:val="211715"/>
                        <w:spacing w:val="28"/>
                        <w:sz w:val="13"/>
                        <w:szCs w:val="13"/>
                      </w:rPr>
                      <w:t>戴维斯</w:t>
                    </w:r>
                  </w:p>
                </w:txbxContent>
              </v:textbox>
            </v:shape>
            <v:shape id="_x0000_s1027" type="#_x0000_t202" style="width:91;height:91;left:780;position:absolute;top:631" filled="f" stroked="f">
              <o:lock v:ext="edit" aspectratio="f"/>
              <v:textbox inset="0,0,0,0">
                <w:txbxContent>
                  <w:p>
                    <w:pPr>
                      <w:spacing w:before="20" w:line="50" w:lineRule="exact"/>
                      <w:ind w:left="20"/>
                      <w:rPr>
                        <w:rFonts w:ascii="Arial" w:eastAsia="Arial" w:hAnsi="Arial" w:cs="Arial"/>
                        <w:sz w:val="10"/>
                        <w:szCs w:val="10"/>
                      </w:rPr>
                    </w:pPr>
                    <w:r>
                      <w:rPr>
                        <w:rFonts w:ascii="Arial" w:eastAsia="Arial" w:hAnsi="Arial" w:cs="Arial"/>
                        <w:color w:val="BE1B21"/>
                        <w:spacing w:val="17"/>
                        <w:w w:val="123"/>
                        <w:position w:val="1"/>
                        <w:sz w:val="10"/>
                        <w:szCs w:val="10"/>
                      </w:rPr>
                      <w:t>.</w:t>
                    </w:r>
                  </w:p>
                </w:txbxContent>
              </v:textbox>
            </v:shape>
            <w10:wrap type="none"/>
          </v:group>
        </w:pict>
      </w:r>
    </w:p>
    <w:p>
      <w:pPr>
        <w:spacing w:line="1302" w:lineRule="exact"/>
        <w:sectPr>
          <w:headerReference w:type="default" r:id="rId7"/>
          <w:type w:val="continuous"/>
          <w:pgSz w:w="11906" w:h="16838"/>
          <w:pgMar w:top="400" w:right="456" w:bottom="0" w:left="0" w:header="0" w:footer="0" w:gutter="0"/>
          <w:pgNumType w:start="2"/>
          <w:cols w:num="3" w:space="708" w:equalWidth="0">
            <w:col w:w="3356" w:space="100"/>
            <w:col w:w="6196" w:space="100"/>
            <w:col w:w="1698" w:space="0"/>
          </w:cols>
        </w:sectPr>
      </w:pPr>
    </w:p>
    <w:p>
      <w:pPr>
        <w:spacing w:line="66" w:lineRule="exact"/>
      </w:pPr>
      <w:r>
        <w:pict>
          <v:shape id="_x0000_s1028" style="width:549.95pt;height:0.25pt;margin-top:23.76pt;margin-left:22.68pt;mso-position-horizontal-relative:page;mso-position-vertical-relative:page;position:absolute;z-index:251659264" coordorigin="0,0" coordsize="10999,5" o:allowincell="f" path="m,2l10998,2e" filled="f" strokecolor="#060102" strokeweight="0.25pt">
            <v:stroke joinstyle="miter"/>
          </v:shape>
        </w:pict>
      </w:r>
      <w:r>
        <w:pict>
          <v:shape id="_x0000_s1029" style="width:549.95pt;height:0.25pt;margin-top:43.6pt;margin-left:22.68pt;mso-position-horizontal-relative:page;mso-position-vertical-relative:page;position:absolute;z-index:251660288" coordorigin="0,0" coordsize="10999,5" o:allowincell="f" path="m,2l10998,2e" filled="f" strokecolor="#060102" strokeweight="0.25pt">
            <v:stroke joinstyle="miter"/>
          </v:shape>
        </w:pict>
      </w:r>
      <w:r>
        <w:pict>
          <v:shape id="_x0000_s1030" style="width:481.3pt;height:0.5pt;margin-top:135.7pt;margin-left:56.69pt;mso-position-horizontal-relative:page;mso-position-vertical-relative:page;position:absolute;z-index:251658240" coordorigin="0,0" coordsize="9625,10" o:allowincell="f" path="m,5l9625,5e" filled="f" strokecolor="#231916" strokeweight="0.5pt">
            <v:stroke joinstyle="miter"/>
          </v:shape>
        </w:pict>
      </w:r>
      <w:r>
        <w:pict>
          <v:shape id="_x0000_s1031" type="#_x0000_t202" style="width:76.35pt;height:9.3pt;margin-top:802.37pt;margin-left:55.98pt;mso-position-horizontal-relative:page;mso-position-vertical-relative:page;position:absolute;z-index:251661312" o:allowincell="f" filled="f" stroked="f">
            <o:lock v:ext="edit" aspectratio="f"/>
            <v:textbox inset="0,0,0,0">
              <w:txbxContent>
                <w:p>
                  <w:pPr>
                    <w:pStyle w:val="BodyText"/>
                    <w:spacing w:before="20" w:line="145" w:lineRule="exact"/>
                    <w:ind w:left="20"/>
                    <w:rPr>
                      <w:sz w:val="12"/>
                      <w:szCs w:val="12"/>
                    </w:rPr>
                  </w:pPr>
                  <w:r>
                    <w:rPr>
                      <w:color w:val="231916"/>
                      <w:spacing w:val="4"/>
                      <w:sz w:val="12"/>
                      <w:szCs w:val="12"/>
                    </w:rPr>
                    <w:t>2  savills.com.cn/research</w:t>
                  </w:r>
                </w:p>
              </w:txbxContent>
            </v:textbox>
          </v:shape>
        </w:pict>
      </w:r>
      <w:r>
        <w:rPr>
          <w:position w:val="-1"/>
        </w:rPr>
        <w:drawing>
          <wp:inline distT="0" distB="0" distL="0" distR="0">
            <wp:extent cx="7559992" cy="4231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7559992" cy="42316"/>
                    </a:xfrm>
                    <a:prstGeom prst="rect">
                      <a:avLst/>
                    </a:prstGeom>
                  </pic:spPr>
                </pic:pic>
              </a:graphicData>
            </a:graphic>
          </wp:inline>
        </w:drawing>
      </w:r>
    </w:p>
    <w:p>
      <w:pPr>
        <w:pStyle w:val="BodyText"/>
        <w:spacing w:line="453" w:lineRule="auto"/>
      </w:pPr>
    </w:p>
    <w:p>
      <w:pPr>
        <w:spacing w:before="68" w:line="176" w:lineRule="auto"/>
        <w:ind w:left="5160"/>
        <w:rPr>
          <w:rFonts w:ascii="Microsoft YaHei" w:eastAsia="Microsoft YaHei" w:hAnsi="Microsoft YaHei" w:cs="Microsoft YaHei"/>
          <w:sz w:val="16"/>
          <w:szCs w:val="16"/>
        </w:rPr>
      </w:pPr>
      <w:r>
        <w:rPr>
          <w:rFonts w:ascii="Microsoft YaHei" w:eastAsia="Microsoft YaHei" w:hAnsi="Microsoft YaHei" w:cs="Microsoft YaHei"/>
          <w:color w:val="231916"/>
          <w:spacing w:val="-1"/>
          <w:sz w:val="16"/>
          <w:szCs w:val="16"/>
        </w:rPr>
        <w:t>大湾区甲级写字楼指数</w:t>
      </w:r>
    </w:p>
    <w:p>
      <w:pPr>
        <w:pStyle w:val="BodyText"/>
        <w:spacing w:line="253" w:lineRule="auto"/>
      </w:pPr>
    </w:p>
    <w:p>
      <w:pPr>
        <w:pStyle w:val="BodyText"/>
        <w:spacing w:line="253" w:lineRule="auto"/>
      </w:pPr>
    </w:p>
    <w:p>
      <w:pPr>
        <w:pStyle w:val="BodyText"/>
        <w:spacing w:line="254" w:lineRule="auto"/>
      </w:pPr>
    </w:p>
    <w:p>
      <w:pPr>
        <w:spacing w:line="40" w:lineRule="exact"/>
        <w:ind w:firstLine="1133"/>
      </w:pPr>
      <w:r>
        <w:pict>
          <v:shape id="_x0000_i1032" style="width:481.3pt;height:2pt;mso-position-horizontal-relative:char;mso-position-vertical-relative:line" coordorigin="0,0" coordsize="9625,40" path="m,20l9625,20e" filled="f" strokecolor="#231916" strokeweight="2pt">
            <v:stroke joinstyle="miter"/>
            <w10:wrap type="none"/>
          </v:shape>
        </w:pict>
      </w:r>
    </w:p>
    <w:p>
      <w:pPr>
        <w:spacing w:before="277" w:line="178" w:lineRule="auto"/>
        <w:ind w:left="1150"/>
        <w:rPr>
          <w:rFonts w:ascii="Microsoft YaHei" w:eastAsia="Microsoft YaHei" w:hAnsi="Microsoft YaHei" w:cs="Microsoft YaHei"/>
          <w:sz w:val="58"/>
          <w:szCs w:val="58"/>
        </w:rPr>
      </w:pPr>
      <w:r>
        <w:rPr>
          <w:rFonts w:ascii="Microsoft YaHei" w:eastAsia="Microsoft YaHei" w:hAnsi="Microsoft YaHei" w:cs="Microsoft YaHei"/>
          <w:b/>
          <w:bCs/>
          <w:color w:val="231916"/>
          <w:spacing w:val="43"/>
          <w:sz w:val="58"/>
          <w:szCs w:val="58"/>
        </w:rPr>
        <w:t>定义及说明</w:t>
      </w:r>
    </w:p>
    <w:p>
      <w:pPr>
        <w:pStyle w:val="BodyText"/>
        <w:spacing w:line="270" w:lineRule="auto"/>
      </w:pPr>
    </w:p>
    <w:p>
      <w:pPr>
        <w:pStyle w:val="BodyText"/>
        <w:spacing w:line="271" w:lineRule="auto"/>
      </w:pPr>
    </w:p>
    <w:p>
      <w:pPr>
        <w:spacing w:before="1" w:line="345" w:lineRule="exact"/>
        <w:ind w:firstLine="1610"/>
      </w:pPr>
      <w:r>
        <w:rPr>
          <w:position w:val="-7"/>
        </w:rPr>
        <w:pict>
          <v:shape id="_x0000_i1033" type="#_x0000_t202" style="width:27.8pt;height:17.8pt;mso-position-horizontal-relative:char;mso-position-vertical-relative:line" filled="t" fillcolor="#ffec40" stroked="f">
            <o:lock v:ext="edit" aspectratio="f"/>
            <v:textbox inset="0,0,0,0">
              <w:txbxContent>
                <w:p>
                  <w:pPr>
                    <w:spacing w:before="73" w:line="177" w:lineRule="auto"/>
                    <w:ind w:left="41"/>
                    <w:rPr>
                      <w:rFonts w:ascii="Microsoft YaHei" w:eastAsia="Microsoft YaHei" w:hAnsi="Microsoft YaHei" w:cs="Microsoft YaHei"/>
                      <w:sz w:val="22"/>
                      <w:szCs w:val="22"/>
                    </w:rPr>
                  </w:pPr>
                  <w:r>
                    <w:rPr>
                      <w:rFonts w:ascii="Microsoft YaHei" w:eastAsia="Microsoft YaHei" w:hAnsi="Microsoft YaHei" w:cs="Microsoft YaHei"/>
                      <w:color w:val="231916"/>
                      <w:spacing w:val="-4"/>
                      <w:sz w:val="22"/>
                      <w:szCs w:val="22"/>
                    </w:rPr>
                    <w:t>背景</w:t>
                  </w:r>
                </w:p>
              </w:txbxContent>
            </v:textbox>
            <w10:wrap type="none"/>
          </v:shape>
        </w:pict>
      </w:r>
    </w:p>
    <w:tbl>
      <w:tblPr>
        <w:tblStyle w:val="TableNormal0"/>
        <w:tblW w:w="8828" w:type="dxa"/>
        <w:tblInd w:w="1610" w:type="dxa"/>
        <w:tblBorders>
          <w:top w:val="nil"/>
          <w:left w:val="nil"/>
          <w:bottom w:val="nil"/>
          <w:right w:val="nil"/>
          <w:insideH w:val="nil"/>
          <w:insideV w:val="nil"/>
        </w:tblBorders>
        <w:tblLayout w:type="fixed"/>
      </w:tblPr>
      <w:tblGrid>
        <w:gridCol w:w="8828"/>
      </w:tblGrid>
      <w:tr>
        <w:tblPrEx>
          <w:tblW w:w="8828" w:type="dxa"/>
          <w:tblInd w:w="1610" w:type="dxa"/>
          <w:tblBorders>
            <w:top w:val="nil"/>
            <w:left w:val="nil"/>
            <w:bottom w:val="nil"/>
            <w:right w:val="nil"/>
            <w:insideH w:val="nil"/>
            <w:insideV w:val="nil"/>
          </w:tblBorders>
          <w:tblLayout w:type="fixed"/>
        </w:tblPrEx>
        <w:trPr>
          <w:trHeight w:val="1968"/>
        </w:trPr>
        <w:tc>
          <w:tcPr>
            <w:tcW w:w="8828" w:type="dxa"/>
            <w:tcBorders>
              <w:top w:val="single" w:sz="16" w:space="0" w:color="FFEC40"/>
              <w:bottom w:val="single" w:sz="16" w:space="0" w:color="FFEC40"/>
            </w:tcBorders>
            <w:vAlign w:val="top"/>
          </w:tcPr>
          <w:p>
            <w:pPr>
              <w:pStyle w:val="TableText"/>
              <w:spacing w:before="208" w:line="194" w:lineRule="auto"/>
              <w:ind w:left="36" w:firstLine="3"/>
              <w:jc w:val="both"/>
            </w:pPr>
            <w:r>
              <w:rPr>
                <w:color w:val="231916"/>
              </w:rPr>
              <w:t>第一太平戴维斯大湾区甲级写字楼指数旨在为区域内甲级写</w:t>
            </w:r>
            <w:r>
              <w:rPr>
                <w:color w:val="231916"/>
                <w:spacing w:val="-1"/>
              </w:rPr>
              <w:t>字楼市场参与者，如投资者、开</w:t>
            </w:r>
            <w:r>
              <w:rPr>
                <w:color w:val="231916"/>
              </w:rPr>
              <w:t xml:space="preserve"> </w:t>
            </w:r>
            <w:r>
              <w:rPr>
                <w:color w:val="231916"/>
              </w:rPr>
              <w:t>发商、业主和企业租户等，提供可靠的参考性指标以掌握大湾区内各</w:t>
            </w:r>
            <w:r>
              <w:rPr>
                <w:color w:val="231916"/>
                <w:spacing w:val="-1"/>
              </w:rPr>
              <w:t>个城市甲级写字楼市场</w:t>
            </w:r>
            <w:r>
              <w:rPr>
                <w:color w:val="231916"/>
              </w:rPr>
              <w:t xml:space="preserve"> </w:t>
            </w:r>
            <w:r>
              <w:rPr>
                <w:color w:val="231916"/>
                <w:spacing w:val="-9"/>
              </w:rPr>
              <w:t>的变动。</w:t>
            </w:r>
          </w:p>
          <w:p>
            <w:pPr>
              <w:spacing w:line="244" w:lineRule="auto"/>
              <w:rPr>
                <w:rFonts w:ascii="Arial"/>
                <w:sz w:val="21"/>
              </w:rPr>
            </w:pPr>
          </w:p>
          <w:p>
            <w:pPr>
              <w:spacing w:line="244" w:lineRule="auto"/>
              <w:rPr>
                <w:rFonts w:ascii="Arial"/>
                <w:sz w:val="21"/>
              </w:rPr>
            </w:pPr>
          </w:p>
          <w:p>
            <w:pPr>
              <w:pStyle w:val="TableText"/>
              <w:spacing w:line="343" w:lineRule="exact"/>
            </w:pPr>
            <w:r>
              <w:rPr>
                <w:position w:val="-8"/>
              </w:rPr>
              <w:pict>
                <v:shape id="_x0000_i1034" type="#_x0000_t202" style="width:103.75pt;height:17.8pt;mso-position-horizontal-relative:char;mso-position-vertical-relative:line" filled="t" fillcolor="#ffec40" stroked="f">
                  <o:lock v:ext="edit" aspectratio="f"/>
                  <v:textbox inset="0,0,0,0">
                    <w:txbxContent>
                      <w:p>
                        <w:pPr>
                          <w:spacing w:before="62" w:line="176" w:lineRule="auto"/>
                          <w:ind w:left="38"/>
                          <w:rPr>
                            <w:rFonts w:ascii="Microsoft YaHei" w:eastAsia="Microsoft YaHei" w:hAnsi="Microsoft YaHei" w:cs="Microsoft YaHei"/>
                            <w:sz w:val="22"/>
                            <w:szCs w:val="22"/>
                          </w:rPr>
                        </w:pPr>
                        <w:r>
                          <w:rPr>
                            <w:rFonts w:ascii="Microsoft YaHei" w:eastAsia="Microsoft YaHei" w:hAnsi="Microsoft YaHei" w:cs="Microsoft YaHei"/>
                            <w:color w:val="231916"/>
                            <w:spacing w:val="-1"/>
                            <w:sz w:val="22"/>
                            <w:szCs w:val="22"/>
                          </w:rPr>
                          <w:t>大湾区数据取样范围</w:t>
                        </w:r>
                      </w:p>
                    </w:txbxContent>
                  </v:textbox>
                  <w10:wrap type="none"/>
                </v:shape>
              </w:pict>
            </w:r>
          </w:p>
        </w:tc>
      </w:tr>
      <w:tr>
        <w:tblPrEx>
          <w:tblW w:w="8828" w:type="dxa"/>
          <w:tblInd w:w="1610" w:type="dxa"/>
          <w:tblLayout w:type="fixed"/>
        </w:tblPrEx>
        <w:trPr>
          <w:trHeight w:val="1946"/>
        </w:trPr>
        <w:tc>
          <w:tcPr>
            <w:tcW w:w="8828" w:type="dxa"/>
            <w:tcBorders>
              <w:top w:val="single" w:sz="16" w:space="0" w:color="FFEC40"/>
              <w:bottom w:val="single" w:sz="16" w:space="0" w:color="FFEC40"/>
            </w:tcBorders>
            <w:vAlign w:val="top"/>
          </w:tcPr>
          <w:p>
            <w:pPr>
              <w:pStyle w:val="TableText"/>
              <w:spacing w:before="172" w:line="194" w:lineRule="auto"/>
              <w:ind w:left="39"/>
              <w:jc w:val="both"/>
            </w:pPr>
            <w:r>
              <w:rPr>
                <w:color w:val="231916"/>
                <w:spacing w:val="-1"/>
              </w:rPr>
              <w:t>大湾区甲级写字楼研究地理范围界定为大湾区内地九个城市以及香港特别行政区，其中根据</w:t>
            </w:r>
            <w:r>
              <w:rPr>
                <w:color w:val="231916"/>
                <w:spacing w:val="9"/>
              </w:rPr>
              <w:t xml:space="preserve"> </w:t>
            </w:r>
            <w:r>
              <w:rPr>
                <w:color w:val="231916"/>
                <w:spacing w:val="-5"/>
              </w:rPr>
              <w:t>城市发展差异而选定不同的有效研究时间跨度。香港、深圳、广州研究时间自 2009 年至今；</w:t>
            </w:r>
            <w:r>
              <w:rPr>
                <w:color w:val="231916"/>
                <w:spacing w:val="1"/>
              </w:rPr>
              <w:t xml:space="preserve"> </w:t>
            </w:r>
            <w:r>
              <w:rPr>
                <w:color w:val="231916"/>
                <w:spacing w:val="-4"/>
              </w:rPr>
              <w:t>其它七个内地城市研究时间自 2013 年至今。澳门暂未被纳入取样范围。</w:t>
            </w:r>
          </w:p>
          <w:p>
            <w:pPr>
              <w:spacing w:line="256" w:lineRule="auto"/>
              <w:rPr>
                <w:rFonts w:ascii="Arial"/>
                <w:sz w:val="21"/>
              </w:rPr>
            </w:pPr>
          </w:p>
          <w:p>
            <w:pPr>
              <w:spacing w:line="257" w:lineRule="auto"/>
              <w:rPr>
                <w:rFonts w:ascii="Arial"/>
                <w:sz w:val="21"/>
              </w:rPr>
            </w:pPr>
          </w:p>
          <w:p>
            <w:pPr>
              <w:pStyle w:val="TableText"/>
              <w:spacing w:line="332" w:lineRule="exact"/>
            </w:pPr>
            <w:r>
              <w:rPr>
                <w:position w:val="-9"/>
              </w:rPr>
              <w:pict>
                <v:shape id="_x0000_i1035" type="#_x0000_t202" style="width:48.8pt;height:17.8pt;mso-position-horizontal-relative:char;mso-position-vertical-relative:line" filled="t" fillcolor="#ffec40" stroked="f">
                  <o:lock v:ext="edit" aspectratio="f"/>
                  <v:textbox inset="0,0,0,0">
                    <w:txbxContent>
                      <w:p>
                        <w:pPr>
                          <w:spacing w:before="68" w:line="176" w:lineRule="auto"/>
                          <w:ind w:left="34"/>
                          <w:rPr>
                            <w:rFonts w:ascii="Microsoft YaHei" w:eastAsia="Microsoft YaHei" w:hAnsi="Microsoft YaHei" w:cs="Microsoft YaHei"/>
                            <w:sz w:val="22"/>
                            <w:szCs w:val="22"/>
                          </w:rPr>
                        </w:pPr>
                        <w:r>
                          <w:rPr>
                            <w:rFonts w:ascii="Microsoft YaHei" w:eastAsia="Microsoft YaHei" w:hAnsi="Microsoft YaHei" w:cs="Microsoft YaHei"/>
                            <w:color w:val="231916"/>
                            <w:spacing w:val="-2"/>
                            <w:sz w:val="22"/>
                            <w:szCs w:val="22"/>
                          </w:rPr>
                          <w:t>租金指数</w:t>
                        </w:r>
                      </w:p>
                    </w:txbxContent>
                  </v:textbox>
                  <w10:wrap type="none"/>
                </v:shape>
              </w:pict>
            </w:r>
          </w:p>
        </w:tc>
      </w:tr>
      <w:tr>
        <w:tblPrEx>
          <w:tblW w:w="8828" w:type="dxa"/>
          <w:tblInd w:w="1610" w:type="dxa"/>
          <w:tblLayout w:type="fixed"/>
        </w:tblPrEx>
        <w:trPr>
          <w:trHeight w:val="1446"/>
        </w:trPr>
        <w:tc>
          <w:tcPr>
            <w:tcW w:w="8828" w:type="dxa"/>
            <w:tcBorders>
              <w:top w:val="single" w:sz="16" w:space="0" w:color="FFEC40"/>
              <w:bottom w:val="single" w:sz="16" w:space="0" w:color="FFEC40"/>
            </w:tcBorders>
            <w:vAlign w:val="top"/>
          </w:tcPr>
          <w:p>
            <w:pPr>
              <w:pStyle w:val="TableText"/>
              <w:spacing w:before="211" w:line="174" w:lineRule="auto"/>
              <w:ind w:left="36"/>
            </w:pPr>
            <w:r>
              <w:rPr>
                <w:color w:val="231916"/>
                <w:spacing w:val="-1"/>
              </w:rPr>
              <w:t>租金指数反映了各城市写字楼市场租金的变化趋势及不同城市之间</w:t>
            </w:r>
            <w:r>
              <w:rPr>
                <w:color w:val="231916"/>
                <w:spacing w:val="-2"/>
              </w:rPr>
              <w:t>的共性和差异。</w:t>
            </w:r>
          </w:p>
          <w:p>
            <w:pPr>
              <w:spacing w:line="312" w:lineRule="auto"/>
              <w:rPr>
                <w:rFonts w:ascii="Arial"/>
                <w:sz w:val="21"/>
              </w:rPr>
            </w:pPr>
          </w:p>
          <w:p>
            <w:pPr>
              <w:spacing w:line="312" w:lineRule="auto"/>
              <w:rPr>
                <w:rFonts w:ascii="Arial"/>
                <w:sz w:val="21"/>
              </w:rPr>
            </w:pPr>
          </w:p>
          <w:p>
            <w:pPr>
              <w:pStyle w:val="TableText"/>
              <w:spacing w:line="323" w:lineRule="exact"/>
            </w:pPr>
            <w:r>
              <w:rPr>
                <w:position w:val="-9"/>
              </w:rPr>
              <w:pict>
                <v:shape id="_x0000_i1036" type="#_x0000_t202" style="width:48.8pt;height:17.8pt;mso-position-horizontal-relative:char;mso-position-vertical-relative:line" filled="t" fillcolor="#ffec40" stroked="f">
                  <o:lock v:ext="edit" aspectratio="f"/>
                  <v:textbox inset="0,0,0,0">
                    <w:txbxContent>
                      <w:p>
                        <w:pPr>
                          <w:spacing w:before="41" w:line="176" w:lineRule="auto"/>
                          <w:ind w:left="36"/>
                          <w:rPr>
                            <w:rFonts w:ascii="Microsoft YaHei" w:eastAsia="Microsoft YaHei" w:hAnsi="Microsoft YaHei" w:cs="Microsoft YaHei"/>
                            <w:sz w:val="22"/>
                            <w:szCs w:val="22"/>
                          </w:rPr>
                        </w:pPr>
                        <w:r>
                          <w:rPr>
                            <w:rFonts w:ascii="Microsoft YaHei" w:eastAsia="Microsoft YaHei" w:hAnsi="Microsoft YaHei" w:cs="Microsoft YaHei"/>
                            <w:color w:val="231916"/>
                            <w:spacing w:val="-2"/>
                            <w:sz w:val="22"/>
                            <w:szCs w:val="22"/>
                          </w:rPr>
                          <w:t>价格指数</w:t>
                        </w:r>
                      </w:p>
                    </w:txbxContent>
                  </v:textbox>
                  <w10:wrap type="none"/>
                </v:shape>
              </w:pict>
            </w:r>
          </w:p>
        </w:tc>
      </w:tr>
      <w:tr>
        <w:tblPrEx>
          <w:tblW w:w="8828" w:type="dxa"/>
          <w:tblInd w:w="1610" w:type="dxa"/>
          <w:tblLayout w:type="fixed"/>
        </w:tblPrEx>
        <w:trPr>
          <w:trHeight w:val="1343"/>
        </w:trPr>
        <w:tc>
          <w:tcPr>
            <w:tcW w:w="8828" w:type="dxa"/>
            <w:tcBorders>
              <w:top w:val="single" w:sz="16" w:space="0" w:color="FFEC40"/>
              <w:bottom w:val="single" w:sz="16" w:space="0" w:color="FFEC40"/>
            </w:tcBorders>
            <w:vAlign w:val="top"/>
          </w:tcPr>
          <w:p>
            <w:pPr>
              <w:pStyle w:val="TableText"/>
              <w:spacing w:before="191" w:line="175" w:lineRule="auto"/>
              <w:ind w:left="38"/>
            </w:pPr>
            <w:r>
              <w:rPr>
                <w:color w:val="231916"/>
                <w:spacing w:val="-1"/>
              </w:rPr>
              <w:t>价格指数反映了各城市写字楼市场售价的变化趋势及不同城</w:t>
            </w:r>
            <w:r>
              <w:rPr>
                <w:color w:val="231916"/>
                <w:spacing w:val="-2"/>
              </w:rPr>
              <w:t>市之间的共性和差异。</w:t>
            </w:r>
          </w:p>
          <w:p>
            <w:pPr>
              <w:spacing w:line="274" w:lineRule="auto"/>
              <w:rPr>
                <w:rFonts w:ascii="Arial"/>
                <w:sz w:val="21"/>
              </w:rPr>
            </w:pPr>
          </w:p>
          <w:p>
            <w:pPr>
              <w:spacing w:line="275" w:lineRule="auto"/>
              <w:rPr>
                <w:rFonts w:ascii="Arial"/>
                <w:sz w:val="21"/>
              </w:rPr>
            </w:pPr>
          </w:p>
          <w:p>
            <w:pPr>
              <w:pStyle w:val="TableText"/>
              <w:spacing w:line="313" w:lineRule="exact"/>
            </w:pPr>
            <w:r>
              <w:rPr>
                <w:position w:val="-10"/>
              </w:rPr>
              <w:pict>
                <v:shape id="_x0000_i1037" type="#_x0000_t202" style="width:135.5pt;height:17.8pt;mso-position-horizontal-relative:char;mso-position-vertical-relative:line" filled="t" fillcolor="#ffec40" stroked="f">
                  <o:lock v:ext="edit" aspectratio="f"/>
                  <v:textbox inset="0,0,0,0">
                    <w:txbxContent>
                      <w:p>
                        <w:pPr>
                          <w:spacing w:before="79" w:line="177" w:lineRule="auto"/>
                          <w:ind w:left="56"/>
                          <w:rPr>
                            <w:rFonts w:ascii="Microsoft YaHei" w:eastAsia="Microsoft YaHei" w:hAnsi="Microsoft YaHei" w:cs="Microsoft YaHei"/>
                            <w:sz w:val="22"/>
                            <w:szCs w:val="22"/>
                          </w:rPr>
                        </w:pPr>
                        <w:r>
                          <w:rPr>
                            <w:rFonts w:ascii="Microsoft YaHei" w:eastAsia="Microsoft YaHei" w:hAnsi="Microsoft YaHei" w:cs="Microsoft YaHei"/>
                            <w:color w:val="231916"/>
                            <w:spacing w:val="-3"/>
                            <w:sz w:val="22"/>
                            <w:szCs w:val="22"/>
                          </w:rPr>
                          <w:t>甲级写字楼市场总租用成本</w:t>
                        </w:r>
                      </w:p>
                    </w:txbxContent>
                  </v:textbox>
                  <w10:wrap type="none"/>
                </v:shape>
              </w:pict>
            </w:r>
          </w:p>
        </w:tc>
      </w:tr>
      <w:tr>
        <w:tblPrEx>
          <w:tblW w:w="8828" w:type="dxa"/>
          <w:tblInd w:w="1610" w:type="dxa"/>
          <w:tblLayout w:type="fixed"/>
        </w:tblPrEx>
        <w:trPr>
          <w:trHeight w:val="1383"/>
        </w:trPr>
        <w:tc>
          <w:tcPr>
            <w:tcW w:w="8828" w:type="dxa"/>
            <w:tcBorders>
              <w:top w:val="single" w:sz="16" w:space="0" w:color="FFEC40"/>
              <w:bottom w:val="single" w:sz="16" w:space="0" w:color="FFEC40"/>
            </w:tcBorders>
            <w:vAlign w:val="top"/>
          </w:tcPr>
          <w:p>
            <w:pPr>
              <w:pStyle w:val="TableText"/>
              <w:spacing w:before="227" w:line="175" w:lineRule="auto"/>
              <w:ind w:left="39"/>
            </w:pPr>
            <w:r>
              <w:rPr>
                <w:color w:val="231916"/>
                <w:spacing w:val="-2"/>
              </w:rPr>
              <w:t>总租用成本包含净有效租金、物业管理费以及相关税费等。</w:t>
            </w:r>
          </w:p>
          <w:p>
            <w:pPr>
              <w:spacing w:line="271" w:lineRule="auto"/>
              <w:rPr>
                <w:rFonts w:ascii="Arial"/>
                <w:sz w:val="21"/>
              </w:rPr>
            </w:pPr>
          </w:p>
          <w:p>
            <w:pPr>
              <w:spacing w:line="271" w:lineRule="auto"/>
              <w:rPr>
                <w:rFonts w:ascii="Arial"/>
                <w:sz w:val="21"/>
              </w:rPr>
            </w:pPr>
          </w:p>
          <w:p>
            <w:pPr>
              <w:pStyle w:val="TableText"/>
              <w:spacing w:line="325" w:lineRule="exact"/>
            </w:pPr>
            <w:r>
              <w:rPr>
                <w:position w:val="-9"/>
              </w:rPr>
              <w:pict>
                <v:shape id="_x0000_i1038" type="#_x0000_t202" style="width:48.8pt;height:17.8pt;mso-position-horizontal-relative:char;mso-position-vertical-relative:line" filled="t" fillcolor="#ffec40" stroked="f">
                  <o:lock v:ext="edit" aspectratio="f"/>
                  <v:textbox inset="0,0,0,0">
                    <w:txbxContent>
                      <w:p>
                        <w:pPr>
                          <w:spacing w:before="70" w:line="176" w:lineRule="auto"/>
                          <w:ind w:left="38"/>
                          <w:rPr>
                            <w:rFonts w:ascii="Microsoft YaHei" w:eastAsia="Microsoft YaHei" w:hAnsi="Microsoft YaHei" w:cs="Microsoft YaHei"/>
                            <w:sz w:val="22"/>
                            <w:szCs w:val="22"/>
                          </w:rPr>
                        </w:pPr>
                        <w:r>
                          <w:rPr>
                            <w:rFonts w:ascii="Microsoft YaHei" w:eastAsia="Microsoft YaHei" w:hAnsi="Microsoft YaHei" w:cs="Microsoft YaHei"/>
                            <w:color w:val="231916"/>
                            <w:spacing w:val="-2"/>
                            <w:sz w:val="22"/>
                            <w:szCs w:val="22"/>
                          </w:rPr>
                          <w:t>更新周期</w:t>
                        </w:r>
                      </w:p>
                    </w:txbxContent>
                  </v:textbox>
                  <w10:wrap type="none"/>
                </v:shape>
              </w:pict>
            </w:r>
          </w:p>
        </w:tc>
      </w:tr>
    </w:tbl>
    <w:p>
      <w:pPr>
        <w:sectPr>
          <w:headerReference w:type="default" r:id="rId9"/>
          <w:footerReference w:type="default" r:id="rId10"/>
          <w:pgSz w:w="11906" w:h="16838"/>
          <w:pgMar w:top="1" w:right="0" w:bottom="1" w:left="0" w:header="0" w:footer="0" w:gutter="0"/>
          <w:pgNumType w:start="3"/>
          <w:cols w:space="708"/>
        </w:sectPr>
      </w:pPr>
    </w:p>
    <w:p>
      <w:pPr>
        <w:spacing w:before="74" w:line="4921" w:lineRule="exact"/>
      </w:pPr>
      <w:r>
        <w:rPr>
          <w:position w:val="-99"/>
        </w:rPr>
        <w:pict>
          <v:group id="_x0000_i1039" style="width:595.3pt;height:246.65pt;mso-position-horizontal-relative:char;mso-position-vertical-relative:line" coordorigin="0,0" coordsize="11905,493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width:11905;height:4932;position:absolute" filled="f" stroked="f">
              <v:imagedata r:id="rId11" o:title=""/>
            </v:shape>
            <v:shape id="_x0000_s1041" type="#_x0000_t202" style="width:11945;height:4972;left:-20;position:absolute;top:-20" filled="f" stroked="f">
              <o:lock v:ext="edit" aspectratio="f"/>
              <v:textbox inset="0,0,0,0">
                <w:txbxContent>
                  <w:p>
                    <w:pPr>
                      <w:spacing w:before="140" w:line="176" w:lineRule="auto"/>
                      <w:ind w:left="1669"/>
                      <w:rPr>
                        <w:rFonts w:ascii="Microsoft YaHei" w:eastAsia="Microsoft YaHei" w:hAnsi="Microsoft YaHei" w:cs="Microsoft YaHei"/>
                        <w:sz w:val="22"/>
                        <w:szCs w:val="22"/>
                      </w:rPr>
                    </w:pPr>
                    <w:r>
                      <w:rPr>
                        <w:rFonts w:ascii="Microsoft YaHei" w:eastAsia="Microsoft YaHei" w:hAnsi="Microsoft YaHei" w:cs="Microsoft YaHei"/>
                        <w:color w:val="231916"/>
                        <w:spacing w:val="-4"/>
                        <w:sz w:val="22"/>
                        <w:szCs w:val="22"/>
                      </w:rPr>
                      <w:t>大湾区甲级写字楼指数于 2019 年 10 月首次发布，并定期进行年度更新。</w:t>
                    </w:r>
                  </w:p>
                </w:txbxContent>
              </v:textbox>
            </v:shape>
            <w10:wrap type="none"/>
          </v:group>
        </w:pict>
      </w:r>
    </w:p>
    <w:p>
      <w:pPr>
        <w:spacing w:line="4921"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kern w:val="0"/>
            <w:sz w:val="30"/>
            <w:szCs w:val="30"/>
            <w:u w:val="single" w:color="0000EE"/>
          </w:rPr>
          <w:t>https://d.book118.com/048036110001006047</w:t>
        </w:r>
      </w:hyperlink>
    </w:p>
    <w:p>
      <w:pPr>
        <w:spacing w:line="4921" w:lineRule="exact"/>
      </w:pPr>
    </w:p>
    <w:sectPr>
      <w:headerReference w:type="default" r:id="rId13"/>
      <w:footerReference w:type="default" r:id="rId14"/>
      <w:type w:val="nextPage"/>
      <w:pgSz w:w="11906" w:h="16838"/>
      <w:pgMar w:top="1" w:right="0" w:bottom="1" w:left="0" w:header="0" w:footer="0" w:gutter="0"/>
      <w:pgNumType w:start="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294005</wp:posOffset>
          </wp:positionV>
          <wp:extent cx="7270204" cy="1011599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270204" cy="10115994"/>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1" locked="0" layoutInCell="0" allowOverlap="1">
          <wp:simplePos x="0" y="0"/>
          <wp:positionH relativeFrom="page">
            <wp:posOffset>0</wp:posOffset>
          </wp:positionH>
          <wp:positionV relativeFrom="page">
            <wp:posOffset>294005</wp:posOffset>
          </wp:positionV>
          <wp:extent cx="7270204" cy="10115994"/>
          <wp:effectExtent l="0" t="0" r="0" b="0"/>
          <wp:wrapNone/>
          <wp:docPr id="2131536650" name="IM 2"/>
          <wp:cNvGraphicFramePr/>
          <a:graphic xmlns:a="http://schemas.openxmlformats.org/drawingml/2006/main">
            <a:graphicData uri="http://schemas.openxmlformats.org/drawingml/2006/picture">
              <pic:pic xmlns:pic="http://schemas.openxmlformats.org/drawingml/2006/picture">
                <pic:nvPicPr>
                  <pic:cNvPr id="2131536650" name="IM 2"/>
                  <pic:cNvPicPr/>
                </pic:nvPicPr>
                <pic:blipFill>
                  <a:blip xmlns:r="http://schemas.openxmlformats.org/officeDocument/2006/relationships" r:embed="rId1"/>
                  <a:stretch>
                    <a:fillRect/>
                  </a:stretch>
                </pic:blipFill>
                <pic:spPr>
                  <a:xfrm>
                    <a:off x="0" y="0"/>
                    <a:ext cx="7270204" cy="10115994"/>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2"/>
      <w:szCs w:val="2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5.png" /><Relationship Id="rId12" Type="http://schemas.openxmlformats.org/officeDocument/2006/relationships/hyperlink" Target="https://d.book118.com/048036110001006047" TargetMode="External" /><Relationship Id="rId13" Type="http://schemas.openxmlformats.org/officeDocument/2006/relationships/header" Target="header4.xml" /><Relationship Id="rId14" Type="http://schemas.openxmlformats.org/officeDocument/2006/relationships/footer" Target="footer2.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image" Target="media/image4.png"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2024-03-18T19:54:30Z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2024-03-18T20:10:59Z</vt:filetime>
  </property>
  <property fmtid="{D5CDD505-2E9C-101B-9397-08002B2CF9AE}" pid="3" name="CRO">
    <vt:lpwstr>wqlLaW5nc29mdCBQREYgdG8gV1BTIDkw</vt:lpwstr>
  </property>
</Properties>
</file>