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4"/>
        <w:rPr>
          <w:rFonts w:ascii="Times New Roman"/>
          <w:sz w:val="24"/>
        </w:rPr>
      </w:pPr>
    </w:p>
    <w:p>
      <w:pPr>
        <w:pStyle w:val="Heading2"/>
        <w:ind w:left="1344" w:right="2609"/>
        <w:jc w:val="center"/>
      </w:pPr>
      <w:r>
        <w:t>施工组织设计</w:t>
      </w:r>
    </w:p>
    <w:p>
      <w:pPr>
        <w:pStyle w:val="BodyText"/>
        <w:rPr>
          <w:b/>
          <w:sz w:val="20"/>
        </w:rPr>
      </w:pPr>
    </w:p>
    <w:p>
      <w:pPr>
        <w:spacing w:before="189"/>
        <w:ind w:left="1440" w:right="0" w:firstLine="0"/>
        <w:jc w:val="left"/>
        <w:rPr>
          <w:b/>
          <w:sz w:val="45"/>
        </w:rPr>
      </w:pPr>
      <w:r>
        <w:rPr>
          <w:b/>
          <w:sz w:val="45"/>
        </w:rPr>
        <w:t>一、工程概况</w:t>
      </w:r>
    </w:p>
    <w:p>
      <w:pPr>
        <w:pStyle w:val="BodyText"/>
        <w:rPr>
          <w:b/>
          <w:sz w:val="35"/>
        </w:rPr>
      </w:pPr>
    </w:p>
    <w:p>
      <w:pPr>
        <w:spacing w:before="1" w:line="420" w:lineRule="auto"/>
        <w:ind w:left="1440" w:right="2699" w:firstLine="838"/>
        <w:jc w:val="both"/>
        <w:rPr>
          <w:sz w:val="48"/>
        </w:rPr>
      </w:pPr>
      <w:r>
        <w:rPr>
          <w:sz w:val="45"/>
          <w:vertAlign w:val="subscript"/>
        </w:rPr>
        <w:t>一）</w:t>
      </w:r>
      <w:r>
        <w:rPr>
          <w:spacing w:val="86"/>
          <w:sz w:val="45"/>
          <w:vertAlign w:val="subscript"/>
        </w:rPr>
        <w:t xml:space="preserve">、 </w:t>
      </w:r>
      <w:r>
        <w:rPr>
          <w:spacing w:val="-11"/>
          <w:position w:val="-1"/>
          <w:sz w:val="45"/>
          <w:vertAlign w:val="subscript"/>
        </w:rPr>
        <w:t xml:space="preserve">本工程为浏阳市 </w:t>
      </w:r>
      <w:r>
        <w:rPr>
          <w:sz w:val="48"/>
          <w:vertAlign w:val="subscript"/>
        </w:rPr>
        <w:t>XXX</w:t>
      </w:r>
      <w:r>
        <w:rPr>
          <w:spacing w:val="-52"/>
          <w:sz w:val="48"/>
          <w:vertAlign w:val="subscript"/>
        </w:rPr>
        <w:t xml:space="preserve"> 中路</w:t>
      </w:r>
      <w:r>
        <w:rPr>
          <w:sz w:val="48"/>
          <w:vertAlign w:val="subscript"/>
        </w:rPr>
        <w:t>（天马大桥-复兴路</w:t>
      </w:r>
      <w:r>
        <w:rPr>
          <w:spacing w:val="-66"/>
          <w:sz w:val="48"/>
          <w:vertAlign w:val="subscript"/>
        </w:rPr>
        <w:t>）</w:t>
      </w:r>
      <w:r>
        <w:rPr>
          <w:spacing w:val="-7"/>
          <w:sz w:val="48"/>
          <w:vertAlign w:val="subscript"/>
        </w:rPr>
        <w:t>北侧</w:t>
      </w:r>
      <w:r>
        <w:rPr>
          <w:w w:val="95"/>
          <w:sz w:val="48"/>
          <w:vertAlign w:val="baseline"/>
        </w:rPr>
        <w:t>人行道、绿化工程，包括道路绿化（除行道树外</w:t>
      </w:r>
      <w:r>
        <w:rPr>
          <w:spacing w:val="-29"/>
          <w:w w:val="95"/>
          <w:sz w:val="48"/>
          <w:vertAlign w:val="baseline"/>
        </w:rPr>
        <w:t>）</w:t>
      </w:r>
      <w:r>
        <w:rPr>
          <w:w w:val="95"/>
          <w:sz w:val="48"/>
          <w:vertAlign w:val="baseline"/>
        </w:rPr>
        <w:t xml:space="preserve">、人行道 </w:t>
      </w:r>
      <w:r>
        <w:rPr>
          <w:sz w:val="48"/>
          <w:vertAlign w:val="baseline"/>
        </w:rPr>
        <w:t>铺设、路缘石安装。工期要求：</w:t>
      </w:r>
      <w:r>
        <w:rPr>
          <w:spacing w:val="6"/>
          <w:sz w:val="48"/>
          <w:vertAlign w:val="baseline"/>
        </w:rPr>
        <w:t>40</w:t>
      </w:r>
      <w:r>
        <w:rPr>
          <w:spacing w:val="-25"/>
          <w:sz w:val="48"/>
          <w:vertAlign w:val="baseline"/>
        </w:rPr>
        <w:t xml:space="preserve"> 日历天。</w:t>
      </w:r>
    </w:p>
    <w:p>
      <w:pPr>
        <w:pStyle w:val="BodyText"/>
        <w:rPr>
          <w:sz w:val="48"/>
        </w:rPr>
      </w:pPr>
    </w:p>
    <w:p>
      <w:pPr>
        <w:pStyle w:val="BodyText"/>
        <w:spacing w:before="4"/>
        <w:rPr>
          <w:sz w:val="47"/>
        </w:rPr>
      </w:pPr>
    </w:p>
    <w:p>
      <w:pPr>
        <w:pStyle w:val="Heading2"/>
        <w:spacing w:before="0"/>
        <w:ind w:left="1757"/>
      </w:pPr>
      <w:r>
        <w:t>二、编制说明</w:t>
      </w:r>
    </w:p>
    <w:p>
      <w:pPr>
        <w:pStyle w:val="BodyText"/>
        <w:rPr>
          <w:b/>
          <w:sz w:val="44"/>
        </w:rPr>
      </w:pPr>
    </w:p>
    <w:p>
      <w:pPr>
        <w:spacing w:before="332" w:line="448" w:lineRule="auto"/>
        <w:ind w:left="1440" w:right="2556" w:firstLine="1126"/>
        <w:jc w:val="left"/>
        <w:rPr>
          <w:sz w:val="45"/>
        </w:rPr>
      </w:pPr>
      <w:r>
        <w:rPr>
          <w:sz w:val="45"/>
        </w:rPr>
        <w:t xml:space="preserve">首先十分感谢贵业主提供的这次投标机会，我们长沙九峰建设工程有限公司以对业主真诚负责的态度和对工程尽善尽美 </w:t>
      </w:r>
      <w:r>
        <w:rPr>
          <w:spacing w:val="-1"/>
          <w:sz w:val="45"/>
        </w:rPr>
        <w:t>的追求，经过认真的现场踏勘，标书评审等工作，针对工程实际</w:t>
      </w:r>
      <w:r>
        <w:rPr>
          <w:spacing w:val="-12"/>
          <w:sz w:val="45"/>
        </w:rPr>
        <w:t>编制了本施工组织设计。本施工组织设计编制的目的是从施工全</w:t>
      </w:r>
      <w:r>
        <w:rPr>
          <w:spacing w:val="-16"/>
          <w:sz w:val="45"/>
        </w:rPr>
        <w:t>局出发，根据各种具体的施工条件，为投标阶段提供较为完整的</w:t>
      </w:r>
      <w:r>
        <w:rPr>
          <w:spacing w:val="-17"/>
          <w:sz w:val="45"/>
        </w:rPr>
        <w:t>纲领性文件，一旦中标，将在此基础上进行深化，用以指导工程</w:t>
      </w:r>
      <w:r>
        <w:rPr>
          <w:sz w:val="45"/>
        </w:rPr>
        <w:t>施工与管理。</w:t>
      </w:r>
    </w:p>
    <w:p>
      <w:pPr>
        <w:pStyle w:val="BodyText"/>
        <w:spacing w:before="6"/>
        <w:rPr>
          <w:sz w:val="31"/>
        </w:rPr>
      </w:pPr>
    </w:p>
    <w:p>
      <w:pPr>
        <w:pStyle w:val="Heading2"/>
        <w:spacing w:before="0"/>
        <w:ind w:left="1757"/>
      </w:pPr>
      <w:r>
        <w:t>三、主要依据</w:t>
      </w:r>
    </w:p>
    <w:p>
      <w:pPr>
        <w:pStyle w:val="BodyText"/>
        <w:rPr>
          <w:b/>
          <w:sz w:val="44"/>
        </w:rPr>
      </w:pPr>
    </w:p>
    <w:p>
      <w:pPr>
        <w:spacing w:before="332"/>
        <w:ind w:left="1440" w:right="0" w:firstLine="0"/>
        <w:jc w:val="left"/>
        <w:rPr>
          <w:sz w:val="45"/>
        </w:rPr>
      </w:pPr>
      <w:r>
        <w:rPr>
          <w:sz w:val="45"/>
        </w:rPr>
        <w:t>施工组织设计主要是依据以下信息和文件资料进行编写：</w:t>
      </w:r>
    </w:p>
    <w:p>
      <w:pPr>
        <w:pStyle w:val="BodyText"/>
        <w:spacing w:before="4"/>
        <w:rPr>
          <w:sz w:val="39"/>
        </w:rPr>
      </w:pPr>
    </w:p>
    <w:p>
      <w:pPr>
        <w:spacing w:before="0" w:line="448" w:lineRule="auto"/>
        <w:ind w:left="2117" w:right="2552" w:hanging="677"/>
        <w:jc w:val="left"/>
        <w:rPr>
          <w:sz w:val="45"/>
        </w:rPr>
      </w:pPr>
      <w:r>
        <w:rPr>
          <w:sz w:val="45"/>
        </w:rPr>
        <w:t>1、浏阳市XXX 中路（天马大桥-复兴路）北侧人行道、绿化工程招标文件；</w:t>
      </w:r>
    </w:p>
    <w:p>
      <w:pPr>
        <w:spacing w:after="0" w:line="448" w:lineRule="auto"/>
        <w:jc w:val="left"/>
        <w:rPr>
          <w:sz w:val="45"/>
        </w:rPr>
        <w:sectPr>
          <w:headerReference w:type="default" r:id="rId4"/>
          <w:footerReference w:type="default" r:id="rId5"/>
          <w:type w:val="continuous"/>
          <w:pgSz w:w="17860" w:h="25260"/>
          <w:pgMar w:top="1400" w:right="0" w:bottom="2020" w:left="1260" w:header="1084" w:footer="1831"/>
          <w:cols w:space="708"/>
        </w:sectPr>
      </w:pPr>
    </w:p>
    <w:p>
      <w:pPr>
        <w:pStyle w:val="BodyText"/>
        <w:rPr>
          <w:sz w:val="20"/>
        </w:rPr>
      </w:pPr>
    </w:p>
    <w:p>
      <w:pPr>
        <w:pStyle w:val="BodyText"/>
        <w:rPr>
          <w:sz w:val="20"/>
        </w:rPr>
      </w:pPr>
    </w:p>
    <w:p>
      <w:pPr>
        <w:pStyle w:val="BodyText"/>
        <w:spacing w:before="8"/>
        <w:rPr>
          <w:sz w:val="18"/>
        </w:rPr>
      </w:pPr>
    </w:p>
    <w:p>
      <w:pPr>
        <w:spacing w:before="37" w:line="448" w:lineRule="auto"/>
        <w:ind w:left="1440" w:right="2552" w:firstLine="0"/>
        <w:jc w:val="left"/>
        <w:rPr>
          <w:sz w:val="45"/>
        </w:rPr>
      </w:pPr>
      <w:r>
        <w:rPr>
          <w:sz w:val="45"/>
        </w:rPr>
        <w:t>2、浏阳市XXX 中路（天马大桥-复兴路）北侧人行道、绿化工程设计图纸及有关设计文件；</w:t>
      </w:r>
    </w:p>
    <w:p>
      <w:pPr>
        <w:spacing w:before="3"/>
        <w:ind w:left="1440" w:right="0" w:firstLine="0"/>
        <w:jc w:val="left"/>
        <w:rPr>
          <w:sz w:val="45"/>
        </w:rPr>
      </w:pPr>
      <w:r>
        <w:rPr>
          <w:sz w:val="45"/>
        </w:rPr>
        <w:t>3、《城市绿化工程施工与验收规范》；</w:t>
      </w:r>
    </w:p>
    <w:p>
      <w:pPr>
        <w:pStyle w:val="BodyText"/>
        <w:spacing w:before="4"/>
        <w:rPr>
          <w:sz w:val="39"/>
        </w:rPr>
      </w:pPr>
    </w:p>
    <w:p>
      <w:pPr>
        <w:spacing w:before="0"/>
        <w:ind w:left="1440" w:right="0" w:firstLine="0"/>
        <w:jc w:val="left"/>
        <w:rPr>
          <w:sz w:val="45"/>
        </w:rPr>
      </w:pPr>
      <w:r>
        <w:rPr>
          <w:sz w:val="45"/>
        </w:rPr>
        <w:t>4、《城市绿化和园林绿地用植物材料》；</w:t>
      </w:r>
    </w:p>
    <w:p>
      <w:pPr>
        <w:pStyle w:val="BodyText"/>
        <w:spacing w:before="4"/>
        <w:rPr>
          <w:sz w:val="39"/>
        </w:rPr>
      </w:pPr>
    </w:p>
    <w:p>
      <w:pPr>
        <w:spacing w:before="0"/>
        <w:ind w:left="1440" w:right="0" w:firstLine="0"/>
        <w:jc w:val="left"/>
        <w:rPr>
          <w:sz w:val="45"/>
        </w:rPr>
      </w:pPr>
      <w:r>
        <w:rPr>
          <w:sz w:val="45"/>
        </w:rPr>
        <w:t>5、《建设工程质量管理条例》；</w:t>
      </w:r>
    </w:p>
    <w:p>
      <w:pPr>
        <w:pStyle w:val="BodyText"/>
        <w:spacing w:before="4"/>
        <w:rPr>
          <w:sz w:val="39"/>
        </w:rPr>
      </w:pPr>
    </w:p>
    <w:p>
      <w:pPr>
        <w:spacing w:before="0"/>
        <w:ind w:left="1440" w:right="0" w:firstLine="0"/>
        <w:jc w:val="left"/>
        <w:rPr>
          <w:sz w:val="45"/>
        </w:rPr>
      </w:pPr>
      <w:r>
        <w:rPr>
          <w:sz w:val="45"/>
        </w:rPr>
        <w:t>6、《园林绿化技术规程（试行）》</w:t>
      </w:r>
    </w:p>
    <w:p>
      <w:pPr>
        <w:pStyle w:val="BodyText"/>
        <w:spacing w:before="4"/>
        <w:rPr>
          <w:sz w:val="39"/>
        </w:rPr>
      </w:pPr>
    </w:p>
    <w:p>
      <w:pPr>
        <w:spacing w:before="0"/>
        <w:ind w:left="1440" w:right="0" w:firstLine="0"/>
        <w:jc w:val="left"/>
        <w:rPr>
          <w:sz w:val="45"/>
        </w:rPr>
      </w:pPr>
      <w:r>
        <w:rPr>
          <w:sz w:val="45"/>
        </w:rPr>
        <w:t>7、《园林绿化管养规范》</w:t>
      </w:r>
    </w:p>
    <w:p>
      <w:pPr>
        <w:pStyle w:val="BodyText"/>
        <w:spacing w:before="4"/>
        <w:rPr>
          <w:sz w:val="39"/>
        </w:rPr>
      </w:pPr>
    </w:p>
    <w:p>
      <w:pPr>
        <w:spacing w:before="0" w:line="448" w:lineRule="auto"/>
        <w:ind w:left="1440" w:right="7506" w:firstLine="0"/>
        <w:jc w:val="left"/>
        <w:rPr>
          <w:b/>
          <w:sz w:val="45"/>
        </w:rPr>
      </w:pPr>
      <w:r>
        <w:rPr>
          <w:sz w:val="45"/>
        </w:rPr>
        <w:t xml:space="preserve">八、其它有关施工、验收规范及标准； </w:t>
      </w:r>
      <w:r>
        <w:rPr>
          <w:b/>
          <w:sz w:val="45"/>
        </w:rPr>
        <w:t>四、施工组织方案与部署</w:t>
      </w:r>
    </w:p>
    <w:p>
      <w:pPr>
        <w:pStyle w:val="Heading1"/>
        <w:spacing w:before="338"/>
      </w:pPr>
      <w:r>
        <w:t>第一节部署原则</w:t>
      </w:r>
    </w:p>
    <w:p>
      <w:pPr>
        <w:pStyle w:val="BodyText"/>
        <w:rPr>
          <w:b/>
          <w:sz w:val="48"/>
        </w:rPr>
      </w:pPr>
    </w:p>
    <w:p>
      <w:pPr>
        <w:pStyle w:val="BodyText"/>
        <w:spacing w:before="352" w:line="482" w:lineRule="auto"/>
        <w:ind w:left="1440" w:right="2520"/>
      </w:pPr>
      <w:r>
        <w:t>1、集中力量保质量、保工期，在人力、物资、机具给该工程以充分保障，各工序管理工作应相互协助，指导好现场的施工工作，搞好各工种的协调配合。</w:t>
      </w:r>
    </w:p>
    <w:p>
      <w:pPr>
        <w:pStyle w:val="BodyText"/>
        <w:spacing w:line="482" w:lineRule="auto"/>
        <w:ind w:left="1440" w:right="2729"/>
      </w:pPr>
      <w:r>
        <w:t>2、组织各工种配合施工，穿插作业，重点部位重点赶工。以达到绿化、安装及其它各工种之间互创施工条件，以确保工程总体进度。</w:t>
      </w:r>
    </w:p>
    <w:p>
      <w:pPr>
        <w:pStyle w:val="Heading1"/>
        <w:spacing w:before="272"/>
      </w:pPr>
      <w:r>
        <w:t>第二节施工组织机构</w:t>
      </w:r>
    </w:p>
    <w:p>
      <w:pPr>
        <w:pStyle w:val="BodyText"/>
        <w:rPr>
          <w:b/>
          <w:sz w:val="48"/>
        </w:rPr>
      </w:pPr>
    </w:p>
    <w:p>
      <w:pPr>
        <w:pStyle w:val="BodyText"/>
        <w:spacing w:before="348"/>
        <w:ind w:left="2190" w:right="2609"/>
        <w:jc w:val="center"/>
      </w:pPr>
      <w:r>
        <w:t>项目经理将负责各专业施工队伍的施工现场协调和安排。抓好工</w:t>
      </w:r>
    </w:p>
    <w:p>
      <w:pPr>
        <w:spacing w:after="0"/>
        <w:jc w:val="center"/>
        <w:sectPr>
          <w:headerReference w:type="default" r:id="rId6"/>
          <w:footerReference w:type="default" r:id="rId7"/>
          <w:pgSz w:w="17860" w:h="25260"/>
          <w:pgMar w:top="1400" w:right="0" w:bottom="2020" w:left="1260" w:header="1084" w:footer="1831"/>
          <w:pgNumType w:start="2"/>
          <w:cols w:space="708"/>
        </w:sectPr>
      </w:pPr>
    </w:p>
    <w:p>
      <w:pPr>
        <w:pStyle w:val="BodyText"/>
        <w:rPr>
          <w:sz w:val="20"/>
        </w:rPr>
      </w:pPr>
    </w:p>
    <w:p>
      <w:pPr>
        <w:pStyle w:val="BodyText"/>
        <w:rPr>
          <w:sz w:val="20"/>
        </w:rPr>
      </w:pPr>
    </w:p>
    <w:p>
      <w:pPr>
        <w:pStyle w:val="BodyText"/>
        <w:spacing w:before="6"/>
        <w:rPr>
          <w:sz w:val="22"/>
        </w:rPr>
      </w:pPr>
    </w:p>
    <w:p>
      <w:pPr>
        <w:pStyle w:val="BodyText"/>
        <w:spacing w:before="42"/>
        <w:ind w:left="1440"/>
      </w:pPr>
      <w:r>
        <w:t>程质量和安全的同时，抓好对环境保护的要求。</w:t>
      </w:r>
    </w:p>
    <w:p>
      <w:pPr>
        <w:pStyle w:val="BodyText"/>
      </w:pPr>
    </w:p>
    <w:p>
      <w:pPr>
        <w:pStyle w:val="Heading1"/>
        <w:spacing w:before="283"/>
      </w:pPr>
      <w:r>
        <w:t>第三节施工管理措施</w:t>
      </w:r>
    </w:p>
    <w:p>
      <w:pPr>
        <w:pStyle w:val="BodyText"/>
        <w:rPr>
          <w:b/>
          <w:sz w:val="48"/>
        </w:rPr>
      </w:pPr>
    </w:p>
    <w:p>
      <w:pPr>
        <w:pStyle w:val="BodyText"/>
        <w:spacing w:before="352"/>
        <w:ind w:left="1440"/>
      </w:pPr>
      <w:r>
        <w:t>为顺利实现质量目标，</w:t>
      </w:r>
    </w:p>
    <w:p>
      <w:pPr>
        <w:pStyle w:val="BodyText"/>
        <w:spacing w:before="4"/>
      </w:pPr>
    </w:p>
    <w:p>
      <w:pPr>
        <w:pStyle w:val="BodyText"/>
        <w:ind w:left="1440"/>
      </w:pPr>
      <w:r>
        <w:t>我们采取的主要管理措施有：</w:t>
      </w:r>
    </w:p>
    <w:p>
      <w:pPr>
        <w:pStyle w:val="BodyText"/>
        <w:spacing w:before="4"/>
      </w:pPr>
    </w:p>
    <w:p>
      <w:pPr>
        <w:pStyle w:val="BodyText"/>
        <w:spacing w:line="482" w:lineRule="auto"/>
        <w:ind w:left="1440" w:right="2682"/>
        <w:jc w:val="both"/>
      </w:pPr>
      <w:r>
        <w:t>1、将该工程列为我公司的重点工程，由公司总经理直接领导，并组</w:t>
      </w:r>
      <w:r>
        <w:rPr>
          <w:spacing w:val="-14"/>
        </w:rPr>
        <w:t>成施工现场管理机构，发挥公司的优势，在各施工生产要素的配置上</w:t>
      </w:r>
      <w:r>
        <w:t>对该工程实行重点调配，确保工程顺利完成。</w:t>
      </w:r>
    </w:p>
    <w:p>
      <w:pPr>
        <w:pStyle w:val="BodyText"/>
        <w:spacing w:line="482" w:lineRule="auto"/>
        <w:ind w:left="1440" w:right="2520"/>
      </w:pPr>
      <w:r>
        <w:t>2、建精干、高效强有力的项目经理部，选配高素质的项目经理和管</w:t>
      </w:r>
      <w:r>
        <w:rPr>
          <w:spacing w:val="-1"/>
        </w:rPr>
        <w:t>理人员，实行项目管理负责制，全权组织技术、质检、材料、安全、劳资、财务等部门对工程施工进行全员、全面、全过程的系统动态管理，并对工程质量、施工进度、安全生产、文明施工、成本核算及经</w:t>
      </w:r>
      <w:r>
        <w:t>济效益等进行全方位的目标责任管理与控制。</w:t>
      </w:r>
    </w:p>
    <w:p>
      <w:pPr>
        <w:pStyle w:val="BodyText"/>
        <w:spacing w:line="482" w:lineRule="auto"/>
        <w:ind w:left="1440" w:right="2520"/>
      </w:pPr>
      <w:r>
        <w:t>3、用技术熟练，纪律严明，经过多个大型工程锤炼的能打硬仗的高素质的作业队伍，在该工程上进行施工，发挥我公司管理上的优势， 强化职能，统筹协调，综合管理，确保工程总体目标的实现。</w:t>
      </w:r>
    </w:p>
    <w:p>
      <w:pPr>
        <w:spacing w:after="0" w:line="482" w:lineRule="auto"/>
        <w:sectPr>
          <w:headerReference w:type="default" r:id="rId8"/>
          <w:footerReference w:type="default" r:id="rId9"/>
          <w:pgSz w:w="17860" w:h="25260"/>
          <w:pgMar w:top="1400" w:right="0" w:bottom="2020" w:left="1260" w:header="1084" w:footer="1831"/>
          <w:pgNumType w:start="3"/>
          <w:cols w:space="708"/>
        </w:sectPr>
      </w:pPr>
    </w:p>
    <w:p>
      <w:pPr>
        <w:pStyle w:val="BodyText"/>
        <w:rPr>
          <w:sz w:val="20"/>
        </w:rPr>
      </w:pPr>
    </w:p>
    <w:p>
      <w:pPr>
        <w:pStyle w:val="BodyText"/>
        <w:spacing w:before="4"/>
        <w:rPr>
          <w:sz w:val="17"/>
        </w:rPr>
      </w:pPr>
    </w:p>
    <w:p>
      <w:pPr>
        <w:pStyle w:val="Heading1"/>
        <w:spacing w:before="32"/>
        <w:ind w:left="1340" w:right="2609"/>
        <w:jc w:val="center"/>
      </w:pPr>
      <w:r>
        <w:t>第四节 施工方案</w:t>
      </w:r>
    </w:p>
    <w:p>
      <w:pPr>
        <w:pStyle w:val="BodyText"/>
        <w:rPr>
          <w:b/>
          <w:sz w:val="20"/>
        </w:rPr>
      </w:pPr>
    </w:p>
    <w:p>
      <w:pPr>
        <w:pStyle w:val="BodyText"/>
        <w:rPr>
          <w:b/>
          <w:sz w:val="20"/>
        </w:rPr>
      </w:pPr>
    </w:p>
    <w:p>
      <w:pPr>
        <w:pStyle w:val="BodyText"/>
        <w:spacing w:before="12"/>
        <w:rPr>
          <w:b/>
          <w:sz w:val="22"/>
        </w:rPr>
      </w:pPr>
    </w:p>
    <w:p>
      <w:pPr>
        <w:pStyle w:val="Heading2"/>
      </w:pPr>
      <w:r>
        <w:t>施工准备</w:t>
      </w:r>
    </w:p>
    <w:p>
      <w:pPr>
        <w:pStyle w:val="BodyText"/>
        <w:spacing w:before="7"/>
        <w:rPr>
          <w:b/>
          <w:sz w:val="36"/>
        </w:rPr>
      </w:pPr>
    </w:p>
    <w:p>
      <w:pPr>
        <w:pStyle w:val="BodyText"/>
        <w:ind w:left="1440"/>
      </w:pPr>
      <w:r>
        <w:t>一、做好与设计单位结合工作</w:t>
      </w:r>
    </w:p>
    <w:p>
      <w:pPr>
        <w:pStyle w:val="BodyText"/>
        <w:spacing w:before="362" w:line="400" w:lineRule="auto"/>
        <w:ind w:left="1440" w:right="2478"/>
      </w:pPr>
      <w:r>
        <w:t>1</w:t>
      </w:r>
      <w:r>
        <w:rPr>
          <w:spacing w:val="-14"/>
        </w:rPr>
        <w:t>、由技术负责人协助项目有关人员认真熟悉图纸，并进行图纸自审、</w:t>
      </w:r>
      <w:r>
        <w:t>会审工作，理解设计意图及施工质量标准，以便正确无误地施工。由</w:t>
      </w:r>
      <w:r>
        <w:rPr>
          <w:spacing w:val="-9"/>
        </w:rPr>
        <w:t>施工技术组认真编制该工程的施工组织设计，作为工程施工生产的指导性文件。</w:t>
      </w:r>
    </w:p>
    <w:p>
      <w:pPr>
        <w:pStyle w:val="BodyText"/>
        <w:spacing w:before="6" w:line="400" w:lineRule="auto"/>
        <w:ind w:left="1440" w:right="2729"/>
      </w:pPr>
      <w:r>
        <w:t>2、通过学习，熟悉图纸内容，了解设计要求，施工所应达到的技术标准，明确工艺流程。</w:t>
      </w:r>
    </w:p>
    <w:p>
      <w:pPr>
        <w:pStyle w:val="BodyText"/>
        <w:spacing w:before="3" w:line="400" w:lineRule="auto"/>
        <w:ind w:left="1440" w:right="2729"/>
      </w:pPr>
      <w:r>
        <w:t>3、进行自审，组织各工种的施工管理人员对本工种的有关图纸进行审查，掌握和了解图纸中的细节。</w:t>
      </w:r>
    </w:p>
    <w:p>
      <w:pPr>
        <w:pStyle w:val="BodyText"/>
        <w:spacing w:before="2"/>
        <w:ind w:left="1440"/>
      </w:pPr>
      <w:r>
        <w:t>4、组织各专业施工队伍共同学习施工图纸，商定施工配合事宜。</w:t>
      </w:r>
    </w:p>
    <w:p>
      <w:pPr>
        <w:pStyle w:val="BodyText"/>
        <w:spacing w:before="363" w:line="573" w:lineRule="auto"/>
        <w:ind w:left="1757" w:right="2341" w:hanging="317"/>
        <w:rPr>
          <w:b/>
        </w:rPr>
      </w:pPr>
      <w:r>
        <w:t>5、组织图纸会审，由设计方进行交底，准确掌握设计图纸中的细节。</w:t>
      </w:r>
      <w:r>
        <w:rPr>
          <w:b/>
        </w:rPr>
        <w:t>生产准备</w:t>
      </w:r>
    </w:p>
    <w:p>
      <w:pPr>
        <w:pStyle w:val="BodyText"/>
        <w:spacing w:before="9"/>
        <w:ind w:left="1440"/>
      </w:pPr>
      <w:r>
        <w:t>一、劳动力的准备</w:t>
      </w:r>
    </w:p>
    <w:p>
      <w:pPr>
        <w:pStyle w:val="BodyText"/>
        <w:spacing w:before="362" w:line="400" w:lineRule="auto"/>
        <w:ind w:left="1440" w:right="2729"/>
      </w:pPr>
      <w:r>
        <w:t>1、根据确定的现场管理机构建立项目施工管理层，选择高素质的施工作业队伍进行该工程的施工。</w:t>
      </w:r>
    </w:p>
    <w:p>
      <w:pPr>
        <w:pStyle w:val="BodyText"/>
        <w:spacing w:before="3" w:line="400" w:lineRule="auto"/>
        <w:ind w:left="1440" w:right="2520"/>
      </w:pPr>
      <w:r>
        <w:t>2、对工人进行必要的技术、安全、思想和法制教育，教育工人树立“质量第一，安全第一”的正确思想，遵守有关施工和安全的技术法规，遵守地方治安法规。</w:t>
      </w:r>
    </w:p>
    <w:p>
      <w:pPr>
        <w:pStyle w:val="BodyText"/>
        <w:spacing w:before="4"/>
        <w:ind w:left="1440"/>
      </w:pPr>
      <w:r>
        <w:t>特殊专业工种，必须经培训合格持证上岗，以确保工程质量创优。</w:t>
      </w:r>
    </w:p>
    <w:p>
      <w:pPr>
        <w:spacing w:after="0"/>
        <w:sectPr>
          <w:headerReference w:type="default" r:id="rId10"/>
          <w:footerReference w:type="default" r:id="rId11"/>
          <w:pgSz w:w="17860" w:h="25260"/>
          <w:pgMar w:top="1400" w:right="0" w:bottom="2020" w:left="1260" w:header="1084" w:footer="1831"/>
          <w:pgNumType w:start="4"/>
          <w:cols w:space="708"/>
        </w:sectPr>
      </w:pPr>
    </w:p>
    <w:p>
      <w:pPr>
        <w:pStyle w:val="BodyText"/>
        <w:rPr>
          <w:sz w:val="20"/>
        </w:rPr>
      </w:pPr>
    </w:p>
    <w:p>
      <w:pPr>
        <w:pStyle w:val="BodyText"/>
        <w:rPr>
          <w:sz w:val="20"/>
        </w:rPr>
      </w:pPr>
    </w:p>
    <w:p>
      <w:pPr>
        <w:pStyle w:val="Heading3"/>
        <w:spacing w:before="186"/>
      </w:pPr>
      <w:r>
        <w:t>材料准备</w:t>
      </w:r>
    </w:p>
    <w:p>
      <w:pPr>
        <w:pStyle w:val="BodyText"/>
        <w:spacing w:before="362" w:line="400" w:lineRule="auto"/>
        <w:ind w:left="1440" w:right="2683"/>
        <w:jc w:val="both"/>
      </w:pPr>
      <w:r>
        <w:t xml:space="preserve">1、根据施工组织设计中的施工进度计划和施工预算中的工料分析， </w:t>
      </w:r>
      <w:r>
        <w:rPr>
          <w:spacing w:val="-12"/>
        </w:rPr>
        <w:t>编制工程所需材料用量计划，作好备料、供料工作和确定仓库堆场面</w:t>
      </w:r>
      <w:r>
        <w:t>积及组织运输的依据。</w:t>
      </w:r>
    </w:p>
    <w:p>
      <w:pPr>
        <w:pStyle w:val="BodyText"/>
        <w:spacing w:before="4" w:line="400" w:lineRule="auto"/>
        <w:ind w:left="1440" w:right="2729"/>
      </w:pPr>
      <w:r>
        <w:t>2、根据材料需用量计划，做好材料的申请、订货和采购工作，使计划得到落实。组织材料按计划进场，并作好保管工作。</w:t>
      </w:r>
    </w:p>
    <w:p>
      <w:pPr>
        <w:pStyle w:val="BodyText"/>
        <w:spacing w:before="3" w:line="400" w:lineRule="auto"/>
        <w:ind w:left="1440" w:right="2675"/>
        <w:jc w:val="both"/>
      </w:pPr>
      <w:r>
        <w:t>3、施工材料的发放、使用、管理，制订严格的材料领料制度，做到</w:t>
      </w:r>
      <w:r>
        <w:rPr>
          <w:spacing w:val="-15"/>
        </w:rPr>
        <w:t>按需领料、按当日施工量领料，防止材料出库后造成的丢失损坏和污</w:t>
      </w:r>
      <w:r>
        <w:t>染。</w:t>
      </w:r>
    </w:p>
    <w:p>
      <w:pPr>
        <w:pStyle w:val="BodyText"/>
      </w:pPr>
    </w:p>
    <w:p>
      <w:pPr>
        <w:pStyle w:val="Heading3"/>
        <w:spacing w:before="366"/>
      </w:pPr>
      <w:r>
        <w:t>进场阶段</w:t>
      </w:r>
    </w:p>
    <w:p>
      <w:pPr>
        <w:pStyle w:val="BodyText"/>
        <w:spacing w:before="362" w:line="400" w:lineRule="auto"/>
        <w:ind w:left="1440" w:right="2520" w:firstLine="629"/>
      </w:pPr>
      <w:r>
        <w:t>对施工现场进行认真勘察，合理选定材料摆放区、制作区、工具</w:t>
      </w:r>
      <w:r>
        <w:rPr>
          <w:spacing w:val="-1"/>
        </w:rPr>
        <w:t>存放区及废料堆放区，有条件的应设立材料仓库，便于管理。制定现</w:t>
      </w:r>
      <w:r>
        <w:rPr>
          <w:spacing w:val="-13"/>
        </w:rPr>
        <w:t>场作业顺序，不阻障碍其它工程的施工现场，根据可施工程度合理安</w:t>
      </w:r>
      <w:r>
        <w:rPr>
          <w:spacing w:val="-18"/>
        </w:rPr>
        <w:t>排施工人员进场、材料进场及工具进场。组织人力搞好现场的文明环境，临时用电架接灯光准备，施工人员进场前作适当的安全培训，技</w:t>
      </w:r>
      <w:r>
        <w:t>术培训，规章制度颁布，甲方要求传达等，使进场秩序良好。</w:t>
      </w:r>
    </w:p>
    <w:p>
      <w:pPr>
        <w:pStyle w:val="Heading3"/>
        <w:spacing w:before="9"/>
      </w:pPr>
      <w:r>
        <w:t>施工阶段</w:t>
      </w:r>
    </w:p>
    <w:p>
      <w:pPr>
        <w:pStyle w:val="BodyText"/>
        <w:spacing w:before="363" w:line="400" w:lineRule="auto"/>
        <w:ind w:left="1440" w:right="2625"/>
        <w:jc w:val="both"/>
      </w:pPr>
      <w:r>
        <w:rPr>
          <w:spacing w:val="-13"/>
        </w:rPr>
        <w:t>按工程进度计划，由项目经理部组织计划施工。整个工程分为绿化种</w:t>
      </w:r>
      <w:r>
        <w:rPr>
          <w:spacing w:val="-16"/>
        </w:rPr>
        <w:t>植、电缆管暗埋、路灯基础浇筑、绿化喷灌施工各阶段的施工存在重</w:t>
      </w:r>
      <w:r>
        <w:rPr>
          <w:spacing w:val="-11"/>
        </w:rPr>
        <w:t>叠作业，施工应合理安排，相互提供最宽的工作面，并做好半成品或</w:t>
      </w:r>
      <w:r>
        <w:rPr>
          <w:spacing w:val="-13"/>
        </w:rPr>
        <w:t>成品的保护工作，加强工作中的自检工作，对发现的不合格项目应及时组织人力处理，决不让不合格产品流入下道工序。</w:t>
      </w:r>
    </w:p>
    <w:p>
      <w:pPr>
        <w:spacing w:after="0" w:line="400" w:lineRule="auto"/>
        <w:jc w:val="both"/>
        <w:sectPr>
          <w:headerReference w:type="default" r:id="rId12"/>
          <w:footerReference w:type="default" r:id="rId13"/>
          <w:pgSz w:w="17860" w:h="25260"/>
          <w:pgMar w:top="1400" w:right="0" w:bottom="2020" w:left="1260" w:header="1084" w:footer="1831"/>
          <w:pgNumType w:start="5"/>
          <w:cols w:space="708"/>
        </w:sectPr>
      </w:pPr>
    </w:p>
    <w:p>
      <w:pPr>
        <w:pStyle w:val="BodyText"/>
        <w:rPr>
          <w:sz w:val="20"/>
        </w:rPr>
      </w:pPr>
    </w:p>
    <w:p>
      <w:pPr>
        <w:pStyle w:val="BodyText"/>
        <w:spacing w:before="5"/>
        <w:rPr>
          <w:sz w:val="23"/>
        </w:rPr>
      </w:pPr>
    </w:p>
    <w:p>
      <w:pPr>
        <w:spacing w:before="42"/>
        <w:ind w:left="1440" w:right="0" w:firstLine="0"/>
        <w:jc w:val="left"/>
        <w:rPr>
          <w:b/>
          <w:sz w:val="42"/>
        </w:rPr>
      </w:pPr>
      <w:r>
        <w:rPr>
          <w:b/>
          <w:sz w:val="42"/>
        </w:rPr>
        <w:t>施工任务划分:（种植工艺流程）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4"/>
        </w:rPr>
      </w:pPr>
      <w:r>
        <w:pict>
          <v:group id="_x0000_s1025" style="width:663pt;height:773pt;margin-top:17.88pt;margin-left:175pt;mso-position-horizontal-relative:page;mso-wrap-distance-left:0;mso-wrap-distance-right:0;position:absolute;z-index:-251658240" coordorigin="3500,358" coordsize="13260,15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260;height:15460;left:3500;position:absolute;top:357" stroked="f">
              <v:imagedata r:id="rId14" o:title=""/>
            </v:shape>
            <v:shapetype id="_x0000_t202" coordsize="21600,21600" o:spt="202" path="m,l,21600r21600,l21600,xe">
              <v:stroke joinstyle="miter"/>
              <v:path gradientshapeok="t" o:connecttype="rect"/>
            </v:shapetype>
            <v:shape id="_x0000_s1027" type="#_x0000_t202" style="width:1460;height:360;left:7514;position:absolute;top:53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施工准备</w:t>
                    </w:r>
                  </w:p>
                </w:txbxContent>
              </v:textbox>
            </v:shape>
            <v:shape id="_x0000_s1028" type="#_x0000_t202" style="width:1460;height:360;left:12918;position:absolute;top:533"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计划进苗</w:t>
                    </w:r>
                  </w:p>
                </w:txbxContent>
              </v:textbox>
            </v:shape>
            <v:shape id="_x0000_s1029" type="#_x0000_t202" style="width:1460;height:360;left:12918;position:absolute;top:1703"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疏枝修剪</w:t>
                    </w:r>
                  </w:p>
                </w:txbxContent>
              </v:textbox>
            </v:shape>
            <v:shape id="_x0000_s1030" type="#_x0000_t202" style="width:1460;height:360;left:7514;position:absolute;top:217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放样定位</w:t>
                    </w:r>
                  </w:p>
                </w:txbxContent>
              </v:textbox>
            </v:shape>
            <v:shape id="_x0000_s1031" type="#_x0000_t202" style="width:1460;height:360;left:12918;position:absolute;top:3108"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包干束冠</w:t>
                    </w:r>
                  </w:p>
                </w:txbxContent>
              </v:textbox>
            </v:shape>
            <v:shape id="_x0000_s1032" type="#_x0000_t202" style="width:1460;height:360;left:7514;position:absolute;top:381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树穴开挖</w:t>
                    </w:r>
                  </w:p>
                </w:txbxContent>
              </v:textbox>
            </v:shape>
            <v:shape id="_x0000_s1033" type="#_x0000_t202" style="width:1460;height:360;left:12918;position:absolute;top:4512"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苗木起挖</w:t>
                    </w:r>
                  </w:p>
                </w:txbxContent>
              </v:textbox>
            </v:shape>
            <v:shape id="_x0000_s1034" type="#_x0000_t202" style="width:1460;height:360;left:7514;position:absolute;top:544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穴土改良</w:t>
                    </w:r>
                  </w:p>
                </w:txbxContent>
              </v:textbox>
            </v:shape>
            <v:shape id="_x0000_s1035" type="#_x0000_t202" style="width:1460;height:360;left:11838;position:absolute;top:638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土球包扎</w:t>
                    </w:r>
                  </w:p>
                </w:txbxContent>
              </v:textbox>
            </v:shape>
            <v:shape id="_x0000_s1036" type="#_x0000_t202" style="width:1460;height:360;left:14809;position:absolute;top:638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小苗包装</w:t>
                    </w:r>
                  </w:p>
                </w:txbxContent>
              </v:textbox>
            </v:shape>
            <v:shape id="_x0000_s1037" type="#_x0000_t202" style="width:1460;height:360;left:4003;position:absolute;top:825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支撑绑扎</w:t>
                    </w:r>
                  </w:p>
                </w:txbxContent>
              </v:textbox>
            </v:shape>
            <v:shape id="_x0000_s1038" type="#_x0000_t202" style="width:1460;height:360;left:7788;position:absolute;top:825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乔木栽植</w:t>
                    </w:r>
                  </w:p>
                </w:txbxContent>
              </v:textbox>
            </v:shape>
            <v:shape id="_x0000_s1039" type="#_x0000_t202" style="width:1460;height:360;left:12918;position:absolute;top:825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装卸运输</w:t>
                    </w:r>
                  </w:p>
                </w:txbxContent>
              </v:textbox>
            </v:shape>
            <v:shape id="_x0000_s1040" type="#_x0000_t202" style="width:1460;height:360;left:7788;position:absolute;top:966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灌木栽植</w:t>
                    </w:r>
                  </w:p>
                </w:txbxContent>
              </v:textbox>
            </v:shape>
            <v:shape id="_x0000_s1041" type="#_x0000_t202" style="width:1460;height:360;left:4273;position:absolute;top:1036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苗木管养</w:t>
                    </w:r>
                  </w:p>
                </w:txbxContent>
              </v:textbox>
            </v:shape>
            <v:shape id="_x0000_s1042" type="#_x0000_t202" style="width:1460;height:360;left:7788;position:absolute;top:1106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草花种植</w:t>
                    </w:r>
                  </w:p>
                </w:txbxContent>
              </v:textbox>
            </v:shape>
            <v:shape id="_x0000_s1043" type="#_x0000_t202" style="width:1460;height:360;left:7788;position:absolute;top:1246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草皮铺设</w:t>
                    </w:r>
                  </w:p>
                </w:txbxContent>
              </v:textbox>
            </v:shape>
            <v:shape id="_x0000_s1044" type="#_x0000_t202" style="width:1460;height:360;left:7788;position:absolute;top:1387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现场清理</w:t>
                    </w:r>
                  </w:p>
                </w:txbxContent>
              </v:textbox>
            </v:shape>
            <v:shape id="_x0000_s1045" type="#_x0000_t202" style="width:1460;height:360;left:7788;position:absolute;top:1527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竣工验收</w:t>
                    </w:r>
                  </w:p>
                </w:txbxContent>
              </v:textbox>
            </v:shape>
            <w10:wrap type="topAndBottom"/>
          </v:group>
        </w:pict>
      </w:r>
    </w:p>
    <w:p>
      <w:pPr>
        <w:spacing w:after="0"/>
        <w:rPr>
          <w:sz w:val="24"/>
        </w:rPr>
        <w:sectPr>
          <w:headerReference w:type="default" r:id="rId15"/>
          <w:footerReference w:type="default" r:id="rId16"/>
          <w:pgSz w:w="17860" w:h="25260"/>
          <w:pgMar w:top="1400" w:right="0" w:bottom="2020" w:left="1260" w:header="1084" w:footer="1831"/>
          <w:pgNumType w:start="6"/>
          <w:cols w:space="708"/>
        </w:sectPr>
      </w:pPr>
    </w:p>
    <w:p>
      <w:pPr>
        <w:pStyle w:val="BodyText"/>
        <w:rPr>
          <w:b/>
          <w:sz w:val="20"/>
        </w:rPr>
      </w:pPr>
    </w:p>
    <w:p>
      <w:pPr>
        <w:pStyle w:val="BodyText"/>
        <w:rPr>
          <w:b/>
          <w:sz w:val="20"/>
        </w:rPr>
      </w:pPr>
    </w:p>
    <w:p>
      <w:pPr>
        <w:pStyle w:val="Heading1"/>
        <w:spacing w:before="177"/>
      </w:pPr>
      <w:r>
        <w:rPr>
          <w:w w:val="95"/>
        </w:rPr>
        <w:t>绿化施工工艺流程</w:t>
      </w:r>
    </w:p>
    <w:p>
      <w:pPr>
        <w:pStyle w:val="BodyText"/>
        <w:spacing w:before="5"/>
        <w:rPr>
          <w:b/>
          <w:sz w:val="70"/>
        </w:rPr>
      </w:pPr>
    </w:p>
    <w:p>
      <w:pPr>
        <w:pStyle w:val="BodyText"/>
        <w:spacing w:before="1" w:line="453" w:lineRule="auto"/>
        <w:ind w:left="1440" w:right="10102"/>
      </w:pPr>
      <w:r>
        <w:rPr>
          <w:spacing w:val="-2"/>
        </w:rPr>
        <w:t>主要分项工程施工工艺框图</w:t>
      </w:r>
      <w:r>
        <w:t>一、绿化地平整、清理</w:t>
      </w:r>
    </w:p>
    <w:p>
      <w:pPr>
        <w:pStyle w:val="BodyText"/>
        <w:spacing w:before="3" w:line="456" w:lineRule="auto"/>
        <w:ind w:left="1440" w:right="2726"/>
      </w:pPr>
      <w:r>
        <w:t>（1）、将种植地表按设计要求平整绿化地面，同时清除砾石杂草杂物。</w:t>
      </w:r>
    </w:p>
    <w:p>
      <w:pPr>
        <w:pStyle w:val="BodyText"/>
        <w:spacing w:line="453" w:lineRule="auto"/>
        <w:ind w:left="1440" w:right="2520"/>
      </w:pPr>
      <w:r>
        <w:t>（２）、平整要顺地形和周围环境，整成龟背形、斜坡形等，未设计之地形，坡度定在 2.5%—3.0%之间以利排水。</w:t>
      </w:r>
    </w:p>
    <w:p>
      <w:pPr>
        <w:pStyle w:val="BodyText"/>
        <w:spacing w:before="4" w:line="453" w:lineRule="auto"/>
        <w:ind w:left="1440" w:right="2706"/>
      </w:pPr>
      <w:r>
        <w:t>（３）、所有靠路边或路牙沿线 50—100CM 宽内的绿地地面低于路边或路牙沿线 30CM，并在地面处理时将地面水引至市政排水管井。</w:t>
      </w:r>
    </w:p>
    <w:p>
      <w:pPr>
        <w:pStyle w:val="BodyText"/>
        <w:spacing w:before="4" w:line="456" w:lineRule="auto"/>
        <w:ind w:left="1440" w:right="2520"/>
      </w:pPr>
      <w:r>
        <w:t>（４）、绿地地形处理除满足景观要求外，还考虑将地面水最终集水至市政工程管网排走。</w:t>
      </w:r>
    </w:p>
    <w:p>
      <w:pPr>
        <w:pStyle w:val="BodyText"/>
        <w:spacing w:line="535" w:lineRule="exact"/>
        <w:ind w:left="1440"/>
      </w:pPr>
      <w:r>
        <w:t>二、种植土和下基肥</w:t>
      </w:r>
    </w:p>
    <w:p>
      <w:pPr>
        <w:pStyle w:val="BodyText"/>
        <w:spacing w:before="6"/>
        <w:rPr>
          <w:sz w:val="37"/>
        </w:rPr>
      </w:pPr>
    </w:p>
    <w:p>
      <w:pPr>
        <w:pStyle w:val="BodyText"/>
        <w:spacing w:line="456" w:lineRule="auto"/>
        <w:ind w:left="1440" w:right="2688"/>
      </w:pPr>
      <w:r>
        <w:t>（１）</w:t>
      </w:r>
      <w:r>
        <w:rPr>
          <w:spacing w:val="-8"/>
        </w:rPr>
        <w:t xml:space="preserve">、种植土的土质要求为 </w:t>
      </w:r>
      <w:r>
        <w:t>PH</w:t>
      </w:r>
      <w:r>
        <w:rPr>
          <w:spacing w:val="-16"/>
        </w:rPr>
        <w:t xml:space="preserve"> 值为 </w:t>
      </w:r>
      <w:r>
        <w:t>5.5—7.5</w:t>
      </w:r>
      <w:r>
        <w:rPr>
          <w:spacing w:val="-2"/>
        </w:rPr>
        <w:t xml:space="preserve"> 的壤土，疏松、不</w:t>
      </w:r>
      <w:r>
        <w:t>含建筑和生活垃圾。</w:t>
      </w:r>
    </w:p>
    <w:p>
      <w:pPr>
        <w:pStyle w:val="BodyText"/>
        <w:spacing w:line="453" w:lineRule="auto"/>
        <w:ind w:left="1440" w:right="2480"/>
      </w:pPr>
      <w:r>
        <w:t>（２）、种植土深度要求为：草地大于20CM；花灌木要求大于30CM； 乔木则要求在种植土球周围有大于 80-150CM 的合格土层。</w:t>
      </w:r>
    </w:p>
    <w:p>
      <w:pPr>
        <w:pStyle w:val="BodyText"/>
        <w:spacing w:before="5" w:line="453" w:lineRule="auto"/>
        <w:ind w:left="1440" w:right="2520"/>
      </w:pPr>
      <w:r>
        <w:t>（３）、种植层需与地下层连接，无水泥板、沥青、石层等隔断层， 以保持土壤毛细管、液体、气体的上下贯通。</w:t>
      </w:r>
    </w:p>
    <w:p>
      <w:pPr>
        <w:pStyle w:val="BodyText"/>
        <w:spacing w:before="3" w:line="456" w:lineRule="auto"/>
        <w:ind w:left="1440" w:right="2520"/>
      </w:pPr>
      <w:r>
        <w:t>（4）、地被在施肥后应进行一次20—30M 深的耕翻，将肥与土充分混匀，做到肥土霜融，起到既提高土壤养分，又使土壤疏松、通气良</w:t>
      </w:r>
    </w:p>
    <w:p>
      <w:pPr>
        <w:spacing w:after="0" w:line="456" w:lineRule="auto"/>
        <w:sectPr>
          <w:headerReference w:type="default" r:id="rId17"/>
          <w:footerReference w:type="default" r:id="rId18"/>
          <w:pgSz w:w="17860" w:h="25260"/>
          <w:pgMar w:top="1400" w:right="0" w:bottom="2020" w:left="1260" w:header="1084" w:footer="1831"/>
          <w:pgNumType w:start="7"/>
          <w:cols w:space="708"/>
        </w:sectPr>
      </w:pPr>
    </w:p>
    <w:p>
      <w:pPr>
        <w:pStyle w:val="BodyText"/>
        <w:rPr>
          <w:sz w:val="20"/>
        </w:rPr>
      </w:pPr>
    </w:p>
    <w:p>
      <w:pPr>
        <w:pStyle w:val="BodyText"/>
        <w:rPr>
          <w:sz w:val="20"/>
        </w:rPr>
      </w:pPr>
    </w:p>
    <w:p>
      <w:pPr>
        <w:pStyle w:val="BodyText"/>
        <w:spacing w:before="10"/>
        <w:rPr>
          <w:sz w:val="18"/>
        </w:rPr>
      </w:pPr>
    </w:p>
    <w:p>
      <w:pPr>
        <w:pStyle w:val="BodyText"/>
        <w:spacing w:before="43" w:line="453" w:lineRule="auto"/>
        <w:ind w:left="1440" w:right="2520"/>
      </w:pPr>
      <w:r>
        <w:rPr>
          <w:spacing w:val="-1"/>
        </w:rPr>
        <w:t>好。乔木、灌木机时应在种植前在穴边将肥土混匀，依次放入穴底和</w:t>
      </w:r>
      <w:r>
        <w:t>种植池。</w:t>
      </w:r>
    </w:p>
    <w:p>
      <w:pPr>
        <w:pStyle w:val="BodyText"/>
        <w:spacing w:before="7"/>
        <w:ind w:left="1440"/>
      </w:pPr>
      <w:r>
        <w:t>三、挖苗</w:t>
      </w:r>
    </w:p>
    <w:p>
      <w:pPr>
        <w:pStyle w:val="BodyText"/>
        <w:spacing w:before="6"/>
        <w:rPr>
          <w:sz w:val="37"/>
        </w:rPr>
      </w:pPr>
    </w:p>
    <w:p>
      <w:pPr>
        <w:pStyle w:val="BodyText"/>
        <w:spacing w:line="456" w:lineRule="auto"/>
        <w:ind w:left="1440" w:right="2635"/>
        <w:jc w:val="both"/>
      </w:pPr>
      <w:r>
        <w:t>起苗时间和栽植时间紧密配合,做到当天起运，当天栽植。为了挖掘</w:t>
      </w:r>
      <w:r>
        <w:rPr>
          <w:spacing w:val="2"/>
        </w:rPr>
        <w:t xml:space="preserve">方便,起苗前 </w:t>
      </w:r>
      <w:r>
        <w:t>1-3 天可适当浇水使泥土松软。起苗时,常绿苗应当带有完整的根团土球,土球散落的苗木成活率会降低。土球的大小一般</w:t>
      </w:r>
      <w:r>
        <w:rPr>
          <w:spacing w:val="-13"/>
        </w:rPr>
        <w:t xml:space="preserve">可按树木胸径的 </w:t>
      </w:r>
      <w:r>
        <w:t>10</w:t>
      </w:r>
      <w:r>
        <w:rPr>
          <w:spacing w:val="-1"/>
        </w:rPr>
        <w:t xml:space="preserve"> 倍左右确定，对于特别难成活的树种要考虑加大</w:t>
      </w:r>
      <w:r>
        <w:rPr>
          <w:spacing w:val="1"/>
        </w:rPr>
        <w:t>土球。土球高度一般可比宽度少</w:t>
      </w:r>
      <w:r>
        <w:t>-10CM。为了减少树苗水分蒸腾，提高移栽成活率，掘苗后，装车前应进行粗落修剪。</w:t>
      </w:r>
    </w:p>
    <w:p>
      <w:pPr>
        <w:pStyle w:val="BodyText"/>
        <w:spacing w:line="524" w:lineRule="exact"/>
        <w:ind w:left="1440"/>
      </w:pPr>
      <w:r>
        <w:t>四、定点放线</w:t>
      </w:r>
    </w:p>
    <w:p>
      <w:pPr>
        <w:pStyle w:val="BodyText"/>
        <w:spacing w:before="7"/>
        <w:rPr>
          <w:sz w:val="37"/>
        </w:rPr>
      </w:pPr>
    </w:p>
    <w:p>
      <w:pPr>
        <w:pStyle w:val="ListParagraph"/>
        <w:numPr>
          <w:ilvl w:val="0"/>
          <w:numId w:val="8"/>
        </w:numPr>
        <w:tabs>
          <w:tab w:val="left" w:pos="2500"/>
        </w:tabs>
        <w:spacing w:before="0" w:after="0" w:line="456" w:lineRule="auto"/>
        <w:ind w:left="1440" w:right="2726" w:firstLine="0"/>
        <w:jc w:val="left"/>
        <w:rPr>
          <w:sz w:val="42"/>
        </w:rPr>
      </w:pPr>
      <w:r>
        <w:rPr>
          <w:spacing w:val="-1"/>
          <w:sz w:val="42"/>
        </w:rPr>
        <w:t>、在苗木栽前应严格按照设计图纸和图纸会审纪要进行定点放</w:t>
      </w:r>
      <w:r>
        <w:rPr>
          <w:sz w:val="42"/>
        </w:rPr>
        <w:t>线。</w:t>
      </w:r>
    </w:p>
    <w:p>
      <w:pPr>
        <w:pStyle w:val="ListParagraph"/>
        <w:numPr>
          <w:ilvl w:val="0"/>
          <w:numId w:val="8"/>
        </w:numPr>
        <w:tabs>
          <w:tab w:val="left" w:pos="2500"/>
        </w:tabs>
        <w:spacing w:before="0" w:after="0" w:line="456" w:lineRule="auto"/>
        <w:ind w:left="1440" w:right="2520" w:firstLine="0"/>
        <w:jc w:val="left"/>
        <w:rPr>
          <w:sz w:val="42"/>
        </w:rPr>
      </w:pPr>
      <w:r>
        <w:rPr>
          <w:sz w:val="42"/>
        </w:rPr>
        <w:t>、乔木的定点以用皮尺、测绳等，按设计的位置钉木桩作为定</w:t>
      </w:r>
      <w:r>
        <w:rPr>
          <w:spacing w:val="-1"/>
          <w:sz w:val="42"/>
        </w:rPr>
        <w:t>植和栽植的依据，定点时如遇沙井、管道等障碍物应躲开，不应拘泥</w:t>
      </w:r>
      <w:r>
        <w:rPr>
          <w:spacing w:val="-14"/>
          <w:sz w:val="42"/>
        </w:rPr>
        <w:t>设计的尺寸，而应灵活地进行调整，并且在每株株位的中心用用油漆等标记物做上醒目标记，作定位标记。</w:t>
      </w:r>
    </w:p>
    <w:p>
      <w:pPr>
        <w:pStyle w:val="ListParagraph"/>
        <w:numPr>
          <w:ilvl w:val="0"/>
          <w:numId w:val="8"/>
        </w:numPr>
        <w:tabs>
          <w:tab w:val="left" w:pos="2493"/>
        </w:tabs>
        <w:spacing w:before="0" w:after="0" w:line="528" w:lineRule="exact"/>
        <w:ind w:left="2492" w:right="0" w:hanging="1053"/>
        <w:jc w:val="left"/>
        <w:rPr>
          <w:sz w:val="42"/>
        </w:rPr>
      </w:pPr>
      <w:r>
        <w:rPr>
          <w:sz w:val="42"/>
        </w:rPr>
        <w:t>、成片绿地的定点放线可利用测量仪器，或者使用网格法放线，</w:t>
      </w:r>
    </w:p>
    <w:p>
      <w:pPr>
        <w:pStyle w:val="BodyText"/>
        <w:spacing w:before="7"/>
        <w:rPr>
          <w:sz w:val="37"/>
        </w:rPr>
      </w:pPr>
    </w:p>
    <w:p>
      <w:pPr>
        <w:pStyle w:val="BodyText"/>
        <w:spacing w:line="453" w:lineRule="auto"/>
        <w:ind w:left="1440" w:right="2520"/>
        <w:jc w:val="both"/>
      </w:pPr>
      <w:r>
        <w:rPr>
          <w:spacing w:val="-13"/>
        </w:rPr>
        <w:t>先在地面上用皮尺、测绳等工具按照设计图上的相应比例等距离划好</w:t>
      </w:r>
      <w:r>
        <w:rPr>
          <w:spacing w:val="-16"/>
        </w:rPr>
        <w:t>正方格，方格可用白灰画，也可钉桩挂线，然后利用这些方格线作纵</w:t>
      </w:r>
      <w:r>
        <w:rPr>
          <w:spacing w:val="-17"/>
        </w:rPr>
        <w:t>横坐标，正确地在地上定点定位，钉上木桩或撒上白灰标明；保证放</w:t>
      </w:r>
    </w:p>
    <w:p>
      <w:pPr>
        <w:spacing w:after="0" w:line="453" w:lineRule="auto"/>
        <w:jc w:val="both"/>
        <w:sectPr>
          <w:headerReference w:type="default" r:id="rId19"/>
          <w:footerReference w:type="default" r:id="rId20"/>
          <w:pgSz w:w="17860" w:h="25260"/>
          <w:pgMar w:top="1400" w:right="0" w:bottom="2020" w:left="1260" w:header="1084" w:footer="1831"/>
          <w:pgNumType w:start="8"/>
          <w:cols w:space="708"/>
        </w:sectPr>
      </w:pPr>
    </w:p>
    <w:p>
      <w:pPr>
        <w:pStyle w:val="BodyText"/>
        <w:rPr>
          <w:sz w:val="20"/>
        </w:rPr>
      </w:pPr>
    </w:p>
    <w:p>
      <w:pPr>
        <w:pStyle w:val="BodyText"/>
        <w:rPr>
          <w:sz w:val="20"/>
        </w:rPr>
      </w:pPr>
    </w:p>
    <w:p>
      <w:pPr>
        <w:pStyle w:val="BodyText"/>
        <w:spacing w:before="10"/>
        <w:rPr>
          <w:sz w:val="18"/>
        </w:rPr>
      </w:pPr>
    </w:p>
    <w:p>
      <w:pPr>
        <w:pStyle w:val="BodyText"/>
        <w:spacing w:before="43" w:line="453" w:lineRule="auto"/>
        <w:ind w:left="1440" w:right="7155"/>
      </w:pPr>
      <w:r>
        <w:t>线地点准确，线路顺畅，面积、大小合格。五、挖穴</w:t>
      </w:r>
    </w:p>
    <w:p>
      <w:pPr>
        <w:pStyle w:val="ListParagraph"/>
        <w:numPr>
          <w:ilvl w:val="0"/>
          <w:numId w:val="7"/>
        </w:numPr>
        <w:tabs>
          <w:tab w:val="left" w:pos="2500"/>
        </w:tabs>
        <w:spacing w:before="7" w:after="0" w:line="456" w:lineRule="auto"/>
        <w:ind w:left="1440" w:right="2150" w:firstLine="0"/>
        <w:jc w:val="left"/>
        <w:rPr>
          <w:sz w:val="42"/>
        </w:rPr>
      </w:pPr>
      <w:r>
        <w:rPr>
          <w:sz w:val="42"/>
        </w:rPr>
        <w:t xml:space="preserve">、穴位准确，长、宽、高符合要求，在栽苗木之前应以所定的 </w:t>
      </w:r>
      <w:r>
        <w:rPr>
          <w:spacing w:val="-12"/>
          <w:sz w:val="42"/>
        </w:rPr>
        <w:t xml:space="preserve">灰点为中心沿四周向下挖穴，种植穴的大小依土球规格及根系情况而 </w:t>
      </w:r>
      <w:r>
        <w:rPr>
          <w:spacing w:val="5"/>
          <w:sz w:val="42"/>
        </w:rPr>
        <w:t xml:space="preserve">定。带土球的应比土球大 </w:t>
      </w:r>
      <w:r>
        <w:rPr>
          <w:sz w:val="42"/>
        </w:rPr>
        <w:t>16—20cm，穴口深度一般比土球高度稍深些</w:t>
      </w:r>
      <w:r>
        <w:rPr>
          <w:spacing w:val="-6"/>
          <w:sz w:val="42"/>
        </w:rPr>
        <w:t>（10—20cm），</w:t>
      </w:r>
      <w:r>
        <w:rPr>
          <w:sz w:val="42"/>
        </w:rPr>
        <w:t>穴上下口径大小一致，穴无（“锅底穴”）</w:t>
      </w:r>
      <w:r>
        <w:rPr>
          <w:spacing w:val="-4"/>
          <w:sz w:val="42"/>
        </w:rPr>
        <w:t>等现象。</w:t>
      </w:r>
    </w:p>
    <w:p>
      <w:pPr>
        <w:pStyle w:val="ListParagraph"/>
        <w:numPr>
          <w:ilvl w:val="0"/>
          <w:numId w:val="7"/>
        </w:numPr>
        <w:tabs>
          <w:tab w:val="left" w:pos="2500"/>
        </w:tabs>
        <w:spacing w:before="0" w:after="0" w:line="528" w:lineRule="exact"/>
        <w:ind w:left="2500" w:right="0" w:hanging="1060"/>
        <w:jc w:val="left"/>
        <w:rPr>
          <w:sz w:val="42"/>
        </w:rPr>
      </w:pPr>
      <w:r>
        <w:rPr>
          <w:sz w:val="42"/>
        </w:rPr>
        <w:t>、种植穴挖好后，可在穴中填些表土，再垫一层经充分腐熟的</w:t>
      </w:r>
    </w:p>
    <w:p>
      <w:pPr>
        <w:pStyle w:val="BodyText"/>
        <w:spacing w:before="6"/>
        <w:rPr>
          <w:sz w:val="37"/>
        </w:rPr>
      </w:pPr>
    </w:p>
    <w:p>
      <w:pPr>
        <w:pStyle w:val="BodyText"/>
        <w:ind w:left="1440"/>
      </w:pPr>
      <w:r>
        <w:t>基肥，基肥上还应当铺一层厚度 5cm 以上的壤土。</w:t>
      </w:r>
    </w:p>
    <w:p>
      <w:pPr>
        <w:pStyle w:val="BodyText"/>
        <w:spacing w:before="10"/>
        <w:rPr>
          <w:sz w:val="37"/>
        </w:rPr>
      </w:pPr>
    </w:p>
    <w:p>
      <w:pPr>
        <w:pStyle w:val="ListParagraph"/>
        <w:numPr>
          <w:ilvl w:val="0"/>
          <w:numId w:val="7"/>
        </w:numPr>
        <w:tabs>
          <w:tab w:val="left" w:pos="2500"/>
        </w:tabs>
        <w:spacing w:before="0" w:after="0" w:line="453" w:lineRule="auto"/>
        <w:ind w:left="1440" w:right="2726" w:firstLine="0"/>
        <w:jc w:val="left"/>
        <w:rPr>
          <w:sz w:val="42"/>
        </w:rPr>
      </w:pPr>
      <w:r>
        <w:rPr>
          <w:spacing w:val="-1"/>
          <w:sz w:val="42"/>
        </w:rPr>
        <w:t>、挖穴时要注意地下管线走向，遇地下异物时做到“一探、二</w:t>
      </w:r>
      <w:r>
        <w:rPr>
          <w:sz w:val="42"/>
        </w:rPr>
        <w:t>试、三挖”，保证不挖坏地下管线和构筑物。</w:t>
      </w:r>
    </w:p>
    <w:p>
      <w:pPr>
        <w:pStyle w:val="BodyText"/>
        <w:spacing w:before="4"/>
        <w:ind w:left="1440"/>
      </w:pPr>
      <w:r>
        <w:t>六、运输苗木和种植材料</w:t>
      </w:r>
    </w:p>
    <w:p>
      <w:pPr>
        <w:pStyle w:val="BodyText"/>
        <w:spacing w:before="11"/>
        <w:rPr>
          <w:sz w:val="37"/>
        </w:rPr>
      </w:pPr>
    </w:p>
    <w:p>
      <w:pPr>
        <w:pStyle w:val="ListParagraph"/>
        <w:numPr>
          <w:ilvl w:val="0"/>
          <w:numId w:val="6"/>
        </w:numPr>
        <w:tabs>
          <w:tab w:val="left" w:pos="2500"/>
        </w:tabs>
        <w:spacing w:before="0" w:after="0" w:line="453" w:lineRule="auto"/>
        <w:ind w:left="1440" w:right="2520" w:firstLine="0"/>
        <w:jc w:val="left"/>
        <w:rPr>
          <w:sz w:val="42"/>
        </w:rPr>
      </w:pPr>
      <w:r>
        <w:rPr>
          <w:sz w:val="42"/>
        </w:rPr>
        <w:t>、保证所有乔、灌木在起苗、运输、种植等环节中保持土球完</w:t>
      </w:r>
      <w:r>
        <w:rPr>
          <w:spacing w:val="-1"/>
          <w:sz w:val="42"/>
        </w:rPr>
        <w:t>整，不松散、破碎，包裹土球统一使用禾草包裹，用麻绳“米”字形</w:t>
      </w:r>
      <w:r>
        <w:rPr>
          <w:sz w:val="42"/>
        </w:rPr>
        <w:t>包扎。</w:t>
      </w:r>
    </w:p>
    <w:p>
      <w:pPr>
        <w:pStyle w:val="ListParagraph"/>
        <w:numPr>
          <w:ilvl w:val="0"/>
          <w:numId w:val="6"/>
        </w:numPr>
        <w:tabs>
          <w:tab w:val="left" w:pos="2500"/>
        </w:tabs>
        <w:spacing w:before="9" w:after="0" w:line="453" w:lineRule="auto"/>
        <w:ind w:left="1440" w:right="2726" w:firstLine="0"/>
        <w:jc w:val="left"/>
        <w:rPr>
          <w:sz w:val="42"/>
        </w:rPr>
      </w:pPr>
      <w:r>
        <w:rPr>
          <w:spacing w:val="-1"/>
          <w:sz w:val="42"/>
        </w:rPr>
        <w:t xml:space="preserve">、苗木采用即起、即包、即运。袋苗、盆苗采用堆积式运输， </w:t>
      </w:r>
      <w:r>
        <w:rPr>
          <w:sz w:val="42"/>
        </w:rPr>
        <w:t>大苗采用微倾式运输。</w:t>
      </w:r>
    </w:p>
    <w:p>
      <w:pPr>
        <w:pStyle w:val="ListParagraph"/>
        <w:numPr>
          <w:ilvl w:val="0"/>
          <w:numId w:val="6"/>
        </w:numPr>
        <w:tabs>
          <w:tab w:val="left" w:pos="2500"/>
        </w:tabs>
        <w:spacing w:before="4" w:after="0" w:line="456" w:lineRule="auto"/>
        <w:ind w:left="1440" w:right="2726" w:firstLine="0"/>
        <w:jc w:val="left"/>
        <w:rPr>
          <w:sz w:val="42"/>
        </w:rPr>
      </w:pPr>
      <w:r>
        <w:rPr>
          <w:spacing w:val="-1"/>
          <w:sz w:val="42"/>
        </w:rPr>
        <w:t>、苗木运输过程保持一定的水分，在长途运输的过程中必须及</w:t>
      </w:r>
      <w:r>
        <w:rPr>
          <w:sz w:val="42"/>
        </w:rPr>
        <w:t>时淋水，注意轻拿轻放，以防止泥头松散。</w:t>
      </w:r>
    </w:p>
    <w:p>
      <w:pPr>
        <w:pStyle w:val="ListParagraph"/>
        <w:numPr>
          <w:ilvl w:val="0"/>
          <w:numId w:val="6"/>
        </w:numPr>
        <w:tabs>
          <w:tab w:val="left" w:pos="2500"/>
        </w:tabs>
        <w:spacing w:before="0" w:after="0" w:line="453" w:lineRule="auto"/>
        <w:ind w:left="1440" w:right="2726" w:firstLine="0"/>
        <w:jc w:val="left"/>
        <w:rPr>
          <w:sz w:val="42"/>
        </w:rPr>
      </w:pPr>
      <w:r>
        <w:rPr>
          <w:spacing w:val="-1"/>
          <w:sz w:val="42"/>
        </w:rPr>
        <w:t>、运输种植材料如有机肥等采用有关部门规定的散体物料运输</w:t>
      </w:r>
      <w:r>
        <w:rPr>
          <w:sz w:val="42"/>
        </w:rPr>
        <w:t>进行。</w:t>
      </w:r>
    </w:p>
    <w:p>
      <w:pPr>
        <w:spacing w:after="0" w:line="453"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https://d.book118.com/048036133054006037</w:t>
        </w:r>
      </w:hyperlink>
    </w:p>
    <w:p>
      <w:pPr>
        <w:spacing w:after="0" w:line="453" w:lineRule="auto"/>
        <w:jc w:val="left"/>
        <w:rPr>
          <w:sz w:val="42"/>
        </w:rPr>
      </w:pPr>
    </w:p>
    <w:sectPr>
      <w:headerReference w:type="default" r:id="rId22"/>
      <w:footerReference w:type="default" r:id="rId23"/>
      <w:pgSz w:w="17860" w:h="25260"/>
      <w:pgMar w:top="1400" w:right="0" w:bottom="2020" w:left="1260" w:header="1084" w:footer="1831"/>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134.04pt;mso-position-horizontal-relative:page;mso-position-vertical-relative:page;position:absolute;z-index:-2516551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134.04pt;mso-position-horizontal-relative:page;mso-position-vertical-relative:page;position:absolute;z-index:-25165004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2pt;margin-left:418.48pt;mso-position-horizontal-relative:page;mso-position-vertical-relative:page;position:absolute;z-index:-2516572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858710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87109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2pt;margin-left:418.48pt;mso-position-horizontal-relative:page;mso-position-vertical-relative:page;position:absolute;z-index:-2516551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935036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50366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2pt;margin-left:418.48pt;mso-position-horizontal-relative:page;mso-position-vertical-relative:page;position:absolute;z-index:-2516531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091033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10334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2pt;margin-left:418.48pt;mso-position-horizontal-relative:page;mso-position-vertical-relative:page;position:absolute;z-index:-2516510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385462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54627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2pt;margin-left:418.48pt;mso-position-horizontal-relative:page;mso-position-vertical-relative:page;position:absolute;z-index:-25164902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193462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34624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2pt;margin-left:418.48pt;mso-position-horizontal-relative:page;mso-position-vertical-relative:page;position:absolute;z-index:-25164697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773342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3342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2pt;margin-left:418.48pt;mso-position-horizontal-relative:page;mso-position-vertical-relative:page;position:absolute;z-index:-25164492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836996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69966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2pt;margin-left:418.48pt;mso-position-horizontal-relative:page;mso-position-vertical-relative:page;position:absolute;z-index:-25164288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928998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89983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2pt;margin-left:418.48pt;mso-position-horizontal-relative:page;mso-position-vertical-relative:page;position:absolute;z-index:-25164083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A1B04"/>
    <w:multiLevelType w:val="hybridMultilevel"/>
    <w:tmpl w:val="00000000"/>
    <w:lvl w:ilvl="0">
      <w:start w:val="1"/>
      <w:numFmt w:val="decimal"/>
      <w:lvlText w:val="（%1）"/>
      <w:lvlJc w:val="left"/>
      <w:pPr>
        <w:ind w:left="1440" w:hanging="1060"/>
        <w:jc w:val="left"/>
      </w:pPr>
      <w:rPr>
        <w:rFonts w:ascii="黑体" w:eastAsia="黑体" w:hAnsi="黑体" w:cs="黑体" w:hint="default"/>
        <w:spacing w:val="0"/>
        <w:w w:val="100"/>
        <w:sz w:val="40"/>
        <w:szCs w:val="40"/>
      </w:rPr>
    </w:lvl>
    <w:lvl w:ilvl="1">
      <w:start w:val="0"/>
      <w:numFmt w:val="bullet"/>
      <w:lvlText w:val="•"/>
      <w:lvlJc w:val="left"/>
      <w:pPr>
        <w:ind w:left="2955" w:hanging="1060"/>
      </w:pPr>
      <w:rPr>
        <w:rFonts w:hint="default"/>
      </w:rPr>
    </w:lvl>
    <w:lvl w:ilvl="2">
      <w:start w:val="0"/>
      <w:numFmt w:val="bullet"/>
      <w:lvlText w:val="•"/>
      <w:lvlJc w:val="left"/>
      <w:pPr>
        <w:ind w:left="4471" w:hanging="1060"/>
      </w:pPr>
      <w:rPr>
        <w:rFonts w:hint="default"/>
      </w:rPr>
    </w:lvl>
    <w:lvl w:ilvl="3">
      <w:start w:val="0"/>
      <w:numFmt w:val="bullet"/>
      <w:lvlText w:val="•"/>
      <w:lvlJc w:val="left"/>
      <w:pPr>
        <w:ind w:left="5987" w:hanging="1060"/>
      </w:pPr>
      <w:rPr>
        <w:rFonts w:hint="default"/>
      </w:rPr>
    </w:lvl>
    <w:lvl w:ilvl="4">
      <w:start w:val="0"/>
      <w:numFmt w:val="bullet"/>
      <w:lvlText w:val="•"/>
      <w:lvlJc w:val="left"/>
      <w:pPr>
        <w:ind w:left="7503" w:hanging="1060"/>
      </w:pPr>
      <w:rPr>
        <w:rFonts w:hint="default"/>
      </w:rPr>
    </w:lvl>
    <w:lvl w:ilvl="5">
      <w:start w:val="0"/>
      <w:numFmt w:val="bullet"/>
      <w:lvlText w:val="•"/>
      <w:lvlJc w:val="left"/>
      <w:pPr>
        <w:ind w:left="9019" w:hanging="1060"/>
      </w:pPr>
      <w:rPr>
        <w:rFonts w:hint="default"/>
      </w:rPr>
    </w:lvl>
    <w:lvl w:ilvl="6">
      <w:start w:val="0"/>
      <w:numFmt w:val="bullet"/>
      <w:lvlText w:val="•"/>
      <w:lvlJc w:val="left"/>
      <w:pPr>
        <w:ind w:left="10535" w:hanging="1060"/>
      </w:pPr>
      <w:rPr>
        <w:rFonts w:hint="default"/>
      </w:rPr>
    </w:lvl>
    <w:lvl w:ilvl="7">
      <w:start w:val="0"/>
      <w:numFmt w:val="bullet"/>
      <w:lvlText w:val="•"/>
      <w:lvlJc w:val="left"/>
      <w:pPr>
        <w:ind w:left="12051" w:hanging="1060"/>
      </w:pPr>
      <w:rPr>
        <w:rFonts w:hint="default"/>
      </w:rPr>
    </w:lvl>
    <w:lvl w:ilvl="8">
      <w:start w:val="0"/>
      <w:numFmt w:val="bullet"/>
      <w:lvlText w:val="•"/>
      <w:lvlJc w:val="left"/>
      <w:pPr>
        <w:ind w:left="13567" w:hanging="1060"/>
      </w:pPr>
      <w:rPr>
        <w:rFonts w:hint="default"/>
      </w:rPr>
    </w:lvl>
  </w:abstractNum>
  <w:abstractNum w:abstractNumId="1">
    <w:nsid w:val="06955F7C"/>
    <w:multiLevelType w:val="hybridMultilevel"/>
    <w:tmpl w:val="00000000"/>
    <w:lvl w:ilvl="0">
      <w:start w:val="1"/>
      <w:numFmt w:val="decimal"/>
      <w:lvlText w:val="（%1）"/>
      <w:lvlJc w:val="left"/>
      <w:pPr>
        <w:ind w:left="2914" w:hanging="1053"/>
        <w:jc w:val="left"/>
      </w:pPr>
      <w:rPr>
        <w:rFonts w:ascii="黑体" w:eastAsia="黑体" w:hAnsi="黑体" w:cs="黑体" w:hint="default"/>
        <w:spacing w:val="-2"/>
        <w:w w:val="100"/>
        <w:sz w:val="40"/>
        <w:szCs w:val="40"/>
      </w:rPr>
    </w:lvl>
    <w:lvl w:ilvl="1">
      <w:start w:val="0"/>
      <w:numFmt w:val="bullet"/>
      <w:lvlText w:val="•"/>
      <w:lvlJc w:val="left"/>
      <w:pPr>
        <w:ind w:left="4287" w:hanging="1053"/>
      </w:pPr>
      <w:rPr>
        <w:rFonts w:hint="default"/>
      </w:rPr>
    </w:lvl>
    <w:lvl w:ilvl="2">
      <w:start w:val="0"/>
      <w:numFmt w:val="bullet"/>
      <w:lvlText w:val="•"/>
      <w:lvlJc w:val="left"/>
      <w:pPr>
        <w:ind w:left="5655" w:hanging="1053"/>
      </w:pPr>
      <w:rPr>
        <w:rFonts w:hint="default"/>
      </w:rPr>
    </w:lvl>
    <w:lvl w:ilvl="3">
      <w:start w:val="0"/>
      <w:numFmt w:val="bullet"/>
      <w:lvlText w:val="•"/>
      <w:lvlJc w:val="left"/>
      <w:pPr>
        <w:ind w:left="7023" w:hanging="1053"/>
      </w:pPr>
      <w:rPr>
        <w:rFonts w:hint="default"/>
      </w:rPr>
    </w:lvl>
    <w:lvl w:ilvl="4">
      <w:start w:val="0"/>
      <w:numFmt w:val="bullet"/>
      <w:lvlText w:val="•"/>
      <w:lvlJc w:val="left"/>
      <w:pPr>
        <w:ind w:left="8391" w:hanging="1053"/>
      </w:pPr>
      <w:rPr>
        <w:rFonts w:hint="default"/>
      </w:rPr>
    </w:lvl>
    <w:lvl w:ilvl="5">
      <w:start w:val="0"/>
      <w:numFmt w:val="bullet"/>
      <w:lvlText w:val="•"/>
      <w:lvlJc w:val="left"/>
      <w:pPr>
        <w:ind w:left="9759" w:hanging="1053"/>
      </w:pPr>
      <w:rPr>
        <w:rFonts w:hint="default"/>
      </w:rPr>
    </w:lvl>
    <w:lvl w:ilvl="6">
      <w:start w:val="0"/>
      <w:numFmt w:val="bullet"/>
      <w:lvlText w:val="•"/>
      <w:lvlJc w:val="left"/>
      <w:pPr>
        <w:ind w:left="11127" w:hanging="1053"/>
      </w:pPr>
      <w:rPr>
        <w:rFonts w:hint="default"/>
      </w:rPr>
    </w:lvl>
    <w:lvl w:ilvl="7">
      <w:start w:val="0"/>
      <w:numFmt w:val="bullet"/>
      <w:lvlText w:val="•"/>
      <w:lvlJc w:val="left"/>
      <w:pPr>
        <w:ind w:left="12495" w:hanging="1053"/>
      </w:pPr>
      <w:rPr>
        <w:rFonts w:hint="default"/>
      </w:rPr>
    </w:lvl>
    <w:lvl w:ilvl="8">
      <w:start w:val="0"/>
      <w:numFmt w:val="bullet"/>
      <w:lvlText w:val="•"/>
      <w:lvlJc w:val="left"/>
      <w:pPr>
        <w:ind w:left="13863" w:hanging="1053"/>
      </w:pPr>
      <w:rPr>
        <w:rFonts w:hint="default"/>
      </w:rPr>
    </w:lvl>
  </w:abstractNum>
  <w:abstractNum w:abstractNumId="2">
    <w:nsid w:val="42CFFC3F"/>
    <w:multiLevelType w:val="hybridMultilevel"/>
    <w:tmpl w:val="00000000"/>
    <w:lvl w:ilvl="0">
      <w:start w:val="1"/>
      <w:numFmt w:val="decimal"/>
      <w:lvlText w:val="%1"/>
      <w:lvlJc w:val="left"/>
      <w:pPr>
        <w:ind w:left="1427" w:hanging="361"/>
        <w:jc w:val="left"/>
      </w:pPr>
      <w:rPr>
        <w:rFonts w:ascii="黑体" w:eastAsia="黑体" w:hAnsi="黑体" w:cs="黑体" w:hint="default"/>
        <w:w w:val="100"/>
        <w:sz w:val="36"/>
        <w:szCs w:val="36"/>
      </w:rPr>
    </w:lvl>
    <w:lvl w:ilvl="1">
      <w:start w:val="0"/>
      <w:numFmt w:val="bullet"/>
      <w:lvlText w:val="•"/>
      <w:lvlJc w:val="left"/>
      <w:pPr>
        <w:ind w:left="1576" w:hanging="361"/>
      </w:pPr>
      <w:rPr>
        <w:rFonts w:hint="default"/>
      </w:rPr>
    </w:lvl>
    <w:lvl w:ilvl="2">
      <w:start w:val="0"/>
      <w:numFmt w:val="bullet"/>
      <w:lvlText w:val="•"/>
      <w:lvlJc w:val="left"/>
      <w:pPr>
        <w:ind w:left="1733" w:hanging="361"/>
      </w:pPr>
      <w:rPr>
        <w:rFonts w:hint="default"/>
      </w:rPr>
    </w:lvl>
    <w:lvl w:ilvl="3">
      <w:start w:val="0"/>
      <w:numFmt w:val="bullet"/>
      <w:lvlText w:val="•"/>
      <w:lvlJc w:val="left"/>
      <w:pPr>
        <w:ind w:left="1889" w:hanging="361"/>
      </w:pPr>
      <w:rPr>
        <w:rFonts w:hint="default"/>
      </w:rPr>
    </w:lvl>
    <w:lvl w:ilvl="4">
      <w:start w:val="0"/>
      <w:numFmt w:val="bullet"/>
      <w:lvlText w:val="•"/>
      <w:lvlJc w:val="left"/>
      <w:pPr>
        <w:ind w:left="2046" w:hanging="361"/>
      </w:pPr>
      <w:rPr>
        <w:rFonts w:hint="default"/>
      </w:rPr>
    </w:lvl>
    <w:lvl w:ilvl="5">
      <w:start w:val="0"/>
      <w:numFmt w:val="bullet"/>
      <w:lvlText w:val="•"/>
      <w:lvlJc w:val="left"/>
      <w:pPr>
        <w:ind w:left="2202" w:hanging="361"/>
      </w:pPr>
      <w:rPr>
        <w:rFonts w:hint="default"/>
      </w:rPr>
    </w:lvl>
    <w:lvl w:ilvl="6">
      <w:start w:val="0"/>
      <w:numFmt w:val="bullet"/>
      <w:lvlText w:val="•"/>
      <w:lvlJc w:val="left"/>
      <w:pPr>
        <w:ind w:left="2359" w:hanging="361"/>
      </w:pPr>
      <w:rPr>
        <w:rFonts w:hint="default"/>
      </w:rPr>
    </w:lvl>
    <w:lvl w:ilvl="7">
      <w:start w:val="0"/>
      <w:numFmt w:val="bullet"/>
      <w:lvlText w:val="•"/>
      <w:lvlJc w:val="left"/>
      <w:pPr>
        <w:ind w:left="2515" w:hanging="361"/>
      </w:pPr>
      <w:rPr>
        <w:rFonts w:hint="default"/>
      </w:rPr>
    </w:lvl>
    <w:lvl w:ilvl="8">
      <w:start w:val="0"/>
      <w:numFmt w:val="bullet"/>
      <w:lvlText w:val="•"/>
      <w:lvlJc w:val="left"/>
      <w:pPr>
        <w:ind w:left="2672" w:hanging="361"/>
      </w:pPr>
      <w:rPr>
        <w:rFonts w:hint="default"/>
      </w:rPr>
    </w:lvl>
  </w:abstractNum>
  <w:abstractNum w:abstractNumId="3">
    <w:nsid w:val="43D98E4F"/>
    <w:multiLevelType w:val="hybridMultilevel"/>
    <w:tmpl w:val="00000000"/>
    <w:lvl w:ilvl="0">
      <w:start w:val="1"/>
      <w:numFmt w:val="decimal"/>
      <w:lvlText w:val="（%1）"/>
      <w:lvlJc w:val="left"/>
      <w:pPr>
        <w:ind w:left="1440" w:hanging="1060"/>
        <w:jc w:val="left"/>
      </w:pPr>
      <w:rPr>
        <w:rFonts w:ascii="黑体" w:eastAsia="黑体" w:hAnsi="黑体" w:cs="黑体" w:hint="default"/>
        <w:spacing w:val="0"/>
        <w:w w:val="100"/>
        <w:sz w:val="40"/>
        <w:szCs w:val="40"/>
      </w:rPr>
    </w:lvl>
    <w:lvl w:ilvl="1">
      <w:start w:val="0"/>
      <w:numFmt w:val="bullet"/>
      <w:lvlText w:val="•"/>
      <w:lvlJc w:val="left"/>
      <w:pPr>
        <w:ind w:left="2955" w:hanging="1060"/>
      </w:pPr>
      <w:rPr>
        <w:rFonts w:hint="default"/>
      </w:rPr>
    </w:lvl>
    <w:lvl w:ilvl="2">
      <w:start w:val="0"/>
      <w:numFmt w:val="bullet"/>
      <w:lvlText w:val="•"/>
      <w:lvlJc w:val="left"/>
      <w:pPr>
        <w:ind w:left="4471" w:hanging="1060"/>
      </w:pPr>
      <w:rPr>
        <w:rFonts w:hint="default"/>
      </w:rPr>
    </w:lvl>
    <w:lvl w:ilvl="3">
      <w:start w:val="0"/>
      <w:numFmt w:val="bullet"/>
      <w:lvlText w:val="•"/>
      <w:lvlJc w:val="left"/>
      <w:pPr>
        <w:ind w:left="5987" w:hanging="1060"/>
      </w:pPr>
      <w:rPr>
        <w:rFonts w:hint="default"/>
      </w:rPr>
    </w:lvl>
    <w:lvl w:ilvl="4">
      <w:start w:val="0"/>
      <w:numFmt w:val="bullet"/>
      <w:lvlText w:val="•"/>
      <w:lvlJc w:val="left"/>
      <w:pPr>
        <w:ind w:left="7503" w:hanging="1060"/>
      </w:pPr>
      <w:rPr>
        <w:rFonts w:hint="default"/>
      </w:rPr>
    </w:lvl>
    <w:lvl w:ilvl="5">
      <w:start w:val="0"/>
      <w:numFmt w:val="bullet"/>
      <w:lvlText w:val="•"/>
      <w:lvlJc w:val="left"/>
      <w:pPr>
        <w:ind w:left="9019" w:hanging="1060"/>
      </w:pPr>
      <w:rPr>
        <w:rFonts w:hint="default"/>
      </w:rPr>
    </w:lvl>
    <w:lvl w:ilvl="6">
      <w:start w:val="0"/>
      <w:numFmt w:val="bullet"/>
      <w:lvlText w:val="•"/>
      <w:lvlJc w:val="left"/>
      <w:pPr>
        <w:ind w:left="10535" w:hanging="1060"/>
      </w:pPr>
      <w:rPr>
        <w:rFonts w:hint="default"/>
      </w:rPr>
    </w:lvl>
    <w:lvl w:ilvl="7">
      <w:start w:val="0"/>
      <w:numFmt w:val="bullet"/>
      <w:lvlText w:val="•"/>
      <w:lvlJc w:val="left"/>
      <w:pPr>
        <w:ind w:left="12051" w:hanging="1060"/>
      </w:pPr>
      <w:rPr>
        <w:rFonts w:hint="default"/>
      </w:rPr>
    </w:lvl>
    <w:lvl w:ilvl="8">
      <w:start w:val="0"/>
      <w:numFmt w:val="bullet"/>
      <w:lvlText w:val="•"/>
      <w:lvlJc w:val="left"/>
      <w:pPr>
        <w:ind w:left="13567" w:hanging="1060"/>
      </w:pPr>
      <w:rPr>
        <w:rFonts w:hint="default"/>
      </w:rPr>
    </w:lvl>
  </w:abstractNum>
  <w:abstractNum w:abstractNumId="4">
    <w:nsid w:val="619F29D4"/>
    <w:multiLevelType w:val="hybridMultilevel"/>
    <w:tmpl w:val="00000000"/>
    <w:lvl w:ilvl="0">
      <w:start w:val="1"/>
      <w:numFmt w:val="decimal"/>
      <w:lvlText w:val="（%1）"/>
      <w:lvlJc w:val="left"/>
      <w:pPr>
        <w:ind w:left="1440" w:hanging="1060"/>
        <w:jc w:val="left"/>
      </w:pPr>
      <w:rPr>
        <w:rFonts w:ascii="黑体" w:eastAsia="黑体" w:hAnsi="黑体" w:cs="黑体" w:hint="default"/>
        <w:spacing w:val="0"/>
        <w:w w:val="100"/>
        <w:sz w:val="40"/>
        <w:szCs w:val="40"/>
      </w:rPr>
    </w:lvl>
    <w:lvl w:ilvl="1">
      <w:start w:val="0"/>
      <w:numFmt w:val="bullet"/>
      <w:lvlText w:val="•"/>
      <w:lvlJc w:val="left"/>
      <w:pPr>
        <w:ind w:left="2955" w:hanging="1060"/>
      </w:pPr>
      <w:rPr>
        <w:rFonts w:hint="default"/>
      </w:rPr>
    </w:lvl>
    <w:lvl w:ilvl="2">
      <w:start w:val="0"/>
      <w:numFmt w:val="bullet"/>
      <w:lvlText w:val="•"/>
      <w:lvlJc w:val="left"/>
      <w:pPr>
        <w:ind w:left="4471" w:hanging="1060"/>
      </w:pPr>
      <w:rPr>
        <w:rFonts w:hint="default"/>
      </w:rPr>
    </w:lvl>
    <w:lvl w:ilvl="3">
      <w:start w:val="0"/>
      <w:numFmt w:val="bullet"/>
      <w:lvlText w:val="•"/>
      <w:lvlJc w:val="left"/>
      <w:pPr>
        <w:ind w:left="5987" w:hanging="1060"/>
      </w:pPr>
      <w:rPr>
        <w:rFonts w:hint="default"/>
      </w:rPr>
    </w:lvl>
    <w:lvl w:ilvl="4">
      <w:start w:val="0"/>
      <w:numFmt w:val="bullet"/>
      <w:lvlText w:val="•"/>
      <w:lvlJc w:val="left"/>
      <w:pPr>
        <w:ind w:left="7503" w:hanging="1060"/>
      </w:pPr>
      <w:rPr>
        <w:rFonts w:hint="default"/>
      </w:rPr>
    </w:lvl>
    <w:lvl w:ilvl="5">
      <w:start w:val="0"/>
      <w:numFmt w:val="bullet"/>
      <w:lvlText w:val="•"/>
      <w:lvlJc w:val="left"/>
      <w:pPr>
        <w:ind w:left="9019" w:hanging="1060"/>
      </w:pPr>
      <w:rPr>
        <w:rFonts w:hint="default"/>
      </w:rPr>
    </w:lvl>
    <w:lvl w:ilvl="6">
      <w:start w:val="0"/>
      <w:numFmt w:val="bullet"/>
      <w:lvlText w:val="•"/>
      <w:lvlJc w:val="left"/>
      <w:pPr>
        <w:ind w:left="10535" w:hanging="1060"/>
      </w:pPr>
      <w:rPr>
        <w:rFonts w:hint="default"/>
      </w:rPr>
    </w:lvl>
    <w:lvl w:ilvl="7">
      <w:start w:val="0"/>
      <w:numFmt w:val="bullet"/>
      <w:lvlText w:val="•"/>
      <w:lvlJc w:val="left"/>
      <w:pPr>
        <w:ind w:left="12051" w:hanging="1060"/>
      </w:pPr>
      <w:rPr>
        <w:rFonts w:hint="default"/>
      </w:rPr>
    </w:lvl>
    <w:lvl w:ilvl="8">
      <w:start w:val="0"/>
      <w:numFmt w:val="bullet"/>
      <w:lvlText w:val="•"/>
      <w:lvlJc w:val="left"/>
      <w:pPr>
        <w:ind w:left="13567" w:hanging="1060"/>
      </w:pPr>
      <w:rPr>
        <w:rFonts w:hint="default"/>
      </w:rPr>
    </w:lvl>
  </w:abstractNum>
  <w:abstractNum w:abstractNumId="5">
    <w:nsid w:val="622057E7"/>
    <w:multiLevelType w:val="hybridMultilevel"/>
    <w:tmpl w:val="00000000"/>
    <w:lvl w:ilvl="0">
      <w:start w:val="1"/>
      <w:numFmt w:val="decimal"/>
      <w:lvlText w:val="（%1）"/>
      <w:lvlJc w:val="left"/>
      <w:pPr>
        <w:ind w:left="1440" w:hanging="1060"/>
        <w:jc w:val="left"/>
      </w:pPr>
      <w:rPr>
        <w:rFonts w:ascii="黑体" w:eastAsia="黑体" w:hAnsi="黑体" w:cs="黑体" w:hint="default"/>
        <w:spacing w:val="0"/>
        <w:w w:val="100"/>
        <w:sz w:val="40"/>
        <w:szCs w:val="40"/>
      </w:rPr>
    </w:lvl>
    <w:lvl w:ilvl="1">
      <w:start w:val="0"/>
      <w:numFmt w:val="bullet"/>
      <w:lvlText w:val="•"/>
      <w:lvlJc w:val="left"/>
      <w:pPr>
        <w:ind w:left="2955" w:hanging="1060"/>
      </w:pPr>
      <w:rPr>
        <w:rFonts w:hint="default"/>
      </w:rPr>
    </w:lvl>
    <w:lvl w:ilvl="2">
      <w:start w:val="0"/>
      <w:numFmt w:val="bullet"/>
      <w:lvlText w:val="•"/>
      <w:lvlJc w:val="left"/>
      <w:pPr>
        <w:ind w:left="4471" w:hanging="1060"/>
      </w:pPr>
      <w:rPr>
        <w:rFonts w:hint="default"/>
      </w:rPr>
    </w:lvl>
    <w:lvl w:ilvl="3">
      <w:start w:val="0"/>
      <w:numFmt w:val="bullet"/>
      <w:lvlText w:val="•"/>
      <w:lvlJc w:val="left"/>
      <w:pPr>
        <w:ind w:left="5987" w:hanging="1060"/>
      </w:pPr>
      <w:rPr>
        <w:rFonts w:hint="default"/>
      </w:rPr>
    </w:lvl>
    <w:lvl w:ilvl="4">
      <w:start w:val="0"/>
      <w:numFmt w:val="bullet"/>
      <w:lvlText w:val="•"/>
      <w:lvlJc w:val="left"/>
      <w:pPr>
        <w:ind w:left="7503" w:hanging="1060"/>
      </w:pPr>
      <w:rPr>
        <w:rFonts w:hint="default"/>
      </w:rPr>
    </w:lvl>
    <w:lvl w:ilvl="5">
      <w:start w:val="0"/>
      <w:numFmt w:val="bullet"/>
      <w:lvlText w:val="•"/>
      <w:lvlJc w:val="left"/>
      <w:pPr>
        <w:ind w:left="9019" w:hanging="1060"/>
      </w:pPr>
      <w:rPr>
        <w:rFonts w:hint="default"/>
      </w:rPr>
    </w:lvl>
    <w:lvl w:ilvl="6">
      <w:start w:val="0"/>
      <w:numFmt w:val="bullet"/>
      <w:lvlText w:val="•"/>
      <w:lvlJc w:val="left"/>
      <w:pPr>
        <w:ind w:left="10535" w:hanging="1060"/>
      </w:pPr>
      <w:rPr>
        <w:rFonts w:hint="default"/>
      </w:rPr>
    </w:lvl>
    <w:lvl w:ilvl="7">
      <w:start w:val="0"/>
      <w:numFmt w:val="bullet"/>
      <w:lvlText w:val="•"/>
      <w:lvlJc w:val="left"/>
      <w:pPr>
        <w:ind w:left="12051" w:hanging="1060"/>
      </w:pPr>
      <w:rPr>
        <w:rFonts w:hint="default"/>
      </w:rPr>
    </w:lvl>
    <w:lvl w:ilvl="8">
      <w:start w:val="0"/>
      <w:numFmt w:val="bullet"/>
      <w:lvlText w:val="•"/>
      <w:lvlJc w:val="left"/>
      <w:pPr>
        <w:ind w:left="13567" w:hanging="1060"/>
      </w:pPr>
      <w:rPr>
        <w:rFonts w:hint="default"/>
      </w:rPr>
    </w:lvl>
  </w:abstractNum>
  <w:abstractNum w:abstractNumId="6">
    <w:nsid w:val="67ADBDFC"/>
    <w:multiLevelType w:val="hybridMultilevel"/>
    <w:tmpl w:val="00000000"/>
    <w:lvl w:ilvl="0">
      <w:start w:val="1"/>
      <w:numFmt w:val="decimal"/>
      <w:lvlText w:val="（%1）"/>
      <w:lvlJc w:val="left"/>
      <w:pPr>
        <w:ind w:left="1440" w:hanging="1060"/>
        <w:jc w:val="left"/>
      </w:pPr>
      <w:rPr>
        <w:rFonts w:ascii="黑体" w:eastAsia="黑体" w:hAnsi="黑体" w:cs="黑体" w:hint="default"/>
        <w:spacing w:val="0"/>
        <w:w w:val="100"/>
        <w:sz w:val="40"/>
        <w:szCs w:val="40"/>
      </w:rPr>
    </w:lvl>
    <w:lvl w:ilvl="1">
      <w:start w:val="0"/>
      <w:numFmt w:val="bullet"/>
      <w:lvlText w:val="•"/>
      <w:lvlJc w:val="left"/>
      <w:pPr>
        <w:ind w:left="2955" w:hanging="1060"/>
      </w:pPr>
      <w:rPr>
        <w:rFonts w:hint="default"/>
      </w:rPr>
    </w:lvl>
    <w:lvl w:ilvl="2">
      <w:start w:val="0"/>
      <w:numFmt w:val="bullet"/>
      <w:lvlText w:val="•"/>
      <w:lvlJc w:val="left"/>
      <w:pPr>
        <w:ind w:left="4471" w:hanging="1060"/>
      </w:pPr>
      <w:rPr>
        <w:rFonts w:hint="default"/>
      </w:rPr>
    </w:lvl>
    <w:lvl w:ilvl="3">
      <w:start w:val="0"/>
      <w:numFmt w:val="bullet"/>
      <w:lvlText w:val="•"/>
      <w:lvlJc w:val="left"/>
      <w:pPr>
        <w:ind w:left="5987" w:hanging="1060"/>
      </w:pPr>
      <w:rPr>
        <w:rFonts w:hint="default"/>
      </w:rPr>
    </w:lvl>
    <w:lvl w:ilvl="4">
      <w:start w:val="0"/>
      <w:numFmt w:val="bullet"/>
      <w:lvlText w:val="•"/>
      <w:lvlJc w:val="left"/>
      <w:pPr>
        <w:ind w:left="7503" w:hanging="1060"/>
      </w:pPr>
      <w:rPr>
        <w:rFonts w:hint="default"/>
      </w:rPr>
    </w:lvl>
    <w:lvl w:ilvl="5">
      <w:start w:val="0"/>
      <w:numFmt w:val="bullet"/>
      <w:lvlText w:val="•"/>
      <w:lvlJc w:val="left"/>
      <w:pPr>
        <w:ind w:left="9019" w:hanging="1060"/>
      </w:pPr>
      <w:rPr>
        <w:rFonts w:hint="default"/>
      </w:rPr>
    </w:lvl>
    <w:lvl w:ilvl="6">
      <w:start w:val="0"/>
      <w:numFmt w:val="bullet"/>
      <w:lvlText w:val="•"/>
      <w:lvlJc w:val="left"/>
      <w:pPr>
        <w:ind w:left="10535" w:hanging="1060"/>
      </w:pPr>
      <w:rPr>
        <w:rFonts w:hint="default"/>
      </w:rPr>
    </w:lvl>
    <w:lvl w:ilvl="7">
      <w:start w:val="0"/>
      <w:numFmt w:val="bullet"/>
      <w:lvlText w:val="•"/>
      <w:lvlJc w:val="left"/>
      <w:pPr>
        <w:ind w:left="12051" w:hanging="1060"/>
      </w:pPr>
      <w:rPr>
        <w:rFonts w:hint="default"/>
      </w:rPr>
    </w:lvl>
    <w:lvl w:ilvl="8">
      <w:start w:val="0"/>
      <w:numFmt w:val="bullet"/>
      <w:lvlText w:val="•"/>
      <w:lvlJc w:val="left"/>
      <w:pPr>
        <w:ind w:left="13567" w:hanging="1060"/>
      </w:pPr>
      <w:rPr>
        <w:rFonts w:hint="default"/>
      </w:rPr>
    </w:lvl>
  </w:abstractNum>
  <w:abstractNum w:abstractNumId="7">
    <w:nsid w:val="6F4C84F8"/>
    <w:multiLevelType w:val="hybridMultilevel"/>
    <w:tmpl w:val="00000000"/>
    <w:lvl w:ilvl="0">
      <w:start w:val="1"/>
      <w:numFmt w:val="decimal"/>
      <w:lvlText w:val="（%1）"/>
      <w:lvlJc w:val="left"/>
      <w:pPr>
        <w:ind w:left="1440" w:hanging="1060"/>
        <w:jc w:val="left"/>
      </w:pPr>
      <w:rPr>
        <w:rFonts w:ascii="黑体" w:eastAsia="黑体" w:hAnsi="黑体" w:cs="黑体" w:hint="default"/>
        <w:spacing w:val="0"/>
        <w:w w:val="100"/>
        <w:sz w:val="40"/>
        <w:szCs w:val="40"/>
      </w:rPr>
    </w:lvl>
    <w:lvl w:ilvl="1">
      <w:start w:val="0"/>
      <w:numFmt w:val="bullet"/>
      <w:lvlText w:val="•"/>
      <w:lvlJc w:val="left"/>
      <w:pPr>
        <w:ind w:left="2955" w:hanging="1060"/>
      </w:pPr>
      <w:rPr>
        <w:rFonts w:hint="default"/>
      </w:rPr>
    </w:lvl>
    <w:lvl w:ilvl="2">
      <w:start w:val="0"/>
      <w:numFmt w:val="bullet"/>
      <w:lvlText w:val="•"/>
      <w:lvlJc w:val="left"/>
      <w:pPr>
        <w:ind w:left="4471" w:hanging="1060"/>
      </w:pPr>
      <w:rPr>
        <w:rFonts w:hint="default"/>
      </w:rPr>
    </w:lvl>
    <w:lvl w:ilvl="3">
      <w:start w:val="0"/>
      <w:numFmt w:val="bullet"/>
      <w:lvlText w:val="•"/>
      <w:lvlJc w:val="left"/>
      <w:pPr>
        <w:ind w:left="5987" w:hanging="1060"/>
      </w:pPr>
      <w:rPr>
        <w:rFonts w:hint="default"/>
      </w:rPr>
    </w:lvl>
    <w:lvl w:ilvl="4">
      <w:start w:val="0"/>
      <w:numFmt w:val="bullet"/>
      <w:lvlText w:val="•"/>
      <w:lvlJc w:val="left"/>
      <w:pPr>
        <w:ind w:left="7503" w:hanging="1060"/>
      </w:pPr>
      <w:rPr>
        <w:rFonts w:hint="default"/>
      </w:rPr>
    </w:lvl>
    <w:lvl w:ilvl="5">
      <w:start w:val="0"/>
      <w:numFmt w:val="bullet"/>
      <w:lvlText w:val="•"/>
      <w:lvlJc w:val="left"/>
      <w:pPr>
        <w:ind w:left="9019" w:hanging="1060"/>
      </w:pPr>
      <w:rPr>
        <w:rFonts w:hint="default"/>
      </w:rPr>
    </w:lvl>
    <w:lvl w:ilvl="6">
      <w:start w:val="0"/>
      <w:numFmt w:val="bullet"/>
      <w:lvlText w:val="•"/>
      <w:lvlJc w:val="left"/>
      <w:pPr>
        <w:ind w:left="10535" w:hanging="1060"/>
      </w:pPr>
      <w:rPr>
        <w:rFonts w:hint="default"/>
      </w:rPr>
    </w:lvl>
    <w:lvl w:ilvl="7">
      <w:start w:val="0"/>
      <w:numFmt w:val="bullet"/>
      <w:lvlText w:val="•"/>
      <w:lvlJc w:val="left"/>
      <w:pPr>
        <w:ind w:left="12051" w:hanging="1060"/>
      </w:pPr>
      <w:rPr>
        <w:rFonts w:hint="default"/>
      </w:rPr>
    </w:lvl>
    <w:lvl w:ilvl="8">
      <w:start w:val="0"/>
      <w:numFmt w:val="bullet"/>
      <w:lvlText w:val="•"/>
      <w:lvlJc w:val="left"/>
      <w:pPr>
        <w:ind w:left="13567" w:hanging="1060"/>
      </w:pPr>
      <w:rPr>
        <w:rFonts w:hint="default"/>
      </w:rPr>
    </w:lvl>
  </w:abstractNum>
  <w:num w:numId="1">
    <w:abstractNumId w:val="7"/>
  </w:num>
  <w:num w:numId="2">
    <w:abstractNumId w:val="2"/>
  </w:num>
  <w:num w:numId="3">
    <w:abstractNumId w:val="1"/>
  </w:num>
  <w:num w:numId="4">
    <w:abstractNumId w:val="6"/>
  </w:num>
  <w:num w:numId="5">
    <w:abstractNumId w:val="3"/>
  </w:num>
  <w:num w:numId="6">
    <w:abstractNumId w:val="5"/>
  </w:num>
  <w:num w:numId="7">
    <w:abstractNumId w:val="4"/>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31"/>
      <w:ind w:left="1757"/>
      <w:outlineLvl w:val="0"/>
    </w:pPr>
    <w:rPr>
      <w:rFonts w:ascii="黑体" w:eastAsia="黑体" w:hAnsi="黑体" w:cs="黑体"/>
      <w:b/>
      <w:bCs/>
      <w:sz w:val="48"/>
      <w:szCs w:val="48"/>
    </w:rPr>
  </w:style>
  <w:style w:type="paragraph" w:styleId="Heading2">
    <w:name w:val="heading 2"/>
    <w:basedOn w:val="Normal"/>
    <w:uiPriority w:val="1"/>
    <w:qFormat/>
    <w:pPr>
      <w:spacing w:before="37"/>
      <w:ind w:left="1440"/>
      <w:outlineLvl w:val="1"/>
    </w:pPr>
    <w:rPr>
      <w:rFonts w:ascii="黑体" w:eastAsia="黑体" w:hAnsi="黑体" w:cs="黑体"/>
      <w:b/>
      <w:bCs/>
      <w:sz w:val="45"/>
      <w:szCs w:val="45"/>
    </w:rPr>
  </w:style>
  <w:style w:type="paragraph" w:styleId="Heading3">
    <w:name w:val="heading 3"/>
    <w:basedOn w:val="Normal"/>
    <w:uiPriority w:val="1"/>
    <w:qFormat/>
    <w:pPr>
      <w:spacing w:before="42"/>
      <w:ind w:left="1440"/>
      <w:outlineLvl w:val="2"/>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42"/>
      <w:szCs w:val="42"/>
    </w:rPr>
  </w:style>
  <w:style w:type="paragraph" w:styleId="ListParagraph">
    <w:name w:val="List Paragraph"/>
    <w:basedOn w:val="Normal"/>
    <w:uiPriority w:val="1"/>
    <w:qFormat/>
    <w:pPr>
      <w:ind w:left="1440" w:right="2726"/>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2.png"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d.book118.com/048036133054006037" TargetMode="Externa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2024-01-29T08:05:21Z</dcterms:created>
  <dcterms:modified xsi:type="dcterms:W3CDTF">2024-01-29T08:05:21Z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2024-01-29T00:00:00Z</vt:filetime>
  </property>
</Properties>
</file>