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140" w:lineRule="exact"/>
        <w:ind w:firstLine="5552"/>
      </w:pPr>
      <w:r>
        <w:rPr>
          <w:position w:val="-22"/>
        </w:rPr>
        <w:drawing>
          <wp:inline distT="0" distB="0" distL="0" distR="0">
            <wp:extent cx="1837944" cy="7239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37944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1" w:lineRule="auto"/>
      </w:pPr>
    </w:p>
    <w:p>
      <w:pPr>
        <w:spacing w:before="227" w:line="183" w:lineRule="auto"/>
        <w:ind w:left="538"/>
        <w:outlineLvl w:val="0"/>
        <w:rPr>
          <w:rFonts w:ascii="Arial Unicode MS" w:eastAsia="Arial Unicode MS" w:hAnsi="Arial Unicode MS" w:cs="Arial Unicode MS"/>
          <w:sz w:val="52"/>
          <w:szCs w:val="52"/>
        </w:rPr>
      </w:pPr>
      <w:r>
        <w:rPr>
          <w:rFonts w:ascii="Arial Unicode MS" w:eastAsia="Arial Unicode MS" w:hAnsi="Arial Unicode MS" w:cs="Arial Unicode MS"/>
          <w:spacing w:val="69"/>
          <w:sz w:val="52"/>
          <w:szCs w:val="52"/>
        </w:rPr>
        <w:t>北 京</w:t>
      </w:r>
      <w:r>
        <w:rPr>
          <w:rFonts w:ascii="Arial Unicode MS" w:eastAsia="Arial Unicode MS" w:hAnsi="Arial Unicode MS" w:cs="Arial Unicode MS"/>
          <w:spacing w:val="70"/>
          <w:sz w:val="52"/>
          <w:szCs w:val="52"/>
        </w:rPr>
        <w:t xml:space="preserve"> </w:t>
      </w:r>
      <w:r>
        <w:rPr>
          <w:rFonts w:ascii="Arial Unicode MS" w:eastAsia="Arial Unicode MS" w:hAnsi="Arial Unicode MS" w:cs="Arial Unicode MS"/>
          <w:spacing w:val="69"/>
          <w:sz w:val="52"/>
          <w:szCs w:val="52"/>
        </w:rPr>
        <w:t>市 地</w:t>
      </w:r>
      <w:r>
        <w:rPr>
          <w:rFonts w:ascii="Arial Unicode MS" w:eastAsia="Arial Unicode MS" w:hAnsi="Arial Unicode MS" w:cs="Arial Unicode MS"/>
          <w:spacing w:val="47"/>
          <w:sz w:val="52"/>
          <w:szCs w:val="52"/>
        </w:rPr>
        <w:t xml:space="preserve"> </w:t>
      </w:r>
      <w:r>
        <w:rPr>
          <w:rFonts w:ascii="Arial Unicode MS" w:eastAsia="Arial Unicode MS" w:hAnsi="Arial Unicode MS" w:cs="Arial Unicode MS"/>
          <w:spacing w:val="69"/>
          <w:sz w:val="52"/>
          <w:szCs w:val="52"/>
        </w:rPr>
        <w:t>方</w:t>
      </w:r>
      <w:r>
        <w:rPr>
          <w:rFonts w:ascii="Arial Unicode MS" w:eastAsia="Arial Unicode MS" w:hAnsi="Arial Unicode MS" w:cs="Arial Unicode MS"/>
          <w:spacing w:val="59"/>
          <w:sz w:val="52"/>
          <w:szCs w:val="52"/>
        </w:rPr>
        <w:t xml:space="preserve"> </w:t>
      </w:r>
      <w:r>
        <w:rPr>
          <w:rFonts w:ascii="Arial Unicode MS" w:eastAsia="Arial Unicode MS" w:hAnsi="Arial Unicode MS" w:cs="Arial Unicode MS"/>
          <w:spacing w:val="69"/>
          <w:sz w:val="52"/>
          <w:szCs w:val="52"/>
        </w:rPr>
        <w:t>计</w:t>
      </w:r>
      <w:r>
        <w:rPr>
          <w:rFonts w:ascii="Arial Unicode MS" w:eastAsia="Arial Unicode MS" w:hAnsi="Arial Unicode MS" w:cs="Arial Unicode MS"/>
          <w:spacing w:val="49"/>
          <w:sz w:val="52"/>
          <w:szCs w:val="52"/>
        </w:rPr>
        <w:t xml:space="preserve"> </w:t>
      </w:r>
      <w:r>
        <w:rPr>
          <w:rFonts w:ascii="Arial Unicode MS" w:eastAsia="Arial Unicode MS" w:hAnsi="Arial Unicode MS" w:cs="Arial Unicode MS"/>
          <w:spacing w:val="69"/>
          <w:sz w:val="52"/>
          <w:szCs w:val="52"/>
        </w:rPr>
        <w:t>量</w:t>
      </w:r>
      <w:r>
        <w:rPr>
          <w:rFonts w:ascii="Arial Unicode MS" w:eastAsia="Arial Unicode MS" w:hAnsi="Arial Unicode MS" w:cs="Arial Unicode MS"/>
          <w:spacing w:val="36"/>
          <w:sz w:val="52"/>
          <w:szCs w:val="52"/>
        </w:rPr>
        <w:t xml:space="preserve"> </w:t>
      </w:r>
      <w:r>
        <w:rPr>
          <w:rFonts w:ascii="Arial Unicode MS" w:eastAsia="Arial Unicode MS" w:hAnsi="Arial Unicode MS" w:cs="Arial Unicode MS"/>
          <w:spacing w:val="69"/>
          <w:sz w:val="52"/>
          <w:szCs w:val="52"/>
        </w:rPr>
        <w:t>技</w:t>
      </w:r>
      <w:r>
        <w:rPr>
          <w:rFonts w:ascii="Arial Unicode MS" w:eastAsia="Arial Unicode MS" w:hAnsi="Arial Unicode MS" w:cs="Arial Unicode MS"/>
          <w:spacing w:val="36"/>
          <w:sz w:val="52"/>
          <w:szCs w:val="52"/>
        </w:rPr>
        <w:t xml:space="preserve"> </w:t>
      </w:r>
      <w:r>
        <w:rPr>
          <w:rFonts w:ascii="Arial Unicode MS" w:eastAsia="Arial Unicode MS" w:hAnsi="Arial Unicode MS" w:cs="Arial Unicode MS"/>
          <w:spacing w:val="69"/>
          <w:sz w:val="52"/>
          <w:szCs w:val="52"/>
        </w:rPr>
        <w:t>术</w:t>
      </w:r>
      <w:r>
        <w:rPr>
          <w:rFonts w:ascii="Arial Unicode MS" w:eastAsia="Arial Unicode MS" w:hAnsi="Arial Unicode MS" w:cs="Arial Unicode MS"/>
          <w:spacing w:val="29"/>
          <w:sz w:val="52"/>
          <w:szCs w:val="52"/>
        </w:rPr>
        <w:t xml:space="preserve"> </w:t>
      </w:r>
      <w:r>
        <w:rPr>
          <w:rFonts w:ascii="Arial Unicode MS" w:eastAsia="Arial Unicode MS" w:hAnsi="Arial Unicode MS" w:cs="Arial Unicode MS"/>
          <w:spacing w:val="69"/>
          <w:sz w:val="52"/>
          <w:szCs w:val="52"/>
        </w:rPr>
        <w:t>规</w:t>
      </w:r>
      <w:r>
        <w:rPr>
          <w:rFonts w:ascii="Arial Unicode MS" w:eastAsia="Arial Unicode MS" w:hAnsi="Arial Unicode MS" w:cs="Arial Unicode MS"/>
          <w:spacing w:val="44"/>
          <w:sz w:val="52"/>
          <w:szCs w:val="52"/>
        </w:rPr>
        <w:t xml:space="preserve"> </w:t>
      </w:r>
      <w:r>
        <w:rPr>
          <w:rFonts w:ascii="Arial Unicode MS" w:eastAsia="Arial Unicode MS" w:hAnsi="Arial Unicode MS" w:cs="Arial Unicode MS"/>
          <w:spacing w:val="69"/>
          <w:sz w:val="52"/>
          <w:szCs w:val="52"/>
        </w:rPr>
        <w:t>范</w:t>
      </w:r>
    </w:p>
    <w:p>
      <w:pPr>
        <w:spacing w:before="188" w:line="223" w:lineRule="auto"/>
        <w:ind w:left="588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6"/>
          <w:sz w:val="28"/>
          <w:szCs w:val="28"/>
        </w:rPr>
        <w:t>JJF</w:t>
      </w:r>
      <w:r>
        <w:rPr>
          <w:rFonts w:ascii="SimHei" w:eastAsia="SimHei" w:hAnsi="SimHei" w:cs="SimHei"/>
          <w:spacing w:val="7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6"/>
          <w:sz w:val="28"/>
          <w:szCs w:val="28"/>
        </w:rPr>
        <w:t>(京)3027－2023</w:t>
      </w:r>
    </w:p>
    <w:p>
      <w:pPr>
        <w:pStyle w:val="BodyText"/>
        <w:spacing w:line="251" w:lineRule="auto"/>
      </w:pPr>
    </w:p>
    <w:p>
      <w:pPr>
        <w:spacing w:line="25" w:lineRule="exact"/>
        <w:ind w:firstLine="160"/>
      </w:pPr>
      <w:r>
        <w:drawing>
          <wp:inline distT="0" distB="0" distL="0" distR="0">
            <wp:extent cx="6065520" cy="1587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65520" cy="1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69" w:line="220" w:lineRule="auto"/>
        <w:ind w:left="132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1"/>
          <w:sz w:val="52"/>
          <w:szCs w:val="52"/>
        </w:rPr>
        <w:t>氧化-还原电位测定仪校准规范</w:t>
      </w:r>
    </w:p>
    <w:p>
      <w:pPr>
        <w:spacing w:before="280" w:line="219" w:lineRule="auto"/>
        <w:ind w:left="26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Calibration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Specification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for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Oxidation-Reduction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Potential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Meters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pgSz w:w="11906" w:h="16839"/>
          <w:pgMar w:top="1178" w:right="1035" w:bottom="0" w:left="1158" w:header="0" w:footer="0" w:gutter="0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91" w:line="222" w:lineRule="auto"/>
        <w:ind w:left="26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2023-6-1</w:t>
      </w:r>
      <w:r>
        <w:rPr>
          <w:rFonts w:ascii="SimHei" w:eastAsia="SimHei" w:hAnsi="SimHei" w:cs="SimHei"/>
          <w:spacing w:val="-4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发布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                              </w:t>
      </w:r>
      <w:r>
        <w:rPr>
          <w:rFonts w:ascii="SimHei" w:eastAsia="SimHei" w:hAnsi="SimHei" w:cs="SimHei"/>
          <w:spacing w:val="-1"/>
          <w:sz w:val="28"/>
          <w:szCs w:val="28"/>
        </w:rPr>
        <w:t>2023-7-1</w:t>
      </w:r>
      <w:r>
        <w:rPr>
          <w:rFonts w:ascii="SimHei" w:eastAsia="SimHei" w:hAnsi="SimHei" w:cs="SimHei"/>
          <w:spacing w:val="-5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实施</w:t>
      </w:r>
    </w:p>
    <w:p>
      <w:pPr>
        <w:spacing w:before="193" w:line="25" w:lineRule="exact"/>
      </w:pPr>
      <w:r>
        <w:drawing>
          <wp:inline distT="0" distB="0" distL="0" distR="0">
            <wp:extent cx="5939790" cy="158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1" w:line="190" w:lineRule="auto"/>
        <w:ind w:left="1962"/>
        <w:rPr>
          <w:rFonts w:ascii="SimHei" w:eastAsia="SimHei" w:hAnsi="SimHei" w:cs="SimHei"/>
          <w:sz w:val="28"/>
          <w:szCs w:val="28"/>
        </w:rPr>
      </w:pPr>
      <w:r>
        <w:rPr>
          <w:rFonts w:ascii="Arial Unicode MS" w:eastAsia="Arial Unicode MS" w:hAnsi="Arial Unicode MS" w:cs="Arial Unicode MS"/>
          <w:spacing w:val="39"/>
          <w:sz w:val="43"/>
          <w:szCs w:val="43"/>
        </w:rPr>
        <w:t>北京市市场监督管理局</w:t>
      </w:r>
      <w:r>
        <w:rPr>
          <w:rFonts w:ascii="Arial Unicode MS" w:eastAsia="Arial Unicode MS" w:hAnsi="Arial Unicode MS" w:cs="Arial Unicode MS"/>
          <w:spacing w:val="118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39"/>
          <w:sz w:val="28"/>
          <w:szCs w:val="28"/>
        </w:rPr>
        <w:t>发</w:t>
      </w:r>
      <w:r>
        <w:rPr>
          <w:rFonts w:ascii="SimHei" w:eastAsia="SimHei" w:hAnsi="SimHei" w:cs="SimHei"/>
          <w:spacing w:val="39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39"/>
          <w:sz w:val="28"/>
          <w:szCs w:val="28"/>
        </w:rPr>
        <w:t>布</w:t>
      </w:r>
    </w:p>
    <w:p>
      <w:pPr>
        <w:spacing w:line="190" w:lineRule="auto"/>
        <w:rPr>
          <w:rFonts w:ascii="SimHei" w:eastAsia="SimHei" w:hAnsi="SimHei" w:cs="SimHei"/>
          <w:sz w:val="28"/>
          <w:szCs w:val="28"/>
        </w:rPr>
        <w:sectPr>
          <w:type w:val="nextPage"/>
          <w:pgSz w:w="11906" w:h="16839"/>
          <w:pgMar w:top="1178" w:right="1035" w:bottom="0" w:left="1158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36" w:lineRule="auto"/>
      </w:pPr>
    </w:p>
    <w:p>
      <w:pPr>
        <w:pStyle w:val="BodyText"/>
        <w:spacing w:line="337" w:lineRule="auto"/>
      </w:pPr>
    </w:p>
    <w:p>
      <w:pPr>
        <w:spacing w:before="169" w:line="220" w:lineRule="auto"/>
        <w:ind w:left="306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2"/>
          <w:sz w:val="52"/>
          <w:szCs w:val="52"/>
        </w:rPr>
        <w:t>氧化-还原电位测定仪</w:t>
      </w:r>
    </w:p>
    <w:p>
      <w:pPr>
        <w:spacing w:before="313" w:line="223" w:lineRule="auto"/>
        <w:ind w:left="1734"/>
        <w:rPr>
          <w:rFonts w:ascii="SimHei" w:eastAsia="SimHei" w:hAnsi="SimHei" w:cs="SimHei"/>
          <w:sz w:val="52"/>
          <w:szCs w:val="52"/>
        </w:rPr>
      </w:pPr>
      <w:r>
        <w:pict>
          <v:group id="_x0000_s1025" style="width:128.35pt;height:49.9pt;margin-top:17.86pt;margin-left:329.92pt;position:absolute;z-index:251658240" coordorigin="0,0" coordsize="2567,998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567;height:998;position:absolute" filled="f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607;height:109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14" w:line="223" w:lineRule="auto"/>
                      <w:ind w:left="249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8"/>
                        <w:szCs w:val="28"/>
                      </w:rPr>
                      <w:t>JJF(京)3027</w:t>
                    </w:r>
                    <w:r>
                      <w:rPr>
                        <w:rFonts w:ascii="SimHei" w:eastAsia="SimHei" w:hAnsi="SimHei" w:cs="SimHei"/>
                        <w:spacing w:val="-1"/>
                        <w:sz w:val="28"/>
                        <w:szCs w:val="28"/>
                        <w14:textOutline w14:w="5103" w14:cap="sq">
                          <w14:solidFill>
                            <w14:srgbClr w14:val="000000"/>
                          </w14:solidFill>
                          <w14:prstDash w14:val="solid"/>
                          <w14:bevel/>
                        </w14:textOutline>
                      </w:rPr>
                      <w:t>-</w:t>
                    </w:r>
                    <w:r>
                      <w:rPr>
                        <w:rFonts w:ascii="SimHei" w:eastAsia="SimHei" w:hAnsi="SimHei" w:cs="SimHei"/>
                        <w:spacing w:val="-1"/>
                        <w:sz w:val="28"/>
                        <w:szCs w:val="28"/>
                      </w:rPr>
                      <w:t>2023</w:t>
                    </w:r>
                  </w:p>
                </w:txbxContent>
              </v:textbox>
            </v:shape>
          </v:group>
        </w:pict>
      </w:r>
      <w:r>
        <w:rPr>
          <w:rFonts w:ascii="SimHei" w:eastAsia="SimHei" w:hAnsi="SimHei" w:cs="SimHei"/>
          <w:spacing w:val="-4"/>
          <w:sz w:val="52"/>
          <w:szCs w:val="52"/>
        </w:rPr>
        <w:t>校准规范</w:t>
      </w:r>
    </w:p>
    <w:p>
      <w:pPr>
        <w:spacing w:before="272" w:line="219" w:lineRule="auto"/>
        <w:ind w:left="73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</w:rPr>
        <w:t>Calibration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Specific</w:t>
      </w:r>
      <w:r>
        <w:rPr>
          <w:rFonts w:ascii="SimHei" w:eastAsia="SimHei" w:hAnsi="SimHei" w:cs="SimHei"/>
          <w:spacing w:val="-1"/>
          <w:sz w:val="28"/>
          <w:szCs w:val="28"/>
        </w:rPr>
        <w:t>ation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for</w:t>
      </w:r>
    </w:p>
    <w:p>
      <w:pPr>
        <w:spacing w:before="292" w:line="370" w:lineRule="exact"/>
        <w:ind w:left="247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position w:val="1"/>
          <w:sz w:val="28"/>
          <w:szCs w:val="28"/>
        </w:rPr>
        <w:t>Oxidation-Reduction</w:t>
      </w:r>
      <w:r>
        <w:rPr>
          <w:rFonts w:ascii="SimHei" w:eastAsia="SimHei" w:hAnsi="SimHei" w:cs="SimHei"/>
          <w:position w:val="1"/>
          <w:sz w:val="28"/>
          <w:szCs w:val="28"/>
        </w:rPr>
        <w:t xml:space="preserve"> </w:t>
      </w:r>
      <w:r>
        <w:rPr>
          <w:rFonts w:ascii="SimHei" w:eastAsia="SimHei" w:hAnsi="SimHei" w:cs="SimHei"/>
          <w:position w:val="1"/>
          <w:sz w:val="28"/>
          <w:szCs w:val="28"/>
        </w:rPr>
        <w:t>Potential</w:t>
      </w:r>
      <w:r>
        <w:rPr>
          <w:rFonts w:ascii="SimHei" w:eastAsia="SimHei" w:hAnsi="SimHei" w:cs="SimHei"/>
          <w:spacing w:val="-1"/>
          <w:position w:val="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position w:val="1"/>
          <w:sz w:val="28"/>
          <w:szCs w:val="28"/>
        </w:rPr>
        <w:t>Meters</w:t>
      </w:r>
    </w:p>
    <w:p>
      <w:pPr>
        <w:pStyle w:val="BodyText"/>
        <w:spacing w:line="246" w:lineRule="auto"/>
      </w:pPr>
    </w:p>
    <w:p>
      <w:pPr>
        <w:spacing w:line="20" w:lineRule="exact"/>
        <w:ind w:firstLine="5"/>
      </w:pPr>
      <w:r>
        <w:drawing>
          <wp:inline distT="0" distB="0" distL="0" distR="0">
            <wp:extent cx="5939790" cy="127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92" w:line="222" w:lineRule="auto"/>
        <w:ind w:left="85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4"/>
          <w:sz w:val="28"/>
          <w:szCs w:val="28"/>
        </w:rPr>
        <w:t>归</w:t>
      </w:r>
      <w:r>
        <w:rPr>
          <w:rFonts w:ascii="SimHei" w:eastAsia="SimHei" w:hAnsi="SimHei" w:cs="SimHei"/>
          <w:spacing w:val="5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4"/>
          <w:sz w:val="28"/>
          <w:szCs w:val="28"/>
        </w:rPr>
        <w:t>口</w:t>
      </w:r>
      <w:r>
        <w:rPr>
          <w:rFonts w:ascii="SimHei" w:eastAsia="SimHei" w:hAnsi="SimHei" w:cs="SimHei"/>
          <w:spacing w:val="-4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4"/>
          <w:sz w:val="28"/>
          <w:szCs w:val="28"/>
        </w:rPr>
        <w:t>单</w:t>
      </w:r>
      <w:r>
        <w:rPr>
          <w:rFonts w:ascii="SimHei" w:eastAsia="SimHei" w:hAnsi="SimHei" w:cs="SimHei"/>
          <w:spacing w:val="-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4"/>
          <w:sz w:val="28"/>
          <w:szCs w:val="28"/>
        </w:rPr>
        <w:t>位：北京市市场监督管理局</w:t>
      </w:r>
    </w:p>
    <w:p>
      <w:pPr>
        <w:spacing w:before="208" w:line="222" w:lineRule="auto"/>
        <w:ind w:left="85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主要起草单位：北京市计量检测科学研究院</w:t>
      </w:r>
    </w:p>
    <w:p>
      <w:pPr>
        <w:spacing w:before="207" w:line="345" w:lineRule="auto"/>
        <w:ind w:left="2809" w:right="2639" w:hanging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天津市计量监督检测科学研究院</w:t>
      </w:r>
      <w:r>
        <w:rPr>
          <w:rFonts w:ascii="SimHei" w:eastAsia="SimHei" w:hAnsi="SimHei" w:cs="SimHei"/>
          <w:spacing w:val="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河北省计量监督检测研究院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  <w:sectPr>
          <w:headerReference w:type="default" r:id="rId9"/>
          <w:pgSz w:w="11906" w:h="16839"/>
          <w:pgMar w:top="1736" w:right="1127" w:bottom="0" w:left="1418" w:header="1431" w:footer="0" w:gutter="0"/>
          <w:pgNumType w:start="3"/>
          <w:cols w:space="708"/>
        </w:sectPr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91" w:line="220" w:lineRule="auto"/>
        <w:ind w:left="163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本规范委托北京市计量检测科学研究院负责解释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headerReference w:type="default" r:id="rId10"/>
          <w:type w:val="nextPage"/>
          <w:pgSz w:w="11906" w:h="16839"/>
          <w:pgMar w:top="1736" w:right="1127" w:bottom="0" w:left="1418" w:header="1431" w:footer="0" w:gutter="0"/>
          <w:pgNumType w:start="4"/>
          <w:cols w:space="708"/>
          <w:titlePg w:val="0"/>
        </w:sectPr>
      </w:pPr>
    </w:p>
    <w:p>
      <w:pPr>
        <w:pStyle w:val="BodyText"/>
        <w:spacing w:line="337" w:lineRule="auto"/>
      </w:pPr>
    </w:p>
    <w:p>
      <w:pPr>
        <w:pStyle w:val="BodyText"/>
        <w:spacing w:line="338" w:lineRule="auto"/>
      </w:pPr>
    </w:p>
    <w:p>
      <w:pPr>
        <w:spacing w:before="91" w:line="223" w:lineRule="auto"/>
        <w:ind w:left="432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本规范主要起草人：</w:t>
      </w:r>
    </w:p>
    <w:p>
      <w:pPr>
        <w:spacing w:before="205" w:line="222" w:lineRule="auto"/>
        <w:ind w:left="186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张宜文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2"/>
          <w:sz w:val="28"/>
          <w:szCs w:val="28"/>
        </w:rPr>
        <w:t>（北京市计量检测科学研究院）</w:t>
      </w:r>
    </w:p>
    <w:p>
      <w:pPr>
        <w:spacing w:before="210" w:line="222" w:lineRule="auto"/>
        <w:ind w:left="183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赵海波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（北京市计量检测科学研究院）</w:t>
      </w:r>
    </w:p>
    <w:p>
      <w:pPr>
        <w:spacing w:before="208" w:line="222" w:lineRule="auto"/>
        <w:ind w:left="184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常子栋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（天津市计量监督检测科学研究院）</w:t>
      </w:r>
    </w:p>
    <w:p>
      <w:pPr>
        <w:spacing w:before="206" w:line="222" w:lineRule="auto"/>
        <w:ind w:left="1837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王晓冰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（河北省计量监督检测研究院）</w:t>
      </w:r>
    </w:p>
    <w:p>
      <w:pPr>
        <w:spacing w:before="208" w:line="224" w:lineRule="auto"/>
        <w:ind w:left="127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参加起草人：</w:t>
      </w:r>
    </w:p>
    <w:p>
      <w:pPr>
        <w:spacing w:before="205" w:line="222" w:lineRule="auto"/>
        <w:ind w:left="183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赵少雷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（北京市计量检测科学研究院）</w:t>
      </w:r>
    </w:p>
    <w:p>
      <w:pPr>
        <w:spacing w:before="208" w:line="222" w:lineRule="auto"/>
        <w:ind w:left="183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孟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雪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（北京市计量检测科学研究院）</w:t>
      </w:r>
    </w:p>
    <w:p>
      <w:pPr>
        <w:spacing w:before="208" w:line="222" w:lineRule="auto"/>
        <w:ind w:left="183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梁俊梅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（北京市计量检测科学研究院）</w:t>
      </w:r>
    </w:p>
    <w:p>
      <w:pPr>
        <w:spacing w:before="208" w:line="222" w:lineRule="auto"/>
        <w:ind w:left="183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赵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悦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（北京市计量检测科学研究院）</w:t>
      </w:r>
    </w:p>
    <w:p>
      <w:pPr>
        <w:spacing w:line="222" w:lineRule="auto"/>
        <w:rPr>
          <w:rFonts w:ascii="SimHei" w:eastAsia="SimHei" w:hAnsi="SimHei" w:cs="SimHei"/>
          <w:sz w:val="28"/>
          <w:szCs w:val="28"/>
        </w:rPr>
        <w:sectPr>
          <w:headerReference w:type="default" r:id="rId11"/>
          <w:pgSz w:w="11906" w:h="16839"/>
          <w:pgMar w:top="1736" w:right="1133" w:bottom="0" w:left="1418" w:header="1431" w:footer="0" w:gutter="0"/>
          <w:pgNumType w:start="5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45262583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4"/>
          <w:szCs w:val="24"/>
        </w:rPr>
      </w:sdtEndPr>
      <w:sdtContent>
        <w:p>
          <w:pPr>
            <w:spacing w:before="315" w:line="225" w:lineRule="auto"/>
            <w:ind w:left="4089"/>
            <w:rPr>
              <w:rFonts w:ascii="SimHei" w:eastAsia="SimHei" w:hAnsi="SimHei" w:cs="SimHei"/>
              <w:sz w:val="43"/>
              <w:szCs w:val="43"/>
            </w:rPr>
          </w:pPr>
          <w:r>
            <w:rPr>
              <w:rFonts w:ascii="SimHei" w:eastAsia="SimHei" w:hAnsi="SimHei" w:cs="SimHei"/>
              <w:spacing w:val="-32"/>
              <w:sz w:val="43"/>
              <w:szCs w:val="43"/>
            </w:rPr>
            <w:t>目</w:t>
          </w:r>
          <w:r>
            <w:rPr>
              <w:rFonts w:ascii="SimHei" w:eastAsia="SimHei" w:hAnsi="SimHei" w:cs="SimHei"/>
              <w:spacing w:val="15"/>
              <w:sz w:val="43"/>
              <w:szCs w:val="43"/>
            </w:rPr>
            <w:t xml:space="preserve">  </w:t>
          </w:r>
          <w:r>
            <w:rPr>
              <w:rFonts w:ascii="SimHei" w:eastAsia="SimHei" w:hAnsi="SimHei" w:cs="SimHei"/>
              <w:spacing w:val="-32"/>
              <w:sz w:val="43"/>
              <w:szCs w:val="43"/>
            </w:rPr>
            <w:t>录</w:t>
          </w:r>
        </w:p>
        <w:p>
          <w:pPr>
            <w:pStyle w:val="BodyText"/>
            <w:spacing w:line="259" w:lineRule="auto"/>
          </w:pPr>
        </w:p>
        <w:p>
          <w:pPr>
            <w:tabs>
              <w:tab w:val="right" w:leader="dot" w:pos="9320"/>
            </w:tabs>
            <w:spacing w:before="78" w:line="230" w:lineRule="auto"/>
            <w:ind w:left="176"/>
            <w:rPr>
              <w:rFonts w:ascii="SimSun" w:eastAsia="SimSun" w:hAnsi="SimSun" w:cs="SimSun"/>
              <w:sz w:val="24"/>
              <w:szCs w:val="24"/>
            </w:rPr>
          </w:pPr>
          <w:bookmarkStart w:id="0" w:name="bookmark1"/>
          <w:bookmarkEnd w:id="0"/>
          <w:hyperlink w:anchor="bookmark1" w:history="1"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引言</w:t>
            </w:r>
            <w:r>
              <w:rPr>
                <w:rFonts w:ascii="SimSun" w:eastAsia="SimSun" w:hAnsi="SimSun" w:cs="SimSun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42"/>
                <w:w w:val="90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2"/>
                <w:w w:val="90"/>
                <w:position w:val="3"/>
                <w:sz w:val="24"/>
                <w:szCs w:val="24"/>
              </w:rPr>
              <w:t>Ⅱ</w:t>
            </w:r>
            <w:r>
              <w:rPr>
                <w:rFonts w:ascii="SimSun" w:eastAsia="SimSun" w:hAnsi="SimSun" w:cs="SimSun"/>
                <w:spacing w:val="-78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2"/>
                <w:w w:val="90"/>
                <w:position w:val="3"/>
                <w:sz w:val="24"/>
                <w:szCs w:val="24"/>
              </w:rPr>
              <w:t>)</w:t>
            </w:r>
          </w:hyperlink>
        </w:p>
        <w:p>
          <w:pPr>
            <w:tabs>
              <w:tab w:val="right" w:leader="dot" w:pos="9319"/>
            </w:tabs>
            <w:spacing w:before="139" w:line="229" w:lineRule="auto"/>
            <w:ind w:left="176"/>
            <w:rPr>
              <w:rFonts w:ascii="SimSun" w:eastAsia="SimSun" w:hAnsi="SimSun" w:cs="SimSun"/>
              <w:sz w:val="24"/>
              <w:szCs w:val="24"/>
            </w:rPr>
          </w:pPr>
          <w:bookmarkStart w:id="1" w:name="bookmark2"/>
          <w:bookmarkEnd w:id="1"/>
          <w:hyperlink w:anchor="bookmark2" w:history="1"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范围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3"/>
                <w:w w:val="78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w w:val="78"/>
                <w:position w:val="3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-16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w w:val="78"/>
                <w:position w:val="3"/>
                <w:sz w:val="24"/>
                <w:szCs w:val="24"/>
              </w:rPr>
              <w:t>)</w:t>
            </w:r>
          </w:hyperlink>
        </w:p>
        <w:p>
          <w:pPr>
            <w:tabs>
              <w:tab w:val="right" w:leader="dot" w:pos="9319"/>
            </w:tabs>
            <w:spacing w:before="140" w:line="228" w:lineRule="auto"/>
            <w:ind w:left="161"/>
            <w:rPr>
              <w:rFonts w:ascii="SimSun" w:eastAsia="SimSun" w:hAnsi="SimSun" w:cs="SimSun"/>
              <w:sz w:val="24"/>
              <w:szCs w:val="24"/>
            </w:rPr>
          </w:pPr>
          <w:bookmarkStart w:id="2" w:name="bookmark3"/>
          <w:bookmarkEnd w:id="2"/>
          <w:hyperlink w:anchor="bookmark3" w:history="1"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术语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3"/>
                <w:w w:val="78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w w:val="78"/>
                <w:position w:val="3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-16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w w:val="78"/>
                <w:position w:val="3"/>
                <w:sz w:val="24"/>
                <w:szCs w:val="24"/>
              </w:rPr>
              <w:t>)</w:t>
            </w:r>
          </w:hyperlink>
        </w:p>
        <w:p>
          <w:pPr>
            <w:tabs>
              <w:tab w:val="right" w:leader="dot" w:pos="9319"/>
            </w:tabs>
            <w:spacing w:before="142" w:line="228" w:lineRule="auto"/>
            <w:ind w:left="163"/>
            <w:rPr>
              <w:rFonts w:ascii="SimSun" w:eastAsia="SimSun" w:hAnsi="SimSun" w:cs="SimSun"/>
              <w:sz w:val="24"/>
              <w:szCs w:val="24"/>
            </w:rPr>
          </w:pPr>
          <w:bookmarkStart w:id="3" w:name="bookmark4"/>
          <w:bookmarkEnd w:id="3"/>
          <w:hyperlink w:anchor="bookmark4" w:history="1"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概述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3"/>
                <w:w w:val="78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w w:val="78"/>
                <w:position w:val="3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-16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w w:val="78"/>
                <w:position w:val="3"/>
                <w:sz w:val="24"/>
                <w:szCs w:val="24"/>
              </w:rPr>
              <w:t>)</w:t>
            </w:r>
          </w:hyperlink>
        </w:p>
        <w:p>
          <w:pPr>
            <w:tabs>
              <w:tab w:val="right" w:leader="dot" w:pos="9319"/>
            </w:tabs>
            <w:spacing w:before="140" w:line="230" w:lineRule="auto"/>
            <w:ind w:left="157"/>
            <w:rPr>
              <w:rFonts w:ascii="SimSun" w:eastAsia="SimSun" w:hAnsi="SimSun" w:cs="SimSun"/>
              <w:sz w:val="24"/>
              <w:szCs w:val="24"/>
            </w:rPr>
          </w:pPr>
          <w:bookmarkStart w:id="4" w:name="bookmark5"/>
          <w:bookmarkEnd w:id="4"/>
          <w:hyperlink w:anchor="bookmark5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计量性能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6"/>
                <w:w w:val="76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w w:val="76"/>
                <w:position w:val="3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-16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w w:val="76"/>
                <w:position w:val="3"/>
                <w:sz w:val="24"/>
                <w:szCs w:val="24"/>
              </w:rPr>
              <w:t>)</w:t>
            </w:r>
          </w:hyperlink>
        </w:p>
        <w:p>
          <w:pPr>
            <w:tabs>
              <w:tab w:val="right" w:leader="dot" w:pos="9319"/>
            </w:tabs>
            <w:spacing w:before="140" w:line="228" w:lineRule="auto"/>
            <w:ind w:left="163"/>
            <w:rPr>
              <w:rFonts w:ascii="SimSun" w:eastAsia="SimSun" w:hAnsi="SimSun" w:cs="SimSun"/>
              <w:sz w:val="24"/>
              <w:szCs w:val="24"/>
            </w:rPr>
          </w:pPr>
          <w:bookmarkStart w:id="5" w:name="bookmark6"/>
          <w:bookmarkEnd w:id="5"/>
          <w:hyperlink w:anchor="bookmark6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5</w:t>
            </w:r>
            <w:r>
              <w:rPr>
                <w:rFonts w:ascii="SimSun" w:eastAsia="SimSun" w:hAnsi="SimSun" w:cs="SimSun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校准条件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7"/>
                <w:w w:val="76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w w:val="76"/>
                <w:position w:val="3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spacing w:val="-16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w w:val="76"/>
                <w:position w:val="3"/>
                <w:sz w:val="24"/>
                <w:szCs w:val="24"/>
              </w:rPr>
              <w:t>)</w:t>
            </w:r>
          </w:hyperlink>
        </w:p>
        <w:p>
          <w:pPr>
            <w:tabs>
              <w:tab w:val="right" w:leader="dot" w:pos="9319"/>
            </w:tabs>
            <w:spacing w:before="141" w:line="229" w:lineRule="auto"/>
            <w:ind w:left="160"/>
            <w:rPr>
              <w:rFonts w:ascii="SimSun" w:eastAsia="SimSun" w:hAnsi="SimSun" w:cs="SimSun"/>
              <w:sz w:val="24"/>
              <w:szCs w:val="24"/>
            </w:rPr>
          </w:pPr>
          <w:bookmarkStart w:id="6" w:name="bookmark7"/>
          <w:bookmarkEnd w:id="6"/>
          <w:hyperlink w:anchor="bookmark7" w:history="1"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6  校准项目和校准方法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7"/>
                <w:w w:val="76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w w:val="76"/>
                <w:position w:val="3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spacing w:val="-16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w w:val="76"/>
                <w:position w:val="3"/>
                <w:sz w:val="24"/>
                <w:szCs w:val="24"/>
              </w:rPr>
              <w:t>)</w:t>
            </w:r>
          </w:hyperlink>
        </w:p>
        <w:p>
          <w:pPr>
            <w:tabs>
              <w:tab w:val="right" w:leader="dot" w:pos="9320"/>
            </w:tabs>
            <w:spacing w:before="141" w:line="229" w:lineRule="auto"/>
            <w:ind w:left="164"/>
            <w:rPr>
              <w:rFonts w:ascii="SimSun" w:eastAsia="SimSun" w:hAnsi="SimSun" w:cs="SimSun"/>
              <w:sz w:val="24"/>
              <w:szCs w:val="24"/>
            </w:rPr>
          </w:pPr>
          <w:bookmarkStart w:id="7" w:name="bookmark8"/>
          <w:bookmarkEnd w:id="7"/>
          <w:hyperlink w:anchor="bookmark8" w:history="1"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7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校准结果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7"/>
                <w:w w:val="76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w w:val="76"/>
                <w:position w:val="3"/>
                <w:sz w:val="24"/>
                <w:szCs w:val="24"/>
              </w:rPr>
              <w:t>5</w:t>
            </w:r>
            <w:r>
              <w:rPr>
                <w:rFonts w:ascii="SimSun" w:eastAsia="SimSun" w:hAnsi="SimSun" w:cs="SimSun"/>
                <w:spacing w:val="-19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w w:val="76"/>
                <w:position w:val="3"/>
                <w:sz w:val="24"/>
                <w:szCs w:val="24"/>
              </w:rPr>
              <w:t>)</w:t>
            </w:r>
          </w:hyperlink>
        </w:p>
        <w:p>
          <w:pPr>
            <w:tabs>
              <w:tab w:val="right" w:leader="dot" w:pos="9320"/>
            </w:tabs>
            <w:spacing w:before="140" w:line="229" w:lineRule="auto"/>
            <w:ind w:left="159"/>
            <w:rPr>
              <w:rFonts w:ascii="SimSun" w:eastAsia="SimSun" w:hAnsi="SimSun" w:cs="SimSun"/>
              <w:sz w:val="24"/>
              <w:szCs w:val="24"/>
            </w:rPr>
          </w:pPr>
          <w:bookmarkStart w:id="8" w:name="bookmark9"/>
          <w:bookmarkEnd w:id="8"/>
          <w:hyperlink w:anchor="bookmark9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8</w:t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复校时间间隔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7"/>
                <w:w w:val="77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w w:val="77"/>
                <w:position w:val="3"/>
                <w:sz w:val="24"/>
                <w:szCs w:val="24"/>
              </w:rPr>
              <w:t>6</w:t>
            </w:r>
            <w:r>
              <w:rPr>
                <w:rFonts w:ascii="SimSun" w:eastAsia="SimSun" w:hAnsi="SimSun" w:cs="SimSun"/>
                <w:spacing w:val="-18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w w:val="77"/>
                <w:position w:val="3"/>
                <w:sz w:val="24"/>
                <w:szCs w:val="24"/>
              </w:rPr>
              <w:t>)</w:t>
            </w:r>
          </w:hyperlink>
        </w:p>
        <w:p>
          <w:pPr>
            <w:tabs>
              <w:tab w:val="right" w:leader="dot" w:pos="9320"/>
            </w:tabs>
            <w:spacing w:before="140" w:line="228" w:lineRule="auto"/>
            <w:ind w:left="177"/>
            <w:rPr>
              <w:rFonts w:ascii="SimSun" w:eastAsia="SimSun" w:hAnsi="SimSun" w:cs="SimSun"/>
              <w:sz w:val="24"/>
              <w:szCs w:val="24"/>
            </w:rPr>
          </w:pPr>
          <w:bookmarkStart w:id="9" w:name="bookmark10"/>
          <w:bookmarkEnd w:id="9"/>
          <w:hyperlink w:anchor="bookmark10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A  标准溶液的配制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0"/>
                <w:w w:val="89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-20"/>
                <w:w w:val="89"/>
                <w:position w:val="3"/>
                <w:sz w:val="24"/>
                <w:szCs w:val="24"/>
              </w:rPr>
              <w:t>7</w:t>
            </w:r>
            <w:r>
              <w:rPr>
                <w:rFonts w:ascii="SimSun" w:eastAsia="SimSun" w:hAnsi="SimSun" w:cs="SimSun"/>
                <w:spacing w:val="-19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w w:val="89"/>
                <w:position w:val="3"/>
                <w:sz w:val="24"/>
                <w:szCs w:val="24"/>
              </w:rPr>
              <w:t>)</w:t>
            </w:r>
          </w:hyperlink>
        </w:p>
        <w:p>
          <w:pPr>
            <w:tabs>
              <w:tab w:val="right" w:leader="dot" w:pos="9320"/>
            </w:tabs>
            <w:spacing w:before="141" w:line="228" w:lineRule="auto"/>
            <w:ind w:left="177"/>
            <w:rPr>
              <w:rFonts w:ascii="SimSun" w:eastAsia="SimSun" w:hAnsi="SimSun" w:cs="SimSun"/>
              <w:sz w:val="24"/>
              <w:szCs w:val="24"/>
            </w:rPr>
          </w:pPr>
          <w:bookmarkStart w:id="10" w:name="bookmark11"/>
          <w:bookmarkEnd w:id="10"/>
          <w:hyperlink w:anchor="bookmark11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B  氧化-还原电位测定仪校准记录参考格式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9"/>
                <w:w w:val="93"/>
                <w:sz w:val="24"/>
                <w:szCs w:val="24"/>
              </w:rPr>
              <w:t>(</w:t>
            </w:r>
            <w:r>
              <w:rPr>
                <w:rFonts w:ascii="SimSun" w:eastAsia="SimSun" w:hAnsi="SimSun" w:cs="SimSun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9"/>
                <w:w w:val="93"/>
                <w:position w:val="3"/>
                <w:sz w:val="24"/>
                <w:szCs w:val="24"/>
              </w:rPr>
              <w:t>8</w:t>
            </w:r>
            <w:r>
              <w:rPr>
                <w:rFonts w:ascii="SimSun" w:eastAsia="SimSun" w:hAnsi="SimSun" w:cs="SimSun"/>
                <w:spacing w:val="-19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9"/>
                <w:w w:val="93"/>
                <w:position w:val="3"/>
                <w:sz w:val="24"/>
                <w:szCs w:val="24"/>
              </w:rPr>
              <w:t>)</w:t>
            </w:r>
          </w:hyperlink>
        </w:p>
        <w:p>
          <w:pPr>
            <w:tabs>
              <w:tab w:val="right" w:leader="dot" w:pos="9320"/>
            </w:tabs>
            <w:spacing w:before="142" w:line="326" w:lineRule="exact"/>
            <w:ind w:left="177"/>
            <w:rPr>
              <w:rFonts w:ascii="SimSun" w:eastAsia="SimSun" w:hAnsi="SimSun" w:cs="SimSun"/>
              <w:sz w:val="24"/>
              <w:szCs w:val="24"/>
            </w:rPr>
          </w:pPr>
          <w:bookmarkStart w:id="11" w:name="bookmark12"/>
          <w:bookmarkEnd w:id="11"/>
          <w:hyperlink w:anchor="bookmark12" w:history="1">
            <w:r>
              <w:rPr>
                <w:rFonts w:ascii="SimSun" w:eastAsia="SimSun" w:hAnsi="SimSun" w:cs="SimSun"/>
                <w:spacing w:val="-3"/>
                <w:position w:val="1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45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position w:val="1"/>
                <w:sz w:val="24"/>
                <w:szCs w:val="24"/>
              </w:rPr>
              <w:t>C  校准结果内页推荐格式</w:t>
            </w:r>
            <w:r>
              <w:rPr>
                <w:rFonts w:ascii="SimSun" w:eastAsia="SimSun" w:hAnsi="SimSun" w:cs="SimSun"/>
                <w:position w:val="1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6"/>
                <w:w w:val="95"/>
                <w:position w:val="1"/>
                <w:sz w:val="24"/>
                <w:szCs w:val="24"/>
              </w:rPr>
              <w:t>(10)</w:t>
            </w:r>
          </w:hyperlink>
        </w:p>
        <w:p>
          <w:pPr>
            <w:tabs>
              <w:tab w:val="right" w:leader="dot" w:pos="9320"/>
            </w:tabs>
            <w:spacing w:before="142" w:line="326" w:lineRule="exact"/>
            <w:ind w:left="177"/>
            <w:rPr>
              <w:rFonts w:ascii="SimSun" w:eastAsia="SimSun" w:hAnsi="SimSun" w:cs="SimSun"/>
              <w:sz w:val="24"/>
              <w:szCs w:val="24"/>
            </w:rPr>
          </w:pPr>
          <w:bookmarkStart w:id="12" w:name="bookmark13"/>
          <w:bookmarkEnd w:id="12"/>
          <w:hyperlink w:anchor="bookmark13" w:history="1">
            <w:r>
              <w:rPr>
                <w:rFonts w:ascii="SimSun" w:eastAsia="SimSun" w:hAnsi="SimSun" w:cs="SimSun"/>
                <w:spacing w:val="-2"/>
                <w:position w:val="1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50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1"/>
                <w:sz w:val="24"/>
                <w:szCs w:val="24"/>
              </w:rPr>
              <w:t>D  仪器示值误差的不确定度评定示例</w:t>
            </w:r>
            <w:r>
              <w:rPr>
                <w:rFonts w:ascii="SimSun" w:eastAsia="SimSun" w:hAnsi="SimSun" w:cs="SimSun"/>
                <w:position w:val="1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32"/>
                <w:position w:val="1"/>
                <w:sz w:val="24"/>
                <w:szCs w:val="24"/>
              </w:rPr>
              <w:t>(11)</w:t>
            </w:r>
          </w:hyperlink>
        </w:p>
      </w:sdtContent>
    </w:sdt>
    <w:p>
      <w:pPr>
        <w:spacing w:line="326" w:lineRule="exact"/>
        <w:rPr>
          <w:rFonts w:ascii="SimSun" w:eastAsia="SimSun" w:hAnsi="SimSun" w:cs="SimSun"/>
          <w:sz w:val="24"/>
          <w:szCs w:val="24"/>
        </w:rPr>
        <w:sectPr>
          <w:headerReference w:type="default" r:id="rId12"/>
          <w:footerReference w:type="default" r:id="rId13"/>
          <w:pgSz w:w="11906" w:h="16839"/>
          <w:pgMar w:top="1735" w:right="1132" w:bottom="1581" w:left="1418" w:header="1431" w:footer="1421" w:gutter="0"/>
          <w:pgNumType w:start="6"/>
          <w:cols w:space="708"/>
        </w:sectPr>
      </w:pPr>
    </w:p>
    <w:p>
      <w:pPr>
        <w:spacing w:before="341" w:line="227" w:lineRule="auto"/>
        <w:ind w:left="4072"/>
        <w:outlineLvl w:val="0"/>
        <w:rPr>
          <w:rFonts w:ascii="SimHei" w:eastAsia="SimHei" w:hAnsi="SimHei" w:cs="SimHei"/>
          <w:sz w:val="43"/>
          <w:szCs w:val="43"/>
        </w:rPr>
      </w:pPr>
      <w:bookmarkStart w:id="13" w:name="bookmark14"/>
      <w:bookmarkEnd w:id="13"/>
      <w:r>
        <w:rPr>
          <w:rFonts w:ascii="SimHei" w:eastAsia="SimHei" w:hAnsi="SimHei" w:cs="SimHei"/>
          <w:spacing w:val="-23"/>
          <w:sz w:val="43"/>
          <w:szCs w:val="43"/>
        </w:rPr>
        <w:t>引</w:t>
      </w:r>
      <w:r>
        <w:rPr>
          <w:rFonts w:ascii="SimHei" w:eastAsia="SimHei" w:hAnsi="SimHei" w:cs="SimHei"/>
          <w:spacing w:val="21"/>
          <w:sz w:val="43"/>
          <w:szCs w:val="43"/>
        </w:rPr>
        <w:t xml:space="preserve">  </w:t>
      </w:r>
      <w:r>
        <w:rPr>
          <w:rFonts w:ascii="SimHei" w:eastAsia="SimHei" w:hAnsi="SimHei" w:cs="SimHei"/>
          <w:spacing w:val="-23"/>
          <w:sz w:val="43"/>
          <w:szCs w:val="43"/>
        </w:rPr>
        <w:t>言</w:t>
      </w:r>
    </w:p>
    <w:p>
      <w:pPr>
        <w:pStyle w:val="BodyText"/>
        <w:spacing w:line="345" w:lineRule="auto"/>
      </w:pPr>
    </w:p>
    <w:p>
      <w:pPr>
        <w:spacing w:before="78" w:line="356" w:lineRule="auto"/>
        <w:ind w:left="6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4"/>
          <w:sz w:val="24"/>
          <w:szCs w:val="24"/>
        </w:rPr>
        <w:t>JJF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1071《国家计量校准规范编写规则》、JJF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1001《通用计量术语及定义》和</w:t>
      </w:r>
      <w:r>
        <w:rPr>
          <w:rFonts w:ascii="SimSun" w:eastAsia="SimSun" w:hAnsi="SimSun" w:cs="SimSun"/>
          <w:spacing w:val="-5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JJF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1059.1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z w:val="24"/>
          <w:szCs w:val="24"/>
        </w:rPr>
        <w:t>《测量不确定度评定与表示》共同构成支撑本规范制定</w:t>
      </w:r>
      <w:r>
        <w:rPr>
          <w:rFonts w:ascii="SimSun" w:eastAsia="SimSun" w:hAnsi="SimSun" w:cs="SimSun"/>
          <w:spacing w:val="-1"/>
          <w:sz w:val="24"/>
          <w:szCs w:val="24"/>
        </w:rPr>
        <w:t>工作的基础性系列规范。本规范在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制定中参考了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JJG 119-2018《实验室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pH（酸度）计》、JJG 757-</w:t>
      </w:r>
      <w:r>
        <w:rPr>
          <w:rFonts w:ascii="SimSun" w:eastAsia="SimSun" w:hAnsi="SimSun" w:cs="SimSun"/>
          <w:spacing w:val="-3"/>
          <w:sz w:val="24"/>
          <w:szCs w:val="24"/>
        </w:rPr>
        <w:t>2018《实验室离子计》、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GB/T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20245.5-2013《电化学分析仪器性能表示 第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5</w:t>
      </w:r>
      <w:r>
        <w:rPr>
          <w:rFonts w:ascii="SimSun" w:eastAsia="SimSun" w:hAnsi="SimSun" w:cs="SimSun"/>
          <w:spacing w:val="-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部分：氧</w:t>
      </w:r>
      <w:r>
        <w:rPr>
          <w:rFonts w:ascii="SimSun" w:eastAsia="SimSun" w:hAnsi="SimSun" w:cs="SimSun"/>
          <w:spacing w:val="-2"/>
          <w:sz w:val="24"/>
          <w:szCs w:val="24"/>
        </w:rPr>
        <w:t>化还原电位》、HJ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746-2015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8"/>
          <w:sz w:val="24"/>
          <w:szCs w:val="24"/>
        </w:rPr>
        <w:t>《土壤 氧化还原电位的测定</w:t>
      </w:r>
      <w:r>
        <w:rPr>
          <w:rFonts w:ascii="SimSun" w:eastAsia="SimSun" w:hAnsi="SimSun" w:cs="SimSun"/>
          <w:spacing w:val="3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电位法》、SL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94-1994《</w:t>
      </w:r>
      <w:r>
        <w:rPr>
          <w:rFonts w:ascii="SimSun" w:eastAsia="SimSun" w:hAnsi="SimSun" w:cs="SimSun"/>
          <w:spacing w:val="-9"/>
          <w:sz w:val="24"/>
          <w:szCs w:val="24"/>
        </w:rPr>
        <w:t>氧化还原电位的测定（电位测定法）》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的技术要求和试验方法。</w:t>
      </w:r>
    </w:p>
    <w:p>
      <w:pPr>
        <w:spacing w:before="35" w:line="219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本规范为首次发布。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4"/>
          <w:footerReference w:type="default" r:id="rId15"/>
          <w:pgSz w:w="11906" w:h="16839"/>
          <w:pgMar w:top="1735" w:right="1029" w:bottom="1569" w:left="1418" w:header="1431" w:footer="1409" w:gutter="0"/>
          <w:pgNumType w:start="7"/>
          <w:cols w:space="708"/>
        </w:sectPr>
      </w:pPr>
    </w:p>
    <w:p>
      <w:pPr>
        <w:pStyle w:val="BodyText"/>
        <w:spacing w:line="394" w:lineRule="auto"/>
      </w:pPr>
    </w:p>
    <w:p>
      <w:pPr>
        <w:spacing w:before="101" w:line="226" w:lineRule="auto"/>
        <w:ind w:left="2410"/>
        <w:rPr>
          <w:rFonts w:ascii="SimHei" w:eastAsia="SimHei" w:hAnsi="SimHei" w:cs="SimHei"/>
          <w:sz w:val="31"/>
          <w:szCs w:val="31"/>
        </w:rPr>
      </w:pPr>
      <w:bookmarkStart w:id="14" w:name="bookmark15"/>
      <w:bookmarkEnd w:id="14"/>
      <w:r>
        <w:rPr>
          <w:rFonts w:ascii="SimHei" w:eastAsia="SimHei" w:hAnsi="SimHei" w:cs="SimHei"/>
          <w:spacing w:val="8"/>
          <w:sz w:val="31"/>
          <w:szCs w:val="31"/>
        </w:rPr>
        <w:t>氧化-还原电位测定仪校准规范</w:t>
      </w: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spacing w:before="78" w:line="223" w:lineRule="auto"/>
        <w:ind w:left="21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2"/>
          <w:sz w:val="24"/>
          <w:szCs w:val="24"/>
        </w:rPr>
        <w:t>1</w:t>
      </w:r>
      <w:r>
        <w:rPr>
          <w:rFonts w:ascii="SimHei" w:eastAsia="SimHei" w:hAnsi="SimHei" w:cs="SimHei"/>
          <w:spacing w:val="6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2"/>
          <w:sz w:val="24"/>
          <w:szCs w:val="24"/>
        </w:rPr>
        <w:t>范围</w:t>
      </w:r>
    </w:p>
    <w:p>
      <w:pPr>
        <w:pStyle w:val="BodyText"/>
        <w:spacing w:line="331" w:lineRule="auto"/>
      </w:pPr>
    </w:p>
    <w:p>
      <w:pPr>
        <w:spacing w:before="78" w:line="219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本规范适用于氧化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SimSun" w:eastAsia="SimSun" w:hAnsi="SimSun" w:cs="SimSun"/>
          <w:spacing w:val="-1"/>
          <w:sz w:val="24"/>
          <w:szCs w:val="24"/>
        </w:rPr>
        <w:t>还原电位测定仪的校准。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78" w:line="222" w:lineRule="auto"/>
        <w:ind w:left="7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6"/>
          <w:sz w:val="24"/>
          <w:szCs w:val="24"/>
        </w:rPr>
        <w:t>2</w:t>
      </w:r>
      <w:r>
        <w:rPr>
          <w:rFonts w:ascii="SimHei" w:eastAsia="SimHei" w:hAnsi="SimHei" w:cs="SimHei"/>
          <w:spacing w:val="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6"/>
          <w:sz w:val="24"/>
          <w:szCs w:val="24"/>
        </w:rPr>
        <w:t>术语</w:t>
      </w:r>
    </w:p>
    <w:p>
      <w:pPr>
        <w:pStyle w:val="BodyText"/>
        <w:spacing w:line="331" w:lineRule="auto"/>
      </w:pPr>
    </w:p>
    <w:p>
      <w:pPr>
        <w:spacing w:before="78" w:line="216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2.1  氧化还原体系 redox</w:t>
      </w:r>
      <w:r>
        <w:rPr>
          <w:rFonts w:ascii="SimSun" w:eastAsia="SimSun" w:hAnsi="SimSun" w:cs="SimSun"/>
          <w:spacing w:val="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system</w:t>
      </w:r>
    </w:p>
    <w:p>
      <w:pPr>
        <w:spacing w:before="188" w:line="346" w:lineRule="auto"/>
        <w:ind w:left="13" w:right="234" w:firstLine="47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氧化还原体系由给定溶液中的各种氧化态和还原态物质</w:t>
      </w:r>
      <w:r>
        <w:rPr>
          <w:rFonts w:ascii="SimSun" w:eastAsia="SimSun" w:hAnsi="SimSun" w:cs="SimSun"/>
          <w:spacing w:val="-1"/>
          <w:sz w:val="24"/>
          <w:szCs w:val="24"/>
        </w:rPr>
        <w:t>组成，仅当溶液中的电化学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活性物质可通过得失电子相互转换并达到平衡时才存在。</w:t>
      </w:r>
    </w:p>
    <w:p>
      <w:pPr>
        <w:spacing w:before="33" w:line="221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2.2  参比电极 reference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electrode</w:t>
      </w:r>
    </w:p>
    <w:p>
      <w:pPr>
        <w:spacing w:before="178" w:line="347" w:lineRule="auto"/>
        <w:ind w:left="15" w:right="152" w:firstLine="50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内充溶液组成固定、可逆性好，在电化学测试中电位</w:t>
      </w:r>
      <w:r>
        <w:rPr>
          <w:rFonts w:ascii="SimSun" w:eastAsia="SimSun" w:hAnsi="SimSun" w:cs="SimSun"/>
          <w:spacing w:val="-6"/>
          <w:sz w:val="24"/>
          <w:szCs w:val="24"/>
        </w:rPr>
        <w:t>保持稳定的电极称为参比电极。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常用的参比电极包括银-氯化银电极、甘汞电极等。</w:t>
      </w:r>
    </w:p>
    <w:p>
      <w:pPr>
        <w:spacing w:before="33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2.3  氧化还原电极 redox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electr</w:t>
      </w:r>
      <w:r>
        <w:rPr>
          <w:rFonts w:ascii="SimSun" w:eastAsia="SimSun" w:hAnsi="SimSun" w:cs="SimSun"/>
          <w:spacing w:val="-2"/>
          <w:sz w:val="24"/>
          <w:szCs w:val="24"/>
        </w:rPr>
        <w:t>ode</w:t>
      </w:r>
    </w:p>
    <w:p>
      <w:pPr>
        <w:spacing w:before="183" w:line="346" w:lineRule="auto"/>
        <w:ind w:left="14" w:right="234" w:firstLine="47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氧化还原电极是一种表面惰性的电极。氧化还原体系中</w:t>
      </w:r>
      <w:r>
        <w:rPr>
          <w:rFonts w:ascii="SimSun" w:eastAsia="SimSun" w:hAnsi="SimSun" w:cs="SimSun"/>
          <w:spacing w:val="-1"/>
          <w:sz w:val="24"/>
          <w:szCs w:val="24"/>
        </w:rPr>
        <w:t>的电化学活性物质在其表面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交换电子。典型的电极材料是铂或金。</w:t>
      </w:r>
    </w:p>
    <w:p>
      <w:pPr>
        <w:pStyle w:val="BodyText"/>
        <w:spacing w:line="265" w:lineRule="auto"/>
      </w:pPr>
    </w:p>
    <w:p>
      <w:pPr>
        <w:spacing w:before="79" w:line="221" w:lineRule="auto"/>
        <w:ind w:left="9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6"/>
          <w:sz w:val="24"/>
          <w:szCs w:val="24"/>
        </w:rPr>
        <w:t>3</w:t>
      </w:r>
      <w:r>
        <w:rPr>
          <w:rFonts w:ascii="SimHei" w:eastAsia="SimHei" w:hAnsi="SimHei" w:cs="SimHei"/>
          <w:spacing w:val="3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6"/>
          <w:sz w:val="24"/>
          <w:szCs w:val="24"/>
        </w:rPr>
        <w:t>概述</w:t>
      </w:r>
    </w:p>
    <w:p>
      <w:pPr>
        <w:pStyle w:val="BodyText"/>
        <w:spacing w:line="412" w:lineRule="auto"/>
      </w:pPr>
    </w:p>
    <w:p>
      <w:pPr>
        <w:spacing w:before="79" w:line="350" w:lineRule="auto"/>
        <w:ind w:left="9" w:right="234" w:firstLine="480"/>
        <w:jc w:val="both"/>
        <w:rPr>
          <w:rFonts w:ascii="SimSun" w:eastAsia="SimSun" w:hAnsi="SimSun" w:cs="SimSun"/>
          <w:sz w:val="24"/>
          <w:szCs w:val="24"/>
        </w:rPr>
        <w:sectPr>
          <w:headerReference w:type="default" r:id="rId16"/>
          <w:footerReference w:type="default" r:id="rId17"/>
          <w:pgSz w:w="11906" w:h="16839"/>
          <w:pgMar w:top="1736" w:right="1133" w:bottom="2009" w:left="1418" w:header="1431" w:footer="1830" w:gutter="0"/>
          <w:pgNumType w:start="8"/>
          <w:cols w:space="708"/>
        </w:sectPr>
      </w:pPr>
      <w:r>
        <w:rPr>
          <w:rFonts w:ascii="SimSun" w:eastAsia="SimSun" w:hAnsi="SimSun" w:cs="SimSun"/>
          <w:sz w:val="24"/>
          <w:szCs w:val="24"/>
        </w:rPr>
        <w:t>氧化-还原电位测定仪（Oxidation-Red</w:t>
      </w:r>
      <w:r>
        <w:rPr>
          <w:rFonts w:ascii="SimSun" w:eastAsia="SimSun" w:hAnsi="SimSun" w:cs="SimSun"/>
          <w:spacing w:val="-1"/>
          <w:sz w:val="24"/>
          <w:szCs w:val="24"/>
        </w:rPr>
        <w:t>uction Potential Meter，以下简称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ORP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测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定仪）是一种电化学分析仪器，用于测量介质中氧化还原电极</w:t>
      </w:r>
      <w:r>
        <w:rPr>
          <w:rFonts w:ascii="SimSun" w:eastAsia="SimSun" w:hAnsi="SimSun" w:cs="SimSun"/>
          <w:spacing w:val="-1"/>
          <w:sz w:val="24"/>
          <w:szCs w:val="24"/>
        </w:rPr>
        <w:t>与参比电极间电动势的仪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器。仪器主要由电位差计、金属电极与参比电极组成。</w:t>
      </w:r>
    </w:p>
    <w:p>
      <w:pPr>
        <w:spacing w:before="32" w:line="351" w:lineRule="auto"/>
        <w:ind w:left="8" w:right="170" w:firstLine="481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氧化-还原电位测定仪采用比较法测量氧化还原电位。将氧化还原电极与参比电极置</w:t>
      </w:r>
      <w:r>
        <w:rPr>
          <w:rFonts w:ascii="SimSun" w:eastAsia="SimSun" w:hAnsi="SimSun" w:cs="SimSun"/>
          <w:spacing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入氧化还原体系溶液中，测得体系的氧化还原电位。在溶液中存在多个氧化还原体系时，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测量到的是一种复合电位。用惰性电极测得的氧化还原电位与氧</w:t>
      </w:r>
      <w:r>
        <w:rPr>
          <w:rFonts w:ascii="SimSun" w:eastAsia="SimSun" w:hAnsi="SimSun" w:cs="SimSun"/>
          <w:spacing w:val="-1"/>
          <w:sz w:val="24"/>
          <w:szCs w:val="24"/>
        </w:rPr>
        <w:t>化剂、还原剂活度之间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的关系可以用能斯特方程（Nernst equation</w:t>
      </w:r>
      <w:r>
        <w:rPr>
          <w:rFonts w:ascii="SimSun" w:eastAsia="SimSun" w:hAnsi="SimSun" w:cs="SimSun"/>
          <w:spacing w:val="-1"/>
          <w:sz w:val="24"/>
          <w:szCs w:val="24"/>
        </w:rPr>
        <w:t>）表示，见式（1）。</w:t>
      </w:r>
    </w:p>
    <w:p>
      <w:pPr>
        <w:ind w:right="1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i/>
          <w:iCs/>
          <w:spacing w:val="1"/>
          <w:sz w:val="25"/>
          <w:szCs w:val="25"/>
        </w:rPr>
        <w:t>E</w:t>
      </w:r>
      <w:r>
        <w:rPr>
          <w:rFonts w:ascii="SimSun" w:eastAsia="SimSun" w:hAnsi="SimSun" w:cs="SimSun"/>
          <w:spacing w:val="-51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= </w:t>
      </w:r>
      <w:r>
        <w:rPr>
          <w:rFonts w:ascii="SimSun" w:eastAsia="SimSun" w:hAnsi="SimSun" w:cs="SimSun"/>
          <w:i/>
          <w:iCs/>
          <w:spacing w:val="1"/>
          <w:sz w:val="25"/>
          <w:szCs w:val="25"/>
        </w:rPr>
        <w:t>E</w:t>
      </w:r>
      <w:r>
        <w:rPr>
          <w:rFonts w:ascii="SimSun" w:eastAsia="SimSun" w:hAnsi="SimSun" w:cs="SimSun"/>
          <w:spacing w:val="1"/>
          <w:position w:val="-4"/>
          <w:sz w:val="16"/>
          <w:szCs w:val="16"/>
        </w:rPr>
        <w:t>0</w:t>
      </w:r>
      <w:r>
        <w:rPr>
          <w:rFonts w:ascii="SimSun" w:eastAsia="SimSun" w:hAnsi="SimSun" w:cs="SimSun"/>
          <w:spacing w:val="61"/>
          <w:w w:val="101"/>
          <w:position w:val="-4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+</w:t>
      </w:r>
      <w:r>
        <w:rPr>
          <w:rFonts w:ascii="SimSun" w:eastAsia="SimSun" w:hAnsi="SimSun" w:cs="SimSun"/>
          <w:spacing w:val="-88"/>
          <w:sz w:val="24"/>
          <w:szCs w:val="24"/>
        </w:rPr>
        <w:t xml:space="preserve"> </w:t>
      </w:r>
      <w:r>
        <w:rPr>
          <w:position w:val="-15"/>
          <w:sz w:val="24"/>
          <w:szCs w:val="24"/>
        </w:rPr>
        <w:drawing>
          <wp:inline distT="0" distB="0" distL="0" distR="0">
            <wp:extent cx="198666" cy="32125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8666" cy="321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4"/>
          <w:szCs w:val="24"/>
        </w:rPr>
        <w:t>ln</w:t>
      </w:r>
      <w:r>
        <w:rPr>
          <w:position w:val="-22"/>
          <w:sz w:val="24"/>
          <w:szCs w:val="24"/>
        </w:rPr>
        <w:drawing>
          <wp:inline distT="0" distB="0" distL="0" distR="0">
            <wp:extent cx="265847" cy="39333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5847" cy="39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"/>
          <w:sz w:val="24"/>
          <w:szCs w:val="24"/>
        </w:rPr>
        <w:t xml:space="preserve">                            （1）</w:t>
      </w:r>
    </w:p>
    <w:p>
      <w:pPr>
        <w:rPr>
          <w:rFonts w:ascii="SimSun" w:eastAsia="SimSun" w:hAnsi="SimSun" w:cs="SimSun"/>
          <w:sz w:val="24"/>
          <w:szCs w:val="24"/>
        </w:rPr>
        <w:sectPr>
          <w:headerReference w:type="default" r:id="rId20"/>
          <w:footerReference w:type="default" r:id="rId21"/>
          <w:type w:val="nextPage"/>
          <w:pgSz w:w="11906" w:h="16839"/>
          <w:pgMar w:top="1736" w:right="1133" w:bottom="2009" w:left="1418" w:header="1431" w:footer="1830" w:gutter="0"/>
          <w:pgNumType w:start="9"/>
          <w:cols w:space="708"/>
          <w:titlePg w:val="0"/>
        </w:sectPr>
      </w:pPr>
    </w:p>
    <w:p>
      <w:pPr>
        <w:spacing w:before="282" w:line="221" w:lineRule="auto"/>
        <w:ind w:left="494"/>
        <w:rPr>
          <w:rFonts w:ascii="SimSun" w:eastAsia="SimSun" w:hAnsi="SimSun" w:cs="SimSun"/>
          <w:sz w:val="24"/>
          <w:szCs w:val="24"/>
        </w:rPr>
      </w:pPr>
      <w:bookmarkStart w:id="15" w:name="bookmark16"/>
      <w:bookmarkEnd w:id="15"/>
      <w:r>
        <w:rPr>
          <w:rFonts w:ascii="SimSun" w:eastAsia="SimSun" w:hAnsi="SimSun" w:cs="SimSun"/>
          <w:spacing w:val="-5"/>
          <w:sz w:val="24"/>
          <w:szCs w:val="24"/>
        </w:rPr>
        <w:t>式中：</w:t>
      </w:r>
    </w:p>
    <w:p>
      <w:pPr>
        <w:spacing w:before="181" w:line="214" w:lineRule="auto"/>
        <w:ind w:left="4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i/>
          <w:iCs/>
          <w:spacing w:val="-2"/>
          <w:sz w:val="25"/>
          <w:szCs w:val="25"/>
        </w:rPr>
        <w:t>E</w:t>
      </w:r>
      <w:r>
        <w:rPr>
          <w:rFonts w:ascii="SimSun" w:eastAsia="SimSun" w:hAnsi="SimSun" w:cs="SimSun"/>
          <w:spacing w:val="-2"/>
          <w:sz w:val="24"/>
          <w:szCs w:val="24"/>
        </w:rPr>
        <w:t>——电极电位，V；</w:t>
      </w:r>
    </w:p>
    <w:p>
      <w:pPr>
        <w:spacing w:before="175" w:line="210" w:lineRule="auto"/>
        <w:ind w:left="4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i/>
          <w:iCs/>
          <w:spacing w:val="13"/>
          <w:w w:val="122"/>
          <w:sz w:val="25"/>
          <w:szCs w:val="25"/>
        </w:rPr>
        <w:t>E</w:t>
      </w:r>
      <w:r>
        <w:rPr>
          <w:rFonts w:ascii="SimSun" w:eastAsia="SimSun" w:hAnsi="SimSun" w:cs="SimSun"/>
          <w:spacing w:val="-5"/>
          <w:position w:val="-3"/>
          <w:sz w:val="12"/>
          <w:szCs w:val="12"/>
        </w:rPr>
        <w:t>0</w:t>
      </w:r>
      <w:r>
        <w:rPr>
          <w:rFonts w:ascii="SimSun" w:eastAsia="SimSun" w:hAnsi="SimSun" w:cs="SimSun"/>
          <w:spacing w:val="-5"/>
          <w:sz w:val="24"/>
          <w:szCs w:val="24"/>
        </w:rPr>
        <w:t>——标准电极电位，V；</w:t>
      </w:r>
    </w:p>
    <w:p>
      <w:pPr>
        <w:spacing w:before="183" w:line="219" w:lineRule="auto"/>
        <w:ind w:left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R——理想气体常数，</w:t>
      </w:r>
      <w:r>
        <w:rPr>
          <w:rFonts w:ascii="SimSun" w:eastAsia="SimSun" w:hAnsi="SimSun" w:cs="SimSun"/>
          <w:spacing w:val="-6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(8.314472±0.000015) J/(mol</w:t>
      </w:r>
      <w:r>
        <w:rPr>
          <w:rFonts w:ascii="SimSun" w:eastAsia="SimSun" w:hAnsi="SimSun" w:cs="SimSun"/>
          <w:spacing w:val="-2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·K)；</w:t>
      </w:r>
    </w:p>
    <w:p>
      <w:pPr>
        <w:spacing w:before="181" w:line="213" w:lineRule="auto"/>
        <w:ind w:left="4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i/>
          <w:iCs/>
          <w:spacing w:val="-2"/>
          <w:sz w:val="25"/>
          <w:szCs w:val="25"/>
        </w:rPr>
        <w:t>T</w:t>
      </w:r>
      <w:r>
        <w:rPr>
          <w:rFonts w:ascii="SimSun" w:eastAsia="SimSun" w:hAnsi="SimSun" w:cs="SimSun"/>
          <w:spacing w:val="-2"/>
          <w:sz w:val="24"/>
          <w:szCs w:val="24"/>
        </w:rPr>
        <w:t>——热力学温度，K；</w:t>
      </w:r>
    </w:p>
    <w:p>
      <w:pPr>
        <w:spacing w:before="180" w:line="213" w:lineRule="auto"/>
        <w:ind w:left="4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i/>
          <w:iCs/>
          <w:spacing w:val="-1"/>
          <w:sz w:val="25"/>
          <w:szCs w:val="25"/>
        </w:rPr>
        <w:t>n</w:t>
      </w:r>
      <w:r>
        <w:rPr>
          <w:rFonts w:ascii="SimSun" w:eastAsia="SimSun" w:hAnsi="SimSun" w:cs="SimSun"/>
          <w:spacing w:val="-1"/>
          <w:sz w:val="24"/>
          <w:szCs w:val="24"/>
        </w:rPr>
        <w:t>——电极反应中转移的电子数；</w:t>
      </w:r>
    </w:p>
    <w:p>
      <w:pPr>
        <w:spacing w:before="178" w:line="216" w:lineRule="auto"/>
        <w:ind w:left="48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F——法拉第常数（Faraday constant</w:t>
      </w:r>
      <w:r>
        <w:rPr>
          <w:rFonts w:ascii="SimSun" w:eastAsia="SimSun" w:hAnsi="SimSun" w:cs="SimSun"/>
          <w:spacing w:val="1"/>
          <w:sz w:val="24"/>
          <w:szCs w:val="24"/>
        </w:rPr>
        <w:t>），</w:t>
      </w:r>
      <w:r>
        <w:rPr>
          <w:rFonts w:ascii="SimSun" w:eastAsia="SimSun" w:hAnsi="SimSun" w:cs="SimSun"/>
          <w:spacing w:val="-7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(96485.3383±0.0083</w:t>
      </w:r>
      <w:r>
        <w:rPr>
          <w:rFonts w:ascii="SimSun" w:eastAsia="SimSun" w:hAnsi="SimSun" w:cs="SimSun"/>
          <w:spacing w:val="-2"/>
          <w:sz w:val="24"/>
          <w:szCs w:val="24"/>
        </w:rPr>
        <w:t>) C/mol；</w:t>
      </w:r>
    </w:p>
    <w:p>
      <w:pPr>
        <w:spacing w:before="186" w:line="222" w:lineRule="auto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i/>
          <w:iCs/>
          <w:spacing w:val="-1"/>
          <w:sz w:val="25"/>
          <w:szCs w:val="25"/>
        </w:rPr>
        <w:t>a</w:t>
      </w:r>
      <w:r>
        <w:rPr>
          <w:rFonts w:ascii="SimSun" w:eastAsia="SimSun" w:hAnsi="SimSun" w:cs="SimSun"/>
          <w:spacing w:val="-1"/>
          <w:position w:val="-3"/>
          <w:sz w:val="12"/>
          <w:szCs w:val="12"/>
        </w:rPr>
        <w:t>ox</w:t>
      </w:r>
      <w:r>
        <w:rPr>
          <w:rFonts w:ascii="SimSun" w:eastAsia="SimSun" w:hAnsi="SimSun" w:cs="SimSun"/>
          <w:spacing w:val="-1"/>
          <w:sz w:val="24"/>
          <w:szCs w:val="24"/>
        </w:rPr>
        <w:t>——氧化态活度，mol/L；</w:t>
      </w:r>
    </w:p>
    <w:p>
      <w:pPr>
        <w:spacing w:before="167" w:line="222" w:lineRule="auto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i/>
          <w:iCs/>
          <w:spacing w:val="-1"/>
          <w:sz w:val="25"/>
          <w:szCs w:val="25"/>
        </w:rPr>
        <w:t>a</w:t>
      </w:r>
      <w:r>
        <w:rPr>
          <w:rFonts w:ascii="SimSun" w:eastAsia="SimSun" w:hAnsi="SimSun" w:cs="SimSun"/>
          <w:spacing w:val="-1"/>
          <w:position w:val="-3"/>
          <w:sz w:val="12"/>
          <w:szCs w:val="12"/>
        </w:rPr>
        <w:t>red</w:t>
      </w:r>
      <w:r>
        <w:rPr>
          <w:rFonts w:ascii="SimSun" w:eastAsia="SimSun" w:hAnsi="SimSun" w:cs="SimSun"/>
          <w:spacing w:val="-1"/>
          <w:sz w:val="24"/>
          <w:szCs w:val="24"/>
        </w:rPr>
        <w:t>——还原态活度，mol/L。</w:t>
      </w:r>
    </w:p>
    <w:p>
      <w:pPr>
        <w:spacing w:before="165" w:line="350" w:lineRule="auto"/>
        <w:ind w:left="9" w:right="152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氧化还原电位通常是以标准氢电极（Standard</w:t>
      </w:r>
      <w:r>
        <w:rPr>
          <w:rFonts w:ascii="SimSun" w:eastAsia="SimSun" w:hAnsi="SimSun" w:cs="SimSun"/>
          <w:spacing w:val="-5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Hydrogen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Electro</w:t>
      </w:r>
      <w:r>
        <w:rPr>
          <w:rFonts w:ascii="SimSun" w:eastAsia="SimSun" w:hAnsi="SimSun" w:cs="SimSun"/>
          <w:spacing w:val="-2"/>
          <w:sz w:val="24"/>
          <w:szCs w:val="24"/>
        </w:rPr>
        <w:t>de，SHE）为标准。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根据定义，标准氢电极的电位定义为</w:t>
      </w:r>
      <w:r>
        <w:rPr>
          <w:rFonts w:ascii="SimSun" w:eastAsia="SimSun" w:hAnsi="SimSun" w:cs="SimSun"/>
          <w:spacing w:val="-3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0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mV，且不受温度变化影响。测量氧化还原电位时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应注意采用的参比电极种类。</w:t>
      </w:r>
    </w:p>
    <w:p>
      <w:pPr>
        <w:pStyle w:val="BodyText"/>
        <w:spacing w:line="268" w:lineRule="auto"/>
      </w:pPr>
    </w:p>
    <w:p>
      <w:pPr>
        <w:spacing w:before="78" w:line="222" w:lineRule="auto"/>
        <w:ind w:left="3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4</w:t>
      </w:r>
      <w:r>
        <w:rPr>
          <w:rFonts w:ascii="SimHei" w:eastAsia="SimHei" w:hAnsi="SimHei" w:cs="SimHei"/>
          <w:spacing w:val="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3"/>
          <w:sz w:val="24"/>
          <w:szCs w:val="24"/>
        </w:rPr>
        <w:t>计量特性</w:t>
      </w:r>
    </w:p>
    <w:p>
      <w:pPr>
        <w:pStyle w:val="BodyText"/>
        <w:spacing w:line="409" w:lineRule="auto"/>
      </w:pPr>
    </w:p>
    <w:p>
      <w:pPr>
        <w:spacing w:before="78" w:line="220" w:lineRule="auto"/>
        <w:ind w:left="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4.1  显示单元分辨力</w:t>
      </w:r>
    </w:p>
    <w:p>
      <w:pPr>
        <w:spacing w:before="183" w:line="344" w:lineRule="auto"/>
        <w:ind w:left="9" w:right="234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用于测量水体中的氧化还原电位的仪器显示单元分辨力不低于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0.1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mV；用于测量土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壤中的氧化还原电位的仪器显示单元分辨力不低于</w:t>
      </w:r>
      <w:r>
        <w:rPr>
          <w:rFonts w:ascii="SimSun" w:eastAsia="SimSun" w:hAnsi="SimSun" w:cs="SimSun"/>
          <w:spacing w:val="-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1 mV。</w:t>
      </w:r>
    </w:p>
    <w:p>
      <w:pPr>
        <w:spacing w:before="39" w:line="220" w:lineRule="auto"/>
        <w:ind w:left="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4.2</w:t>
      </w:r>
      <w:r>
        <w:rPr>
          <w:rFonts w:ascii="SimSun" w:eastAsia="SimSun" w:hAnsi="SimSun" w:cs="SimSun"/>
          <w:spacing w:val="2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电计示值误差</w:t>
      </w:r>
    </w:p>
    <w:p>
      <w:pPr>
        <w:spacing w:before="178" w:line="347" w:lineRule="auto"/>
        <w:ind w:left="8" w:right="5552" w:firstLine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电计示值误差不超过±1.0%FS。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4.3</w:t>
      </w:r>
      <w:r>
        <w:rPr>
          <w:rFonts w:ascii="SimSun" w:eastAsia="SimSun" w:hAnsi="SimSun" w:cs="SimSun"/>
          <w:spacing w:val="22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电计输入阻抗</w:t>
      </w:r>
    </w:p>
    <w:p>
      <w:pPr>
        <w:spacing w:before="31" w:line="347" w:lineRule="auto"/>
        <w:ind w:left="8" w:right="5372" w:firstLine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电计输入阻抗不小于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3×10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 xml:space="preserve">10   </w:t>
      </w:r>
      <w:r>
        <w:rPr>
          <w:rFonts w:ascii="SimSun" w:eastAsia="SimSun" w:hAnsi="SimSun" w:cs="SimSun"/>
          <w:spacing w:val="-8"/>
          <w:sz w:val="24"/>
          <w:szCs w:val="24"/>
        </w:rPr>
        <w:t>Ω。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4.4  仪器示值误差</w:t>
      </w:r>
    </w:p>
    <w:p>
      <w:pPr>
        <w:spacing w:before="32" w:line="347" w:lineRule="auto"/>
        <w:ind w:left="8" w:right="5672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仪器示值误差不超过±10 mV。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4.5  仪器重复性</w:t>
      </w:r>
    </w:p>
    <w:p>
      <w:pPr>
        <w:spacing w:before="35" w:line="220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仪器重复性不超过</w:t>
      </w:r>
      <w:r>
        <w:rPr>
          <w:rFonts w:ascii="SimSun" w:eastAsia="SimSun" w:hAnsi="SimSun" w:cs="SimSun"/>
          <w:spacing w:val="-2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1%。</w:t>
      </w:r>
    </w:p>
    <w:p>
      <w:pPr>
        <w:spacing w:before="174" w:line="228" w:lineRule="auto"/>
        <w:ind w:left="428"/>
        <w:rPr>
          <w:rFonts w:ascii="SimSun" w:eastAsia="SimSun" w:hAnsi="SimSun" w:cs="SimSun"/>
          <w:sz w:val="20"/>
          <w:szCs w:val="20"/>
        </w:rPr>
        <w:sectPr>
          <w:headerReference w:type="default" r:id="rId22"/>
          <w:footerReference w:type="default" r:id="rId23"/>
          <w:pgSz w:w="11906" w:h="16839"/>
          <w:pgMar w:top="1736" w:right="1133" w:bottom="1571" w:left="1418" w:header="1431" w:footer="1409" w:gutter="0"/>
          <w:pgNumType w:start="10"/>
          <w:cols w:space="708"/>
        </w:sectPr>
      </w:pPr>
      <w:r>
        <w:rPr>
          <w:rFonts w:ascii="SimSun" w:eastAsia="SimSun" w:hAnsi="SimSun" w:cs="SimSun"/>
          <w:spacing w:val="7"/>
          <w:sz w:val="20"/>
          <w:szCs w:val="20"/>
        </w:rPr>
        <w:t>注：</w:t>
      </w:r>
      <w:r>
        <w:rPr>
          <w:rFonts w:ascii="SimSun" w:eastAsia="SimSun" w:hAnsi="SimSun" w:cs="SimSun"/>
          <w:spacing w:val="-5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以上技术指标不用于合格性判定，仅供参考。</w:t>
      </w:r>
    </w:p>
    <w:p>
      <w:pPr>
        <w:pStyle w:val="BodyText"/>
        <w:spacing w:line="397" w:lineRule="auto"/>
      </w:pPr>
    </w:p>
    <w:p>
      <w:pPr>
        <w:spacing w:before="79" w:line="222" w:lineRule="auto"/>
        <w:ind w:left="4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5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sz w:val="24"/>
          <w:szCs w:val="24"/>
        </w:rPr>
        <w:t>校准条件</w:t>
      </w:r>
    </w:p>
    <w:p>
      <w:pPr>
        <w:spacing w:line="222" w:lineRule="auto"/>
        <w:rPr>
          <w:rFonts w:ascii="SimHei" w:eastAsia="SimHei" w:hAnsi="SimHei" w:cs="SimHei"/>
          <w:sz w:val="24"/>
          <w:szCs w:val="24"/>
        </w:rPr>
        <w:sectPr>
          <w:headerReference w:type="default" r:id="rId24"/>
          <w:footerReference w:type="default" r:id="rId25"/>
          <w:type w:val="nextPage"/>
          <w:pgSz w:w="11906" w:h="16839"/>
          <w:pgMar w:top="1736" w:right="1133" w:bottom="1571" w:left="1418" w:header="1431" w:footer="1409" w:gutter="0"/>
          <w:pgNumType w:start="11"/>
          <w:cols w:space="708"/>
          <w:titlePg w:val="0"/>
        </w:sectPr>
      </w:pPr>
    </w:p>
    <w:p>
      <w:pPr>
        <w:pStyle w:val="BodyText"/>
        <w:spacing w:line="406" w:lineRule="auto"/>
      </w:pPr>
    </w:p>
    <w:p>
      <w:pPr>
        <w:spacing w:before="78" w:line="220" w:lineRule="auto"/>
        <w:ind w:left="14"/>
        <w:rPr>
          <w:rFonts w:ascii="SimSun" w:eastAsia="SimSun" w:hAnsi="SimSun" w:cs="SimSun"/>
          <w:sz w:val="24"/>
          <w:szCs w:val="24"/>
        </w:rPr>
      </w:pPr>
      <w:bookmarkStart w:id="16" w:name="bookmark17"/>
      <w:bookmarkEnd w:id="16"/>
      <w:r>
        <w:rPr>
          <w:rFonts w:ascii="SimSun" w:eastAsia="SimSun" w:hAnsi="SimSun" w:cs="SimSun"/>
          <w:spacing w:val="-2"/>
          <w:sz w:val="24"/>
          <w:szCs w:val="24"/>
        </w:rPr>
        <w:t>5.1  环境条件</w:t>
      </w:r>
    </w:p>
    <w:p>
      <w:pPr>
        <w:spacing w:before="179" w:line="221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5.1.1  环境温度：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(23±10)℃。</w:t>
      </w:r>
    </w:p>
    <w:p>
      <w:pPr>
        <w:spacing w:before="178" w:line="221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5.1.2  相对湿度：≤85%。</w:t>
      </w:r>
    </w:p>
    <w:p>
      <w:pPr>
        <w:spacing w:before="181" w:line="219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5.1.3  附近无明显的机械振动和强电磁干扰。</w:t>
      </w:r>
    </w:p>
    <w:p>
      <w:pPr>
        <w:spacing w:before="182" w:line="221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5.2  测量标准及其他设备</w:t>
      </w:r>
    </w:p>
    <w:p>
      <w:pPr>
        <w:spacing w:before="177" w:line="286" w:lineRule="auto"/>
        <w:ind w:left="10" w:right="290" w:firstLine="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5.2.1  标准物质：校准用pH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标准</w:t>
      </w:r>
      <w:r>
        <w:rPr>
          <w:rFonts w:ascii="SimSun" w:eastAsia="SimSun" w:hAnsi="SimSun" w:cs="SimSun"/>
          <w:spacing w:val="-1"/>
          <w:sz w:val="24"/>
          <w:szCs w:val="24"/>
        </w:rPr>
        <w:t>物质应采用国家有证标准物质，并在有效期内使用，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其扩展不确定度不大于</w:t>
      </w:r>
      <w:r>
        <w:rPr>
          <w:rFonts w:ascii="SimSun" w:eastAsia="SimSun" w:hAnsi="SimSun" w:cs="SimSun"/>
          <w:spacing w:val="-3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0.01（</w:t>
      </w:r>
      <w:r>
        <w:rPr>
          <w:rFonts w:ascii="SimSun" w:eastAsia="SimSun" w:hAnsi="SimSun" w:cs="SimSun"/>
          <w:i/>
          <w:iCs/>
          <w:spacing w:val="-2"/>
          <w:sz w:val="25"/>
          <w:szCs w:val="25"/>
        </w:rPr>
        <w:t>k</w:t>
      </w:r>
      <w:r>
        <w:rPr>
          <w:rFonts w:ascii="SimSun" w:eastAsia="SimSun" w:hAnsi="SimSun" w:cs="SimSun"/>
          <w:spacing w:val="-2"/>
          <w:sz w:val="24"/>
          <w:szCs w:val="24"/>
        </w:rPr>
        <w:t>=3）。</w:t>
      </w:r>
    </w:p>
    <w:p>
      <w:pPr>
        <w:spacing w:before="176" w:line="215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5.2.2  pH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计检定仪（以下简称检定仪</w:t>
      </w:r>
      <w:r>
        <w:rPr>
          <w:rFonts w:ascii="SimSun" w:eastAsia="SimSun" w:hAnsi="SimSun" w:cs="SimSun"/>
          <w:spacing w:val="9"/>
          <w:sz w:val="24"/>
          <w:szCs w:val="24"/>
        </w:rPr>
        <w:t>）：</w:t>
      </w:r>
      <w:r>
        <w:rPr>
          <w:rFonts w:ascii="SimSun" w:eastAsia="SimSun" w:hAnsi="SimSun" w:cs="SimSun"/>
          <w:spacing w:val="-2"/>
          <w:sz w:val="24"/>
          <w:szCs w:val="24"/>
        </w:rPr>
        <w:t>0.003</w:t>
      </w:r>
      <w:r>
        <w:rPr>
          <w:rFonts w:ascii="SimSun" w:eastAsia="SimSun" w:hAnsi="SimSun" w:cs="SimSun"/>
          <w:spacing w:val="-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级。</w:t>
      </w:r>
    </w:p>
    <w:p>
      <w:pPr>
        <w:spacing w:before="189" w:line="217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5.2.3  温度计：测量范围为（5~60）</w:t>
      </w:r>
      <w:r>
        <w:rPr>
          <w:rFonts w:ascii="SimSun" w:eastAsia="SimSun" w:hAnsi="SimSun" w:cs="SimSun"/>
          <w:spacing w:val="-9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℃</w:t>
      </w:r>
      <w:r>
        <w:rPr>
          <w:rFonts w:ascii="SimSun" w:eastAsia="SimSun" w:hAnsi="SimSun" w:cs="SimSun"/>
          <w:spacing w:val="-9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,</w:t>
      </w:r>
      <w:r>
        <w:rPr>
          <w:rFonts w:ascii="SimSun" w:eastAsia="SimSun" w:hAnsi="SimSun" w:cs="SimSun"/>
          <w:spacing w:val="6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最大允许误差不超过±0.1℃。</w:t>
      </w:r>
    </w:p>
    <w:p>
      <w:pPr>
        <w:spacing w:before="182" w:line="292" w:lineRule="auto"/>
        <w:ind w:left="13" w:right="23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5.2.4  恒温水槽：控温范围（5~60）</w:t>
      </w:r>
      <w:r>
        <w:rPr>
          <w:rFonts w:ascii="SimSun" w:eastAsia="SimSun" w:hAnsi="SimSun" w:cs="SimSun"/>
          <w:spacing w:val="-8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℃</w:t>
      </w:r>
      <w:r>
        <w:rPr>
          <w:rFonts w:ascii="SimSun" w:eastAsia="SimSun" w:hAnsi="SimSun" w:cs="SimSun"/>
          <w:spacing w:val="-9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,</w:t>
      </w:r>
      <w:r>
        <w:rPr>
          <w:rFonts w:ascii="SimSun" w:eastAsia="SimSun" w:hAnsi="SimSun" w:cs="SimSun"/>
          <w:spacing w:val="6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温度均匀性不超过±0.2℃</w:t>
      </w:r>
      <w:r>
        <w:rPr>
          <w:rFonts w:ascii="SimSun" w:eastAsia="SimSun" w:hAnsi="SimSun" w:cs="SimSun"/>
          <w:spacing w:val="-9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,</w:t>
      </w:r>
      <w:r>
        <w:rPr>
          <w:rFonts w:ascii="SimSun" w:eastAsia="SimSun" w:hAnsi="SimSun" w:cs="SimSun"/>
          <w:spacing w:val="6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温度波动度不大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于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0.2℃。</w:t>
      </w:r>
    </w:p>
    <w:p>
      <w:pPr>
        <w:spacing w:before="176" w:line="214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5.2.5  天平：实际分度值不大于</w:t>
      </w:r>
      <w:r>
        <w:rPr>
          <w:rFonts w:ascii="SimSun" w:eastAsia="SimSun" w:hAnsi="SimSun" w:cs="SimSun"/>
          <w:spacing w:val="-3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0.1 mg， I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级。</w:t>
      </w:r>
    </w:p>
    <w:p>
      <w:pPr>
        <w:spacing w:before="189" w:line="220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5.2.6  容量瓶：250 mL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容量瓶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个，A</w:t>
      </w:r>
      <w:r>
        <w:rPr>
          <w:rFonts w:ascii="SimSun" w:eastAsia="SimSun" w:hAnsi="SimSun" w:cs="SimSun"/>
          <w:spacing w:val="-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级。</w:t>
      </w:r>
    </w:p>
    <w:p>
      <w:pPr>
        <w:pStyle w:val="BodyText"/>
        <w:spacing w:line="410" w:lineRule="auto"/>
      </w:pPr>
    </w:p>
    <w:p>
      <w:pPr>
        <w:spacing w:before="79" w:line="221" w:lineRule="auto"/>
        <w:ind w:left="8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6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sz w:val="24"/>
          <w:szCs w:val="24"/>
        </w:rPr>
        <w:t>校准项目和校准方法</w:t>
      </w:r>
    </w:p>
    <w:p>
      <w:pPr>
        <w:pStyle w:val="BodyText"/>
        <w:spacing w:line="412" w:lineRule="auto"/>
      </w:pPr>
    </w:p>
    <w:p>
      <w:pPr>
        <w:spacing w:before="78" w:line="220" w:lineRule="auto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6.1  外观及功能性检查</w:t>
      </w:r>
    </w:p>
    <w:p>
      <w:pPr>
        <w:spacing w:before="182" w:line="345" w:lineRule="auto"/>
        <w:ind w:left="29" w:right="234" w:firstLine="45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ORP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测定仪的铭牌应清晰完整，标明其制造厂名、型号规格、出厂编号。ORP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测定仪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的外表应光洁平整，紧固件无松动。通电后，各功能键、显示部分工作正常。</w:t>
      </w:r>
    </w:p>
    <w:p>
      <w:pPr>
        <w:spacing w:before="35" w:line="220" w:lineRule="auto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6.2  显示单元分辨力</w:t>
      </w:r>
    </w:p>
    <w:p>
      <w:pPr>
        <w:spacing w:before="182" w:line="220" w:lineRule="auto"/>
        <w:ind w:left="4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通电，记录</w:t>
      </w:r>
      <w:r>
        <w:rPr>
          <w:rFonts w:ascii="SimSun" w:eastAsia="SimSun" w:hAnsi="SimSun" w:cs="SimSun"/>
          <w:spacing w:val="-3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ORP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测定仪显示单元可读出最小位数。</w:t>
      </w:r>
    </w:p>
    <w:p>
      <w:pPr>
        <w:spacing w:before="179" w:line="220" w:lineRule="auto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6.3</w:t>
      </w:r>
      <w:r>
        <w:rPr>
          <w:rFonts w:ascii="SimSun" w:eastAsia="SimSun" w:hAnsi="SimSun" w:cs="SimSun"/>
          <w:spacing w:val="20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电计示值误差</w:t>
      </w:r>
    </w:p>
    <w:p>
      <w:pPr>
        <w:spacing w:before="181" w:line="347" w:lineRule="auto"/>
        <w:ind w:left="10" w:right="234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按图</w:t>
      </w:r>
      <w:r>
        <w:rPr>
          <w:rFonts w:ascii="SimSun" w:eastAsia="SimSun" w:hAnsi="SimSun" w:cs="SimSun"/>
          <w:spacing w:val="-2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1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连接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ORP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测定仪电计和检定仪，检定仪高阻断开。调节检定仪，使其输出直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流电压信号，信号输入</w:t>
      </w:r>
      <w:r>
        <w:rPr>
          <w:rFonts w:ascii="SimSun" w:eastAsia="SimSun" w:hAnsi="SimSun" w:cs="SimSun"/>
          <w:spacing w:val="-3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ORP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测定仪电计，记录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ORP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测定仪电计示值。</w:t>
      </w:r>
    </w:p>
    <w:p>
      <w:pPr>
        <w:spacing w:line="347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6"/>
          <w:footerReference w:type="default" r:id="rId27"/>
          <w:pgSz w:w="11906" w:h="16839"/>
          <w:pgMar w:top="1736" w:right="1133" w:bottom="2008" w:left="1418" w:header="1431" w:footer="1830" w:gutter="0"/>
          <w:pgNumType w:start="12"/>
          <w:cols w:space="708"/>
        </w:sectPr>
      </w:pPr>
    </w:p>
    <w:p>
      <w:pPr>
        <w:pStyle w:val="BodyText"/>
        <w:spacing w:line="246" w:lineRule="auto"/>
      </w:pPr>
      <w:r>
        <w:pict>
          <v:shape id="_x0000_s1028" style="width:254.35pt;height:146pt;margin-top:12.16pt;margin-left:1.25pt;position:absolute;z-index:251666432" coordorigin="0,0" coordsize="5087,2920" path="m,l,2920l5086,2920l5086,l,e" filled="f" strokecolor="black" strokeweight="0.5pt">
            <v:stroke joinstyle="miter"/>
          </v:shape>
        </w:pict>
      </w:r>
    </w:p>
    <w:p>
      <w:pPr>
        <w:pStyle w:val="BodyText"/>
        <w:spacing w:line="247" w:lineRule="auto"/>
      </w:pPr>
    </w:p>
    <w:p>
      <w:pPr>
        <w:spacing w:before="59" w:line="221" w:lineRule="auto"/>
        <w:ind w:left="3226"/>
        <w:rPr>
          <w:rFonts w:ascii="Times New Roman" w:eastAsia="Times New Roman" w:hAnsi="Times New Roman" w:cs="Times New Roman"/>
          <w:sz w:val="18"/>
          <w:szCs w:val="18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1853539</wp:posOffset>
            </wp:positionH>
            <wp:positionV relativeFrom="paragraph">
              <wp:posOffset>584944</wp:posOffset>
            </wp:positionV>
            <wp:extent cx="2520302" cy="7619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20302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2502941</wp:posOffset>
            </wp:positionH>
            <wp:positionV relativeFrom="paragraph">
              <wp:posOffset>77592</wp:posOffset>
            </wp:positionV>
            <wp:extent cx="187795" cy="107226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7795" cy="107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9" type="#_x0000_t202" style="width:135.35pt;height:78.75pt;margin-top:21.21pt;margin-left:318.8pt;position:absolute;z-index:251665408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656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570"/>
                    <w:gridCol w:w="2086"/>
                  </w:tblGrid>
                  <w:tr>
                    <w:tblPrEx>
                      <w:tblW w:w="2656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1514"/>
                    </w:trPr>
                    <w:tc>
                      <w:tcPr>
                        <w:tcW w:w="570" w:type="dxa"/>
                        <w:tcBorders>
                          <w:right w:val="nil"/>
                        </w:tcBorders>
                        <w:vAlign w:val="top"/>
                      </w:tcPr>
                      <w:p>
                        <w:pPr>
                          <w:spacing w:line="41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682" w:lineRule="exact"/>
                          <w:ind w:firstLine="368"/>
                        </w:pPr>
                        <w:r>
                          <w:rPr>
                            <w:position w:val="-13"/>
                          </w:rPr>
                          <w:drawing>
                            <wp:inline distT="0" distB="0" distL="0" distR="0">
                              <wp:extent cx="71996" cy="432739"/>
                              <wp:effectExtent l="0" t="0" r="0" b="0"/>
                              <wp:docPr id="18" name="IM 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 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1996" cy="43273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086" w:type="dxa"/>
                        <w:tcBorders>
                          <w:left w:val="nil"/>
                        </w:tcBorders>
                        <w:vAlign w:val="top"/>
                      </w:tcPr>
                      <w:p>
                        <w:pPr>
                          <w:spacing w:line="28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9" w:line="220" w:lineRule="auto"/>
                          <w:ind w:left="77"/>
                          <w:rPr>
                            <w:rFonts w:ascii="SimSun" w:eastAsia="SimSun" w:hAnsi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 xml:space="preserve">ORP </w:t>
                        </w:r>
                        <w:r>
                          <w:rPr>
                            <w:rFonts w:ascii="SimSun" w:eastAsia="SimSun" w:hAnsi="SimSun" w:cs="SimSun"/>
                            <w:spacing w:val="-2"/>
                            <w:sz w:val="18"/>
                            <w:szCs w:val="18"/>
                          </w:rPr>
                          <w:t>测定仪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0" type="#_x0000_t202" style="width:37.45pt;height:13.7pt;margin-top:39.99pt;margin-left:187.42pt;position:absolute;z-index:251663360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678" w:type="dxa"/>
                    <w:tblInd w:w="3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678"/>
                  </w:tblGrid>
                  <w:tr>
                    <w:tblPrEx>
                      <w:tblW w:w="678" w:type="dxa"/>
                      <w:tblInd w:w="3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173"/>
                    </w:trPr>
                    <w:tc>
                      <w:tcPr>
                        <w:tcW w:w="678" w:type="dxa"/>
                        <w:shd w:val="clear" w:color="auto" w:fill="FFFFFF"/>
                        <w:vAlign w:val="top"/>
                      </w:tcPr>
                      <w:p>
                        <w:pPr>
                          <w:spacing w:line="163" w:lineRule="exact"/>
                          <w:rPr>
                            <w:rFonts w:ascii="Arial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1" type="#_x0000_t202" style="width:27.8pt;height:12.75pt;margin-top:52.96pt;margin-left:188.73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18"/>
                      <w:szCs w:val="18"/>
                    </w:rPr>
                    <w:t>高阻</w:t>
                  </w:r>
                  <w:r>
                    <w:rPr>
                      <w:rFonts w:ascii="SimSun" w:eastAsia="SimSun" w:hAnsi="SimSun" w:cs="SimSun"/>
                      <w:spacing w:val="-4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8"/>
                      <w:szCs w:val="18"/>
                    </w:rPr>
                    <w:t>R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2204630</wp:posOffset>
            </wp:positionH>
            <wp:positionV relativeFrom="paragraph">
              <wp:posOffset>177655</wp:posOffset>
            </wp:positionV>
            <wp:extent cx="826744" cy="409371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26744" cy="409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1853438</wp:posOffset>
            </wp:positionH>
            <wp:positionV relativeFrom="paragraph">
              <wp:posOffset>913506</wp:posOffset>
            </wp:positionV>
            <wp:extent cx="2520403" cy="71996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520403" cy="71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sz w:val="18"/>
          <w:szCs w:val="18"/>
        </w:rPr>
        <w:t>开关</w:t>
      </w:r>
      <w:r>
        <w:rPr>
          <w:rFonts w:ascii="SimSun" w:eastAsia="SimSun" w:hAnsi="SimSun" w:cs="SimSun"/>
          <w:spacing w:val="-4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K</w:t>
      </w:r>
    </w:p>
    <w:p>
      <w:pPr>
        <w:spacing w:line="169" w:lineRule="exact"/>
      </w:pPr>
    </w:p>
    <w:tbl>
      <w:tblPr>
        <w:tblStyle w:val="TableNormal0"/>
        <w:tblW w:w="2656" w:type="dxa"/>
        <w:tblInd w:w="6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58"/>
        <w:gridCol w:w="798"/>
      </w:tblGrid>
      <w:tr>
        <w:tblPrEx>
          <w:tblW w:w="2656" w:type="dxa"/>
          <w:tblInd w:w="68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63"/>
        </w:trPr>
        <w:tc>
          <w:tcPr>
            <w:tcW w:w="1858" w:type="dxa"/>
            <w:tcBorders>
              <w:bottom w:val="nil"/>
              <w:right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7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电压信号</w:t>
            </w:r>
          </w:p>
        </w:tc>
        <w:tc>
          <w:tcPr>
            <w:tcW w:w="798" w:type="dxa"/>
            <w:tcBorders>
              <w:left w:val="nil"/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line="114" w:lineRule="exact"/>
              <w:ind w:firstLine="379"/>
            </w:pPr>
            <w:r>
              <w:rPr>
                <w:position w:val="-2"/>
              </w:rPr>
              <w:pict>
                <v:shape id="_x0000_i1032" style="width:5.7pt;height:5.7pt;mso-position-horizontal-relative:char;mso-position-vertical-relative:line" coordorigin="0,0" coordsize="113,113" path="m,57c,25,25,,56,c88,,113,25,113,56c113,87,88,113,56,113c25,113,,87,,57e" filled="t" fillcolor="black" stroked="f">
                  <w10:wrap type="none"/>
                </v:shape>
              </w:pict>
            </w:r>
          </w:p>
        </w:tc>
      </w:tr>
      <w:tr>
        <w:tblPrEx>
          <w:tblW w:w="2656" w:type="dxa"/>
          <w:tblInd w:w="681" w:type="dxa"/>
          <w:tblLayout w:type="fixed"/>
        </w:tblPrEx>
        <w:trPr>
          <w:trHeight w:val="851"/>
        </w:trPr>
        <w:tc>
          <w:tcPr>
            <w:tcW w:w="2656" w:type="dxa"/>
            <w:gridSpan w:val="2"/>
            <w:tcBorders>
              <w:top w:val="nil"/>
            </w:tcBorders>
            <w:vAlign w:val="top"/>
          </w:tcPr>
          <w:p>
            <w:pPr>
              <w:spacing w:before="88" w:line="221" w:lineRule="auto"/>
              <w:ind w:left="8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发生器</w:t>
            </w:r>
          </w:p>
        </w:tc>
      </w:tr>
    </w:tbl>
    <w:p>
      <w:pPr>
        <w:spacing w:before="170" w:line="212" w:lineRule="auto"/>
        <w:ind w:left="189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pH </w:t>
      </w:r>
      <w:r>
        <w:rPr>
          <w:rFonts w:ascii="SimSun" w:eastAsia="SimSun" w:hAnsi="SimSun" w:cs="SimSun"/>
          <w:spacing w:val="-1"/>
          <w:sz w:val="24"/>
          <w:szCs w:val="24"/>
        </w:rPr>
        <w:t>计检定仪</w:t>
      </w:r>
    </w:p>
    <w:p>
      <w:pPr>
        <w:pStyle w:val="BodyText"/>
        <w:spacing w:line="387" w:lineRule="auto"/>
      </w:pPr>
    </w:p>
    <w:p>
      <w:pPr>
        <w:spacing w:before="65" w:line="228" w:lineRule="auto"/>
        <w:ind w:left="335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图</w:t>
      </w:r>
      <w:r>
        <w:rPr>
          <w:rFonts w:ascii="SimSun" w:eastAsia="SimSun" w:hAnsi="SimSun" w:cs="SimSun"/>
          <w:spacing w:val="-1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1</w:t>
      </w:r>
      <w:r>
        <w:rPr>
          <w:rFonts w:ascii="SimSun" w:eastAsia="SimSun" w:hAnsi="SimSun" w:cs="SimSun"/>
          <w:spacing w:val="2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"/>
          <w:sz w:val="20"/>
          <w:szCs w:val="20"/>
        </w:rPr>
        <w:t>电计校准线路联接图</w:t>
      </w:r>
    </w:p>
    <w:p>
      <w:pPr>
        <w:spacing w:before="164" w:line="336" w:lineRule="auto"/>
        <w:ind w:left="11" w:right="152" w:firstLine="506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电计示值误差校准点为：0 mV、10 mV、50 mV、1</w:t>
      </w:r>
      <w:r>
        <w:rPr>
          <w:rFonts w:ascii="SimSun" w:eastAsia="SimSun" w:hAnsi="SimSun" w:cs="SimSun"/>
          <w:spacing w:val="-3"/>
          <w:sz w:val="24"/>
          <w:szCs w:val="24"/>
        </w:rPr>
        <w:t>00 mV、500 mV、1000 mV、</w:t>
      </w:r>
      <w:r>
        <w:rPr>
          <w:rFonts w:ascii="SimSun" w:eastAsia="SimSun" w:hAnsi="SimSun" w:cs="SimSun"/>
          <w:i/>
          <w:iCs/>
          <w:spacing w:val="-3"/>
          <w:sz w:val="25"/>
          <w:szCs w:val="25"/>
        </w:rPr>
        <w:t>E</w:t>
      </w:r>
      <w:r>
        <w:rPr>
          <w:rFonts w:ascii="SimSun" w:eastAsia="SimSun" w:hAnsi="SimSun" w:cs="SimSun"/>
          <w:spacing w:val="-3"/>
          <w:position w:val="-3"/>
          <w:sz w:val="12"/>
          <w:szCs w:val="12"/>
        </w:rPr>
        <w:t>F</w:t>
      </w:r>
      <w:r>
        <w:rPr>
          <w:rFonts w:ascii="SimSun" w:eastAsia="SimSun" w:hAnsi="SimSun" w:cs="SimSun"/>
          <w:spacing w:val="53"/>
          <w:w w:val="101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mV。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按单向输入增加和减少的方式各测量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1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次，取</w:t>
      </w:r>
      <w:r>
        <w:rPr>
          <w:rFonts w:ascii="SimSun" w:eastAsia="SimSun" w:hAnsi="SimSun" w:cs="SimSun"/>
          <w:spacing w:val="-6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Δ</w:t>
      </w:r>
      <w:r>
        <w:rPr>
          <w:rFonts w:ascii="SimSun" w:eastAsia="SimSun" w:hAnsi="SimSun" w:cs="SimSun"/>
          <w:i/>
          <w:iCs/>
          <w:spacing w:val="-6"/>
          <w:sz w:val="25"/>
          <w:szCs w:val="25"/>
        </w:rPr>
        <w:t>E</w:t>
      </w:r>
      <w:r>
        <w:rPr>
          <w:rFonts w:ascii="SimSun" w:eastAsia="SimSun" w:hAnsi="SimSun" w:cs="SimSun"/>
          <w:spacing w:val="-6"/>
          <w:position w:val="-3"/>
          <w:sz w:val="12"/>
          <w:szCs w:val="12"/>
        </w:rPr>
        <w:t>r</w:t>
      </w:r>
      <w:r>
        <w:rPr>
          <w:rFonts w:ascii="SimSun" w:eastAsia="SimSun" w:hAnsi="SimSun" w:cs="SimSun"/>
          <w:spacing w:val="-20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绝对值最大者作为此项目的校准结果。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按式（2）计算每个校准点电计示值误差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Δ</w:t>
      </w:r>
      <w:r>
        <w:rPr>
          <w:rFonts w:ascii="SimSun" w:eastAsia="SimSun" w:hAnsi="SimSun" w:cs="SimSun"/>
          <w:i/>
          <w:iCs/>
          <w:spacing w:val="-4"/>
          <w:sz w:val="25"/>
          <w:szCs w:val="25"/>
        </w:rPr>
        <w:t>E</w:t>
      </w:r>
      <w:r>
        <w:rPr>
          <w:rFonts w:ascii="SimSun" w:eastAsia="SimSun" w:hAnsi="SimSun" w:cs="SimSun"/>
          <w:spacing w:val="-4"/>
          <w:position w:val="-3"/>
          <w:sz w:val="12"/>
          <w:szCs w:val="12"/>
        </w:rPr>
        <w:t>r</w:t>
      </w:r>
      <w:r>
        <w:rPr>
          <w:rFonts w:ascii="SimSun" w:eastAsia="SimSun" w:hAnsi="SimSun" w:cs="SimSun"/>
          <w:spacing w:val="-4"/>
          <w:sz w:val="24"/>
          <w:szCs w:val="24"/>
        </w:rPr>
        <w:t>。</w:t>
      </w:r>
    </w:p>
    <w:p>
      <w:pPr>
        <w:spacing w:before="30"/>
        <w:ind w:left="4070"/>
        <w:rPr>
          <w:sz w:val="24"/>
          <w:szCs w:val="24"/>
        </w:rPr>
      </w:pPr>
      <w:r>
        <w:rPr>
          <w:rFonts w:ascii="SimSun" w:eastAsia="SimSun" w:hAnsi="SimSun" w:cs="SimSun"/>
          <w:position w:val="-21"/>
          <w:sz w:val="24"/>
          <w:szCs w:val="24"/>
        </w:rPr>
        <w:drawing>
          <wp:inline distT="0" distB="0" distL="0" distR="0">
            <wp:extent cx="800874" cy="37089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00874" cy="37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7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5"/>
          <w:sz w:val="24"/>
          <w:szCs w:val="24"/>
        </w:rPr>
        <w:t>×</w:t>
      </w:r>
      <w:r>
        <w:rPr>
          <w:rFonts w:ascii="SimSun" w:eastAsia="SimSun" w:hAnsi="SimSun" w:cs="SimSun"/>
          <w:spacing w:val="2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5"/>
          <w:sz w:val="24"/>
          <w:szCs w:val="24"/>
        </w:rPr>
        <w:t>100%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                     </w:t>
      </w:r>
      <w:r>
        <w:rPr>
          <w:position w:val="-4"/>
          <w:sz w:val="24"/>
          <w:szCs w:val="24"/>
        </w:rPr>
        <w:drawing>
          <wp:inline distT="0" distB="0" distL="0" distR="0">
            <wp:extent cx="208482" cy="152857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8482" cy="15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8" w:line="221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式中：</w:t>
      </w:r>
    </w:p>
    <w:p>
      <w:pPr>
        <w:spacing w:before="180" w:line="211" w:lineRule="auto"/>
        <w:ind w:left="53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Δ</w:t>
      </w:r>
      <w:r>
        <w:rPr>
          <w:rFonts w:ascii="SimSun" w:eastAsia="SimSun" w:hAnsi="SimSun" w:cs="SimSun"/>
          <w:i/>
          <w:iCs/>
          <w:spacing w:val="-5"/>
          <w:sz w:val="25"/>
          <w:szCs w:val="25"/>
        </w:rPr>
        <w:t>E</w:t>
      </w:r>
      <w:r>
        <w:rPr>
          <w:rFonts w:ascii="SimSun" w:eastAsia="SimSun" w:hAnsi="SimSun" w:cs="SimSun"/>
          <w:spacing w:val="-5"/>
          <w:position w:val="-3"/>
          <w:sz w:val="12"/>
          <w:szCs w:val="12"/>
        </w:rPr>
        <w:t>r</w:t>
      </w:r>
      <w:r>
        <w:rPr>
          <w:rFonts w:ascii="SimSun" w:eastAsia="SimSun" w:hAnsi="SimSun" w:cs="SimSun"/>
          <w:spacing w:val="-5"/>
          <w:sz w:val="24"/>
          <w:szCs w:val="24"/>
        </w:rPr>
        <w:t>——电计示值误差，%；</w:t>
      </w:r>
    </w:p>
    <w:p>
      <w:pPr>
        <w:spacing w:before="179" w:line="337" w:lineRule="auto"/>
        <w:ind w:left="487" w:right="4285" w:hanging="2"/>
        <w:rPr>
          <w:rFonts w:ascii="SimSun" w:eastAsia="SimSun" w:hAnsi="SimSun" w:cs="SimSun"/>
          <w:sz w:val="24"/>
          <w:szCs w:val="24"/>
        </w:rPr>
      </w:pPr>
      <w:r>
        <w:ruby>
          <w:rubyPr>
            <w:rubyAlign w:val="left"/>
            <w:hps w:val="23"/>
            <w:hpsRaise w:val="2"/>
            <w:hpsBaseText w:val="21"/>
          </w:rubyPr>
          <w:rt>
            <w:r>
              <w:rPr>
                <w:rFonts w:ascii="Cambria Math" w:eastAsia="Cambria Math" w:hAnsi="Cambria Math" w:cs="Cambria Math"/>
                <w:w w:val="170"/>
                <w:sz w:val="24"/>
                <w:szCs w:val="24"/>
              </w:rPr>
              <w:t>-</w:t>
            </w:r>
          </w:rt>
          <w:rubyBase>
            <w:r>
              <w:rPr>
                <w:rFonts w:ascii="Cambria Math" w:eastAsia="Cambria Math" w:hAnsi="Cambria Math" w:cs="Cambria Math"/>
                <w:w w:val="105"/>
                <w:sz w:val="24"/>
                <w:szCs w:val="24"/>
              </w:rPr>
              <w:t>E</w:t>
            </w:r>
          </w:rubyBase>
        </w:ruby>
      </w:r>
      <w:r>
        <w:rPr>
          <w:rFonts w:ascii="SimSun" w:eastAsia="SimSun" w:hAnsi="SimSun" w:cs="SimSun"/>
          <w:spacing w:val="-4"/>
          <w:sz w:val="24"/>
          <w:szCs w:val="24"/>
        </w:rPr>
        <w:t>——ORP</w:t>
      </w:r>
      <w:r>
        <w:rPr>
          <w:rFonts w:ascii="SimSun" w:eastAsia="SimSun" w:hAnsi="SimSun" w:cs="SimSun"/>
          <w:spacing w:val="-3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测定仪电计电压测量平均值，mV；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i/>
          <w:iCs/>
          <w:spacing w:val="15"/>
          <w:w w:val="120"/>
          <w:sz w:val="25"/>
          <w:szCs w:val="25"/>
        </w:rPr>
        <w:t>E</w:t>
      </w:r>
      <w:r>
        <w:rPr>
          <w:rFonts w:ascii="SimSun" w:eastAsia="SimSun" w:hAnsi="SimSun" w:cs="SimSun"/>
          <w:spacing w:val="-4"/>
          <w:position w:val="-3"/>
          <w:sz w:val="12"/>
          <w:szCs w:val="12"/>
        </w:rPr>
        <w:t>S</w:t>
      </w:r>
      <w:r>
        <w:rPr>
          <w:rFonts w:ascii="SimSun" w:eastAsia="SimSun" w:hAnsi="SimSun" w:cs="SimSun"/>
          <w:spacing w:val="-4"/>
          <w:sz w:val="24"/>
          <w:szCs w:val="24"/>
        </w:rPr>
        <w:t>——检定仪直流电压标准值，mV；</w:t>
      </w:r>
    </w:p>
    <w:p>
      <w:pPr>
        <w:spacing w:before="34" w:line="211" w:lineRule="auto"/>
        <w:ind w:left="4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i/>
          <w:iCs/>
          <w:spacing w:val="15"/>
          <w:w w:val="120"/>
          <w:sz w:val="25"/>
          <w:szCs w:val="25"/>
        </w:rPr>
        <w:t>E</w:t>
      </w:r>
      <w:r>
        <w:rPr>
          <w:rFonts w:ascii="SimSun" w:eastAsia="SimSun" w:hAnsi="SimSun" w:cs="SimSun"/>
          <w:spacing w:val="-5"/>
          <w:position w:val="-3"/>
          <w:sz w:val="12"/>
          <w:szCs w:val="12"/>
        </w:rPr>
        <w:t>F</w:t>
      </w:r>
      <w:r>
        <w:rPr>
          <w:rFonts w:ascii="SimSun" w:eastAsia="SimSun" w:hAnsi="SimSun" w:cs="SimSun"/>
          <w:spacing w:val="-5"/>
          <w:sz w:val="24"/>
          <w:szCs w:val="24"/>
        </w:rPr>
        <w:t>——满量程电位值，mV。</w:t>
      </w:r>
    </w:p>
    <w:p>
      <w:pPr>
        <w:spacing w:before="183" w:line="220" w:lineRule="auto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6.4</w:t>
      </w:r>
      <w:r>
        <w:rPr>
          <w:rFonts w:ascii="SimSun" w:eastAsia="SimSun" w:hAnsi="SimSun" w:cs="SimSun"/>
          <w:spacing w:val="20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电计输入阻抗</w:t>
      </w:r>
    </w:p>
    <w:p>
      <w:pPr>
        <w:spacing w:before="181" w:line="333" w:lineRule="auto"/>
        <w:ind w:left="10" w:right="234" w:firstLine="48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按图</w:t>
      </w:r>
      <w:r>
        <w:rPr>
          <w:rFonts w:ascii="SimSun" w:eastAsia="SimSun" w:hAnsi="SimSun" w:cs="SimSun"/>
          <w:spacing w:val="-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1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连接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ORP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测定仪电计和检定仪，接通开关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K，高阻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R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短路，调节检定仪，使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其输出标准电位信号值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300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mV，输入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ORP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测定仪电计，测量并记录电计电位</w:t>
      </w:r>
      <w:r>
        <w:rPr>
          <w:rFonts w:ascii="SimSun" w:eastAsia="SimSun" w:hAnsi="SimSun" w:cs="SimSun"/>
          <w:spacing w:val="-3"/>
          <w:sz w:val="24"/>
          <w:szCs w:val="24"/>
        </w:rPr>
        <w:t>示值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i/>
          <w:iCs/>
          <w:spacing w:val="-3"/>
          <w:sz w:val="25"/>
          <w:szCs w:val="25"/>
        </w:rPr>
        <w:t>E</w:t>
      </w:r>
      <w:r>
        <w:rPr>
          <w:rFonts w:ascii="SimSun" w:eastAsia="SimSun" w:hAnsi="SimSun" w:cs="SimSun"/>
          <w:spacing w:val="-3"/>
          <w:position w:val="-3"/>
          <w:sz w:val="12"/>
          <w:szCs w:val="12"/>
        </w:rPr>
        <w:t>0</w:t>
      </w:r>
      <w:r>
        <w:rPr>
          <w:rFonts w:ascii="SimSun" w:eastAsia="SimSun" w:hAnsi="SimSun" w:cs="SimSun"/>
          <w:spacing w:val="-30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；然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后断开开关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K，高阻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R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接通，再次记录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ORP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测定仪电计电位示值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SimSun" w:eastAsia="SimSun" w:hAnsi="SimSun" w:cs="SimSun"/>
          <w:i/>
          <w:iCs/>
          <w:spacing w:val="-3"/>
          <w:sz w:val="25"/>
          <w:szCs w:val="25"/>
        </w:rPr>
        <w:t>E</w:t>
      </w:r>
      <w:r>
        <w:rPr>
          <w:rFonts w:ascii="SimSun" w:eastAsia="SimSun" w:hAnsi="SimSun" w:cs="SimSun"/>
          <w:spacing w:val="-3"/>
          <w:position w:val="-3"/>
          <w:sz w:val="12"/>
          <w:szCs w:val="12"/>
        </w:rPr>
        <w:t>1</w:t>
      </w:r>
      <w:r>
        <w:rPr>
          <w:rFonts w:ascii="SimSun" w:eastAsia="SimSun" w:hAnsi="SimSun" w:cs="SimSun"/>
          <w:spacing w:val="-27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。</w:t>
      </w:r>
      <w:r>
        <w:rPr>
          <w:rFonts w:ascii="SimSun" w:eastAsia="SimSun" w:hAnsi="SimSun" w:cs="SimSun"/>
          <w:spacing w:val="-4"/>
          <w:sz w:val="24"/>
          <w:szCs w:val="24"/>
        </w:rPr>
        <w:t>重复测量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3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次，分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别计算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SimSun" w:eastAsia="SimSun" w:hAnsi="SimSun" w:cs="SimSun"/>
          <w:i/>
          <w:iCs/>
          <w:spacing w:val="-4"/>
          <w:sz w:val="25"/>
          <w:szCs w:val="25"/>
        </w:rPr>
        <w:t>E</w:t>
      </w:r>
      <w:r>
        <w:rPr>
          <w:rFonts w:ascii="SimSun" w:eastAsia="SimSun" w:hAnsi="SimSun" w:cs="SimSun"/>
          <w:spacing w:val="-4"/>
          <w:position w:val="-3"/>
          <w:sz w:val="12"/>
          <w:szCs w:val="12"/>
        </w:rPr>
        <w:t>0</w:t>
      </w:r>
      <w:r>
        <w:rPr>
          <w:rFonts w:ascii="SimSun" w:eastAsia="SimSun" w:hAnsi="SimSun" w:cs="SimSun"/>
          <w:spacing w:val="-21"/>
          <w:position w:val="-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和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i/>
          <w:iCs/>
          <w:spacing w:val="-4"/>
          <w:sz w:val="25"/>
          <w:szCs w:val="25"/>
        </w:rPr>
        <w:t>E</w:t>
      </w:r>
      <w:r>
        <w:rPr>
          <w:rFonts w:ascii="SimSun" w:eastAsia="SimSun" w:hAnsi="SimSun" w:cs="SimSun"/>
          <w:spacing w:val="-4"/>
          <w:position w:val="-3"/>
          <w:sz w:val="12"/>
          <w:szCs w:val="12"/>
        </w:rPr>
        <w:t xml:space="preserve">1 </w:t>
      </w:r>
      <w:r>
        <w:rPr>
          <w:rFonts w:ascii="SimSun" w:eastAsia="SimSun" w:hAnsi="SimSun" w:cs="SimSun"/>
          <w:spacing w:val="-4"/>
          <w:sz w:val="24"/>
          <w:szCs w:val="24"/>
        </w:rPr>
        <w:t>的平均值</w:t>
      </w:r>
      <w:r>
        <w:ruby>
          <w:rubyPr>
            <w:rubyAlign w:val="left"/>
            <w:hps w:val="23"/>
            <w:hpsRaise w:val="4"/>
            <w:hpsBaseText w:val="21"/>
          </w:rubyPr>
          <w:rt>
            <w:r>
              <w:rPr>
                <w:rFonts w:ascii="Cambria Math" w:eastAsia="Cambria Math" w:hAnsi="Cambria Math" w:cs="Cambria Math"/>
                <w:w w:val="138"/>
                <w:sz w:val="24"/>
                <w:szCs w:val="24"/>
              </w:rPr>
              <w:t>-</w:t>
            </w:r>
          </w:rt>
          <w:rubyBase>
            <w:r>
              <w:rPr>
                <w:rFonts w:ascii="SimSun" w:eastAsia="SimSun" w:hAnsi="SimSun" w:cs="SimSun"/>
                <w:i/>
                <w:iCs/>
                <w:w w:val="128"/>
                <w:position w:val="-1"/>
                <w:sz w:val="16"/>
                <w:szCs w:val="16"/>
              </w:rPr>
              <w:t>E</w:t>
            </w:r>
            <w:r>
              <w:rPr>
                <w:rFonts w:ascii="SimSun" w:eastAsia="SimSun" w:hAnsi="SimSun" w:cs="SimSun"/>
                <w:w w:val="128"/>
                <w:position w:val="-1"/>
                <w:sz w:val="16"/>
                <w:szCs w:val="16"/>
              </w:rPr>
              <w:t>0</w:t>
            </w:r>
          </w:rubyBase>
        </w:ruby>
      </w:r>
      <w:r>
        <w:rPr>
          <w:rFonts w:ascii="SimSun" w:eastAsia="SimSun" w:hAnsi="SimSun" w:cs="SimSun"/>
          <w:spacing w:val="-4"/>
          <w:sz w:val="24"/>
          <w:szCs w:val="24"/>
        </w:rPr>
        <w:t>和</w:t>
      </w:r>
      <w:r>
        <w:ruby>
          <w:rubyPr>
            <w:rubyAlign w:val="left"/>
            <w:hps w:val="23"/>
            <w:hpsRaise w:val="4"/>
            <w:hpsBaseText w:val="21"/>
          </w:rubyPr>
          <w:rt>
            <w:r>
              <w:rPr>
                <w:rFonts w:ascii="Cambria Math" w:eastAsia="Cambria Math" w:hAnsi="Cambria Math" w:cs="Cambria Math"/>
                <w:w w:val="138"/>
                <w:sz w:val="24"/>
                <w:szCs w:val="24"/>
              </w:rPr>
              <w:t>-</w:t>
            </w:r>
          </w:rt>
          <w:rubyBase>
            <w:r>
              <w:rPr>
                <w:rFonts w:ascii="SimSun" w:eastAsia="SimSun" w:hAnsi="SimSun" w:cs="SimSun"/>
                <w:i/>
                <w:iCs/>
                <w:w w:val="138"/>
                <w:sz w:val="25"/>
                <w:szCs w:val="25"/>
              </w:rPr>
              <w:t>E</w:t>
            </w:r>
          </w:rubyBase>
        </w:ruby>
      </w:r>
      <w:r>
        <w:rPr>
          <w:rFonts w:ascii="SimSun" w:eastAsia="SimSun" w:hAnsi="SimSun" w:cs="SimSun"/>
          <w:spacing w:val="-4"/>
          <w:position w:val="-4"/>
          <w:sz w:val="16"/>
          <w:szCs w:val="16"/>
        </w:rPr>
        <w:t>1</w:t>
      </w:r>
      <w:r>
        <w:rPr>
          <w:rFonts w:ascii="SimSun" w:eastAsia="SimSun" w:hAnsi="SimSun" w:cs="SimSun"/>
          <w:spacing w:val="-39"/>
          <w:position w:val="-4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。按式（3）计算近似等效输入阻抗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i/>
          <w:iCs/>
          <w:spacing w:val="-4"/>
          <w:sz w:val="25"/>
          <w:szCs w:val="25"/>
        </w:rPr>
        <w:t>r</w:t>
      </w:r>
      <w:r>
        <w:rPr>
          <w:rFonts w:ascii="SimSun" w:eastAsia="SimSun" w:hAnsi="SimSun" w:cs="SimSun"/>
          <w:spacing w:val="-4"/>
          <w:sz w:val="24"/>
          <w:szCs w:val="24"/>
        </w:rPr>
        <w:t>。</w:t>
      </w:r>
    </w:p>
    <w:p>
      <w:pPr>
        <w:spacing w:before="47"/>
        <w:ind w:right="1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-21"/>
          <w:sz w:val="24"/>
          <w:szCs w:val="24"/>
        </w:rPr>
        <w:drawing>
          <wp:inline distT="0" distB="0" distL="0" distR="0">
            <wp:extent cx="1317631" cy="38863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17631" cy="388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"/>
          <w:position w:val="2"/>
          <w:sz w:val="24"/>
          <w:szCs w:val="24"/>
        </w:rPr>
        <w:t xml:space="preserve">                    </w:t>
      </w:r>
      <w:r>
        <w:rPr>
          <w:rFonts w:ascii="SimSun" w:eastAsia="SimSun" w:hAnsi="SimSun" w:cs="SimSun"/>
          <w:position w:val="2"/>
          <w:sz w:val="24"/>
          <w:szCs w:val="24"/>
        </w:rPr>
        <w:t>（3）</w:t>
      </w: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https://d.book118.com/048046042132006044</w:t>
        </w:r>
      </w:hyperlink>
    </w:p>
    <w:p>
      <w:pPr>
        <w:spacing w:before="47"/>
        <w:ind w:right="1"/>
        <w:jc w:val="right"/>
        <w:rPr>
          <w:rFonts w:ascii="SimSun" w:eastAsia="SimSun" w:hAnsi="SimSun" w:cs="SimSun"/>
          <w:sz w:val="24"/>
          <w:szCs w:val="24"/>
        </w:rPr>
      </w:pPr>
    </w:p>
    <w:sectPr>
      <w:headerReference w:type="default" r:id="rId37"/>
      <w:footerReference w:type="default" r:id="rId38"/>
      <w:pgSz w:w="11906" w:h="16839"/>
      <w:pgMar w:top="1736" w:right="1133" w:bottom="1571" w:left="1418" w:header="1431" w:footer="1409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24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21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21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1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793"/>
      <w:rPr>
        <w:rFonts w:ascii="SimHei" w:eastAsia="SimHei" w:hAnsi="SimHei" w:cs="SimHei"/>
        <w:sz w:val="20"/>
        <w:szCs w:val="20"/>
      </w:rPr>
    </w:pPr>
    <w:r>
      <w:pict>
        <v:shape id="_x0000_s2049" style="width:467.75pt;height:0.5pt;margin-top:85.5pt;margin-left:70.9pt;mso-position-horizontal-relative:page;mso-position-vertical-relative:page;position:absolute;z-index:251658240" coordorigin="0,0" coordsize="9355,10" o:allowincell="f" path="m,l9354,l9354,9l,9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6"/>
        <w:sz w:val="20"/>
        <w:szCs w:val="20"/>
      </w:rPr>
      <w:t>(京)3027—2023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793"/>
      <w:rPr>
        <w:rFonts w:ascii="SimHei" w:eastAsia="SimHei" w:hAnsi="SimHei" w:cs="SimHei"/>
        <w:sz w:val="20"/>
        <w:szCs w:val="20"/>
      </w:rPr>
    </w:pPr>
    <w:r>
      <w:pict>
        <v:shape id="_x0000_s2050" style="width:467.75pt;height:0.5pt;margin-top:85.5pt;margin-left:70.9pt;mso-position-horizontal-relative:page;mso-position-vertical-relative:page;position:absolute;z-index:251659264" coordorigin="0,0" coordsize="9355,10" o:allowincell="f" path="m,l9354,l9354,9l,9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6"/>
        <w:sz w:val="20"/>
        <w:szCs w:val="20"/>
      </w:rPr>
      <w:t>(京)3027—2023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793"/>
      <w:rPr>
        <w:rFonts w:ascii="SimHei" w:eastAsia="SimHei" w:hAnsi="SimHei" w:cs="SimHei"/>
        <w:sz w:val="20"/>
        <w:szCs w:val="20"/>
      </w:rPr>
    </w:pPr>
    <w:r>
      <w:pict>
        <v:shape id="_x0000_s2051" style="width:467.75pt;height:0.5pt;margin-top:85.5pt;margin-left:70.9pt;mso-position-horizontal-relative:page;mso-position-vertical-relative:page;position:absolute;z-index:251660288" coordorigin="0,0" coordsize="9355,10" o:allowincell="f" path="m,l9354,l9354,9l,9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6"/>
        <w:sz w:val="20"/>
        <w:szCs w:val="20"/>
      </w:rPr>
      <w:t>(京)3027—2023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793"/>
      <w:rPr>
        <w:rFonts w:ascii="SimHei" w:eastAsia="SimHei" w:hAnsi="SimHei" w:cs="SimHei"/>
        <w:sz w:val="20"/>
        <w:szCs w:val="20"/>
      </w:rPr>
    </w:pPr>
    <w:r>
      <w:pict>
        <v:shape id="_x0000_s2052" style="width:467.75pt;height:0.5pt;margin-top:85.45pt;margin-left:70.9pt;mso-position-horizontal-relative:page;mso-position-vertical-relative:page;position:absolute;z-index:251661312" coordorigin="0,0" coordsize="9355,10" o:allowincell="f" path="m,l9354,l9354,9l,9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6"/>
        <w:sz w:val="20"/>
        <w:szCs w:val="20"/>
      </w:rPr>
      <w:t>(京)3027—2023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793"/>
      <w:rPr>
        <w:rFonts w:ascii="SimHei" w:eastAsia="SimHei" w:hAnsi="SimHei" w:cs="SimHei"/>
        <w:sz w:val="20"/>
        <w:szCs w:val="20"/>
      </w:rPr>
    </w:pPr>
    <w:r>
      <w:pict>
        <v:shape id="_x0000_s2053" style="width:467.75pt;height:0.5pt;margin-top:85.45pt;margin-left:70.9pt;mso-position-horizontal-relative:page;mso-position-vertical-relative:page;position:absolute;z-index:251662336" coordorigin="0,0" coordsize="9355,10" o:allowincell="f" path="m,l9354,l9354,9l,9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6"/>
        <w:sz w:val="20"/>
        <w:szCs w:val="20"/>
      </w:rPr>
      <w:t>(京)3027—2023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793"/>
      <w:rPr>
        <w:rFonts w:ascii="SimHei" w:eastAsia="SimHei" w:hAnsi="SimHei" w:cs="SimHei"/>
        <w:sz w:val="20"/>
        <w:szCs w:val="20"/>
      </w:rPr>
    </w:pPr>
    <w:r>
      <w:pict>
        <v:shape id="_x0000_s2054" style="width:467.75pt;height:0.5pt;margin-top:85.5pt;margin-left:70.9pt;mso-position-horizontal-relative:page;mso-position-vertical-relative:page;position:absolute;z-index:251663360" coordorigin="0,0" coordsize="9355,10" o:allowincell="f" path="m,l9354,l9354,9l,9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6"/>
        <w:sz w:val="20"/>
        <w:szCs w:val="20"/>
      </w:rPr>
      <w:t>(京)3027—2023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793"/>
      <w:rPr>
        <w:rFonts w:ascii="SimHei" w:eastAsia="SimHei" w:hAnsi="SimHei" w:cs="SimHei"/>
        <w:sz w:val="20"/>
        <w:szCs w:val="20"/>
      </w:rPr>
    </w:pPr>
    <w:r>
      <w:pict>
        <v:shape id="_x0000_s2055" style="width:467.75pt;height:0.5pt;margin-top:85.5pt;margin-left:70.9pt;mso-position-horizontal-relative:page;mso-position-vertical-relative:page;position:absolute;z-index:251664384" coordorigin="0,0" coordsize="9355,10" o:allowincell="f" path="m,l9354,l9354,9l,9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6"/>
        <w:sz w:val="20"/>
        <w:szCs w:val="20"/>
      </w:rPr>
      <w:t>(京)3027—2023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793"/>
      <w:rPr>
        <w:rFonts w:ascii="SimHei" w:eastAsia="SimHei" w:hAnsi="SimHei" w:cs="SimHei"/>
        <w:sz w:val="20"/>
        <w:szCs w:val="20"/>
      </w:rPr>
    </w:pPr>
    <w:r>
      <w:pict>
        <v:shape id="_x0000_s2056" style="width:467.75pt;height:0.5pt;margin-top:85.5pt;margin-left:70.9pt;mso-position-horizontal-relative:page;mso-position-vertical-relative:page;position:absolute;z-index:251665408" coordorigin="0,0" coordsize="9355,10" o:allowincell="f" path="m,l9354,l9354,9l,9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6"/>
        <w:sz w:val="20"/>
        <w:szCs w:val="20"/>
      </w:rPr>
      <w:t>(京)3027—2023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793"/>
      <w:rPr>
        <w:rFonts w:ascii="SimHei" w:eastAsia="SimHei" w:hAnsi="SimHei" w:cs="SimHei"/>
        <w:sz w:val="20"/>
        <w:szCs w:val="20"/>
      </w:rPr>
    </w:pPr>
    <w:r>
      <w:pict>
        <v:shape id="_x0000_s2057" style="width:467.75pt;height:0.5pt;margin-top:85.5pt;margin-left:70.9pt;mso-position-horizontal-relative:page;mso-position-vertical-relative:page;position:absolute;z-index:251666432" coordorigin="0,0" coordsize="9355,10" o:allowincell="f" path="m,l9354,l9354,9l,9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6"/>
        <w:sz w:val="20"/>
        <w:szCs w:val="20"/>
      </w:rPr>
      <w:t>(京)3027—2023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793"/>
      <w:rPr>
        <w:rFonts w:ascii="SimHei" w:eastAsia="SimHei" w:hAnsi="SimHei" w:cs="SimHei"/>
        <w:sz w:val="20"/>
        <w:szCs w:val="20"/>
      </w:rPr>
    </w:pPr>
    <w:r>
      <w:pict>
        <v:shape id="_x0000_s2058" style="width:467.75pt;height:0.5pt;margin-top:85.5pt;margin-left:70.9pt;mso-position-horizontal-relative:page;mso-position-vertical-relative:page;position:absolute;z-index:251667456" coordorigin="0,0" coordsize="9355,10" o:allowincell="f" path="m,l9354,l9354,9l,9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6"/>
        <w:sz w:val="20"/>
        <w:szCs w:val="20"/>
      </w:rPr>
      <w:t>(京)3027—2023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793"/>
      <w:rPr>
        <w:rFonts w:ascii="SimHei" w:eastAsia="SimHei" w:hAnsi="SimHei" w:cs="SimHei"/>
        <w:sz w:val="20"/>
        <w:szCs w:val="20"/>
      </w:rPr>
    </w:pPr>
    <w:r>
      <w:pict>
        <v:shape id="_x0000_s2059" style="width:467.75pt;height:0.5pt;margin-top:85.5pt;margin-left:70.9pt;mso-position-horizontal-relative:page;mso-position-vertical-relative:page;position:absolute;z-index:251668480" coordorigin="0,0" coordsize="9355,10" o:allowincell="f" path="m,l9354,l9354,9l,9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6"/>
        <w:sz w:val="20"/>
        <w:szCs w:val="20"/>
      </w:rPr>
      <w:t>(京)3027—2023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1.xml" /><Relationship Id="rId14" Type="http://schemas.openxmlformats.org/officeDocument/2006/relationships/header" Target="header5.xml" /><Relationship Id="rId15" Type="http://schemas.openxmlformats.org/officeDocument/2006/relationships/footer" Target="footer2.xml" /><Relationship Id="rId16" Type="http://schemas.openxmlformats.org/officeDocument/2006/relationships/header" Target="header6.xml" /><Relationship Id="rId17" Type="http://schemas.openxmlformats.org/officeDocument/2006/relationships/footer" Target="footer3.xml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4.xml" /><Relationship Id="rId22" Type="http://schemas.openxmlformats.org/officeDocument/2006/relationships/header" Target="header8.xml" /><Relationship Id="rId23" Type="http://schemas.openxmlformats.org/officeDocument/2006/relationships/footer" Target="footer5.xml" /><Relationship Id="rId24" Type="http://schemas.openxmlformats.org/officeDocument/2006/relationships/header" Target="header9.xml" /><Relationship Id="rId25" Type="http://schemas.openxmlformats.org/officeDocument/2006/relationships/footer" Target="footer6.xml" /><Relationship Id="rId26" Type="http://schemas.openxmlformats.org/officeDocument/2006/relationships/header" Target="header10.xml" /><Relationship Id="rId27" Type="http://schemas.openxmlformats.org/officeDocument/2006/relationships/footer" Target="footer7.xml" /><Relationship Id="rId28" Type="http://schemas.openxmlformats.org/officeDocument/2006/relationships/image" Target="media/image8.png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image" Target="media/image11.png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hyperlink" Target="https://d.book118.com/048046042132006044" TargetMode="External" /><Relationship Id="rId37" Type="http://schemas.openxmlformats.org/officeDocument/2006/relationships/header" Target="header11.xml" /><Relationship Id="rId38" Type="http://schemas.openxmlformats.org/officeDocument/2006/relationships/footer" Target="footer8.xml" /><Relationship Id="rId39" Type="http://schemas.openxmlformats.org/officeDocument/2006/relationships/theme" Target="theme/theme1.xml" /><Relationship Id="rId4" Type="http://schemas.openxmlformats.org/officeDocument/2006/relationships/image" Target="media/image1.jpeg" /><Relationship Id="rId40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JJG</dc:title>
  <dc:creator>CAI</dc:creator>
  <cp:revision>0</cp:revision>
  <dcterms:created xsi:type="dcterms:W3CDTF">2023-06-15T16:25:43Z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2024-03-12T10:46:15Z</vt:filetime>
  </property>
  <property fmtid="{D5CDD505-2E9C-101B-9397-08002B2CF9AE}" pid="3" name="CRO">
    <vt:lpwstr>wqlLaW5nc29mdCBQREYgdG8gV1BTIDEwMA</vt:lpwstr>
  </property>
</Properties>
</file>