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烟度计行业相关公司设立可行性研究报告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_Toc28690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eastAsia="zh-CN"/>
          </w:rPr>
          <w:t>(一)、烟度计项目选址原则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_Toc18058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(五)、烟度计项目选址综合评价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eastAsia="zh-CN"/>
          </w:rPr>
          <w:t>二、烟度计项目概况</w:t>
        </w:r>
        <w:r>
          <w:tab/>
        </w:r>
        <w:r>
          <w:fldChar w:fldCharType="begin"/>
        </w:r>
        <w:r>
          <w:instrText xml:space="preserve"> PAGEREF _Toc30313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_Toc17091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1" w:history="1">
        <w:r>
          <w:rPr>
            <w:rFonts w:ascii="仿宋" w:eastAsia="仿宋" w:hAnsi="仿宋" w:cs="仿宋" w:hint="eastAsia"/>
            <w:lang w:eastAsia="zh-CN"/>
          </w:rPr>
          <w:t>(二)、烟度计项目提出的理由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(三)、烟度计项目选址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_Toc4431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(六)、烟度计项目投资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(七)、烟度计项目进度规划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_Toc31781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(九)、烟度计项目综合评价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_Toc17837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(七)、烟度计项目建设必要性分析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四、烟度计筹建公司基本信息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_Toc24019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2" w:history="1">
        <w:r>
          <w:rPr>
            <w:rFonts w:ascii="仿宋" w:eastAsia="仿宋" w:hAnsi="仿宋" w:cs="仿宋" w:hint="eastAsia"/>
            <w:lang w:eastAsia="zh-CN"/>
          </w:rPr>
          <w:t>六、烟度计项目经济效益</w:t>
        </w:r>
        <w:r>
          <w:tab/>
        </w:r>
        <w:r>
          <w:fldChar w:fldCharType="begin"/>
        </w:r>
        <w:r>
          <w:instrText xml:space="preserve"> PAGEREF _Toc6482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_Toc11679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3" w:history="1">
        <w:r>
          <w:rPr>
            <w:rFonts w:ascii="仿宋" w:eastAsia="仿宋" w:hAnsi="仿宋" w:cs="仿宋" w:hint="eastAsia"/>
            <w:lang w:eastAsia="zh-CN"/>
          </w:rPr>
          <w:t>(三)、烟度计项目盈利能力分析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(一)、烟度计项目背景分析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(二)、烟度计项目建设必要性分析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_Toc10221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_Toc7460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(一)、烟度计项目进度安排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(二)、烟度计项目实施保障措施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_Toc24718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_Toc7045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_Toc14258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_Toc22297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_Toc20386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_Toc10112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(一)、社会责任烟度计项目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_Toc7031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_Toc6676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_Toc12017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_Toc23081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_Toc1866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_Toc28413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_Toc14414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69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31"/>
      <w:r>
        <w:rPr>
          <w:rFonts w:ascii="仿宋" w:eastAsia="仿宋" w:hAnsi="仿宋" w:cs="仿宋" w:hint="eastAsia"/>
          <w:lang w:eastAsia="zh-CN"/>
        </w:rPr>
        <w:t>(一)、烟度计项目选址原则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烟度计项目选址是决定工业烟度计项目成败的关键因素之一。根据现行政策，烟度计项目选址必须符合一系列要求，以确保城乡建设、环境保护和资源利用的协调。以下是一些关于烟度计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烟度计项目选址必须与当地城乡建设总体规划相一致。它应该符合工业烟度计项目占地使用规划的要求，并与大气污染防治、水资源和自然生态保护政策相协调。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烟度计项目选址应避开自然保护区、风景名胜区、生活饮用水源地和其他特别需要保护的敏感性目标。这有助于维护自然环境的完整性和生态系统的稳定。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https://d.book118.com/048064006051006031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烟度计行业相关公司设立可行性研究报告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烟度计行业相关公司设立可行性研究报告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烟度计行业相关公司设立可行性研究报告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烟度计行业相关公司设立可行性研究报告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烟度计行业相关公司设立可行性研究报告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8064006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2024-01-08T06:03:00Z</dcterms:created>
  <dcterms:modified xsi:type="dcterms:W3CDTF">2024-01-08T06:04:14Z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6F18D2C92CAB4199890C74FED03496E9_11</vt:lpwstr>
  </property>
  <property fmtid="{D5CDD505-2E9C-101B-9397-08002B2CF9AE}" pid="3" name="KSOProductBuildVer">
    <vt:lpwstr>2052-12.1.0.16120</vt:lpwstr>
  </property>
</Properties>
</file>