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77" w:line="229" w:lineRule="auto"/>
        <w:jc w:val="right"/>
        <w:rPr>
          <w:sz w:val="38"/>
          <w:szCs w:val="38"/>
        </w:rPr>
      </w:pPr>
      <w:r>
        <w:rPr>
          <w:sz w:val="38"/>
          <w:szCs w:val="38"/>
        </w:rPr>
        <w:t>SN</w:t>
      </w:r>
      <w:r>
        <w:rPr>
          <w:spacing w:val="2"/>
          <w:sz w:val="38"/>
          <w:szCs w:val="38"/>
        </w:rPr>
        <w:t>/T</w:t>
      </w:r>
      <w:r>
        <w:rPr>
          <w:spacing w:val="34"/>
          <w:sz w:val="38"/>
          <w:szCs w:val="38"/>
        </w:rPr>
        <w:t xml:space="preserve">  </w:t>
      </w:r>
      <w:r>
        <w:rPr>
          <w:spacing w:val="2"/>
          <w:sz w:val="38"/>
          <w:szCs w:val="38"/>
        </w:rPr>
        <w:t>2539—2010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82" w:line="223" w:lineRule="auto"/>
        <w:ind w:left="6929"/>
        <w:outlineLvl w:val="0"/>
        <w:rPr>
          <w:rFonts w:ascii="SimHei" w:eastAsia="SimHei" w:hAnsi="SimHei" w:cs="SimHei"/>
          <w:sz w:val="56"/>
          <w:szCs w:val="56"/>
        </w:rPr>
      </w:pPr>
      <w:r>
        <w:rPr>
          <w:rFonts w:ascii="SimHei" w:eastAsia="SimHei" w:hAnsi="SimHei" w:cs="SimHei"/>
          <w:b/>
          <w:bCs/>
          <w:spacing w:val="-17"/>
          <w:sz w:val="56"/>
          <w:szCs w:val="56"/>
        </w:rPr>
        <w:t>前</w:t>
      </w:r>
      <w:r>
        <w:rPr>
          <w:rFonts w:ascii="SimHei" w:eastAsia="SimHei" w:hAnsi="SimHei" w:cs="SimHei"/>
          <w:spacing w:val="22"/>
          <w:sz w:val="56"/>
          <w:szCs w:val="56"/>
        </w:rPr>
        <w:t xml:space="preserve">    </w:t>
      </w:r>
      <w:r>
        <w:rPr>
          <w:rFonts w:ascii="SimHei" w:eastAsia="SimHei" w:hAnsi="SimHei" w:cs="SimHei"/>
          <w:b/>
          <w:bCs/>
          <w:spacing w:val="-17"/>
          <w:sz w:val="56"/>
          <w:szCs w:val="56"/>
        </w:rPr>
        <w:t>言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30" w:line="561" w:lineRule="exact"/>
        <w:ind w:left="116"/>
      </w:pPr>
      <w:r>
        <w:rPr>
          <w:spacing w:val="-7"/>
          <w:position w:val="10"/>
        </w:rPr>
        <w:t>本标准的附录</w:t>
      </w:r>
      <w:r>
        <w:rPr>
          <w:spacing w:val="-68"/>
          <w:position w:val="10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10"/>
        </w:rPr>
        <w:t>A</w:t>
      </w:r>
      <w:r>
        <w:rPr>
          <w:spacing w:val="-7"/>
          <w:position w:val="10"/>
        </w:rPr>
        <w:t>、附录</w:t>
      </w:r>
      <w:r>
        <w:rPr>
          <w:spacing w:val="-91"/>
          <w:position w:val="10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10"/>
        </w:rPr>
        <w:t>B</w:t>
      </w:r>
      <w:r>
        <w:rPr>
          <w:spacing w:val="-7"/>
          <w:position w:val="10"/>
        </w:rPr>
        <w:t>和附录</w:t>
      </w:r>
      <w:r>
        <w:rPr>
          <w:rFonts w:ascii="Times New Roman" w:eastAsia="Times New Roman" w:hAnsi="Times New Roman" w:cs="Times New Roman"/>
          <w:spacing w:val="-7"/>
          <w:position w:val="10"/>
        </w:rPr>
        <w:t xml:space="preserve">C </w:t>
      </w:r>
      <w:r>
        <w:rPr>
          <w:spacing w:val="-7"/>
          <w:position w:val="10"/>
        </w:rPr>
        <w:t>均为资料性</w:t>
      </w:r>
      <w:r>
        <w:rPr>
          <w:spacing w:val="-8"/>
          <w:position w:val="10"/>
        </w:rPr>
        <w:t>附录。</w:t>
      </w:r>
    </w:p>
    <w:p>
      <w:pPr>
        <w:pStyle w:val="BodyText"/>
        <w:spacing w:line="223" w:lineRule="auto"/>
        <w:ind w:left="116"/>
      </w:pPr>
      <w:r>
        <w:rPr>
          <w:spacing w:val="-4"/>
        </w:rPr>
        <w:t>本标准由国家认证认可监督管理委员会提出</w:t>
      </w:r>
      <w:r>
        <w:rPr>
          <w:spacing w:val="-5"/>
        </w:rPr>
        <w:t>并归口。</w:t>
      </w:r>
    </w:p>
    <w:p>
      <w:pPr>
        <w:pStyle w:val="BodyText"/>
        <w:spacing w:before="79" w:line="223" w:lineRule="auto"/>
        <w:ind w:left="116"/>
      </w:pPr>
      <w:r>
        <w:rPr>
          <w:spacing w:val="-5"/>
        </w:rPr>
        <w:t>本标准起草单位：中华人民共和国湖南出入境检验检疫局</w:t>
      </w:r>
    </w:p>
    <w:p>
      <w:pPr>
        <w:pStyle w:val="BodyText"/>
        <w:spacing w:before="120" w:line="605" w:lineRule="exact"/>
        <w:ind w:left="116"/>
      </w:pPr>
      <w:r>
        <w:rPr>
          <w:spacing w:val="-40"/>
          <w:position w:val="13"/>
        </w:rPr>
        <w:t>本标准主要起草人：颜鸿飞、张莹、孙菲、胡宇东、黄志强、付善良、李拥军、王美玲</w:t>
      </w:r>
    </w:p>
    <w:p>
      <w:pPr>
        <w:pStyle w:val="BodyText"/>
        <w:spacing w:line="223" w:lineRule="auto"/>
        <w:ind w:left="116"/>
      </w:pPr>
      <w:r>
        <w:rPr>
          <w:spacing w:val="-6"/>
        </w:rPr>
        <w:t>本标准系首次发布的出入境检验检疫行业标准。</w:t>
      </w:r>
    </w:p>
    <w:p>
      <w:pPr>
        <w:spacing w:line="223" w:lineRule="auto"/>
        <w:sectPr>
          <w:footerReference w:type="default" r:id="rId4"/>
          <w:pgSz w:w="22124" w:h="31680"/>
          <w:pgMar w:top="2367" w:right="2012" w:bottom="2753" w:left="3318" w:header="0" w:footer="2409" w:gutter="0"/>
          <w:cols w:space="708"/>
        </w:sectPr>
      </w:pPr>
    </w:p>
    <w:p>
      <w:pPr>
        <w:pStyle w:val="BodyText"/>
        <w:spacing w:before="81" w:line="229" w:lineRule="auto"/>
        <w:ind w:right="9"/>
        <w:jc w:val="right"/>
      </w:pPr>
      <w:r>
        <w:t>SN</w:t>
      </w:r>
      <w:r>
        <w:rPr>
          <w:spacing w:val="2"/>
        </w:rPr>
        <w:t>/T</w:t>
      </w:r>
      <w:r>
        <w:rPr>
          <w:spacing w:val="87"/>
        </w:rPr>
        <w:t xml:space="preserve"> </w:t>
      </w:r>
      <w:r>
        <w:rPr>
          <w:spacing w:val="2"/>
        </w:rPr>
        <w:t>2539—2010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88" w:line="815" w:lineRule="exact"/>
        <w:ind w:left="4622"/>
        <w:rPr>
          <w:rFonts w:ascii="SimHei" w:eastAsia="SimHei" w:hAnsi="SimHei" w:cs="SimHei"/>
          <w:sz w:val="58"/>
          <w:szCs w:val="58"/>
        </w:rPr>
      </w:pPr>
      <w:r>
        <w:rPr>
          <w:rFonts w:ascii="SimHei" w:eastAsia="SimHei" w:hAnsi="SimHei" w:cs="SimHei"/>
          <w:spacing w:val="10"/>
          <w:position w:val="15"/>
          <w:sz w:val="58"/>
          <w:szCs w:val="58"/>
        </w:rPr>
        <w:t>动物源食品中乙氧喹啉残留量的</w:t>
      </w:r>
    </w:p>
    <w:p>
      <w:pPr>
        <w:spacing w:before="3" w:line="221" w:lineRule="auto"/>
        <w:ind w:left="5185"/>
        <w:rPr>
          <w:rFonts w:ascii="SimHei" w:eastAsia="SimHei" w:hAnsi="SimHei" w:cs="SimHei"/>
          <w:sz w:val="58"/>
          <w:szCs w:val="58"/>
        </w:rPr>
      </w:pPr>
      <w:r>
        <w:rPr>
          <w:rFonts w:ascii="SimHei" w:eastAsia="SimHei" w:hAnsi="SimHei" w:cs="SimHei"/>
          <w:spacing w:val="14"/>
          <w:sz w:val="58"/>
          <w:szCs w:val="58"/>
        </w:rPr>
        <w:t>测定方法</w:t>
      </w:r>
      <w:r>
        <w:rPr>
          <w:rFonts w:ascii="SimHei" w:eastAsia="SimHei" w:hAnsi="SimHei" w:cs="SimHei"/>
          <w:spacing w:val="289"/>
          <w:sz w:val="58"/>
          <w:szCs w:val="58"/>
        </w:rPr>
        <w:t xml:space="preserve"> </w:t>
      </w:r>
      <w:r>
        <w:rPr>
          <w:rFonts w:ascii="SimHei" w:eastAsia="SimHei" w:hAnsi="SimHei" w:cs="SimHei"/>
          <w:spacing w:val="14"/>
          <w:sz w:val="58"/>
          <w:szCs w:val="58"/>
        </w:rPr>
        <w:t>高效液相色谱法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23" w:line="227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7"/>
          <w:sz w:val="38"/>
          <w:szCs w:val="38"/>
        </w:rPr>
        <w:t>1</w:t>
      </w:r>
      <w:r>
        <w:rPr>
          <w:rFonts w:ascii="SimHei" w:eastAsia="SimHei" w:hAnsi="SimHei" w:cs="SimHei"/>
          <w:spacing w:val="11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38"/>
          <w:szCs w:val="38"/>
        </w:rPr>
        <w:t>范围</w:t>
      </w: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124" w:line="585" w:lineRule="exact"/>
        <w:jc w:val="right"/>
        <w:rPr>
          <w:sz w:val="38"/>
          <w:szCs w:val="38"/>
        </w:rPr>
      </w:pPr>
      <w:r>
        <w:rPr>
          <w:spacing w:val="-10"/>
          <w:position w:val="14"/>
          <w:sz w:val="38"/>
          <w:szCs w:val="38"/>
        </w:rPr>
        <w:t>本标准规定了猪肉、猪肝、猪肾、鸡肉、鱼肉、鸡蛋、蜂蜜、牛奶中乙氧喹啉残留量的液相色谱测定和</w:t>
      </w:r>
    </w:p>
    <w:p>
      <w:pPr>
        <w:pStyle w:val="BodyText"/>
        <w:spacing w:before="1" w:line="223" w:lineRule="auto"/>
        <w:rPr>
          <w:sz w:val="38"/>
          <w:szCs w:val="38"/>
        </w:rPr>
      </w:pPr>
      <w:r>
        <w:rPr>
          <w:spacing w:val="6"/>
          <w:sz w:val="38"/>
          <w:szCs w:val="38"/>
        </w:rPr>
        <w:t>高效液相色谱-质谱确证方法。</w:t>
      </w:r>
    </w:p>
    <w:p>
      <w:pPr>
        <w:pStyle w:val="BodyText"/>
        <w:spacing w:before="123" w:line="223" w:lineRule="auto"/>
        <w:ind w:left="842"/>
      </w:pPr>
      <w:r>
        <w:rPr>
          <w:spacing w:val="-35"/>
        </w:rPr>
        <w:t>本标准适用于猪肉、猪肝、猪肾、鸡肉、鱼肉、鸡蛋、蜂蜜、牛奶中乙氧喹</w:t>
      </w:r>
      <w:r>
        <w:rPr>
          <w:spacing w:val="-36"/>
        </w:rPr>
        <w:t>啉残留量的测定和确证。</w:t>
      </w:r>
    </w:p>
    <w:p>
      <w:pPr>
        <w:spacing w:line="356" w:lineRule="auto"/>
        <w:rPr>
          <w:rFonts w:ascii="Arial"/>
          <w:sz w:val="21"/>
        </w:rPr>
      </w:pPr>
    </w:p>
    <w:p>
      <w:pPr>
        <w:spacing w:before="124" w:line="225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6"/>
          <w:sz w:val="38"/>
          <w:szCs w:val="38"/>
        </w:rPr>
        <w:t>2</w:t>
      </w:r>
      <w:r>
        <w:rPr>
          <w:rFonts w:ascii="SimHei" w:eastAsia="SimHei" w:hAnsi="SimHei" w:cs="SimHei"/>
          <w:spacing w:val="21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6"/>
          <w:sz w:val="38"/>
          <w:szCs w:val="38"/>
        </w:rPr>
        <w:t>方法提要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24" w:line="629" w:lineRule="exact"/>
        <w:ind w:right="13"/>
        <w:jc w:val="right"/>
        <w:rPr>
          <w:sz w:val="38"/>
          <w:szCs w:val="38"/>
        </w:rPr>
      </w:pPr>
      <w:r>
        <w:rPr>
          <w:spacing w:val="3"/>
          <w:position w:val="17"/>
          <w:sz w:val="38"/>
          <w:szCs w:val="38"/>
        </w:rPr>
        <w:t>试样加入碳酸钠溶液和丙酮振荡提取后，用正己烷进行液-液萃取分配，提</w:t>
      </w:r>
      <w:r>
        <w:rPr>
          <w:spacing w:val="2"/>
          <w:position w:val="17"/>
          <w:sz w:val="38"/>
          <w:szCs w:val="38"/>
        </w:rPr>
        <w:t>取液经浓缩定容后，用配</w:t>
      </w:r>
    </w:p>
    <w:p>
      <w:pPr>
        <w:pStyle w:val="BodyText"/>
        <w:spacing w:before="1" w:line="223" w:lineRule="auto"/>
        <w:rPr>
          <w:sz w:val="38"/>
          <w:szCs w:val="38"/>
        </w:rPr>
      </w:pPr>
      <w:r>
        <w:rPr>
          <w:spacing w:val="2"/>
          <w:sz w:val="38"/>
          <w:szCs w:val="38"/>
        </w:rPr>
        <w:t>荧光检测器的高效液相色谱仪测定，外标法定量，高效</w:t>
      </w:r>
      <w:r>
        <w:rPr>
          <w:spacing w:val="1"/>
          <w:sz w:val="38"/>
          <w:szCs w:val="38"/>
        </w:rPr>
        <w:t>液相色谱-串联质谱仪确证。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130" w:line="225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4"/>
          <w:sz w:val="40"/>
          <w:szCs w:val="40"/>
        </w:rPr>
        <w:t>3</w:t>
      </w:r>
      <w:r>
        <w:rPr>
          <w:rFonts w:ascii="SimHei" w:eastAsia="SimHei" w:hAnsi="SimHei" w:cs="SimHei"/>
          <w:spacing w:val="194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40"/>
          <w:szCs w:val="40"/>
        </w:rPr>
        <w:t>试剂和材料</w:t>
      </w: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125" w:line="223" w:lineRule="auto"/>
        <w:ind w:left="842"/>
        <w:rPr>
          <w:sz w:val="38"/>
          <w:szCs w:val="38"/>
        </w:rPr>
      </w:pPr>
      <w:r>
        <w:rPr>
          <w:spacing w:val="-2"/>
          <w:sz w:val="38"/>
          <w:szCs w:val="38"/>
        </w:rPr>
        <w:t>除特殊注明外，所有试剂均为分析纯，水为二次蒸馏水。</w:t>
      </w:r>
    </w:p>
    <w:p>
      <w:pPr>
        <w:pStyle w:val="BodyText"/>
        <w:spacing w:before="175" w:line="224" w:lineRule="auto"/>
      </w:pPr>
      <w:r>
        <w:rPr>
          <w:spacing w:val="-15"/>
        </w:rPr>
        <w:t>3.1  丙酮：</w:t>
      </w:r>
      <w:r>
        <w:rPr>
          <w:rFonts w:ascii="Times New Roman" w:eastAsia="Times New Roman" w:hAnsi="Times New Roman" w:cs="Times New Roman"/>
          <w:spacing w:val="-15"/>
        </w:rPr>
        <w:t>HPLC</w:t>
      </w:r>
      <w:r>
        <w:rPr>
          <w:rFonts w:ascii="Times New Roman" w:eastAsia="Times New Roman" w:hAnsi="Times New Roman" w:cs="Times New Roman"/>
          <w:spacing w:val="52"/>
        </w:rPr>
        <w:t xml:space="preserve"> </w:t>
      </w:r>
      <w:r>
        <w:rPr>
          <w:spacing w:val="-15"/>
        </w:rPr>
        <w:t>级。</w:t>
      </w:r>
    </w:p>
    <w:p>
      <w:pPr>
        <w:pStyle w:val="BodyText"/>
        <w:spacing w:before="95" w:line="224" w:lineRule="auto"/>
        <w:rPr>
          <w:sz w:val="38"/>
          <w:szCs w:val="38"/>
        </w:rPr>
      </w:pPr>
      <w:r>
        <w:rPr>
          <w:spacing w:val="-8"/>
          <w:sz w:val="38"/>
          <w:szCs w:val="38"/>
        </w:rPr>
        <w:t>3.2</w:t>
      </w:r>
      <w:r>
        <w:rPr>
          <w:spacing w:val="40"/>
          <w:sz w:val="38"/>
          <w:szCs w:val="38"/>
        </w:rPr>
        <w:t xml:space="preserve">  </w:t>
      </w:r>
      <w:r>
        <w:rPr>
          <w:spacing w:val="-8"/>
          <w:sz w:val="38"/>
          <w:szCs w:val="38"/>
        </w:rPr>
        <w:t>正己烷：</w:t>
      </w:r>
      <w:r>
        <w:rPr>
          <w:rFonts w:ascii="Times New Roman" w:eastAsia="Times New Roman" w:hAnsi="Times New Roman" w:cs="Times New Roman"/>
          <w:spacing w:val="-8"/>
          <w:sz w:val="38"/>
          <w:szCs w:val="38"/>
        </w:rPr>
        <w:t>HPLC</w:t>
      </w:r>
      <w:r>
        <w:rPr>
          <w:rFonts w:ascii="Times New Roman" w:eastAsia="Times New Roman" w:hAnsi="Times New Roman" w:cs="Times New Roman"/>
          <w:spacing w:val="85"/>
          <w:sz w:val="38"/>
          <w:szCs w:val="38"/>
        </w:rPr>
        <w:t xml:space="preserve"> </w:t>
      </w:r>
      <w:r>
        <w:rPr>
          <w:spacing w:val="-8"/>
          <w:sz w:val="38"/>
          <w:szCs w:val="38"/>
        </w:rPr>
        <w:t>级。</w:t>
      </w:r>
    </w:p>
    <w:p>
      <w:pPr>
        <w:pStyle w:val="BodyText"/>
        <w:spacing w:before="161" w:line="222" w:lineRule="auto"/>
        <w:rPr>
          <w:sz w:val="38"/>
          <w:szCs w:val="38"/>
        </w:rPr>
      </w:pPr>
      <w:r>
        <w:rPr>
          <w:spacing w:val="-12"/>
          <w:sz w:val="38"/>
          <w:szCs w:val="38"/>
        </w:rPr>
        <w:t>3.3</w:t>
      </w:r>
      <w:r>
        <w:rPr>
          <w:spacing w:val="53"/>
          <w:sz w:val="38"/>
          <w:szCs w:val="38"/>
        </w:rPr>
        <w:t xml:space="preserve">  </w:t>
      </w:r>
      <w:r>
        <w:rPr>
          <w:spacing w:val="-12"/>
          <w:sz w:val="38"/>
          <w:szCs w:val="38"/>
        </w:rPr>
        <w:t>乙腈：</w:t>
      </w:r>
      <w:r>
        <w:rPr>
          <w:rFonts w:ascii="Times New Roman" w:eastAsia="Times New Roman" w:hAnsi="Times New Roman" w:cs="Times New Roman"/>
          <w:spacing w:val="-12"/>
          <w:sz w:val="38"/>
          <w:szCs w:val="38"/>
        </w:rPr>
        <w:t xml:space="preserve">HPLC  </w:t>
      </w:r>
      <w:r>
        <w:rPr>
          <w:spacing w:val="-12"/>
          <w:sz w:val="38"/>
          <w:szCs w:val="38"/>
        </w:rPr>
        <w:t>级。</w:t>
      </w:r>
    </w:p>
    <w:p>
      <w:pPr>
        <w:pStyle w:val="BodyText"/>
        <w:spacing w:before="111" w:line="224" w:lineRule="auto"/>
      </w:pPr>
      <w:r>
        <w:rPr>
          <w:spacing w:val="-5"/>
        </w:rPr>
        <w:t>3.4  碳酸钠。</w:t>
      </w:r>
    </w:p>
    <w:p>
      <w:pPr>
        <w:pStyle w:val="BodyText"/>
        <w:spacing w:before="140" w:line="225" w:lineRule="auto"/>
        <w:rPr>
          <w:sz w:val="38"/>
          <w:szCs w:val="38"/>
        </w:rPr>
      </w:pPr>
      <w:r>
        <w:rPr>
          <w:spacing w:val="-13"/>
          <w:sz w:val="38"/>
          <w:szCs w:val="38"/>
        </w:rPr>
        <w:t>3.5</w:t>
      </w:r>
      <w:r>
        <w:rPr>
          <w:spacing w:val="38"/>
          <w:sz w:val="38"/>
          <w:szCs w:val="38"/>
        </w:rPr>
        <w:t xml:space="preserve">  </w:t>
      </w:r>
      <w:r>
        <w:rPr>
          <w:spacing w:val="-13"/>
          <w:sz w:val="38"/>
          <w:szCs w:val="38"/>
        </w:rPr>
        <w:t>乙酸铵：色谱纯。</w:t>
      </w:r>
    </w:p>
    <w:p>
      <w:pPr>
        <w:pStyle w:val="BodyText"/>
        <w:spacing w:before="51" w:line="272" w:lineRule="auto"/>
        <w:ind w:right="14"/>
      </w:pPr>
      <w:r>
        <w:rPr>
          <w:spacing w:val="6"/>
        </w:rPr>
        <w:t>3.6</w:t>
      </w:r>
      <w:r>
        <w:rPr>
          <w:spacing w:val="55"/>
        </w:rPr>
        <w:t xml:space="preserve">  </w:t>
      </w:r>
      <w:r>
        <w:rPr>
          <w:spacing w:val="6"/>
        </w:rPr>
        <w:t xml:space="preserve">碳酸钠溶液(100 </w:t>
      </w:r>
      <w:r>
        <w:rPr>
          <w:rFonts w:ascii="Times New Roman" w:eastAsia="Times New Roman" w:hAnsi="Times New Roman" w:cs="Times New Roman"/>
          <w:spacing w:val="6"/>
        </w:rPr>
        <w:t xml:space="preserve">g/L):  </w:t>
      </w:r>
      <w:r>
        <w:rPr>
          <w:spacing w:val="6"/>
        </w:rPr>
        <w:t>准确称取100</w:t>
      </w:r>
      <w:r>
        <w:rPr>
          <w:rFonts w:ascii="Times New Roman" w:eastAsia="Times New Roman" w:hAnsi="Times New Roman" w:cs="Times New Roman"/>
          <w:spacing w:val="6"/>
        </w:rPr>
        <w:t>g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6"/>
        </w:rPr>
        <w:t>碳酸钠(3.4)于烧杯中加入适量水溶解，</w:t>
      </w:r>
      <w:r>
        <w:rPr>
          <w:spacing w:val="5"/>
        </w:rPr>
        <w:t>转移至1</w:t>
      </w:r>
      <w:r>
        <w:rPr>
          <w:rFonts w:ascii="Times New Roman" w:eastAsia="Times New Roman" w:hAnsi="Times New Roman" w:cs="Times New Roman"/>
          <w:spacing w:val="5"/>
        </w:rPr>
        <w:t>L</w:t>
      </w:r>
      <w:r>
        <w:rPr>
          <w:rFonts w:ascii="Times New Roman" w:eastAsia="Times New Roman" w:hAnsi="Times New Roman" w:cs="Times New Roman"/>
          <w:spacing w:val="48"/>
        </w:rPr>
        <w:t xml:space="preserve"> </w:t>
      </w:r>
      <w:r>
        <w:rPr>
          <w:spacing w:val="5"/>
        </w:rPr>
        <w:t>容量</w:t>
      </w:r>
      <w:r>
        <w:t xml:space="preserve"> </w:t>
      </w:r>
      <w:r>
        <w:rPr>
          <w:spacing w:val="-40"/>
        </w:rPr>
        <w:t>瓶，定容至刻度，摇匀。</w:t>
      </w:r>
    </w:p>
    <w:p>
      <w:pPr>
        <w:pStyle w:val="BodyText"/>
        <w:spacing w:before="96" w:line="217" w:lineRule="auto"/>
        <w:rPr>
          <w:sz w:val="38"/>
          <w:szCs w:val="38"/>
        </w:rPr>
      </w:pPr>
      <w:r>
        <w:rPr>
          <w:spacing w:val="12"/>
          <w:sz w:val="38"/>
          <w:szCs w:val="38"/>
        </w:rPr>
        <w:t xml:space="preserve">3.7  乙酸铵溶液(20 </w:t>
      </w:r>
      <w:r>
        <w:rPr>
          <w:rFonts w:ascii="Times New Roman" w:eastAsia="Times New Roman" w:hAnsi="Times New Roman" w:cs="Times New Roman"/>
          <w:sz w:val="38"/>
          <w:szCs w:val="38"/>
        </w:rPr>
        <w:t>mmol</w:t>
      </w:r>
      <w:r>
        <w:rPr>
          <w:rFonts w:ascii="Times New Roman" w:eastAsia="Times New Roman" w:hAnsi="Times New Roman" w:cs="Times New Roman"/>
          <w:spacing w:val="12"/>
          <w:sz w:val="38"/>
          <w:szCs w:val="38"/>
        </w:rPr>
        <w:t xml:space="preserve">/L):   </w:t>
      </w:r>
      <w:r>
        <w:rPr>
          <w:spacing w:val="12"/>
          <w:sz w:val="38"/>
          <w:szCs w:val="38"/>
        </w:rPr>
        <w:t xml:space="preserve">称取1.54 </w:t>
      </w:r>
      <w:r>
        <w:rPr>
          <w:rFonts w:ascii="Times New Roman" w:eastAsia="Times New Roman" w:hAnsi="Times New Roman" w:cs="Times New Roman"/>
          <w:spacing w:val="12"/>
          <w:sz w:val="38"/>
          <w:szCs w:val="38"/>
        </w:rPr>
        <w:t xml:space="preserve">g </w:t>
      </w:r>
      <w:r>
        <w:rPr>
          <w:spacing w:val="12"/>
          <w:sz w:val="38"/>
          <w:szCs w:val="38"/>
        </w:rPr>
        <w:t>乙酸铵(3</w:t>
      </w:r>
      <w:r>
        <w:rPr>
          <w:spacing w:val="11"/>
          <w:sz w:val="38"/>
          <w:szCs w:val="38"/>
        </w:rPr>
        <w:t>.5),溶解于1</w:t>
      </w:r>
      <w:r>
        <w:rPr>
          <w:spacing w:val="-78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38"/>
          <w:szCs w:val="38"/>
        </w:rPr>
        <w:t>L</w:t>
      </w:r>
      <w:r>
        <w:rPr>
          <w:rFonts w:ascii="Times New Roman" w:eastAsia="Times New Roman" w:hAnsi="Times New Roman" w:cs="Times New Roman"/>
          <w:spacing w:val="21"/>
          <w:sz w:val="38"/>
          <w:szCs w:val="38"/>
        </w:rPr>
        <w:t xml:space="preserve"> </w:t>
      </w:r>
      <w:r>
        <w:rPr>
          <w:spacing w:val="11"/>
          <w:sz w:val="38"/>
          <w:szCs w:val="38"/>
        </w:rPr>
        <w:t>水中。</w:t>
      </w:r>
    </w:p>
    <w:p>
      <w:pPr>
        <w:pStyle w:val="BodyText"/>
        <w:spacing w:before="179" w:line="217" w:lineRule="auto"/>
      </w:pPr>
      <w:r>
        <w:t>3.8  乙氧喹啉标准物质</w:t>
      </w:r>
      <w:r>
        <w:rPr>
          <w:rFonts w:ascii="Times New Roman" w:eastAsia="Times New Roman" w:hAnsi="Times New Roman" w:cs="Times New Roman"/>
        </w:rPr>
        <w:t>(ethoxyquin,CAS</w:t>
      </w:r>
      <w:r>
        <w:rPr>
          <w:rFonts w:ascii="Times New Roman" w:eastAsia="Times New Roman" w:hAnsi="Times New Roman" w:cs="Times New Roman"/>
          <w:spacing w:val="36"/>
        </w:rPr>
        <w:t xml:space="preserve">  </w:t>
      </w:r>
      <w:r>
        <w:t>编号：91-53-2,</w:t>
      </w:r>
      <w:r>
        <w:rPr>
          <w:rFonts w:ascii="Times New Roman" w:eastAsia="Times New Roman" w:hAnsi="Times New Roman" w:cs="Times New Roman"/>
        </w:rPr>
        <w:t xml:space="preserve">C₄HgNO):    </w:t>
      </w:r>
      <w:r>
        <w:rPr>
          <w:spacing w:val="-1"/>
        </w:rPr>
        <w:t>纯度大于等于98.0%。</w:t>
      </w:r>
    </w:p>
    <w:p>
      <w:pPr>
        <w:pStyle w:val="BodyText"/>
        <w:spacing w:before="113" w:line="275" w:lineRule="auto"/>
        <w:ind w:right="30"/>
        <w:rPr>
          <w:sz w:val="38"/>
          <w:szCs w:val="38"/>
        </w:rPr>
      </w:pPr>
      <w:r>
        <w:rPr>
          <w:spacing w:val="-6"/>
          <w:sz w:val="38"/>
          <w:szCs w:val="38"/>
        </w:rPr>
        <w:t>3.9  乙氧喹啉标准储备溶液：准确称取适量标准品，</w:t>
      </w:r>
      <w:r>
        <w:rPr>
          <w:spacing w:val="-7"/>
          <w:sz w:val="38"/>
          <w:szCs w:val="38"/>
        </w:rPr>
        <w:t>用乙腈稀释配制成100</w:t>
      </w:r>
      <w:r>
        <w:rPr>
          <w:spacing w:val="102"/>
          <w:sz w:val="38"/>
          <w:szCs w:val="38"/>
        </w:rPr>
        <w:t xml:space="preserve"> </w:t>
      </w:r>
      <w:r>
        <w:rPr>
          <w:spacing w:val="-7"/>
          <w:sz w:val="38"/>
          <w:szCs w:val="38"/>
        </w:rPr>
        <w:t>μ</w:t>
      </w:r>
      <w:r>
        <w:rPr>
          <w:rFonts w:ascii="Times New Roman" w:eastAsia="Times New Roman" w:hAnsi="Times New Roman" w:cs="Times New Roman"/>
          <w:spacing w:val="-7"/>
          <w:sz w:val="38"/>
          <w:szCs w:val="38"/>
        </w:rPr>
        <w:t xml:space="preserve">g/mL  </w:t>
      </w:r>
      <w:r>
        <w:rPr>
          <w:spacing w:val="-7"/>
          <w:sz w:val="38"/>
          <w:szCs w:val="38"/>
        </w:rPr>
        <w:t>的标准储备液，0 ℃~</w:t>
      </w:r>
      <w:r>
        <w:rPr>
          <w:sz w:val="38"/>
          <w:szCs w:val="38"/>
        </w:rPr>
        <w:t xml:space="preserve"> </w:t>
      </w:r>
      <w:r>
        <w:rPr>
          <w:spacing w:val="-4"/>
          <w:sz w:val="38"/>
          <w:szCs w:val="38"/>
        </w:rPr>
        <w:t>4</w:t>
      </w:r>
      <w:r>
        <w:rPr>
          <w:spacing w:val="56"/>
          <w:sz w:val="38"/>
          <w:szCs w:val="38"/>
        </w:rPr>
        <w:t xml:space="preserve"> </w:t>
      </w:r>
      <w:r>
        <w:rPr>
          <w:spacing w:val="-4"/>
          <w:sz w:val="38"/>
          <w:szCs w:val="38"/>
        </w:rPr>
        <w:t>℃下暗处保存。</w:t>
      </w:r>
    </w:p>
    <w:p>
      <w:pPr>
        <w:pStyle w:val="BodyText"/>
        <w:spacing w:before="120" w:line="260" w:lineRule="auto"/>
        <w:ind w:right="7"/>
        <w:rPr>
          <w:sz w:val="38"/>
          <w:szCs w:val="38"/>
        </w:rPr>
      </w:pPr>
      <w:r>
        <w:rPr>
          <w:spacing w:val="17"/>
          <w:sz w:val="38"/>
          <w:szCs w:val="38"/>
        </w:rPr>
        <w:t>3.10  乙氧喹啉标准工作液：根据检测需要移取一定体积</w:t>
      </w:r>
      <w:r>
        <w:rPr>
          <w:spacing w:val="16"/>
          <w:sz w:val="38"/>
          <w:szCs w:val="38"/>
        </w:rPr>
        <w:t>的标准中间溶液用乙腈逐级稀释成适当浓度</w:t>
      </w:r>
      <w:r>
        <w:rPr>
          <w:sz w:val="38"/>
          <w:szCs w:val="38"/>
        </w:rPr>
        <w:t xml:space="preserve"> </w:t>
      </w:r>
      <w:r>
        <w:rPr>
          <w:spacing w:val="11"/>
          <w:sz w:val="38"/>
          <w:szCs w:val="38"/>
        </w:rPr>
        <w:t>的标准工作溶液。标准工作溶液需现配现用。</w:t>
      </w:r>
    </w:p>
    <w:p>
      <w:pPr>
        <w:spacing w:line="312" w:lineRule="auto"/>
        <w:rPr>
          <w:rFonts w:ascii="Arial"/>
          <w:sz w:val="21"/>
        </w:rPr>
      </w:pPr>
    </w:p>
    <w:p>
      <w:pPr>
        <w:spacing w:before="125" w:line="226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4</w:t>
      </w:r>
      <w:r>
        <w:rPr>
          <w:rFonts w:ascii="SimHei" w:eastAsia="SimHei" w:hAnsi="SimHei" w:cs="SimHei"/>
          <w:spacing w:val="7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仪器和设备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24" w:line="217" w:lineRule="auto"/>
        <w:rPr>
          <w:sz w:val="38"/>
          <w:szCs w:val="38"/>
        </w:rPr>
      </w:pPr>
      <w:r>
        <w:rPr>
          <w:sz w:val="38"/>
          <w:szCs w:val="38"/>
        </w:rPr>
        <w:t>4.1</w:t>
      </w:r>
      <w:r>
        <w:rPr>
          <w:spacing w:val="117"/>
          <w:sz w:val="38"/>
          <w:szCs w:val="38"/>
        </w:rPr>
        <w:t xml:space="preserve"> </w:t>
      </w:r>
      <w:r>
        <w:rPr>
          <w:sz w:val="38"/>
          <w:szCs w:val="38"/>
        </w:rPr>
        <w:t>.高效液相色谱仪；配有荧光检测器</w:t>
      </w:r>
      <w:r>
        <w:rPr>
          <w:rFonts w:ascii="Times New Roman" w:eastAsia="Times New Roman" w:hAnsi="Times New Roman" w:cs="Times New Roman"/>
          <w:sz w:val="38"/>
          <w:szCs w:val="38"/>
        </w:rPr>
        <w:t>(FLD)</w:t>
      </w:r>
      <w:r>
        <w:rPr>
          <w:sz w:val="38"/>
          <w:szCs w:val="38"/>
        </w:rPr>
        <w:t>。</w:t>
      </w:r>
    </w:p>
    <w:p>
      <w:pPr>
        <w:pStyle w:val="BodyText"/>
        <w:spacing w:before="181" w:line="217" w:lineRule="auto"/>
        <w:rPr>
          <w:sz w:val="38"/>
          <w:szCs w:val="38"/>
        </w:rPr>
        <w:sectPr>
          <w:footerReference w:type="default" r:id="rId5"/>
          <w:pgSz w:w="22124" w:h="31680"/>
          <w:pgMar w:top="2451" w:right="2065" w:bottom="2546" w:left="2549" w:header="0" w:footer="2291" w:gutter="0"/>
          <w:pgNumType w:start="2"/>
          <w:cols w:space="708"/>
        </w:sectPr>
      </w:pPr>
      <w:r>
        <w:rPr>
          <w:spacing w:val="5"/>
          <w:sz w:val="38"/>
          <w:szCs w:val="38"/>
        </w:rPr>
        <w:t>4.2  高效液相色谱-串联质谱仪：配有电喷雾离子化源</w:t>
      </w:r>
      <w:r>
        <w:rPr>
          <w:rFonts w:ascii="Times New Roman" w:eastAsia="Times New Roman" w:hAnsi="Times New Roman" w:cs="Times New Roman"/>
          <w:spacing w:val="5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sz w:val="38"/>
          <w:szCs w:val="38"/>
        </w:rPr>
        <w:t>ESI</w:t>
      </w:r>
      <w:r>
        <w:rPr>
          <w:rFonts w:ascii="Times New Roman" w:eastAsia="Times New Roman" w:hAnsi="Times New Roman" w:cs="Times New Roman"/>
          <w:spacing w:val="5"/>
          <w:sz w:val="38"/>
          <w:szCs w:val="38"/>
        </w:rPr>
        <w:t>)</w:t>
      </w:r>
      <w:r>
        <w:rPr>
          <w:spacing w:val="5"/>
          <w:sz w:val="38"/>
          <w:szCs w:val="38"/>
        </w:rPr>
        <w:t>。</w:t>
      </w:r>
    </w:p>
    <w:p>
      <w:pPr>
        <w:pStyle w:val="BodyText"/>
        <w:spacing w:before="180" w:line="223" w:lineRule="auto"/>
      </w:pPr>
      <w:r>
        <w:rPr>
          <w:spacing w:val="-4"/>
        </w:rPr>
        <w:t>4.3</w:t>
      </w:r>
      <w:r>
        <w:rPr>
          <w:spacing w:val="173"/>
        </w:rPr>
        <w:t xml:space="preserve"> </w:t>
      </w:r>
      <w:r>
        <w:rPr>
          <w:spacing w:val="-4"/>
        </w:rPr>
        <w:t>组织捣碎机。</w:t>
      </w:r>
    </w:p>
    <w:p>
      <w:pPr>
        <w:pStyle w:val="BodyText"/>
        <w:spacing w:before="165" w:line="223" w:lineRule="auto"/>
      </w:pPr>
      <w:r>
        <w:rPr>
          <w:spacing w:val="-6"/>
        </w:rPr>
        <w:t>4.4</w:t>
      </w:r>
      <w:r>
        <w:rPr>
          <w:spacing w:val="179"/>
        </w:rPr>
        <w:t xml:space="preserve"> </w:t>
      </w:r>
      <w:r>
        <w:rPr>
          <w:spacing w:val="-6"/>
        </w:rPr>
        <w:t xml:space="preserve">离心机：6000 </w:t>
      </w:r>
      <w:r>
        <w:rPr>
          <w:rFonts w:ascii="Times New Roman" w:eastAsia="Times New Roman" w:hAnsi="Times New Roman" w:cs="Times New Roman"/>
          <w:spacing w:val="-6"/>
        </w:rPr>
        <w:t>r/min</w:t>
      </w:r>
      <w:r>
        <w:rPr>
          <w:spacing w:val="-6"/>
        </w:rPr>
        <w:t>。</w:t>
      </w:r>
    </w:p>
    <w:p>
      <w:pPr>
        <w:pStyle w:val="BodyText"/>
        <w:spacing w:before="124" w:line="225" w:lineRule="auto"/>
        <w:rPr>
          <w:sz w:val="38"/>
          <w:szCs w:val="38"/>
        </w:rPr>
      </w:pPr>
      <w:r>
        <w:rPr>
          <w:spacing w:val="3"/>
          <w:sz w:val="38"/>
          <w:szCs w:val="38"/>
        </w:rPr>
        <w:t>4.5</w:t>
      </w:r>
      <w:r>
        <w:rPr>
          <w:spacing w:val="32"/>
          <w:sz w:val="38"/>
          <w:szCs w:val="38"/>
        </w:rPr>
        <w:t xml:space="preserve">  </w:t>
      </w:r>
      <w:r>
        <w:rPr>
          <w:spacing w:val="3"/>
          <w:sz w:val="38"/>
          <w:szCs w:val="38"/>
        </w:rPr>
        <w:t>涡旋混匀器。</w:t>
      </w:r>
    </w:p>
    <w:p>
      <w:pPr>
        <w:pStyle w:val="BodyText"/>
        <w:spacing w:before="76" w:line="224" w:lineRule="auto"/>
      </w:pPr>
      <w:r>
        <w:rPr>
          <w:spacing w:val="-6"/>
        </w:rPr>
        <w:t>4.6</w:t>
      </w:r>
      <w:r>
        <w:rPr>
          <w:spacing w:val="195"/>
        </w:rPr>
        <w:t xml:space="preserve"> </w:t>
      </w:r>
      <w:r>
        <w:rPr>
          <w:spacing w:val="-6"/>
        </w:rPr>
        <w:t>旋转蒸发仪。</w:t>
      </w:r>
    </w:p>
    <w:p>
      <w:pPr>
        <w:pStyle w:val="BodyText"/>
        <w:spacing w:before="139" w:line="217" w:lineRule="auto"/>
      </w:pPr>
      <w:r>
        <w:rPr>
          <w:spacing w:val="2"/>
        </w:rPr>
        <w:t>4.7</w:t>
      </w:r>
      <w:r>
        <w:rPr>
          <w:spacing w:val="194"/>
        </w:rPr>
        <w:t xml:space="preserve"> </w:t>
      </w:r>
      <w:r>
        <w:rPr>
          <w:spacing w:val="2"/>
        </w:rPr>
        <w:t>分析天平：感量0.0001</w:t>
      </w:r>
      <w:r>
        <w:rPr>
          <w:spacing w:val="-114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g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spacing w:val="2"/>
        </w:rPr>
        <w:t xml:space="preserve">和0.01 </w:t>
      </w:r>
      <w:r>
        <w:rPr>
          <w:rFonts w:ascii="Times New Roman" w:eastAsia="Times New Roman" w:hAnsi="Times New Roman" w:cs="Times New Roman"/>
          <w:spacing w:val="1"/>
        </w:rPr>
        <w:t>g</w:t>
      </w:r>
      <w:r>
        <w:rPr>
          <w:spacing w:val="1"/>
        </w:rPr>
        <w:t>。</w:t>
      </w:r>
    </w:p>
    <w:p>
      <w:pPr>
        <w:pStyle w:val="BodyText"/>
        <w:spacing w:before="157" w:line="223" w:lineRule="auto"/>
      </w:pPr>
      <w:r>
        <w:rPr>
          <w:spacing w:val="-4"/>
        </w:rPr>
        <w:t>4.8</w:t>
      </w:r>
      <w:r>
        <w:rPr>
          <w:spacing w:val="173"/>
        </w:rPr>
        <w:t xml:space="preserve"> </w:t>
      </w:r>
      <w:r>
        <w:rPr>
          <w:spacing w:val="-4"/>
        </w:rPr>
        <w:t>氮气浓缩仪。</w:t>
      </w:r>
    </w:p>
    <w:p>
      <w:pPr>
        <w:pStyle w:val="BodyText"/>
        <w:spacing w:before="123" w:line="223" w:lineRule="auto"/>
      </w:pPr>
      <w:r>
        <w:rPr>
          <w:spacing w:val="-16"/>
        </w:rPr>
        <w:t>4.9</w:t>
      </w:r>
      <w:r>
        <w:rPr>
          <w:spacing w:val="174"/>
        </w:rPr>
        <w:t xml:space="preserve"> </w:t>
      </w:r>
      <w:r>
        <w:rPr>
          <w:spacing w:val="-16"/>
        </w:rPr>
        <w:t>有机滤膜：0.45μ</w:t>
      </w:r>
      <w:r>
        <w:rPr>
          <w:rFonts w:ascii="Times New Roman" w:eastAsia="Times New Roman" w:hAnsi="Times New Roman" w:cs="Times New Roman"/>
          <w:spacing w:val="-16"/>
        </w:rPr>
        <w:t>m</w:t>
      </w:r>
      <w:r>
        <w:rPr>
          <w:spacing w:val="-16"/>
        </w:rPr>
        <w:t>。</w:t>
      </w:r>
    </w:p>
    <w:p>
      <w:pPr>
        <w:spacing w:line="223" w:lineRule="auto"/>
        <w:sectPr>
          <w:footerReference w:type="default" r:id="rId6"/>
          <w:type w:val="nextPage"/>
          <w:pgSz w:w="22124" w:h="31680"/>
          <w:pgMar w:top="2451" w:right="2065" w:bottom="2546" w:left="2549" w:header="0" w:footer="2291" w:gutter="0"/>
          <w:pgNumType w:start="3"/>
          <w:cols w:space="708"/>
          <w:titlePg w:val="0"/>
        </w:sectPr>
      </w:pPr>
    </w:p>
    <w:p>
      <w:pPr>
        <w:pStyle w:val="BodyText"/>
        <w:spacing w:before="77" w:line="229" w:lineRule="auto"/>
        <w:ind w:left="5"/>
        <w:rPr>
          <w:sz w:val="38"/>
          <w:szCs w:val="38"/>
        </w:rPr>
      </w:pPr>
      <w:r>
        <w:rPr>
          <w:b/>
          <w:bCs/>
          <w:spacing w:val="-2"/>
          <w:sz w:val="38"/>
          <w:szCs w:val="38"/>
        </w:rPr>
        <w:t>SN/T</w:t>
      </w:r>
      <w:r>
        <w:rPr>
          <w:spacing w:val="15"/>
          <w:sz w:val="38"/>
          <w:szCs w:val="38"/>
        </w:rPr>
        <w:t xml:space="preserve">  </w:t>
      </w:r>
      <w:r>
        <w:rPr>
          <w:b/>
          <w:bCs/>
          <w:spacing w:val="-2"/>
          <w:sz w:val="38"/>
          <w:szCs w:val="38"/>
        </w:rPr>
        <w:t>2539—2010</w:t>
      </w:r>
    </w:p>
    <w:p>
      <w:pPr>
        <w:spacing w:line="339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spacing w:before="130" w:line="225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3"/>
          <w:sz w:val="40"/>
          <w:szCs w:val="40"/>
        </w:rPr>
        <w:t>5</w:t>
      </w:r>
      <w:r>
        <w:rPr>
          <w:rFonts w:ascii="SimHei" w:eastAsia="SimHei" w:hAnsi="SimHei" w:cs="SimHei"/>
          <w:spacing w:val="191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40"/>
          <w:szCs w:val="40"/>
        </w:rPr>
        <w:t>试样制备与保存</w:t>
      </w:r>
    </w:p>
    <w:p>
      <w:pPr>
        <w:spacing w:line="249" w:lineRule="auto"/>
        <w:rPr>
          <w:rFonts w:ascii="Arial"/>
          <w:sz w:val="21"/>
        </w:rPr>
      </w:pPr>
    </w:p>
    <w:p>
      <w:pPr>
        <w:spacing w:before="124" w:line="225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0"/>
          <w:sz w:val="38"/>
          <w:szCs w:val="38"/>
        </w:rPr>
        <w:t>5.1</w:t>
      </w:r>
      <w:r>
        <w:rPr>
          <w:rFonts w:ascii="SimHei" w:eastAsia="SimHei" w:hAnsi="SimHei" w:cs="SimHei"/>
          <w:spacing w:val="10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10"/>
          <w:sz w:val="38"/>
          <w:szCs w:val="38"/>
        </w:rPr>
        <w:t>试样制备</w:t>
      </w:r>
    </w:p>
    <w:p>
      <w:pPr>
        <w:spacing w:before="161" w:line="182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5.1.1</w:t>
      </w:r>
      <w:r>
        <w:rPr>
          <w:rFonts w:ascii="SimHei" w:eastAsia="SimHei" w:hAnsi="SimHei" w:cs="SimHei"/>
          <w:spacing w:val="30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肉及动物内脏</w:t>
      </w:r>
    </w:p>
    <w:p>
      <w:pPr>
        <w:pStyle w:val="BodyText"/>
        <w:spacing w:line="207" w:lineRule="auto"/>
        <w:ind w:right="65"/>
        <w:jc w:val="right"/>
      </w:pPr>
      <w:r>
        <w:rPr>
          <w:spacing w:val="-9"/>
        </w:rPr>
        <w:t>取有代表性样品500</w:t>
      </w:r>
      <w:r>
        <w:rPr>
          <w:spacing w:val="-91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 xml:space="preserve">g, </w:t>
      </w:r>
      <w:r>
        <w:rPr>
          <w:spacing w:val="-9"/>
        </w:rPr>
        <w:t>将其切碎后，用</w:t>
      </w:r>
      <w:r>
        <w:rPr>
          <w:spacing w:val="-10"/>
        </w:rPr>
        <w:t>组织捣碎机将样品加工成浆状，混匀，装入洁净的盛样容器</w:t>
      </w:r>
    </w:p>
    <w:p>
      <w:pPr>
        <w:pStyle w:val="BodyText"/>
        <w:spacing w:before="310" w:line="224" w:lineRule="auto"/>
      </w:pPr>
      <w:r>
        <w:rPr>
          <w:spacing w:val="-26"/>
        </w:rPr>
        <w:t>内，密封并标明标记。</w:t>
      </w:r>
    </w:p>
    <w:p>
      <w:pPr>
        <w:spacing w:before="73" w:line="210" w:lineRule="auto"/>
        <w:ind w:left="5"/>
        <w:outlineLvl w:val="6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2"/>
          <w:sz w:val="40"/>
          <w:szCs w:val="40"/>
        </w:rPr>
        <w:t>5.1.2</w:t>
      </w:r>
      <w:r>
        <w:rPr>
          <w:rFonts w:ascii="SimHei" w:eastAsia="SimHei" w:hAnsi="SimHei" w:cs="SimHei"/>
          <w:spacing w:val="177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2"/>
          <w:sz w:val="40"/>
          <w:szCs w:val="40"/>
        </w:rPr>
        <w:t>蜂蜜及牛奶</w:t>
      </w:r>
    </w:p>
    <w:p>
      <w:pPr>
        <w:pStyle w:val="BodyText"/>
        <w:spacing w:before="2" w:line="216" w:lineRule="auto"/>
        <w:ind w:right="65"/>
        <w:jc w:val="right"/>
      </w:pPr>
      <w:r>
        <w:rPr>
          <w:spacing w:val="-8"/>
        </w:rPr>
        <w:t>取有代表性样品500</w:t>
      </w:r>
      <w:r>
        <w:rPr>
          <w:rFonts w:ascii="Times New Roman" w:eastAsia="Times New Roman" w:hAnsi="Times New Roman" w:cs="Times New Roman"/>
          <w:spacing w:val="-8"/>
        </w:rPr>
        <w:t>g,</w:t>
      </w:r>
      <w:r>
        <w:rPr>
          <w:rFonts w:ascii="Times New Roman" w:eastAsia="Times New Roman" w:hAnsi="Times New Roman" w:cs="Times New Roman"/>
          <w:spacing w:val="38"/>
        </w:rPr>
        <w:t xml:space="preserve"> </w:t>
      </w:r>
      <w:r>
        <w:rPr>
          <w:spacing w:val="-8"/>
        </w:rPr>
        <w:t>倒人洁净的搪瓷混样桶中，充分搅拌均匀，装入洁净的</w:t>
      </w:r>
      <w:r>
        <w:rPr>
          <w:spacing w:val="-9"/>
        </w:rPr>
        <w:t>盛样容器内，密封并</w:t>
      </w:r>
    </w:p>
    <w:p>
      <w:pPr>
        <w:pStyle w:val="BodyText"/>
        <w:spacing w:before="247" w:line="224" w:lineRule="auto"/>
      </w:pPr>
      <w:r>
        <w:rPr>
          <w:spacing w:val="-5"/>
        </w:rPr>
        <w:t>标明标记。</w:t>
      </w:r>
    </w:p>
    <w:p>
      <w:pPr>
        <w:spacing w:before="3" w:line="210" w:lineRule="auto"/>
        <w:ind w:left="5"/>
        <w:outlineLvl w:val="6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1"/>
          <w:sz w:val="40"/>
          <w:szCs w:val="40"/>
        </w:rPr>
        <w:t>5.2</w:t>
      </w:r>
      <w:r>
        <w:rPr>
          <w:rFonts w:ascii="SimHei" w:eastAsia="SimHei" w:hAnsi="SimHei" w:cs="SimHei"/>
          <w:spacing w:val="166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1"/>
          <w:sz w:val="40"/>
          <w:szCs w:val="40"/>
        </w:rPr>
        <w:t>试样保存</w:t>
      </w:r>
      <w:r>
        <w:rPr>
          <w:rFonts w:ascii="SimHei" w:eastAsia="SimHei" w:hAnsi="SimHei" w:cs="SimHei"/>
          <w:spacing w:val="7"/>
          <w:sz w:val="40"/>
          <w:szCs w:val="40"/>
        </w:rPr>
        <w:t xml:space="preserve">               </w:t>
      </w:r>
      <w:r>
        <w:rPr>
          <w:rFonts w:ascii="SimHei" w:eastAsia="SimHei" w:hAnsi="SimHei" w:cs="SimHei"/>
          <w:sz w:val="40"/>
          <w:szCs w:val="40"/>
          <w:u w:val="single" w:color="auto"/>
        </w:rPr>
        <w:t xml:space="preserve">                               </w:t>
      </w:r>
    </w:p>
    <w:p>
      <w:pPr>
        <w:pStyle w:val="BodyText"/>
        <w:spacing w:before="29" w:line="712" w:lineRule="exact"/>
        <w:ind w:right="68"/>
        <w:jc w:val="right"/>
      </w:pPr>
      <w:r>
        <w:rPr>
          <w:spacing w:val="-12"/>
          <w:position w:val="22"/>
        </w:rPr>
        <w:t>蜂蜜试样于4℃保存；牛奶、肉及内脏制品等试样于一18 ℃下冷冻保存。在制样的操作过程中，应</w:t>
      </w:r>
    </w:p>
    <w:p>
      <w:pPr>
        <w:pStyle w:val="BodyText"/>
        <w:spacing w:before="2" w:line="223" w:lineRule="auto"/>
      </w:pPr>
      <w:r>
        <w:rPr>
          <w:spacing w:val="-7"/>
        </w:rPr>
        <w:t>防止样品受到污染或发生残留物含量的变化。</w:t>
      </w:r>
    </w:p>
    <w:p>
      <w:pPr>
        <w:rPr>
          <w:rFonts w:ascii="Arial"/>
          <w:sz w:val="21"/>
        </w:rPr>
      </w:pPr>
    </w:p>
    <w:p>
      <w:pPr>
        <w:spacing w:before="131" w:line="225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6</w:t>
      </w:r>
      <w:r>
        <w:rPr>
          <w:rFonts w:ascii="SimHei" w:eastAsia="SimHei" w:hAnsi="SimHei" w:cs="SimHei"/>
          <w:spacing w:val="193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测定步骤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24" w:line="183" w:lineRule="auto"/>
        <w:ind w:left="5"/>
        <w:outlineLvl w:val="6"/>
        <w:rPr>
          <w:rFonts w:ascii="LiSu" w:eastAsia="LiSu" w:hAnsi="LiSu" w:cs="LiSu"/>
          <w:sz w:val="38"/>
          <w:szCs w:val="38"/>
        </w:rPr>
      </w:pPr>
      <w:r>
        <w:rPr>
          <w:rFonts w:ascii="LiSu" w:eastAsia="LiSu" w:hAnsi="LiSu" w:cs="LiSu"/>
          <w:b/>
          <w:bCs/>
          <w:spacing w:val="-3"/>
          <w:sz w:val="38"/>
          <w:szCs w:val="38"/>
        </w:rPr>
        <w:t>6.1</w:t>
      </w:r>
      <w:r>
        <w:rPr>
          <w:rFonts w:ascii="LiSu" w:eastAsia="LiSu" w:hAnsi="LiSu" w:cs="LiSu"/>
          <w:spacing w:val="38"/>
          <w:sz w:val="38"/>
          <w:szCs w:val="38"/>
        </w:rPr>
        <w:t xml:space="preserve">  </w:t>
      </w:r>
      <w:r>
        <w:rPr>
          <w:rFonts w:ascii="LiSu" w:eastAsia="LiSu" w:hAnsi="LiSu" w:cs="LiSu"/>
          <w:b/>
          <w:bCs/>
          <w:spacing w:val="-3"/>
          <w:sz w:val="38"/>
          <w:szCs w:val="38"/>
        </w:rPr>
        <w:t>提取与净化</w:t>
      </w:r>
    </w:p>
    <w:p>
      <w:pPr>
        <w:pStyle w:val="BodyText"/>
        <w:spacing w:before="3" w:line="270" w:lineRule="auto"/>
        <w:ind w:right="45" w:firstLine="821"/>
        <w:jc w:val="both"/>
      </w:pPr>
      <w:r>
        <w:rPr>
          <w:spacing w:val="7"/>
        </w:rPr>
        <w:t>称取2</w:t>
      </w:r>
      <w:r>
        <w:rPr>
          <w:spacing w:val="-118"/>
        </w:rPr>
        <w:t xml:space="preserve"> </w:t>
      </w:r>
      <w:r>
        <w:rPr>
          <w:spacing w:val="7"/>
        </w:rPr>
        <w:t>g</w:t>
      </w:r>
      <w:r>
        <w:rPr>
          <w:spacing w:val="-80"/>
        </w:rPr>
        <w:t xml:space="preserve"> </w:t>
      </w:r>
      <w:r>
        <w:rPr>
          <w:spacing w:val="7"/>
        </w:rPr>
        <w:t>均匀试样(精确至0.01</w:t>
      </w:r>
      <w:r>
        <w:rPr>
          <w:spacing w:val="-114"/>
        </w:rPr>
        <w:t xml:space="preserve"> </w:t>
      </w:r>
      <w:r>
        <w:rPr>
          <w:spacing w:val="7"/>
        </w:rPr>
        <w:t xml:space="preserve">g)于50 </w:t>
      </w:r>
      <w:r>
        <w:t>mL</w:t>
      </w:r>
      <w:r>
        <w:rPr>
          <w:spacing w:val="7"/>
        </w:rPr>
        <w:t xml:space="preserve"> 具塞离心试管</w:t>
      </w:r>
      <w:r>
        <w:rPr>
          <w:spacing w:val="6"/>
        </w:rPr>
        <w:t>中，加入5</w:t>
      </w:r>
      <w:r>
        <w:t>mL</w:t>
      </w:r>
      <w:r>
        <w:rPr>
          <w:spacing w:val="64"/>
        </w:rPr>
        <w:t xml:space="preserve"> </w:t>
      </w:r>
      <w:r>
        <w:rPr>
          <w:spacing w:val="6"/>
        </w:rPr>
        <w:t>碳酸钠溶液(3.6)置于涡</w:t>
      </w:r>
      <w:r>
        <w:t xml:space="preserve"> </w:t>
      </w:r>
      <w:r>
        <w:rPr>
          <w:spacing w:val="17"/>
        </w:rPr>
        <w:t>旋混匀器上混匀2</w:t>
      </w:r>
      <w:r>
        <w:rPr>
          <w:spacing w:val="-95"/>
        </w:rPr>
        <w:t xml:space="preserve"> 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17"/>
        </w:rPr>
        <w:t xml:space="preserve">, </w:t>
      </w:r>
      <w:r>
        <w:rPr>
          <w:spacing w:val="17"/>
        </w:rPr>
        <w:t>加入5</w:t>
      </w:r>
      <w:r>
        <w:rPr>
          <w:spacing w:val="-95"/>
        </w:rPr>
        <w:t xml:space="preserve">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17"/>
        </w:rPr>
        <w:t>丙酮(3.1)置于涡旋混匀器上振</w:t>
      </w:r>
      <w:r>
        <w:rPr>
          <w:spacing w:val="16"/>
        </w:rPr>
        <w:t>荡2</w:t>
      </w:r>
      <w:r>
        <w:rPr>
          <w:spacing w:val="-95"/>
        </w:rPr>
        <w:t xml:space="preserve"> 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16"/>
        </w:rPr>
        <w:t>,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16"/>
        </w:rPr>
        <w:t>加入15</w:t>
      </w:r>
      <w:r>
        <w:rPr>
          <w:spacing w:val="-118"/>
        </w:rPr>
        <w:t xml:space="preserve">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16"/>
        </w:rPr>
        <w:t>正己烷(3.2)</w:t>
      </w:r>
      <w:r>
        <w:t xml:space="preserve"> </w:t>
      </w:r>
      <w:r>
        <w:rPr>
          <w:spacing w:val="-1"/>
        </w:rPr>
        <w:t>在涡旋混匀器振荡提取2</w:t>
      </w:r>
      <w:r>
        <w:rPr>
          <w:rFonts w:ascii="Times New Roman" w:eastAsia="Times New Roman" w:hAnsi="Times New Roman" w:cs="Times New Roman"/>
          <w:spacing w:val="-1"/>
        </w:rPr>
        <w:t xml:space="preserve">min,6900r/min     </w:t>
      </w:r>
      <w:r>
        <w:rPr>
          <w:spacing w:val="-1"/>
        </w:rPr>
        <w:t>离 心 3</w:t>
      </w:r>
      <w:r>
        <w:rPr>
          <w:rFonts w:ascii="Times New Roman" w:eastAsia="Times New Roman" w:hAnsi="Times New Roman" w:cs="Times New Roman"/>
          <w:spacing w:val="-1"/>
        </w:rPr>
        <w:t>mtm,</w:t>
      </w:r>
      <w:r>
        <w:rPr>
          <w:spacing w:val="-1"/>
        </w:rPr>
        <w:t xml:space="preserve">取士层正已烷层于200 </w:t>
      </w:r>
      <w:r>
        <w:rPr>
          <w:rFonts w:ascii="Times New Roman" w:eastAsia="Times New Roman" w:hAnsi="Times New Roman" w:cs="Times New Roman"/>
          <w:spacing w:val="-1"/>
        </w:rPr>
        <w:t>mL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spacing w:val="-1"/>
        </w:rPr>
        <w:t xml:space="preserve">鸡心瓶中，用15 </w:t>
      </w:r>
      <w:r>
        <w:rPr>
          <w:rFonts w:ascii="Times New Roman" w:eastAsia="Times New Roman" w:hAnsi="Times New Roman" w:cs="Times New Roman"/>
          <w:spacing w:val="-1"/>
        </w:rPr>
        <w:t>mL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2"/>
        </w:rPr>
        <w:t>正己烷再重复提取两次，合并正己烷层于鸡心瓶中，将提取液于30℃水浴下旋转浓缩至约1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2"/>
        </w:rPr>
        <w:t>,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spacing w:val="2"/>
        </w:rPr>
        <w:t>用平</w:t>
      </w:r>
      <w:r>
        <w:t xml:space="preserve"> </w:t>
      </w:r>
      <w:r>
        <w:rPr>
          <w:spacing w:val="-5"/>
        </w:rPr>
        <w:t xml:space="preserve">缓氮气流吹至近干，用乙腈溶解并定容至1.0 </w:t>
      </w:r>
      <w:r>
        <w:rPr>
          <w:rFonts w:ascii="Times New Roman" w:eastAsia="Times New Roman" w:hAnsi="Times New Roman" w:cs="Times New Roman"/>
          <w:spacing w:val="-5"/>
        </w:rPr>
        <w:t xml:space="preserve">mL, </w:t>
      </w:r>
      <w:r>
        <w:rPr>
          <w:spacing w:val="-5"/>
        </w:rPr>
        <w:t>过滤膜后供高效液相色谱仪测定和高效液相色谱-串</w:t>
      </w:r>
    </w:p>
    <w:p>
      <w:pPr>
        <w:pStyle w:val="BodyText"/>
        <w:spacing w:before="1" w:line="223" w:lineRule="auto"/>
      </w:pPr>
      <w:r>
        <w:rPr>
          <w:spacing w:val="-7"/>
        </w:rPr>
        <w:t>联质谱仪确证。</w:t>
      </w:r>
    </w:p>
    <w:p>
      <w:pPr>
        <w:spacing w:before="96" w:line="228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3"/>
          <w:sz w:val="38"/>
          <w:szCs w:val="38"/>
        </w:rPr>
        <w:t>6.2</w:t>
      </w:r>
      <w:r>
        <w:rPr>
          <w:rFonts w:ascii="SimHei" w:eastAsia="SimHei" w:hAnsi="SimHei" w:cs="SimHei"/>
          <w:spacing w:val="33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3"/>
          <w:sz w:val="38"/>
          <w:szCs w:val="38"/>
        </w:rPr>
        <w:t>测定</w:t>
      </w:r>
    </w:p>
    <w:p>
      <w:pPr>
        <w:spacing w:before="108" w:line="213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0"/>
          <w:sz w:val="38"/>
          <w:szCs w:val="38"/>
        </w:rPr>
        <w:t>6.2.1</w:t>
      </w:r>
      <w:r>
        <w:rPr>
          <w:rFonts w:ascii="SimHei" w:eastAsia="SimHei" w:hAnsi="SimHei" w:cs="SimHei"/>
          <w:spacing w:val="10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10"/>
          <w:sz w:val="38"/>
          <w:szCs w:val="38"/>
        </w:rPr>
        <w:t>高效液相色谱测定条件</w:t>
      </w:r>
    </w:p>
    <w:p>
      <w:pPr>
        <w:pStyle w:val="BodyText"/>
        <w:spacing w:before="2" w:line="216" w:lineRule="auto"/>
        <w:ind w:left="821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z w:val="38"/>
          <w:szCs w:val="38"/>
        </w:rPr>
        <w:t xml:space="preserve">a)     </w:t>
      </w:r>
      <w:r>
        <w:rPr>
          <w:sz w:val="38"/>
          <w:szCs w:val="38"/>
        </w:rPr>
        <w:t>色谱柱：</w:t>
      </w:r>
      <w:r>
        <w:rPr>
          <w:rFonts w:ascii="Times New Roman" w:eastAsia="Times New Roman" w:hAnsi="Times New Roman" w:cs="Times New Roman"/>
          <w:sz w:val="38"/>
          <w:szCs w:val="38"/>
        </w:rPr>
        <w:t xml:space="preserve">Ca,150mm×4/6mm         </w:t>
      </w:r>
      <w:r>
        <w:rPr>
          <w:sz w:val="38"/>
          <w:szCs w:val="38"/>
        </w:rPr>
        <w:t>(内径)/5</w:t>
      </w:r>
      <w:r>
        <w:rPr>
          <w:spacing w:val="-1"/>
          <w:sz w:val="38"/>
          <w:szCs w:val="38"/>
        </w:rPr>
        <w:t>μ</w:t>
      </w:r>
      <w:r>
        <w:rPr>
          <w:rFonts w:ascii="Times New Roman" w:eastAsia="Times New Roman" w:hAnsi="Times New Roman" w:cs="Times New Roman"/>
          <w:spacing w:val="-1"/>
          <w:sz w:val="38"/>
          <w:szCs w:val="38"/>
        </w:rPr>
        <w:t xml:space="preserve">m, </w:t>
      </w:r>
      <w:r>
        <w:rPr>
          <w:spacing w:val="-1"/>
          <w:sz w:val="38"/>
          <w:szCs w:val="38"/>
        </w:rPr>
        <w:t>或相当者；</w:t>
      </w:r>
    </w:p>
    <w:p>
      <w:pPr>
        <w:pStyle w:val="BodyText"/>
        <w:spacing w:before="181" w:line="217" w:lineRule="auto"/>
        <w:ind w:left="821"/>
      </w:pPr>
      <w:r>
        <w:rPr>
          <w:rFonts w:ascii="Times New Roman" w:eastAsia="Times New Roman" w:hAnsi="Times New Roman" w:cs="Times New Roman"/>
        </w:rPr>
        <w:t>b)</w:t>
      </w:r>
      <w:r>
        <w:rPr>
          <w:rFonts w:ascii="Times New Roman" w:eastAsia="Times New Roman" w:hAnsi="Times New Roman" w:cs="Times New Roman"/>
          <w:spacing w:val="14"/>
        </w:rPr>
        <w:t xml:space="preserve">    </w:t>
      </w:r>
      <w:r>
        <w:t>色谱柱温度：25℃;</w:t>
      </w:r>
    </w:p>
    <w:p>
      <w:pPr>
        <w:pStyle w:val="BodyText"/>
        <w:spacing w:before="155" w:line="217" w:lineRule="auto"/>
        <w:ind w:left="82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1"/>
        </w:rPr>
        <w:t>c)</w:t>
      </w:r>
      <w:r>
        <w:rPr>
          <w:rFonts w:ascii="Times New Roman" w:eastAsia="Times New Roman" w:hAnsi="Times New Roman" w:cs="Times New Roman"/>
          <w:spacing w:val="19"/>
        </w:rPr>
        <w:t xml:space="preserve">    </w:t>
      </w:r>
      <w:r>
        <w:rPr>
          <w:spacing w:val="-11"/>
        </w:rPr>
        <w:t xml:space="preserve">流动相：乙酸铵水溶液(20 </w:t>
      </w:r>
      <w:r>
        <w:rPr>
          <w:rFonts w:ascii="Times New Roman" w:eastAsia="Times New Roman" w:hAnsi="Times New Roman" w:cs="Times New Roman"/>
          <w:spacing w:val="-11"/>
        </w:rPr>
        <w:t>mmol/L)</w:t>
      </w:r>
      <w:r>
        <w:rPr>
          <w:rFonts w:ascii="Times New Roman" w:eastAsia="Times New Roman" w:hAnsi="Times New Roman" w:cs="Times New Roman"/>
          <w:spacing w:val="50"/>
        </w:rPr>
        <w:t xml:space="preserve"> </w:t>
      </w:r>
      <w:r>
        <w:rPr>
          <w:spacing w:val="27"/>
        </w:rPr>
        <w:t>子乙腈=(7+3)</w:t>
      </w:r>
      <w:r>
        <w:rPr>
          <w:rFonts w:ascii="Times New Roman" w:eastAsia="Times New Roman" w:hAnsi="Times New Roman" w:cs="Times New Roman"/>
          <w:spacing w:val="27"/>
        </w:rPr>
        <w:t>(V/V);</w:t>
      </w:r>
    </w:p>
    <w:p>
      <w:pPr>
        <w:pStyle w:val="BodyText"/>
        <w:spacing w:before="72" w:line="217" w:lineRule="auto"/>
        <w:ind w:left="82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</w:rPr>
        <w:t xml:space="preserve">d)    </w:t>
      </w:r>
      <w:r>
        <w:rPr>
          <w:spacing w:val="-3"/>
        </w:rPr>
        <w:t xml:space="preserve">荧光检测器：激发波长360nm,  发射彼长435 </w:t>
      </w:r>
      <w:r>
        <w:rPr>
          <w:rFonts w:ascii="Times New Roman" w:eastAsia="Times New Roman" w:hAnsi="Times New Roman" w:cs="Times New Roman"/>
          <w:spacing w:val="-3"/>
        </w:rPr>
        <w:t>nm;</w:t>
      </w:r>
    </w:p>
    <w:p>
      <w:pPr>
        <w:pStyle w:val="BodyText"/>
        <w:spacing w:before="47" w:line="217" w:lineRule="auto"/>
        <w:ind w:left="82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2"/>
        </w:rPr>
        <w:t xml:space="preserve">e)     </w:t>
      </w:r>
      <w:r>
        <w:rPr>
          <w:spacing w:val="-12"/>
        </w:rPr>
        <w:t xml:space="preserve">流速：0.50 </w:t>
      </w:r>
      <w:r>
        <w:rPr>
          <w:rFonts w:ascii="Times New Roman" w:eastAsia="Times New Roman" w:hAnsi="Times New Roman" w:cs="Times New Roman"/>
          <w:spacing w:val="-12"/>
        </w:rPr>
        <w:t>mL/min;</w:t>
      </w:r>
    </w:p>
    <w:p>
      <w:pPr>
        <w:pStyle w:val="BodyText"/>
        <w:spacing w:before="113" w:line="217" w:lineRule="auto"/>
        <w:ind w:left="821"/>
      </w:pPr>
      <w:r>
        <w:rPr>
          <w:rFonts w:ascii="Times New Roman" w:eastAsia="Times New Roman" w:hAnsi="Times New Roman" w:cs="Times New Roman"/>
          <w:spacing w:val="-48"/>
        </w:rPr>
        <w:t>f)</w:t>
      </w:r>
      <w:r>
        <w:rPr>
          <w:rFonts w:ascii="Times New Roman" w:eastAsia="Times New Roman" w:hAnsi="Times New Roman" w:cs="Times New Roman"/>
          <w:spacing w:val="19"/>
        </w:rPr>
        <w:t xml:space="preserve">    </w:t>
      </w:r>
      <w:r>
        <w:rPr>
          <w:spacing w:val="-48"/>
        </w:rPr>
        <w:t>进样量：10</w:t>
      </w:r>
      <w:r>
        <w:rPr>
          <w:spacing w:val="76"/>
        </w:rPr>
        <w:t xml:space="preserve"> </w:t>
      </w:r>
      <w:r>
        <w:rPr>
          <w:spacing w:val="-48"/>
        </w:rPr>
        <w:t>μ</w:t>
      </w:r>
      <w:r>
        <w:rPr>
          <w:rFonts w:ascii="Times New Roman" w:eastAsia="Times New Roman" w:hAnsi="Times New Roman" w:cs="Times New Roman"/>
          <w:spacing w:val="-48"/>
        </w:rPr>
        <w:t>L</w:t>
      </w:r>
      <w:r>
        <w:rPr>
          <w:spacing w:val="-48"/>
        </w:rPr>
        <w:t>。</w:t>
      </w:r>
    </w:p>
    <w:p>
      <w:pPr>
        <w:pStyle w:val="BodyText"/>
        <w:spacing w:before="153" w:line="224" w:lineRule="auto"/>
        <w:ind w:left="5"/>
        <w:outlineLvl w:val="6"/>
      </w:pPr>
      <w:r>
        <w:rPr>
          <w:b/>
          <w:bCs/>
          <w:spacing w:val="-8"/>
        </w:rPr>
        <w:t>6.2.2</w:t>
      </w:r>
      <w:r>
        <w:rPr>
          <w:spacing w:val="184"/>
        </w:rPr>
        <w:t xml:space="preserve"> </w:t>
      </w:r>
      <w:r>
        <w:rPr>
          <w:b/>
          <w:bCs/>
          <w:spacing w:val="-8"/>
        </w:rPr>
        <w:t>高效液相色谱-串联质谱仪测定条件</w:t>
      </w:r>
    </w:p>
    <w:p>
      <w:pPr>
        <w:spacing w:before="74" w:line="225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hyperlink r:id="rId7" w:history="1">
        <w:r>
          <w:rPr>
            <w:rFonts w:ascii="SimHei" w:eastAsia="SimHei" w:hAnsi="SimHei" w:cs="SimHei"/>
            <w:b/>
            <w:bCs/>
            <w:spacing w:val="6"/>
            <w:sz w:val="38"/>
            <w:szCs w:val="38"/>
          </w:rPr>
          <w:t>6.2.2.1</w:t>
        </w:r>
      </w:hyperlink>
      <w:r>
        <w:rPr>
          <w:rFonts w:ascii="SimHei" w:eastAsia="SimHei" w:hAnsi="SimHei" w:cs="SimHei"/>
          <w:spacing w:val="38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6"/>
          <w:sz w:val="38"/>
          <w:szCs w:val="38"/>
        </w:rPr>
        <w:t>高效液相色谱条件</w:t>
      </w:r>
    </w:p>
    <w:p>
      <w:pPr>
        <w:pStyle w:val="BodyText"/>
        <w:spacing w:before="109" w:line="237" w:lineRule="auto"/>
        <w:ind w:left="827"/>
      </w:pPr>
      <w:r>
        <w:rPr>
          <w:b/>
          <w:bCs/>
          <w:spacing w:val="-10"/>
        </w:rPr>
        <w:t>a)</w:t>
      </w:r>
      <w:r>
        <w:rPr>
          <w:spacing w:val="-10"/>
        </w:rPr>
        <w:t xml:space="preserve">  </w:t>
      </w:r>
      <w:r>
        <w:rPr>
          <w:b/>
          <w:bCs/>
          <w:spacing w:val="-10"/>
        </w:rPr>
        <w:t>色谱柱：Cg,150mm</w:t>
      </w:r>
      <w:r>
        <w:rPr>
          <w:spacing w:val="54"/>
        </w:rPr>
        <w:t xml:space="preserve">  </w:t>
      </w:r>
      <w:r>
        <w:rPr>
          <w:spacing w:val="-10"/>
        </w:rPr>
        <w:t>×4.6mm  (内径)5μm 或相当者；</w:t>
      </w:r>
    </w:p>
    <w:p>
      <w:pPr>
        <w:pStyle w:val="BodyText"/>
        <w:spacing w:before="2" w:line="216" w:lineRule="auto"/>
        <w:ind w:left="821"/>
      </w:pPr>
      <w:r>
        <w:rPr>
          <w:rFonts w:ascii="Times New Roman" w:eastAsia="Times New Roman" w:hAnsi="Times New Roman" w:cs="Times New Roman"/>
          <w:spacing w:val="-2"/>
        </w:rPr>
        <w:t>b)</w:t>
      </w:r>
      <w:r>
        <w:rPr>
          <w:rFonts w:ascii="Times New Roman" w:eastAsia="Times New Roman" w:hAnsi="Times New Roman" w:cs="Times New Roman"/>
          <w:spacing w:val="20"/>
        </w:rPr>
        <w:t xml:space="preserve">    </w:t>
      </w:r>
      <w:r>
        <w:rPr>
          <w:spacing w:val="-2"/>
        </w:rPr>
        <w:t>色谱柱温度：25℃;</w:t>
      </w:r>
    </w:p>
    <w:p>
      <w:pPr>
        <w:pStyle w:val="BodyText"/>
        <w:spacing w:before="115" w:line="217" w:lineRule="auto"/>
        <w:ind w:left="821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spacing w:val="-6"/>
          <w:sz w:val="38"/>
          <w:szCs w:val="38"/>
        </w:rPr>
        <w:t xml:space="preserve">c)     </w:t>
      </w:r>
      <w:r>
        <w:rPr>
          <w:spacing w:val="-6"/>
          <w:sz w:val="38"/>
          <w:szCs w:val="38"/>
        </w:rPr>
        <w:t xml:space="preserve">流速：0.50 </w:t>
      </w:r>
      <w:r>
        <w:rPr>
          <w:rFonts w:ascii="Times New Roman" w:eastAsia="Times New Roman" w:hAnsi="Times New Roman" w:cs="Times New Roman"/>
          <w:spacing w:val="-6"/>
          <w:sz w:val="38"/>
          <w:szCs w:val="38"/>
        </w:rPr>
        <w:t>mL/m</w:t>
      </w:r>
      <w:r>
        <w:rPr>
          <w:rFonts w:ascii="Times New Roman" w:eastAsia="Times New Roman" w:hAnsi="Times New Roman" w:cs="Times New Roman"/>
          <w:spacing w:val="-7"/>
          <w:sz w:val="38"/>
          <w:szCs w:val="38"/>
        </w:rPr>
        <w:t>in;</w:t>
      </w:r>
    </w:p>
    <w:p>
      <w:pPr>
        <w:pStyle w:val="BodyText"/>
        <w:spacing w:before="92" w:line="217" w:lineRule="auto"/>
        <w:ind w:left="821"/>
      </w:pPr>
      <w:r>
        <w:rPr>
          <w:rFonts w:ascii="Times New Roman" w:eastAsia="Times New Roman" w:hAnsi="Times New Roman" w:cs="Times New Roman"/>
          <w:spacing w:val="-4"/>
        </w:rPr>
        <w:t>d)</w:t>
      </w:r>
      <w:r>
        <w:rPr>
          <w:rFonts w:ascii="Times New Roman" w:eastAsia="Times New Roman" w:hAnsi="Times New Roman" w:cs="Times New Roman"/>
          <w:spacing w:val="17"/>
        </w:rPr>
        <w:t xml:space="preserve">    </w:t>
      </w:r>
      <w:r>
        <w:rPr>
          <w:spacing w:val="-4"/>
        </w:rPr>
        <w:t>梯度洗脱程序：见表1;</w:t>
      </w:r>
    </w:p>
    <w:p>
      <w:pPr>
        <w:pStyle w:val="BodyText"/>
        <w:spacing w:before="190" w:line="223" w:lineRule="auto"/>
        <w:ind w:left="4868"/>
        <w:rPr>
          <w:sz w:val="39"/>
          <w:szCs w:val="39"/>
        </w:rPr>
      </w:pPr>
      <w:r>
        <w:rPr>
          <w:b/>
          <w:bCs/>
          <w:spacing w:val="4"/>
          <w:sz w:val="39"/>
          <w:szCs w:val="39"/>
        </w:rPr>
        <w:t>表1</w:t>
      </w:r>
      <w:r>
        <w:rPr>
          <w:spacing w:val="4"/>
          <w:sz w:val="39"/>
          <w:szCs w:val="39"/>
        </w:rPr>
        <w:t xml:space="preserve">  </w:t>
      </w:r>
      <w:r>
        <w:rPr>
          <w:b/>
          <w:bCs/>
          <w:spacing w:val="4"/>
          <w:sz w:val="39"/>
          <w:szCs w:val="39"/>
        </w:rPr>
        <w:t>高效液相色谱-串联质谱仪梯度洗脱程序</w:t>
      </w:r>
    </w:p>
    <w:tbl>
      <w:tblPr>
        <w:tblStyle w:val="TableNormal0"/>
        <w:tblW w:w="17491" w:type="dxa"/>
        <w:tblInd w:w="6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437"/>
        <w:gridCol w:w="3415"/>
        <w:gridCol w:w="7179"/>
        <w:gridCol w:w="3460"/>
      </w:tblGrid>
      <w:tr>
        <w:tblPrEx>
          <w:tblW w:w="17491" w:type="dxa"/>
          <w:tblInd w:w="6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86"/>
        </w:trPr>
        <w:tc>
          <w:tcPr>
            <w:tcW w:w="3437" w:type="dxa"/>
            <w:vAlign w:val="top"/>
          </w:tcPr>
          <w:p>
            <w:pPr>
              <w:pStyle w:val="TableText"/>
              <w:spacing w:before="152" w:line="222" w:lineRule="auto"/>
              <w:ind w:left="1092"/>
            </w:pPr>
            <w:r>
              <w:rPr>
                <w:spacing w:val="4"/>
              </w:rPr>
              <w:t>时间/</w:t>
            </w:r>
            <w:r>
              <w:t>min</w:t>
            </w:r>
          </w:p>
        </w:tc>
        <w:tc>
          <w:tcPr>
            <w:tcW w:w="3415" w:type="dxa"/>
            <w:vAlign w:val="top"/>
          </w:tcPr>
          <w:p>
            <w:pPr>
              <w:pStyle w:val="TableText"/>
              <w:spacing w:before="153" w:line="223" w:lineRule="auto"/>
              <w:ind w:left="692"/>
            </w:pPr>
            <w:r>
              <w:rPr>
                <w:spacing w:val="12"/>
              </w:rPr>
              <w:t>流速/(</w:t>
            </w:r>
            <w:r>
              <w:t>mL</w:t>
            </w:r>
            <w:r>
              <w:rPr>
                <w:spacing w:val="12"/>
              </w:rPr>
              <w:t>/</w:t>
            </w:r>
            <w:r>
              <w:t>min</w:t>
            </w:r>
            <w:r>
              <w:rPr>
                <w:spacing w:val="12"/>
              </w:rPr>
              <w:t>)</w:t>
            </w:r>
          </w:p>
        </w:tc>
        <w:tc>
          <w:tcPr>
            <w:tcW w:w="7179" w:type="dxa"/>
            <w:vAlign w:val="top"/>
          </w:tcPr>
          <w:p>
            <w:pPr>
              <w:pStyle w:val="TableText"/>
              <w:spacing w:before="148" w:line="220" w:lineRule="auto"/>
              <w:ind w:left="1556"/>
            </w:pPr>
            <w:r>
              <w:rPr>
                <w:spacing w:val="51"/>
              </w:rPr>
              <w:t>5</w:t>
            </w:r>
            <w:r>
              <w:rPr>
                <w:spacing w:val="99"/>
              </w:rPr>
              <w:t xml:space="preserve"> </w:t>
            </w:r>
            <w:r>
              <w:t>mmol</w:t>
            </w:r>
            <w:r>
              <w:rPr>
                <w:spacing w:val="51"/>
              </w:rPr>
              <w:t>/L乙酸铵水溶液/%</w:t>
            </w:r>
          </w:p>
        </w:tc>
        <w:tc>
          <w:tcPr>
            <w:tcW w:w="3460" w:type="dxa"/>
            <w:vAlign w:val="top"/>
          </w:tcPr>
          <w:p>
            <w:pPr>
              <w:pStyle w:val="TableText"/>
              <w:spacing w:before="145" w:line="219" w:lineRule="auto"/>
              <w:ind w:left="1262"/>
            </w:pPr>
            <w:r>
              <w:rPr>
                <w:spacing w:val="2"/>
              </w:rPr>
              <w:t>乙腈/%</w:t>
            </w:r>
          </w:p>
        </w:tc>
      </w:tr>
      <w:tr>
        <w:tblPrEx>
          <w:tblW w:w="17491" w:type="dxa"/>
          <w:tblInd w:w="63" w:type="dxa"/>
          <w:tblLayout w:type="fixed"/>
        </w:tblPrEx>
        <w:trPr>
          <w:trHeight w:val="580"/>
        </w:trPr>
        <w:tc>
          <w:tcPr>
            <w:tcW w:w="3437" w:type="dxa"/>
            <w:vAlign w:val="top"/>
          </w:tcPr>
          <w:p>
            <w:pPr>
              <w:pStyle w:val="TableText"/>
              <w:spacing w:before="224" w:line="184" w:lineRule="auto"/>
              <w:ind w:left="1637"/>
            </w:pPr>
            <w:r>
              <w:t>0</w:t>
            </w:r>
          </w:p>
        </w:tc>
        <w:tc>
          <w:tcPr>
            <w:tcW w:w="3415" w:type="dxa"/>
            <w:vAlign w:val="top"/>
          </w:tcPr>
          <w:p>
            <w:pPr>
              <w:pStyle w:val="TableText"/>
              <w:spacing w:before="225" w:line="184" w:lineRule="auto"/>
              <w:ind w:left="1469"/>
            </w:pPr>
            <w:r>
              <w:rPr>
                <w:spacing w:val="-3"/>
              </w:rPr>
              <w:t>0.5</w:t>
            </w:r>
          </w:p>
        </w:tc>
        <w:tc>
          <w:tcPr>
            <w:tcW w:w="7179" w:type="dxa"/>
            <w:vAlign w:val="top"/>
          </w:tcPr>
          <w:p>
            <w:pPr>
              <w:pStyle w:val="TableText"/>
              <w:spacing w:before="224" w:line="184" w:lineRule="auto"/>
              <w:ind w:left="3432"/>
            </w:pPr>
            <w:r>
              <w:rPr>
                <w:spacing w:val="-4"/>
              </w:rPr>
              <w:t>60</w:t>
            </w:r>
          </w:p>
        </w:tc>
        <w:tc>
          <w:tcPr>
            <w:tcW w:w="3460" w:type="dxa"/>
            <w:vAlign w:val="top"/>
          </w:tcPr>
          <w:p>
            <w:pPr>
              <w:pStyle w:val="TableText"/>
              <w:spacing w:before="224" w:line="184" w:lineRule="auto"/>
              <w:ind w:left="1574"/>
            </w:pPr>
            <w:r>
              <w:rPr>
                <w:spacing w:val="-3"/>
              </w:rPr>
              <w:t>40</w:t>
            </w:r>
          </w:p>
        </w:tc>
      </w:tr>
    </w:tbl>
    <w:p>
      <w:pPr>
        <w:sectPr>
          <w:footerReference w:type="default" r:id="rId8"/>
          <w:pgSz w:w="22124" w:h="31680"/>
          <w:pgMar w:top="2469" w:right="2580" w:bottom="2581" w:left="1986" w:header="0" w:footer="2303" w:gutter="0"/>
          <w:pgNumType w:start="4"/>
          <w:cols w:space="708"/>
        </w:sectPr>
      </w:pPr>
    </w:p>
    <w:tbl>
      <w:tblPr>
        <w:tblStyle w:val="TableNormal1"/>
        <w:tblW w:w="17491" w:type="dxa"/>
        <w:tblInd w:w="6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437"/>
        <w:gridCol w:w="3415"/>
        <w:gridCol w:w="7179"/>
        <w:gridCol w:w="3460"/>
      </w:tblGrid>
      <w:tr>
        <w:tblPrEx>
          <w:tblW w:w="17491" w:type="dxa"/>
          <w:tblInd w:w="6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12"/>
        </w:trPr>
        <w:tc>
          <w:tcPr>
            <w:tcW w:w="3437" w:type="dxa"/>
            <w:vAlign w:val="top"/>
          </w:tcPr>
          <w:p>
            <w:pPr>
              <w:pStyle w:val="TableText"/>
              <w:spacing w:before="241" w:line="184" w:lineRule="auto"/>
              <w:ind w:left="1637"/>
            </w:pPr>
            <w:r>
              <w:t>3</w:t>
            </w:r>
          </w:p>
        </w:tc>
        <w:tc>
          <w:tcPr>
            <w:tcW w:w="3415" w:type="dxa"/>
            <w:vAlign w:val="top"/>
          </w:tcPr>
          <w:p>
            <w:pPr>
              <w:pStyle w:val="TableText"/>
              <w:spacing w:before="241" w:line="184" w:lineRule="auto"/>
              <w:ind w:left="1469"/>
            </w:pPr>
            <w:r>
              <w:rPr>
                <w:spacing w:val="-3"/>
              </w:rPr>
              <w:t>0.5</w:t>
            </w:r>
          </w:p>
        </w:tc>
        <w:tc>
          <w:tcPr>
            <w:tcW w:w="7179" w:type="dxa"/>
            <w:vAlign w:val="top"/>
          </w:tcPr>
          <w:p>
            <w:pPr>
              <w:pStyle w:val="TableText"/>
              <w:spacing w:before="241" w:line="184" w:lineRule="auto"/>
              <w:ind w:left="3432"/>
            </w:pPr>
            <w:r>
              <w:rPr>
                <w:spacing w:val="-3"/>
              </w:rPr>
              <w:t>40</w:t>
            </w:r>
          </w:p>
        </w:tc>
        <w:tc>
          <w:tcPr>
            <w:tcW w:w="3460" w:type="dxa"/>
            <w:vAlign w:val="top"/>
          </w:tcPr>
          <w:p>
            <w:pPr>
              <w:pStyle w:val="TableText"/>
              <w:spacing w:before="241" w:line="184" w:lineRule="auto"/>
              <w:ind w:left="1574"/>
            </w:pPr>
            <w:r>
              <w:rPr>
                <w:spacing w:val="-4"/>
              </w:rPr>
              <w:t>60</w:t>
            </w:r>
          </w:p>
        </w:tc>
      </w:tr>
      <w:tr>
        <w:tblPrEx>
          <w:tblW w:w="17491" w:type="dxa"/>
          <w:tblInd w:w="63" w:type="dxa"/>
          <w:tblLayout w:type="fixed"/>
        </w:tblPrEx>
        <w:trPr>
          <w:trHeight w:val="580"/>
        </w:trPr>
        <w:tc>
          <w:tcPr>
            <w:tcW w:w="3437" w:type="dxa"/>
            <w:vAlign w:val="top"/>
          </w:tcPr>
          <w:p>
            <w:pPr>
              <w:pStyle w:val="TableText"/>
              <w:spacing w:before="226" w:line="184" w:lineRule="auto"/>
              <w:ind w:left="1637"/>
            </w:pPr>
            <w:r>
              <w:t>6</w:t>
            </w:r>
          </w:p>
        </w:tc>
        <w:tc>
          <w:tcPr>
            <w:tcW w:w="3415" w:type="dxa"/>
            <w:vAlign w:val="top"/>
          </w:tcPr>
          <w:p>
            <w:pPr>
              <w:pStyle w:val="TableText"/>
              <w:spacing w:before="226" w:line="184" w:lineRule="auto"/>
              <w:ind w:left="1469"/>
            </w:pPr>
            <w:r>
              <w:rPr>
                <w:spacing w:val="-3"/>
              </w:rPr>
              <w:t>0.5</w:t>
            </w:r>
          </w:p>
        </w:tc>
        <w:tc>
          <w:tcPr>
            <w:tcW w:w="7179" w:type="dxa"/>
            <w:vAlign w:val="top"/>
          </w:tcPr>
          <w:p>
            <w:pPr>
              <w:pStyle w:val="TableText"/>
              <w:spacing w:before="226" w:line="184" w:lineRule="auto"/>
              <w:ind w:left="3432"/>
            </w:pPr>
            <w:r>
              <w:rPr>
                <w:spacing w:val="-9"/>
              </w:rPr>
              <w:t>10</w:t>
            </w:r>
          </w:p>
        </w:tc>
        <w:tc>
          <w:tcPr>
            <w:tcW w:w="3460" w:type="dxa"/>
            <w:vAlign w:val="top"/>
          </w:tcPr>
          <w:p>
            <w:pPr>
              <w:pStyle w:val="TableText"/>
              <w:spacing w:before="226" w:line="184" w:lineRule="auto"/>
              <w:ind w:left="1574"/>
            </w:pPr>
            <w:r>
              <w:rPr>
                <w:spacing w:val="-4"/>
              </w:rPr>
              <w:t>90</w:t>
            </w:r>
          </w:p>
        </w:tc>
      </w:tr>
      <w:tr>
        <w:tblPrEx>
          <w:tblW w:w="17491" w:type="dxa"/>
          <w:tblInd w:w="63" w:type="dxa"/>
          <w:tblLayout w:type="fixed"/>
        </w:tblPrEx>
        <w:trPr>
          <w:trHeight w:val="562"/>
        </w:trPr>
        <w:tc>
          <w:tcPr>
            <w:tcW w:w="3437" w:type="dxa"/>
            <w:vAlign w:val="top"/>
          </w:tcPr>
          <w:p>
            <w:pPr>
              <w:pStyle w:val="TableText"/>
              <w:spacing w:before="218" w:line="184" w:lineRule="auto"/>
              <w:ind w:left="1637"/>
            </w:pPr>
            <w:r>
              <w:t>9</w:t>
            </w:r>
          </w:p>
        </w:tc>
        <w:tc>
          <w:tcPr>
            <w:tcW w:w="3415" w:type="dxa"/>
            <w:vAlign w:val="top"/>
          </w:tcPr>
          <w:p>
            <w:pPr>
              <w:pStyle w:val="TableText"/>
              <w:spacing w:before="218" w:line="184" w:lineRule="auto"/>
              <w:ind w:left="1469"/>
            </w:pPr>
            <w:r>
              <w:rPr>
                <w:spacing w:val="-3"/>
              </w:rPr>
              <w:t>0.5</w:t>
            </w:r>
          </w:p>
        </w:tc>
        <w:tc>
          <w:tcPr>
            <w:tcW w:w="7179" w:type="dxa"/>
            <w:vAlign w:val="top"/>
          </w:tcPr>
          <w:p>
            <w:pPr>
              <w:pStyle w:val="TableText"/>
              <w:spacing w:before="218" w:line="184" w:lineRule="auto"/>
              <w:ind w:left="3432"/>
            </w:pPr>
            <w:r>
              <w:rPr>
                <w:spacing w:val="-9"/>
              </w:rPr>
              <w:t>10</w:t>
            </w:r>
          </w:p>
        </w:tc>
        <w:tc>
          <w:tcPr>
            <w:tcW w:w="3460" w:type="dxa"/>
            <w:vAlign w:val="top"/>
          </w:tcPr>
          <w:p>
            <w:pPr>
              <w:pStyle w:val="TableText"/>
              <w:spacing w:before="218" w:line="184" w:lineRule="auto"/>
              <w:ind w:left="1574"/>
            </w:pPr>
            <w:r>
              <w:rPr>
                <w:spacing w:val="-4"/>
              </w:rPr>
              <w:t>90</w:t>
            </w:r>
          </w:p>
        </w:tc>
      </w:tr>
      <w:tr>
        <w:tblPrEx>
          <w:tblW w:w="17491" w:type="dxa"/>
          <w:tblInd w:w="63" w:type="dxa"/>
          <w:tblLayout w:type="fixed"/>
        </w:tblPrEx>
        <w:trPr>
          <w:trHeight w:val="612"/>
        </w:trPr>
        <w:tc>
          <w:tcPr>
            <w:tcW w:w="3437" w:type="dxa"/>
            <w:vAlign w:val="top"/>
          </w:tcPr>
          <w:p>
            <w:pPr>
              <w:pStyle w:val="TableText"/>
              <w:spacing w:before="244" w:line="184" w:lineRule="auto"/>
              <w:ind w:left="1559"/>
            </w:pPr>
            <w:r>
              <w:rPr>
                <w:spacing w:val="-9"/>
              </w:rPr>
              <w:t>11</w:t>
            </w:r>
          </w:p>
        </w:tc>
        <w:tc>
          <w:tcPr>
            <w:tcW w:w="3415" w:type="dxa"/>
            <w:vAlign w:val="top"/>
          </w:tcPr>
          <w:p>
            <w:pPr>
              <w:pStyle w:val="TableText"/>
              <w:spacing w:before="244" w:line="184" w:lineRule="auto"/>
              <w:ind w:left="1469"/>
            </w:pPr>
            <w:r>
              <w:rPr>
                <w:spacing w:val="-3"/>
              </w:rPr>
              <w:t>0.5</w:t>
            </w:r>
          </w:p>
        </w:tc>
        <w:tc>
          <w:tcPr>
            <w:tcW w:w="7179" w:type="dxa"/>
            <w:vAlign w:val="top"/>
          </w:tcPr>
          <w:p>
            <w:pPr>
              <w:pStyle w:val="TableText"/>
              <w:spacing w:before="244" w:line="184" w:lineRule="auto"/>
              <w:ind w:left="3432"/>
            </w:pPr>
            <w:r>
              <w:rPr>
                <w:spacing w:val="-4"/>
              </w:rPr>
              <w:t>60</w:t>
            </w:r>
          </w:p>
        </w:tc>
        <w:tc>
          <w:tcPr>
            <w:tcW w:w="3460" w:type="dxa"/>
            <w:vAlign w:val="top"/>
          </w:tcPr>
          <w:p>
            <w:pPr>
              <w:pStyle w:val="TableText"/>
              <w:spacing w:before="244" w:line="184" w:lineRule="auto"/>
              <w:ind w:left="1574"/>
            </w:pPr>
            <w:r>
              <w:rPr>
                <w:spacing w:val="-3"/>
              </w:rPr>
              <w:t>40</w:t>
            </w:r>
          </w:p>
        </w:tc>
      </w:tr>
      <w:tr>
        <w:tblPrEx>
          <w:tblW w:w="17491" w:type="dxa"/>
          <w:tblInd w:w="63" w:type="dxa"/>
          <w:tblLayout w:type="fixed"/>
        </w:tblPrEx>
        <w:trPr>
          <w:trHeight w:val="574"/>
        </w:trPr>
        <w:tc>
          <w:tcPr>
            <w:tcW w:w="3437" w:type="dxa"/>
            <w:vAlign w:val="top"/>
          </w:tcPr>
          <w:p>
            <w:pPr>
              <w:pStyle w:val="TableText"/>
              <w:spacing w:before="224" w:line="184" w:lineRule="auto"/>
              <w:ind w:left="1559"/>
            </w:pPr>
            <w:r>
              <w:rPr>
                <w:spacing w:val="-9"/>
              </w:rPr>
              <w:t>14</w:t>
            </w:r>
          </w:p>
        </w:tc>
        <w:tc>
          <w:tcPr>
            <w:tcW w:w="3415" w:type="dxa"/>
            <w:vAlign w:val="top"/>
          </w:tcPr>
          <w:p>
            <w:pPr>
              <w:pStyle w:val="TableText"/>
              <w:spacing w:before="224" w:line="184" w:lineRule="auto"/>
              <w:ind w:left="1469"/>
            </w:pPr>
            <w:r>
              <w:rPr>
                <w:spacing w:val="-3"/>
              </w:rPr>
              <w:t>0.5</w:t>
            </w:r>
          </w:p>
        </w:tc>
        <w:tc>
          <w:tcPr>
            <w:tcW w:w="7179" w:type="dxa"/>
            <w:vAlign w:val="top"/>
          </w:tcPr>
          <w:p>
            <w:pPr>
              <w:pStyle w:val="TableText"/>
              <w:spacing w:before="224" w:line="184" w:lineRule="auto"/>
              <w:ind w:left="3432"/>
            </w:pPr>
            <w:r>
              <w:rPr>
                <w:spacing w:val="-3"/>
              </w:rPr>
              <w:t>40</w:t>
            </w:r>
          </w:p>
        </w:tc>
        <w:tc>
          <w:tcPr>
            <w:tcW w:w="3460" w:type="dxa"/>
            <w:vAlign w:val="top"/>
          </w:tcPr>
          <w:p>
            <w:pPr>
              <w:pStyle w:val="TableText"/>
              <w:spacing w:before="224" w:line="184" w:lineRule="auto"/>
              <w:ind w:left="1574"/>
            </w:pPr>
            <w:r>
              <w:rPr>
                <w:spacing w:val="-4"/>
              </w:rPr>
              <w:t>60</w:t>
            </w:r>
          </w:p>
        </w:tc>
      </w:tr>
    </w:tbl>
    <w:p>
      <w:pPr>
        <w:pStyle w:val="BodyText"/>
        <w:spacing w:before="95" w:line="217" w:lineRule="auto"/>
        <w:ind w:left="821"/>
      </w:pPr>
      <w:r>
        <w:rPr>
          <w:rFonts w:ascii="Times New Roman" w:eastAsia="Times New Roman" w:hAnsi="Times New Roman" w:cs="Times New Roman"/>
          <w:spacing w:val="-18"/>
        </w:rPr>
        <w:t xml:space="preserve">e)     </w:t>
      </w:r>
      <w:r>
        <w:rPr>
          <w:spacing w:val="-18"/>
        </w:rPr>
        <w:t>进样量：5μ</w:t>
      </w:r>
      <w:r>
        <w:rPr>
          <w:rFonts w:ascii="Times New Roman" w:eastAsia="Times New Roman" w:hAnsi="Times New Roman" w:cs="Times New Roman"/>
          <w:spacing w:val="-18"/>
        </w:rPr>
        <w:t>L</w:t>
      </w:r>
      <w:r>
        <w:rPr>
          <w:spacing w:val="-18"/>
        </w:rPr>
        <w:t>。</w:t>
      </w:r>
    </w:p>
    <w:p>
      <w:pPr>
        <w:spacing w:line="217" w:lineRule="auto"/>
        <w:sectPr>
          <w:footerReference w:type="default" r:id="rId9"/>
          <w:type w:val="nextPage"/>
          <w:pgSz w:w="22124" w:h="31680"/>
          <w:pgMar w:top="2469" w:right="2580" w:bottom="2581" w:left="1986" w:header="0" w:footer="2303" w:gutter="0"/>
          <w:pgNumType w:start="5"/>
          <w:cols w:space="708"/>
          <w:titlePg w:val="0"/>
        </w:sectPr>
      </w:pPr>
    </w:p>
    <w:p>
      <w:pPr>
        <w:pStyle w:val="BodyText"/>
        <w:spacing w:before="77" w:line="229" w:lineRule="auto"/>
        <w:ind w:left="14330"/>
        <w:rPr>
          <w:sz w:val="38"/>
          <w:szCs w:val="38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5363345</wp:posOffset>
            </wp:positionH>
            <wp:positionV relativeFrom="page">
              <wp:posOffset>5854231</wp:posOffset>
            </wp:positionV>
            <wp:extent cx="3895824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9582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1"/>
          <w:sz w:val="38"/>
          <w:szCs w:val="38"/>
        </w:rPr>
        <w:t>SN/T</w:t>
      </w:r>
      <w:r>
        <w:rPr>
          <w:spacing w:val="-1"/>
          <w:sz w:val="38"/>
          <w:szCs w:val="38"/>
        </w:rPr>
        <w:t xml:space="preserve">  </w:t>
      </w:r>
      <w:r>
        <w:rPr>
          <w:b/>
          <w:bCs/>
          <w:spacing w:val="-1"/>
          <w:sz w:val="38"/>
          <w:szCs w:val="38"/>
        </w:rPr>
        <w:t>2539—2010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124" w:line="225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hyperlink r:id="rId11" w:history="1">
        <w:r>
          <w:rPr>
            <w:rFonts w:ascii="SimHei" w:eastAsia="SimHei" w:hAnsi="SimHei" w:cs="SimHei"/>
            <w:b/>
            <w:bCs/>
            <w:spacing w:val="1"/>
            <w:sz w:val="38"/>
            <w:szCs w:val="38"/>
          </w:rPr>
          <w:t>6.2.2.2</w:t>
        </w:r>
      </w:hyperlink>
      <w:r>
        <w:rPr>
          <w:rFonts w:ascii="SimHei" w:eastAsia="SimHei" w:hAnsi="SimHei" w:cs="SimHei"/>
          <w:spacing w:val="24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38"/>
          <w:szCs w:val="38"/>
        </w:rPr>
        <w:t>质谱条件</w:t>
      </w:r>
    </w:p>
    <w:p>
      <w:pPr>
        <w:pStyle w:val="BodyText"/>
        <w:spacing w:before="190" w:line="223" w:lineRule="auto"/>
        <w:ind w:left="844"/>
        <w:rPr>
          <w:sz w:val="38"/>
          <w:szCs w:val="38"/>
        </w:rPr>
      </w:pPr>
      <w:r>
        <w:rPr>
          <w:spacing w:val="17"/>
          <w:sz w:val="38"/>
          <w:szCs w:val="38"/>
        </w:rPr>
        <w:t>参见附录</w:t>
      </w:r>
      <w:r>
        <w:rPr>
          <w:rFonts w:ascii="Times New Roman" w:eastAsia="Times New Roman" w:hAnsi="Times New Roman" w:cs="Times New Roman"/>
          <w:spacing w:val="17"/>
          <w:sz w:val="38"/>
          <w:szCs w:val="38"/>
        </w:rPr>
        <w:t>A</w:t>
      </w:r>
      <w:r>
        <w:rPr>
          <w:spacing w:val="17"/>
          <w:sz w:val="38"/>
          <w:szCs w:val="38"/>
        </w:rPr>
        <w:t>。</w:t>
      </w:r>
    </w:p>
    <w:p>
      <w:pPr>
        <w:spacing w:before="123" w:line="228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"/>
          <w:sz w:val="38"/>
          <w:szCs w:val="38"/>
        </w:rPr>
        <w:t>6.2.3</w:t>
      </w:r>
      <w:r>
        <w:rPr>
          <w:rFonts w:ascii="SimHei" w:eastAsia="SimHei" w:hAnsi="SimHei" w:cs="SimHei"/>
          <w:spacing w:val="23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38"/>
          <w:szCs w:val="38"/>
        </w:rPr>
        <w:t>测定</w:t>
      </w:r>
    </w:p>
    <w:p>
      <w:pPr>
        <w:spacing w:before="152" w:line="225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hyperlink r:id="rId12" w:history="1">
        <w:r>
          <w:rPr>
            <w:rFonts w:ascii="SimHei" w:eastAsia="SimHei" w:hAnsi="SimHei" w:cs="SimHei"/>
            <w:b/>
            <w:bCs/>
            <w:spacing w:val="4"/>
            <w:sz w:val="38"/>
            <w:szCs w:val="38"/>
          </w:rPr>
          <w:t>6.2.3.1</w:t>
        </w:r>
      </w:hyperlink>
      <w:r>
        <w:rPr>
          <w:rFonts w:ascii="SimHei" w:eastAsia="SimHei" w:hAnsi="SimHei" w:cs="SimHei"/>
          <w:spacing w:val="4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高效液相色谱测定</w:t>
      </w:r>
    </w:p>
    <w:p>
      <w:pPr>
        <w:pStyle w:val="BodyText"/>
        <w:spacing w:before="169" w:line="294" w:lineRule="auto"/>
        <w:ind w:right="90" w:firstLine="844"/>
        <w:jc w:val="both"/>
        <w:rPr>
          <w:sz w:val="38"/>
          <w:szCs w:val="38"/>
        </w:rPr>
      </w:pPr>
      <w:r>
        <w:rPr>
          <w:spacing w:val="14"/>
          <w:sz w:val="38"/>
          <w:szCs w:val="38"/>
        </w:rPr>
        <w:t>根据样液中乙氧喹啉的含量情况，选定浓度相近的乙氧喹啉标准工作溶液。标准工作溶液和样液</w:t>
      </w:r>
      <w:r>
        <w:rPr>
          <w:spacing w:val="16"/>
          <w:sz w:val="38"/>
          <w:szCs w:val="38"/>
        </w:rPr>
        <w:t xml:space="preserve"> </w:t>
      </w:r>
      <w:r>
        <w:rPr>
          <w:spacing w:val="14"/>
          <w:sz w:val="38"/>
          <w:szCs w:val="38"/>
        </w:rPr>
        <w:t>中乙氧喹啉的响应值均应在仪器检测的线性范围内。对标准工</w:t>
      </w:r>
      <w:r>
        <w:rPr>
          <w:spacing w:val="13"/>
          <w:sz w:val="38"/>
          <w:szCs w:val="38"/>
        </w:rPr>
        <w:t>作液和样液等体积交替进样测定，以保</w:t>
      </w:r>
      <w:r>
        <w:rPr>
          <w:sz w:val="38"/>
          <w:szCs w:val="38"/>
        </w:rPr>
        <w:t xml:space="preserve"> </w:t>
      </w:r>
      <w:r>
        <w:rPr>
          <w:spacing w:val="6"/>
          <w:sz w:val="38"/>
          <w:szCs w:val="38"/>
        </w:rPr>
        <w:t>留时间定性，测量样液与标准工作液的峰面积</w:t>
      </w:r>
      <w:r>
        <w:rPr>
          <w:spacing w:val="5"/>
          <w:sz w:val="38"/>
          <w:szCs w:val="38"/>
        </w:rPr>
        <w:t>比较定量。在上述高效液相色谱条件下，乙氧喹啉标准品</w:t>
      </w:r>
    </w:p>
    <w:p>
      <w:pPr>
        <w:pStyle w:val="BodyText"/>
        <w:spacing w:before="2" w:line="222" w:lineRule="auto"/>
        <w:rPr>
          <w:sz w:val="38"/>
          <w:szCs w:val="38"/>
        </w:rPr>
      </w:pPr>
      <w:r>
        <w:rPr>
          <w:spacing w:val="18"/>
          <w:sz w:val="38"/>
          <w:szCs w:val="38"/>
        </w:rPr>
        <w:t>色谱图参见附录</w:t>
      </w:r>
      <w:r>
        <w:rPr>
          <w:rFonts w:ascii="Times New Roman" w:eastAsia="Times New Roman" w:hAnsi="Times New Roman" w:cs="Times New Roman"/>
          <w:spacing w:val="18"/>
          <w:sz w:val="38"/>
          <w:szCs w:val="38"/>
        </w:rPr>
        <w:t>B</w:t>
      </w:r>
      <w:r>
        <w:rPr>
          <w:rFonts w:ascii="Times New Roman" w:eastAsia="Times New Roman" w:hAnsi="Times New Roman" w:cs="Times New Roman"/>
          <w:spacing w:val="46"/>
          <w:sz w:val="38"/>
          <w:szCs w:val="38"/>
        </w:rPr>
        <w:t xml:space="preserve"> </w:t>
      </w:r>
      <w:r>
        <w:rPr>
          <w:spacing w:val="18"/>
          <w:sz w:val="38"/>
          <w:szCs w:val="38"/>
        </w:rPr>
        <w:t>中图</w:t>
      </w:r>
      <w:r>
        <w:rPr>
          <w:rFonts w:ascii="Times New Roman" w:eastAsia="Times New Roman" w:hAnsi="Times New Roman" w:cs="Times New Roman"/>
          <w:spacing w:val="18"/>
          <w:sz w:val="38"/>
          <w:szCs w:val="38"/>
        </w:rPr>
        <w:t>B.1</w:t>
      </w:r>
      <w:r>
        <w:rPr>
          <w:spacing w:val="18"/>
          <w:sz w:val="38"/>
          <w:szCs w:val="38"/>
        </w:rPr>
        <w:t>。</w:t>
      </w:r>
    </w:p>
    <w:p>
      <w:pPr>
        <w:spacing w:before="182" w:line="225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hyperlink r:id="rId13" w:history="1">
        <w:r>
          <w:rPr>
            <w:rFonts w:ascii="SimHei" w:eastAsia="SimHei" w:hAnsi="SimHei" w:cs="SimHei"/>
            <w:b/>
            <w:bCs/>
            <w:spacing w:val="4"/>
            <w:sz w:val="38"/>
            <w:szCs w:val="38"/>
          </w:rPr>
          <w:t>6.2.3.2</w:t>
        </w:r>
      </w:hyperlink>
      <w:r>
        <w:rPr>
          <w:rFonts w:ascii="SimHei" w:eastAsia="SimHei" w:hAnsi="SimHei" w:cs="SimHei"/>
          <w:spacing w:val="4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高效液相色谱-串联质谱确证</w:t>
      </w:r>
    </w:p>
    <w:p>
      <w:pPr>
        <w:pStyle w:val="BodyText"/>
        <w:spacing w:before="219" w:line="274" w:lineRule="auto"/>
        <w:ind w:firstLine="844"/>
        <w:jc w:val="both"/>
        <w:rPr>
          <w:sz w:val="38"/>
          <w:szCs w:val="38"/>
        </w:rPr>
      </w:pPr>
      <w:r>
        <w:rPr>
          <w:spacing w:val="5"/>
          <w:sz w:val="38"/>
          <w:szCs w:val="38"/>
        </w:rPr>
        <w:t>样品在高效液相色谱仪测定时，如果检出色谱峰的保留时间与标准样品相一致，则需对其进行质谱</w:t>
      </w:r>
      <w:r>
        <w:rPr>
          <w:spacing w:val="9"/>
          <w:sz w:val="38"/>
          <w:szCs w:val="38"/>
        </w:rPr>
        <w:t xml:space="preserve"> </w:t>
      </w:r>
      <w:r>
        <w:rPr>
          <w:spacing w:val="9"/>
          <w:sz w:val="38"/>
          <w:szCs w:val="38"/>
        </w:rPr>
        <w:t>确证。用高效液相色谱-串联质谱进行样品确证时，在扣除背景后的样品谱图中，各定性离子的相对丰</w:t>
      </w:r>
      <w:r>
        <w:rPr>
          <w:spacing w:val="4"/>
          <w:sz w:val="38"/>
          <w:szCs w:val="38"/>
        </w:rPr>
        <w:t xml:space="preserve">  </w:t>
      </w:r>
      <w:r>
        <w:rPr>
          <w:spacing w:val="16"/>
          <w:sz w:val="38"/>
          <w:szCs w:val="38"/>
        </w:rPr>
        <w:t>度与浓度接近的同样条件下得到</w:t>
      </w:r>
      <w:r>
        <w:rPr>
          <w:spacing w:val="16"/>
          <w:sz w:val="38"/>
          <w:szCs w:val="38"/>
          <w:u w:val="single" w:color="auto"/>
        </w:rPr>
        <w:t>的标准溶液谱图相</w:t>
      </w:r>
      <w:r>
        <w:rPr>
          <w:spacing w:val="16"/>
          <w:sz w:val="38"/>
          <w:szCs w:val="38"/>
        </w:rPr>
        <w:t>比，在相同的实</w:t>
      </w:r>
      <w:r>
        <w:rPr>
          <w:spacing w:val="15"/>
          <w:sz w:val="38"/>
          <w:szCs w:val="38"/>
        </w:rPr>
        <w:t>验条件下，样液中被测物的质量色</w:t>
      </w:r>
      <w:r>
        <w:rPr>
          <w:sz w:val="38"/>
          <w:szCs w:val="38"/>
        </w:rPr>
        <w:t xml:space="preserve"> </w:t>
      </w:r>
      <w:r>
        <w:rPr>
          <w:spacing w:val="5"/>
          <w:sz w:val="38"/>
          <w:szCs w:val="38"/>
        </w:rPr>
        <w:t xml:space="preserve">谱峰保留时间与标准工作液相同，所选择的定性离子均出现，而且所选择的离子丰度比与标准样品的离 </w:t>
      </w:r>
      <w:r>
        <w:rPr>
          <w:spacing w:val="17"/>
          <w:sz w:val="38"/>
          <w:szCs w:val="38"/>
        </w:rPr>
        <w:t>子丰度比相一致(允许偏差范围见表2),则可判断样品中存在这种农药或相关化学品。</w:t>
      </w:r>
      <w:r>
        <w:rPr>
          <w:spacing w:val="16"/>
          <w:sz w:val="38"/>
          <w:szCs w:val="38"/>
        </w:rPr>
        <w:t>如果不能确证，</w:t>
      </w:r>
    </w:p>
    <w:p>
      <w:pPr>
        <w:pStyle w:val="BodyText"/>
        <w:spacing w:before="240" w:line="300" w:lineRule="auto"/>
        <w:ind w:right="174"/>
        <w:jc w:val="both"/>
        <w:rPr>
          <w:sz w:val="38"/>
          <w:szCs w:val="38"/>
        </w:rPr>
      </w:pPr>
      <w:r>
        <w:rPr>
          <w:spacing w:val="13"/>
          <w:sz w:val="38"/>
          <w:szCs w:val="38"/>
        </w:rPr>
        <w:t>应重新进样，以扫描方式(有足够灵敏度)或采用增加其他确证离子的方式或用其他灵敏度更高的分析</w:t>
      </w:r>
      <w:r>
        <w:rPr>
          <w:spacing w:val="17"/>
          <w:sz w:val="38"/>
          <w:szCs w:val="38"/>
        </w:rPr>
        <w:t xml:space="preserve"> </w:t>
      </w:r>
      <w:r>
        <w:rPr>
          <w:spacing w:val="37"/>
          <w:sz w:val="38"/>
          <w:szCs w:val="38"/>
        </w:rPr>
        <w:t>仪器来确证。在上述高效液相色谱-串联质谱</w:t>
      </w:r>
      <w:r>
        <w:rPr>
          <w:spacing w:val="37"/>
          <w:sz w:val="38"/>
          <w:szCs w:val="38"/>
          <w:u w:val="single" w:color="auto"/>
        </w:rPr>
        <w:t>条件下，乙氧喹啉</w:t>
      </w:r>
      <w:r>
        <w:rPr>
          <w:spacing w:val="37"/>
          <w:sz w:val="38"/>
          <w:szCs w:val="38"/>
        </w:rPr>
        <w:t>标准溶液的选择性离子流图参见</w:t>
      </w:r>
    </w:p>
    <w:p>
      <w:pPr>
        <w:pStyle w:val="BodyText"/>
        <w:spacing w:before="2" w:line="222" w:lineRule="auto"/>
        <w:rPr>
          <w:sz w:val="38"/>
          <w:szCs w:val="38"/>
        </w:rPr>
      </w:pPr>
      <w:r>
        <w:rPr>
          <w:spacing w:val="24"/>
          <w:sz w:val="38"/>
          <w:szCs w:val="38"/>
        </w:rPr>
        <w:t>附录</w:t>
      </w:r>
      <w:r>
        <w:rPr>
          <w:rFonts w:ascii="Times New Roman" w:eastAsia="Times New Roman" w:hAnsi="Times New Roman" w:cs="Times New Roman"/>
          <w:spacing w:val="24"/>
          <w:sz w:val="38"/>
          <w:szCs w:val="38"/>
        </w:rPr>
        <w:t>C</w:t>
      </w:r>
      <w:r>
        <w:rPr>
          <w:spacing w:val="24"/>
          <w:sz w:val="38"/>
          <w:szCs w:val="38"/>
        </w:rPr>
        <w:t>。</w:t>
      </w:r>
    </w:p>
    <w:p>
      <w:pPr>
        <w:pStyle w:val="BodyText"/>
        <w:spacing w:before="147" w:line="227" w:lineRule="auto"/>
        <w:ind w:left="4583"/>
        <w:rPr>
          <w:sz w:val="33"/>
          <w:szCs w:val="33"/>
        </w:rPr>
      </w:pPr>
      <w:r>
        <w:rPr>
          <w:spacing w:val="2"/>
          <w:position w:val="1"/>
          <w:sz w:val="33"/>
          <w:szCs w:val="33"/>
        </w:rPr>
        <w:t xml:space="preserve">表  2  </w:t>
      </w:r>
      <w:r>
        <w:rPr>
          <w:b/>
          <w:bCs/>
          <w:spacing w:val="2"/>
          <w:sz w:val="33"/>
          <w:szCs w:val="33"/>
        </w:rPr>
        <w:t>定性确证时相对离子丰度的最大允许偏差</w:t>
      </w:r>
    </w:p>
    <w:p>
      <w:pPr>
        <w:spacing w:line="217" w:lineRule="exact"/>
      </w:pPr>
    </w:p>
    <w:tbl>
      <w:tblPr>
        <w:tblStyle w:val="TableNormal2"/>
        <w:tblW w:w="17395" w:type="dxa"/>
        <w:tblInd w:w="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094"/>
        <w:gridCol w:w="418"/>
        <w:gridCol w:w="2644"/>
        <w:gridCol w:w="3068"/>
        <w:gridCol w:w="3077"/>
        <w:gridCol w:w="3094"/>
      </w:tblGrid>
      <w:tr>
        <w:tblPrEx>
          <w:tblW w:w="17395" w:type="dxa"/>
          <w:tblInd w:w="2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86"/>
        </w:trPr>
        <w:tc>
          <w:tcPr>
            <w:tcW w:w="509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78" w:line="222" w:lineRule="auto"/>
              <w:ind w:left="188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相对离子丰度/%</w:t>
            </w:r>
          </w:p>
        </w:tc>
        <w:tc>
          <w:tcPr>
            <w:tcW w:w="4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4" w:type="dxa"/>
            <w:vAlign w:val="top"/>
          </w:tcPr>
          <w:p>
            <w:pPr>
              <w:pStyle w:val="TableText"/>
              <w:spacing w:before="147" w:line="162" w:lineRule="auto"/>
              <w:ind w:left="685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&gt;50</w:t>
            </w:r>
          </w:p>
        </w:tc>
        <w:tc>
          <w:tcPr>
            <w:tcW w:w="3068" w:type="dxa"/>
            <w:vAlign w:val="top"/>
          </w:tcPr>
          <w:p>
            <w:pPr>
              <w:pStyle w:val="TableText"/>
              <w:spacing w:before="189" w:line="186" w:lineRule="exact"/>
              <w:ind w:left="1133"/>
              <w:rPr>
                <w:sz w:val="26"/>
                <w:szCs w:val="26"/>
              </w:rPr>
            </w:pPr>
            <w:r>
              <w:rPr>
                <w:position w:val="-4"/>
                <w:sz w:val="26"/>
                <w:szCs w:val="26"/>
              </w:rPr>
              <w:t>20=x50</w:t>
            </w:r>
          </w:p>
        </w:tc>
        <w:tc>
          <w:tcPr>
            <w:tcW w:w="307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34" w:line="343" w:lineRule="exact"/>
              <w:ind w:left="1072"/>
              <w:rPr>
                <w:sz w:val="26"/>
                <w:szCs w:val="26"/>
              </w:rPr>
            </w:pPr>
            <w:r>
              <w:rPr>
                <w:position w:val="1"/>
                <w:sz w:val="26"/>
                <w:szCs w:val="26"/>
              </w:rPr>
              <w:t>&gt;10～20</w:t>
            </w:r>
          </w:p>
        </w:tc>
        <w:tc>
          <w:tcPr>
            <w:tcW w:w="309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07" w:line="238" w:lineRule="auto"/>
              <w:ind w:left="1212"/>
              <w:rPr>
                <w:sz w:val="33"/>
                <w:szCs w:val="33"/>
              </w:rPr>
            </w:pPr>
            <w:r>
              <w:rPr>
                <w:spacing w:val="-8"/>
                <w:sz w:val="33"/>
                <w:szCs w:val="33"/>
              </w:rPr>
              <w:t>≤10</w:t>
            </w:r>
          </w:p>
        </w:tc>
      </w:tr>
      <w:tr>
        <w:tblPrEx>
          <w:tblW w:w="17395" w:type="dxa"/>
          <w:tblInd w:w="28" w:type="dxa"/>
          <w:tblLayout w:type="fixed"/>
        </w:tblPrEx>
        <w:trPr>
          <w:trHeight w:val="271"/>
        </w:trPr>
        <w:tc>
          <w:tcPr>
            <w:tcW w:w="50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62" w:type="dxa"/>
            <w:gridSpan w:val="2"/>
            <w:tcBorders>
              <w:right w:val="single" w:sz="2" w:space="0" w:color="FFFFF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68" w:type="dxa"/>
            <w:tcBorders>
              <w:left w:val="single" w:sz="2" w:space="0" w:color="FFFFF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7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395" w:type="dxa"/>
          <w:tblInd w:w="28" w:type="dxa"/>
          <w:tblLayout w:type="fixed"/>
        </w:tblPrEx>
        <w:trPr>
          <w:trHeight w:val="661"/>
        </w:trPr>
        <w:tc>
          <w:tcPr>
            <w:tcW w:w="5094" w:type="dxa"/>
            <w:vAlign w:val="top"/>
          </w:tcPr>
          <w:p>
            <w:pPr>
              <w:pStyle w:val="TableText"/>
              <w:spacing w:before="177" w:line="222" w:lineRule="auto"/>
              <w:ind w:left="188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相对离子丰度最大允许偏差/%</w:t>
            </w:r>
          </w:p>
        </w:tc>
        <w:tc>
          <w:tcPr>
            <w:tcW w:w="3062" w:type="dxa"/>
            <w:gridSpan w:val="2"/>
            <w:vAlign w:val="top"/>
          </w:tcPr>
          <w:p>
            <w:pPr>
              <w:pStyle w:val="TableText"/>
              <w:spacing w:before="207" w:line="237" w:lineRule="auto"/>
              <w:ind w:left="1179"/>
              <w:rPr>
                <w:sz w:val="33"/>
                <w:szCs w:val="33"/>
              </w:rPr>
            </w:pPr>
            <w:r>
              <w:rPr>
                <w:spacing w:val="-11"/>
                <w:sz w:val="33"/>
                <w:szCs w:val="33"/>
              </w:rPr>
              <w:t>±20</w:t>
            </w:r>
          </w:p>
        </w:tc>
        <w:tc>
          <w:tcPr>
            <w:tcW w:w="3068" w:type="dxa"/>
            <w:vAlign w:val="top"/>
          </w:tcPr>
          <w:p>
            <w:pPr>
              <w:pStyle w:val="TableText"/>
              <w:spacing w:before="207" w:line="237" w:lineRule="auto"/>
              <w:ind w:left="1197"/>
              <w:rPr>
                <w:sz w:val="33"/>
                <w:szCs w:val="33"/>
              </w:rPr>
            </w:pPr>
            <w:r>
              <w:rPr>
                <w:spacing w:val="-11"/>
                <w:sz w:val="33"/>
                <w:szCs w:val="33"/>
              </w:rPr>
              <w:t>±25</w:t>
            </w:r>
          </w:p>
        </w:tc>
        <w:tc>
          <w:tcPr>
            <w:tcW w:w="3077" w:type="dxa"/>
            <w:vAlign w:val="top"/>
          </w:tcPr>
          <w:p>
            <w:pPr>
              <w:pStyle w:val="TableText"/>
              <w:spacing w:before="231" w:line="238" w:lineRule="auto"/>
              <w:ind w:left="1197"/>
              <w:rPr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士</w:t>
            </w:r>
            <w:r>
              <w:rPr>
                <w:spacing w:val="-27"/>
                <w:sz w:val="26"/>
                <w:szCs w:val="26"/>
              </w:rPr>
              <w:t xml:space="preserve"> </w:t>
            </w:r>
            <w:r>
              <w:rPr>
                <w:spacing w:val="-8"/>
                <w:sz w:val="26"/>
                <w:szCs w:val="26"/>
              </w:rPr>
              <w:t>3</w:t>
            </w:r>
            <w:r>
              <w:rPr>
                <w:spacing w:val="-30"/>
                <w:sz w:val="26"/>
                <w:szCs w:val="26"/>
              </w:rPr>
              <w:t xml:space="preserve"> </w:t>
            </w:r>
            <w:r>
              <w:rPr>
                <w:spacing w:val="-8"/>
                <w:sz w:val="26"/>
                <w:szCs w:val="26"/>
              </w:rPr>
              <w:t>0</w:t>
            </w:r>
          </w:p>
        </w:tc>
        <w:tc>
          <w:tcPr>
            <w:tcW w:w="3094" w:type="dxa"/>
            <w:vAlign w:val="top"/>
          </w:tcPr>
          <w:p>
            <w:pPr>
              <w:pStyle w:val="TableText"/>
              <w:spacing w:before="231" w:line="238" w:lineRule="auto"/>
              <w:ind w:left="1207"/>
              <w:rPr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士</w:t>
            </w:r>
            <w:r>
              <w:rPr>
                <w:spacing w:val="-27"/>
                <w:sz w:val="26"/>
                <w:szCs w:val="26"/>
              </w:rPr>
              <w:t xml:space="preserve"> </w:t>
            </w:r>
            <w:r>
              <w:rPr>
                <w:spacing w:val="-8"/>
                <w:sz w:val="26"/>
                <w:szCs w:val="26"/>
              </w:rPr>
              <w:t>5</w:t>
            </w:r>
            <w:r>
              <w:rPr>
                <w:spacing w:val="-30"/>
                <w:sz w:val="26"/>
                <w:szCs w:val="26"/>
              </w:rPr>
              <w:t xml:space="preserve"> </w:t>
            </w:r>
            <w:r>
              <w:rPr>
                <w:spacing w:val="-8"/>
                <w:sz w:val="26"/>
                <w:szCs w:val="26"/>
              </w:rPr>
              <w:t>0</w:t>
            </w:r>
          </w:p>
        </w:tc>
      </w:tr>
    </w:tbl>
    <w:p>
      <w:pPr>
        <w:pStyle w:val="BodyText"/>
        <w:spacing w:before="209" w:line="225" w:lineRule="auto"/>
        <w:ind w:left="5"/>
        <w:outlineLvl w:val="6"/>
        <w:rPr>
          <w:sz w:val="38"/>
          <w:szCs w:val="38"/>
        </w:rPr>
      </w:pPr>
      <w:r>
        <w:rPr>
          <w:b/>
          <w:bCs/>
          <w:spacing w:val="-2"/>
          <w:sz w:val="38"/>
          <w:szCs w:val="38"/>
        </w:rPr>
        <w:t>6.3</w:t>
      </w:r>
      <w:r>
        <w:rPr>
          <w:spacing w:val="36"/>
          <w:sz w:val="38"/>
          <w:szCs w:val="38"/>
        </w:rPr>
        <w:t xml:space="preserve">  </w:t>
      </w:r>
      <w:r>
        <w:rPr>
          <w:b/>
          <w:bCs/>
          <w:spacing w:val="-2"/>
          <w:sz w:val="38"/>
          <w:szCs w:val="38"/>
        </w:rPr>
        <w:t>空白试验</w:t>
      </w:r>
    </w:p>
    <w:p>
      <w:pPr>
        <w:pStyle w:val="BodyText"/>
        <w:spacing w:before="166" w:line="224" w:lineRule="auto"/>
        <w:ind w:left="844"/>
      </w:pPr>
      <w:r>
        <w:rPr>
          <w:spacing w:val="-18"/>
        </w:rPr>
        <w:t>除不加试样外，均按上述测定步骤进行。</w:t>
      </w:r>
    </w:p>
    <w:p>
      <w:pPr>
        <w:spacing w:before="112" w:line="226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6"/>
          <w:sz w:val="38"/>
          <w:szCs w:val="38"/>
        </w:rPr>
        <w:t>6.4</w:t>
      </w:r>
      <w:r>
        <w:rPr>
          <w:rFonts w:ascii="SimHei" w:eastAsia="SimHei" w:hAnsi="SimHei" w:cs="SimHei"/>
          <w:spacing w:val="6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6"/>
          <w:sz w:val="38"/>
          <w:szCs w:val="38"/>
        </w:rPr>
        <w:t>结果计算</w:t>
      </w:r>
    </w:p>
    <w:p>
      <w:pPr>
        <w:pStyle w:val="BodyText"/>
        <w:spacing w:before="339" w:line="223" w:lineRule="auto"/>
        <w:ind w:left="778"/>
        <w:rPr>
          <w:sz w:val="38"/>
          <w:szCs w:val="38"/>
        </w:rPr>
      </w:pPr>
      <w:r>
        <w:rPr>
          <w:spacing w:val="10"/>
          <w:sz w:val="38"/>
          <w:szCs w:val="38"/>
        </w:rPr>
        <w:t>用色谱工作站或按下式(1</w:t>
      </w:r>
      <w:r>
        <w:rPr>
          <w:rFonts w:ascii="Times New Roman" w:eastAsia="Times New Roman" w:hAnsi="Times New Roman" w:cs="Times New Roman"/>
          <w:spacing w:val="10"/>
          <w:sz w:val="38"/>
          <w:szCs w:val="38"/>
        </w:rPr>
        <w:t>b</w:t>
      </w:r>
      <w:r>
        <w:rPr>
          <w:rFonts w:ascii="Times New Roman" w:eastAsia="Times New Roman" w:hAnsi="Times New Roman" w:cs="Times New Roman"/>
          <w:spacing w:val="-32"/>
          <w:sz w:val="38"/>
          <w:szCs w:val="38"/>
        </w:rPr>
        <w:t xml:space="preserve"> </w:t>
      </w:r>
      <w:r>
        <w:rPr>
          <w:spacing w:val="10"/>
          <w:sz w:val="38"/>
          <w:szCs w:val="38"/>
        </w:rPr>
        <w:t>计算试样中乙氧喹啉的</w:t>
      </w:r>
      <w:r>
        <w:rPr>
          <w:spacing w:val="9"/>
          <w:sz w:val="38"/>
          <w:szCs w:val="38"/>
        </w:rPr>
        <w:t>含量。</w:t>
      </w:r>
    </w:p>
    <w:p>
      <w:pPr>
        <w:pStyle w:val="BodyText"/>
        <w:spacing w:before="237" w:line="226" w:lineRule="auto"/>
        <w:ind w:left="8622"/>
        <w:rPr>
          <w:sz w:val="34"/>
          <w:szCs w:val="34"/>
        </w:rPr>
      </w:pPr>
      <w:r>
        <w:rPr>
          <w:rFonts w:ascii="Times New Roman" w:eastAsia="Times New Roman" w:hAnsi="Times New Roman" w:cs="Times New Roman"/>
          <w:spacing w:val="-11"/>
          <w:position w:val="-13"/>
          <w:sz w:val="54"/>
          <w:szCs w:val="54"/>
        </w:rPr>
        <w:t>A,</w:t>
      </w:r>
      <w:r>
        <w:rPr>
          <w:rFonts w:ascii="Times New Roman" w:eastAsia="Times New Roman" w:hAnsi="Times New Roman" w:cs="Times New Roman"/>
          <w:spacing w:val="-11"/>
          <w:position w:val="-13"/>
          <w:sz w:val="43"/>
          <w:szCs w:val="43"/>
        </w:rPr>
        <w:t>X</w:t>
      </w:r>
      <w:r>
        <w:rPr>
          <w:rFonts w:ascii="Times New Roman" w:eastAsia="Times New Roman" w:hAnsi="Times New Roman" w:cs="Times New Roman"/>
          <w:spacing w:val="1"/>
          <w:position w:val="-13"/>
          <w:sz w:val="43"/>
          <w:szCs w:val="43"/>
        </w:rPr>
        <w:t xml:space="preserve">                              </w:t>
      </w:r>
      <w:r>
        <w:rPr>
          <w:spacing w:val="-11"/>
          <w:position w:val="6"/>
          <w:sz w:val="34"/>
          <w:szCs w:val="34"/>
        </w:rPr>
        <w:t>…………      ……</w:t>
      </w:r>
      <w:r>
        <w:rPr>
          <w:spacing w:val="16"/>
          <w:position w:val="6"/>
          <w:sz w:val="34"/>
          <w:szCs w:val="34"/>
        </w:rPr>
        <w:t xml:space="preserve">     </w:t>
      </w:r>
      <w:r>
        <w:rPr>
          <w:spacing w:val="-11"/>
          <w:position w:val="6"/>
          <w:sz w:val="34"/>
          <w:szCs w:val="34"/>
        </w:rPr>
        <w:t>(1)</w:t>
      </w:r>
    </w:p>
    <w:p>
      <w:pPr>
        <w:pStyle w:val="BodyText"/>
        <w:spacing w:before="227" w:line="220" w:lineRule="auto"/>
        <w:ind w:left="778"/>
        <w:rPr>
          <w:sz w:val="38"/>
          <w:szCs w:val="38"/>
        </w:rPr>
      </w:pPr>
      <w:r>
        <w:rPr>
          <w:spacing w:val="-5"/>
          <w:sz w:val="38"/>
          <w:szCs w:val="38"/>
        </w:rPr>
        <w:t>式中：</w:t>
      </w:r>
    </w:p>
    <w:p>
      <w:pPr>
        <w:pStyle w:val="BodyText"/>
        <w:spacing w:before="1" w:line="216" w:lineRule="auto"/>
        <w:ind w:left="844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spacing w:val="4"/>
          <w:sz w:val="38"/>
          <w:szCs w:val="38"/>
        </w:rPr>
        <w:t>X;——</w:t>
      </w:r>
      <w:r>
        <w:rPr>
          <w:spacing w:val="4"/>
          <w:sz w:val="38"/>
          <w:szCs w:val="38"/>
        </w:rPr>
        <w:t>试样中乙氧喹啉的残留量，单位为毫克每千克</w:t>
      </w:r>
      <w:r>
        <w:rPr>
          <w:rFonts w:ascii="Times New Roman" w:eastAsia="Times New Roman" w:hAnsi="Times New Roman" w:cs="Times New Roman"/>
          <w:spacing w:val="4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sz w:val="38"/>
          <w:szCs w:val="38"/>
        </w:rPr>
        <w:t>mg</w:t>
      </w:r>
      <w:r>
        <w:rPr>
          <w:rFonts w:ascii="Times New Roman" w:eastAsia="Times New Roman" w:hAnsi="Times New Roman" w:cs="Times New Roman"/>
          <w:spacing w:val="3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sz w:val="38"/>
          <w:szCs w:val="38"/>
        </w:rPr>
        <w:t>kg</w:t>
      </w:r>
      <w:r>
        <w:rPr>
          <w:rFonts w:ascii="Times New Roman" w:eastAsia="Times New Roman" w:hAnsi="Times New Roman" w:cs="Times New Roman"/>
          <w:spacing w:val="3"/>
          <w:sz w:val="38"/>
          <w:szCs w:val="38"/>
        </w:rPr>
        <w:t>);</w:t>
      </w:r>
    </w:p>
    <w:p>
      <w:pPr>
        <w:pStyle w:val="BodyText"/>
        <w:spacing w:before="352" w:line="223" w:lineRule="auto"/>
        <w:ind w:left="844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pacing w:val="11"/>
          <w:sz w:val="38"/>
          <w:szCs w:val="38"/>
        </w:rPr>
        <w:t>A——</w:t>
      </w:r>
      <w:r>
        <w:rPr>
          <w:rFonts w:ascii="Times New Roman" w:eastAsia="Times New Roman" w:hAnsi="Times New Roman" w:cs="Times New Roman"/>
          <w:spacing w:val="-50"/>
          <w:sz w:val="38"/>
          <w:szCs w:val="38"/>
        </w:rPr>
        <w:t xml:space="preserve"> </w:t>
      </w:r>
      <w:r>
        <w:rPr>
          <w:spacing w:val="11"/>
          <w:sz w:val="38"/>
          <w:szCs w:val="38"/>
        </w:rPr>
        <w:t>样液中乙氧喹啉的峰面积；</w:t>
      </w:r>
    </w:p>
    <w:p>
      <w:pPr>
        <w:pStyle w:val="BodyText"/>
        <w:spacing w:before="102" w:line="217" w:lineRule="auto"/>
        <w:ind w:left="844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spacing w:val="1"/>
          <w:sz w:val="38"/>
          <w:szCs w:val="38"/>
        </w:rPr>
        <w:t>c₄——</w:t>
      </w:r>
      <w:r>
        <w:rPr>
          <w:rFonts w:ascii="Times New Roman" w:eastAsia="Times New Roman" w:hAnsi="Times New Roman" w:cs="Times New Roman"/>
          <w:spacing w:val="-52"/>
          <w:sz w:val="38"/>
          <w:szCs w:val="38"/>
        </w:rPr>
        <w:t xml:space="preserve"> </w:t>
      </w:r>
      <w:r>
        <w:rPr>
          <w:spacing w:val="1"/>
          <w:sz w:val="38"/>
          <w:szCs w:val="38"/>
        </w:rPr>
        <w:t>标准工作液中乙氧喹啉的浓度，单位为微克每</w:t>
      </w:r>
      <w:r>
        <w:rPr>
          <w:sz w:val="38"/>
          <w:szCs w:val="38"/>
        </w:rPr>
        <w:t>毫升(μ</w:t>
      </w:r>
      <w:r>
        <w:rPr>
          <w:rFonts w:ascii="Times New Roman" w:eastAsia="Times New Roman" w:hAnsi="Times New Roman" w:cs="Times New Roman"/>
          <w:sz w:val="38"/>
          <w:szCs w:val="38"/>
        </w:rPr>
        <w:t>g/mL);</w:t>
      </w:r>
    </w:p>
    <w:p>
      <w:pPr>
        <w:pStyle w:val="BodyText"/>
        <w:spacing w:before="138" w:line="602" w:lineRule="exact"/>
        <w:ind w:left="844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spacing w:val="2"/>
          <w:position w:val="16"/>
          <w:sz w:val="38"/>
          <w:szCs w:val="38"/>
        </w:rPr>
        <w:t>V——</w:t>
      </w:r>
      <w:r>
        <w:rPr>
          <w:spacing w:val="2"/>
          <w:position w:val="16"/>
          <w:sz w:val="38"/>
          <w:szCs w:val="38"/>
        </w:rPr>
        <w:t>样液最终定容体积，单位为毫升</w:t>
      </w:r>
      <w:r>
        <w:rPr>
          <w:rFonts w:ascii="Times New Roman" w:eastAsia="Times New Roman" w:hAnsi="Times New Roman" w:cs="Times New Roman"/>
          <w:spacing w:val="2"/>
          <w:position w:val="16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position w:val="16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2"/>
          <w:position w:val="16"/>
          <w:sz w:val="38"/>
          <w:szCs w:val="38"/>
        </w:rPr>
        <w:t>);</w:t>
      </w:r>
    </w:p>
    <w:p>
      <w:pPr>
        <w:pStyle w:val="BodyText"/>
        <w:spacing w:before="1" w:line="216" w:lineRule="auto"/>
        <w:ind w:left="844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pacing w:val="8"/>
          <w:sz w:val="38"/>
          <w:szCs w:val="38"/>
        </w:rPr>
        <w:t>A,——</w:t>
      </w:r>
      <w:r>
        <w:rPr>
          <w:rFonts w:ascii="Times New Roman" w:eastAsia="Times New Roman" w:hAnsi="Times New Roman" w:cs="Times New Roman"/>
          <w:spacing w:val="-39"/>
          <w:sz w:val="38"/>
          <w:szCs w:val="38"/>
        </w:rPr>
        <w:t xml:space="preserve"> </w:t>
      </w:r>
      <w:r>
        <w:rPr>
          <w:spacing w:val="8"/>
          <w:sz w:val="38"/>
          <w:szCs w:val="38"/>
        </w:rPr>
        <w:t>标准工作液中乙氧喹啉的峰面积；</w:t>
      </w:r>
    </w:p>
    <w:p>
      <w:pPr>
        <w:pStyle w:val="BodyText"/>
        <w:spacing w:before="162" w:line="713" w:lineRule="exact"/>
        <w:ind w:left="844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pacing w:val="4"/>
          <w:position w:val="25"/>
          <w:sz w:val="38"/>
          <w:szCs w:val="38"/>
        </w:rPr>
        <w:t>m——</w:t>
      </w:r>
      <w:r>
        <w:rPr>
          <w:spacing w:val="4"/>
          <w:position w:val="25"/>
          <w:sz w:val="38"/>
          <w:szCs w:val="38"/>
        </w:rPr>
        <w:t>最终样液所代表的试样量，单位为克</w:t>
      </w:r>
      <w:r>
        <w:rPr>
          <w:rFonts w:ascii="Times New Roman" w:eastAsia="Times New Roman" w:hAnsi="Times New Roman" w:cs="Times New Roman"/>
          <w:spacing w:val="4"/>
          <w:position w:val="25"/>
          <w:sz w:val="38"/>
          <w:szCs w:val="38"/>
        </w:rPr>
        <w:t>(g)</w:t>
      </w:r>
      <w:r>
        <w:rPr>
          <w:spacing w:val="4"/>
          <w:position w:val="25"/>
          <w:sz w:val="38"/>
          <w:szCs w:val="38"/>
        </w:rPr>
        <w:t>。</w:t>
      </w:r>
    </w:p>
    <w:p>
      <w:pPr>
        <w:pStyle w:val="BodyText"/>
        <w:spacing w:before="1" w:line="222" w:lineRule="auto"/>
        <w:ind w:left="693"/>
        <w:rPr>
          <w:sz w:val="34"/>
          <w:szCs w:val="34"/>
        </w:rPr>
      </w:pPr>
      <w:r>
        <w:rPr>
          <w:spacing w:val="-8"/>
          <w:sz w:val="34"/>
          <w:szCs w:val="34"/>
        </w:rPr>
        <w:t>注：计算结果须扣除空白值。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124" w:line="227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7</w:t>
      </w:r>
      <w:r>
        <w:rPr>
          <w:rFonts w:ascii="SimHei" w:eastAsia="SimHei" w:hAnsi="SimHei" w:cs="SimHei"/>
          <w:spacing w:val="9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测定低限和回收率</w:t>
      </w: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124" w:line="224" w:lineRule="auto"/>
        <w:ind w:left="5"/>
        <w:outlineLvl w:val="6"/>
        <w:rPr>
          <w:sz w:val="38"/>
          <w:szCs w:val="38"/>
        </w:rPr>
        <w:sectPr>
          <w:footerReference w:type="default" r:id="rId14"/>
          <w:pgSz w:w="22124" w:h="31680"/>
          <w:pgMar w:top="2556" w:right="1643" w:bottom="2478" w:left="2979" w:header="0" w:footer="2224" w:gutter="0"/>
          <w:pgNumType w:start="6"/>
          <w:cols w:space="708"/>
        </w:sectPr>
      </w:pPr>
      <w:r>
        <w:rPr>
          <w:b/>
          <w:bCs/>
          <w:spacing w:val="-2"/>
          <w:sz w:val="38"/>
          <w:szCs w:val="38"/>
        </w:rPr>
        <w:t>7.1</w:t>
      </w:r>
      <w:r>
        <w:rPr>
          <w:spacing w:val="38"/>
          <w:sz w:val="38"/>
          <w:szCs w:val="38"/>
        </w:rPr>
        <w:t xml:space="preserve">  </w:t>
      </w:r>
      <w:r>
        <w:rPr>
          <w:b/>
          <w:bCs/>
          <w:spacing w:val="-2"/>
          <w:sz w:val="38"/>
          <w:szCs w:val="38"/>
        </w:rPr>
        <w:t>测定低限</w:t>
      </w:r>
    </w:p>
    <w:p>
      <w:pPr>
        <w:pStyle w:val="BodyText"/>
        <w:spacing w:before="148" w:line="223" w:lineRule="auto"/>
        <w:ind w:left="778"/>
      </w:pPr>
      <w:r>
        <w:rPr>
          <w:spacing w:val="-4"/>
        </w:rPr>
        <w:t>本方法在猪肉、猪肝、猪肾、鸡肉、鱼肉、鸡蛋、蜂蜜、牛奶中乙氧喹啉残留量的测定低限均为</w:t>
      </w:r>
    </w:p>
    <w:p>
      <w:pPr>
        <w:pStyle w:val="BodyText"/>
        <w:spacing w:before="182" w:line="187" w:lineRule="auto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pacing w:val="3"/>
          <w:sz w:val="38"/>
          <w:szCs w:val="38"/>
        </w:rPr>
        <w:t>0.01</w:t>
      </w:r>
      <w:r>
        <w:rPr>
          <w:rFonts w:ascii="Times New Roman" w:eastAsia="Times New Roman" w:hAnsi="Times New Roman" w:cs="Times New Roman"/>
          <w:spacing w:val="7"/>
          <w:sz w:val="38"/>
          <w:szCs w:val="38"/>
        </w:rPr>
        <w:t xml:space="preserve">    </w:t>
      </w:r>
      <w:r>
        <w:rPr>
          <w:rFonts w:ascii="Times New Roman" w:eastAsia="Times New Roman" w:hAnsi="Times New Roman" w:cs="Times New Roman"/>
          <w:sz w:val="38"/>
          <w:szCs w:val="38"/>
        </w:rPr>
        <w:t>mg</w:t>
      </w:r>
      <w:r>
        <w:rPr>
          <w:rFonts w:ascii="Times New Roman" w:eastAsia="Times New Roman" w:hAnsi="Times New Roman" w:cs="Times New Roman"/>
          <w:spacing w:val="3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sz w:val="38"/>
          <w:szCs w:val="38"/>
        </w:rPr>
        <w:t>kg</w:t>
      </w:r>
      <w:r>
        <w:rPr>
          <w:spacing w:val="3"/>
          <w:sz w:val="38"/>
          <w:szCs w:val="38"/>
        </w:rPr>
        <w:t>。</w:t>
      </w:r>
    </w:p>
    <w:p>
      <w:pPr>
        <w:spacing w:before="134" w:line="228" w:lineRule="auto"/>
        <w:ind w:left="5"/>
        <w:outlineLvl w:val="6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2"/>
          <w:sz w:val="40"/>
          <w:szCs w:val="40"/>
        </w:rPr>
        <w:t>7.2</w:t>
      </w:r>
      <w:r>
        <w:rPr>
          <w:rFonts w:ascii="SimHei" w:eastAsia="SimHei" w:hAnsi="SimHei" w:cs="SimHei"/>
          <w:spacing w:val="155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2"/>
          <w:sz w:val="40"/>
          <w:szCs w:val="40"/>
        </w:rPr>
        <w:t>回收率</w:t>
      </w:r>
    </w:p>
    <w:p>
      <w:pPr>
        <w:pStyle w:val="BodyText"/>
        <w:spacing w:before="160" w:line="223" w:lineRule="auto"/>
        <w:ind w:left="778"/>
      </w:pPr>
      <w:r>
        <w:rPr>
          <w:spacing w:val="-37"/>
        </w:rPr>
        <w:t>在猪肉、猪肝、猪肾、鸡肉、鱼肉、鸡蛋、蜂蜜、</w:t>
      </w:r>
      <w:r>
        <w:rPr>
          <w:spacing w:val="-38"/>
        </w:rPr>
        <w:t>牛奶中乙氧喹啉添加回收率的实验数据，见表3。</w:t>
      </w:r>
    </w:p>
    <w:p>
      <w:pPr>
        <w:spacing w:line="223" w:lineRule="auto"/>
        <w:sectPr>
          <w:footerReference w:type="default" r:id="rId15"/>
          <w:type w:val="nextPage"/>
          <w:pgSz w:w="22124" w:h="31680"/>
          <w:pgMar w:top="2556" w:right="1643" w:bottom="2478" w:left="2979" w:header="0" w:footer="2224" w:gutter="0"/>
          <w:pgNumType w:start="7"/>
          <w:cols w:space="708"/>
          <w:titlePg w:val="0"/>
        </w:sectPr>
      </w:pPr>
    </w:p>
    <w:p>
      <w:pPr>
        <w:pStyle w:val="BodyText"/>
        <w:spacing w:before="77" w:line="229" w:lineRule="auto"/>
        <w:rPr>
          <w:sz w:val="38"/>
          <w:szCs w:val="38"/>
        </w:rPr>
      </w:pPr>
      <w:r>
        <w:rPr>
          <w:b/>
          <w:bCs/>
          <w:spacing w:val="-2"/>
          <w:sz w:val="38"/>
          <w:szCs w:val="38"/>
        </w:rPr>
        <w:t>SN/T</w:t>
      </w:r>
      <w:r>
        <w:rPr>
          <w:spacing w:val="16"/>
          <w:sz w:val="38"/>
          <w:szCs w:val="38"/>
        </w:rPr>
        <w:t xml:space="preserve">  </w:t>
      </w:r>
      <w:r>
        <w:rPr>
          <w:b/>
          <w:bCs/>
          <w:spacing w:val="-2"/>
          <w:sz w:val="38"/>
          <w:szCs w:val="38"/>
        </w:rPr>
        <w:t>2539—2010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23" w:line="186" w:lineRule="auto"/>
        <w:ind w:left="4386"/>
        <w:rPr>
          <w:rFonts w:ascii="LiSu" w:eastAsia="LiSu" w:hAnsi="LiSu" w:cs="LiSu"/>
          <w:sz w:val="38"/>
          <w:szCs w:val="38"/>
        </w:rPr>
      </w:pPr>
      <w:r>
        <w:rPr>
          <w:rFonts w:ascii="LiSu" w:eastAsia="LiSu" w:hAnsi="LiSu" w:cs="LiSu"/>
          <w:b/>
          <w:bCs/>
          <w:spacing w:val="9"/>
          <w:sz w:val="38"/>
          <w:szCs w:val="38"/>
        </w:rPr>
        <w:t>表</w:t>
      </w:r>
      <w:r>
        <w:rPr>
          <w:rFonts w:ascii="LiSu" w:eastAsia="LiSu" w:hAnsi="LiSu" w:cs="LiSu"/>
          <w:spacing w:val="9"/>
          <w:sz w:val="38"/>
          <w:szCs w:val="38"/>
        </w:rPr>
        <w:t xml:space="preserve"> </w:t>
      </w:r>
      <w:r>
        <w:rPr>
          <w:rFonts w:ascii="LiSu" w:eastAsia="LiSu" w:hAnsi="LiSu" w:cs="LiSu"/>
          <w:b/>
          <w:bCs/>
          <w:spacing w:val="9"/>
          <w:sz w:val="38"/>
          <w:szCs w:val="38"/>
        </w:rPr>
        <w:t>3</w:t>
      </w:r>
      <w:r>
        <w:rPr>
          <w:rFonts w:ascii="LiSu" w:eastAsia="LiSu" w:hAnsi="LiSu" w:cs="LiSu"/>
          <w:spacing w:val="191"/>
          <w:sz w:val="38"/>
          <w:szCs w:val="38"/>
        </w:rPr>
        <w:t xml:space="preserve"> </w:t>
      </w:r>
      <w:r>
        <w:rPr>
          <w:rFonts w:ascii="LiSu" w:eastAsia="LiSu" w:hAnsi="LiSu" w:cs="LiSu"/>
          <w:b/>
          <w:bCs/>
          <w:spacing w:val="9"/>
          <w:sz w:val="38"/>
          <w:szCs w:val="38"/>
        </w:rPr>
        <w:t>样品中乙氧喹啉添加浓度和回收率实验数据</w:t>
      </w:r>
    </w:p>
    <w:p>
      <w:pPr>
        <w:spacing w:line="134" w:lineRule="exact"/>
      </w:pPr>
    </w:p>
    <w:tbl>
      <w:tblPr>
        <w:tblStyle w:val="TableNormal3"/>
        <w:tblW w:w="17409" w:type="dxa"/>
        <w:tblInd w:w="2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03"/>
        <w:gridCol w:w="3493"/>
        <w:gridCol w:w="3413"/>
        <w:gridCol w:w="1702"/>
        <w:gridCol w:w="3480"/>
        <w:gridCol w:w="3618"/>
      </w:tblGrid>
      <w:tr>
        <w:tblPrEx>
          <w:tblW w:w="17409" w:type="dxa"/>
          <w:tblInd w:w="2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64"/>
        </w:trPr>
        <w:tc>
          <w:tcPr>
            <w:tcW w:w="1703" w:type="dxa"/>
            <w:vAlign w:val="top"/>
          </w:tcPr>
          <w:p>
            <w:pPr>
              <w:pStyle w:val="TableText"/>
              <w:spacing w:before="184" w:line="223" w:lineRule="auto"/>
              <w:ind w:left="215"/>
            </w:pPr>
            <w:r>
              <w:rPr>
                <w:spacing w:val="9"/>
              </w:rPr>
              <w:t>样品名称</w:t>
            </w:r>
          </w:p>
        </w:tc>
        <w:tc>
          <w:tcPr>
            <w:tcW w:w="3493" w:type="dxa"/>
            <w:vAlign w:val="top"/>
          </w:tcPr>
          <w:p>
            <w:pPr>
              <w:pStyle w:val="TableText"/>
              <w:spacing w:before="175" w:line="217" w:lineRule="auto"/>
              <w:ind w:left="478"/>
            </w:pPr>
            <w:r>
              <w:rPr>
                <w:spacing w:val="14"/>
              </w:rPr>
              <w:t>添加浓度/(</w:t>
            </w:r>
            <w:r>
              <w:t>mg</w:t>
            </w:r>
            <w:r>
              <w:rPr>
                <w:spacing w:val="14"/>
              </w:rPr>
              <w:t>/</w:t>
            </w:r>
            <w:r>
              <w:t>kg</w:t>
            </w:r>
            <w:r>
              <w:rPr>
                <w:spacing w:val="14"/>
              </w:rPr>
              <w:t>)</w:t>
            </w:r>
          </w:p>
        </w:tc>
        <w:tc>
          <w:tcPr>
            <w:tcW w:w="3413" w:type="dxa"/>
            <w:vAlign w:val="top"/>
          </w:tcPr>
          <w:p>
            <w:pPr>
              <w:pStyle w:val="TableText"/>
              <w:spacing w:before="184" w:line="223" w:lineRule="auto"/>
              <w:ind w:left="930"/>
            </w:pPr>
            <w:r>
              <w:rPr>
                <w:spacing w:val="-15"/>
              </w:rPr>
              <w:t>回</w:t>
            </w:r>
            <w:r>
              <w:rPr>
                <w:spacing w:val="-47"/>
              </w:rPr>
              <w:t xml:space="preserve"> </w:t>
            </w:r>
            <w:r>
              <w:rPr>
                <w:spacing w:val="-15"/>
              </w:rPr>
              <w:t>收</w:t>
            </w:r>
            <w:r>
              <w:rPr>
                <w:spacing w:val="-56"/>
              </w:rPr>
              <w:t xml:space="preserve"> </w:t>
            </w:r>
            <w:r>
              <w:rPr>
                <w:spacing w:val="-15"/>
              </w:rPr>
              <w:t>率</w:t>
            </w:r>
            <w:r>
              <w:rPr>
                <w:spacing w:val="-61"/>
              </w:rPr>
              <w:t xml:space="preserve"> </w:t>
            </w:r>
            <w:r>
              <w:rPr>
                <w:spacing w:val="-15"/>
              </w:rPr>
              <w:t>/</w:t>
            </w:r>
            <w:r>
              <w:rPr>
                <w:spacing w:val="-67"/>
              </w:rPr>
              <w:t xml:space="preserve"> </w:t>
            </w:r>
            <w:r>
              <w:rPr>
                <w:spacing w:val="-15"/>
              </w:rPr>
              <w:t>%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spacing w:before="184" w:line="223" w:lineRule="auto"/>
              <w:ind w:left="217"/>
            </w:pPr>
            <w:r>
              <w:rPr>
                <w:spacing w:val="9"/>
              </w:rPr>
              <w:t>样品名称</w:t>
            </w:r>
          </w:p>
        </w:tc>
        <w:tc>
          <w:tcPr>
            <w:tcW w:w="3480" w:type="dxa"/>
            <w:vAlign w:val="top"/>
          </w:tcPr>
          <w:p>
            <w:pPr>
              <w:pStyle w:val="TableText"/>
              <w:spacing w:before="175" w:line="217" w:lineRule="auto"/>
              <w:ind w:left="474"/>
            </w:pPr>
            <w:r>
              <w:rPr>
                <w:spacing w:val="14"/>
              </w:rPr>
              <w:t>添加浓度/(</w:t>
            </w:r>
            <w:r>
              <w:t>mg</w:t>
            </w:r>
            <w:r>
              <w:rPr>
                <w:spacing w:val="14"/>
              </w:rPr>
              <w:t>/</w:t>
            </w:r>
            <w:r>
              <w:t>kg</w:t>
            </w:r>
            <w:r>
              <w:rPr>
                <w:spacing w:val="14"/>
              </w:rPr>
              <w:t>)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184" w:line="223" w:lineRule="auto"/>
              <w:ind w:left="1033"/>
            </w:pPr>
            <w:r>
              <w:rPr>
                <w:spacing w:val="-15"/>
              </w:rPr>
              <w:t>回</w:t>
            </w:r>
            <w:r>
              <w:rPr>
                <w:spacing w:val="-47"/>
              </w:rPr>
              <w:t xml:space="preserve"> </w:t>
            </w:r>
            <w:r>
              <w:rPr>
                <w:spacing w:val="-15"/>
              </w:rPr>
              <w:t>收</w:t>
            </w:r>
            <w:r>
              <w:rPr>
                <w:spacing w:val="-56"/>
              </w:rPr>
              <w:t xml:space="preserve"> </w:t>
            </w:r>
            <w:r>
              <w:rPr>
                <w:spacing w:val="-15"/>
              </w:rPr>
              <w:t>率</w:t>
            </w:r>
            <w:r>
              <w:rPr>
                <w:spacing w:val="-61"/>
              </w:rPr>
              <w:t xml:space="preserve"> </w:t>
            </w:r>
            <w:r>
              <w:rPr>
                <w:spacing w:val="-15"/>
              </w:rPr>
              <w:t>/</w:t>
            </w:r>
            <w:r>
              <w:rPr>
                <w:spacing w:val="-67"/>
              </w:rPr>
              <w:t xml:space="preserve"> </w:t>
            </w:r>
            <w:r>
              <w:rPr>
                <w:spacing w:val="-15"/>
              </w:rPr>
              <w:t>%</w:t>
            </w:r>
          </w:p>
        </w:tc>
      </w:tr>
      <w:tr>
        <w:tblPrEx>
          <w:tblW w:w="17409" w:type="dxa"/>
          <w:tblInd w:w="27" w:type="dxa"/>
          <w:tblLayout w:type="fixed"/>
        </w:tblPrEx>
        <w:trPr>
          <w:trHeight w:val="697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4" w:lineRule="auto"/>
              <w:ind w:left="531"/>
            </w:pPr>
            <w:r>
              <w:rPr>
                <w:spacing w:val="21"/>
              </w:rPr>
              <w:t>猪肉</w:t>
            </w:r>
          </w:p>
        </w:tc>
        <w:tc>
          <w:tcPr>
            <w:tcW w:w="3493" w:type="dxa"/>
            <w:vAlign w:val="top"/>
          </w:tcPr>
          <w:p>
            <w:pPr>
              <w:pStyle w:val="TableText"/>
              <w:spacing w:before="280" w:line="186" w:lineRule="auto"/>
              <w:ind w:left="1425"/>
            </w:pPr>
            <w:r>
              <w:rPr>
                <w:spacing w:val="-1"/>
              </w:rPr>
              <w:t>0.01</w:t>
            </w:r>
          </w:p>
        </w:tc>
        <w:tc>
          <w:tcPr>
            <w:tcW w:w="3413" w:type="dxa"/>
            <w:vAlign w:val="top"/>
          </w:tcPr>
          <w:p>
            <w:pPr>
              <w:pStyle w:val="TableText"/>
              <w:spacing w:before="280" w:line="186" w:lineRule="auto"/>
              <w:ind w:left="834"/>
            </w:pPr>
            <w:r>
              <w:rPr>
                <w:spacing w:val="1"/>
              </w:rPr>
              <w:t>89.5～108.0</w:t>
            </w:r>
          </w:p>
        </w:tc>
        <w:tc>
          <w:tcPr>
            <w:tcW w:w="1702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3" w:lineRule="auto"/>
              <w:ind w:left="533"/>
            </w:pPr>
            <w:r>
              <w:rPr>
                <w:spacing w:val="16"/>
              </w:rPr>
              <w:t>蜂蜜</w:t>
            </w:r>
          </w:p>
        </w:tc>
        <w:tc>
          <w:tcPr>
            <w:tcW w:w="3480" w:type="dxa"/>
            <w:vAlign w:val="top"/>
          </w:tcPr>
          <w:p>
            <w:pPr>
              <w:pStyle w:val="TableText"/>
              <w:spacing w:before="280" w:line="186" w:lineRule="auto"/>
              <w:ind w:left="1422"/>
            </w:pPr>
            <w:r>
              <w:rPr>
                <w:spacing w:val="-1"/>
              </w:rPr>
              <w:t>0.01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280" w:line="186" w:lineRule="auto"/>
              <w:ind w:left="939"/>
            </w:pPr>
            <w:r>
              <w:rPr>
                <w:spacing w:val="1"/>
              </w:rPr>
              <w:t>89.2～100.3</w:t>
            </w:r>
          </w:p>
        </w:tc>
      </w:tr>
      <w:tr>
        <w:tblPrEx>
          <w:tblW w:w="17409" w:type="dxa"/>
          <w:tblInd w:w="27" w:type="dxa"/>
          <w:tblLayout w:type="fixed"/>
        </w:tblPrEx>
        <w:trPr>
          <w:trHeight w:val="663"/>
        </w:trPr>
        <w:tc>
          <w:tcPr>
            <w:tcW w:w="1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93" w:type="dxa"/>
            <w:vAlign w:val="top"/>
          </w:tcPr>
          <w:p>
            <w:pPr>
              <w:pStyle w:val="TableText"/>
              <w:spacing w:before="267" w:line="185" w:lineRule="auto"/>
              <w:ind w:left="1425"/>
            </w:pPr>
            <w:r>
              <w:rPr>
                <w:spacing w:val="-1"/>
              </w:rPr>
              <w:t>0.05</w:t>
            </w:r>
          </w:p>
        </w:tc>
        <w:tc>
          <w:tcPr>
            <w:tcW w:w="3413" w:type="dxa"/>
            <w:vAlign w:val="top"/>
          </w:tcPr>
          <w:p>
            <w:pPr>
              <w:pStyle w:val="TableText"/>
              <w:spacing w:before="265" w:line="186" w:lineRule="auto"/>
              <w:ind w:left="834"/>
            </w:pPr>
            <w:r>
              <w:rPr>
                <w:spacing w:val="1"/>
              </w:rPr>
              <w:t>84.2～102.4</w:t>
            </w:r>
          </w:p>
        </w:tc>
        <w:tc>
          <w:tcPr>
            <w:tcW w:w="17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vAlign w:val="top"/>
          </w:tcPr>
          <w:p>
            <w:pPr>
              <w:pStyle w:val="TableText"/>
              <w:spacing w:before="267" w:line="185" w:lineRule="auto"/>
              <w:ind w:left="1422"/>
            </w:pPr>
            <w:r>
              <w:rPr>
                <w:spacing w:val="-1"/>
              </w:rPr>
              <w:t>0.05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265" w:line="186" w:lineRule="auto"/>
              <w:ind w:left="939"/>
            </w:pPr>
            <w:r>
              <w:rPr>
                <w:spacing w:val="1"/>
              </w:rPr>
              <w:t>88.8～101.2</w:t>
            </w:r>
          </w:p>
        </w:tc>
      </w:tr>
      <w:tr>
        <w:tblPrEx>
          <w:tblW w:w="17409" w:type="dxa"/>
          <w:tblInd w:w="27" w:type="dxa"/>
          <w:tblLayout w:type="fixed"/>
        </w:tblPrEx>
        <w:trPr>
          <w:trHeight w:val="663"/>
        </w:trPr>
        <w:tc>
          <w:tcPr>
            <w:tcW w:w="17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93" w:type="dxa"/>
            <w:vAlign w:val="top"/>
          </w:tcPr>
          <w:p>
            <w:pPr>
              <w:pStyle w:val="TableText"/>
              <w:spacing w:before="265" w:line="186" w:lineRule="auto"/>
              <w:ind w:left="1425"/>
            </w:pPr>
            <w:r>
              <w:rPr>
                <w:spacing w:val="-1"/>
              </w:rPr>
              <w:t>0.10</w:t>
            </w:r>
          </w:p>
        </w:tc>
        <w:tc>
          <w:tcPr>
            <w:tcW w:w="3413" w:type="dxa"/>
            <w:vAlign w:val="top"/>
          </w:tcPr>
          <w:p>
            <w:pPr>
              <w:pStyle w:val="TableText"/>
              <w:spacing w:before="217" w:line="242" w:lineRule="auto"/>
              <w:ind w:left="992"/>
            </w:pPr>
            <w:r>
              <w:rPr>
                <w:spacing w:val="1"/>
              </w:rPr>
              <w:t>86.8~98.2</w:t>
            </w:r>
          </w:p>
        </w:tc>
        <w:tc>
          <w:tcPr>
            <w:tcW w:w="17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vAlign w:val="top"/>
          </w:tcPr>
          <w:p>
            <w:pPr>
              <w:pStyle w:val="TableText"/>
              <w:spacing w:before="265" w:line="186" w:lineRule="auto"/>
              <w:ind w:left="1502"/>
            </w:pPr>
            <w:r>
              <w:rPr>
                <w:spacing w:val="-2"/>
              </w:rPr>
              <w:t>0.1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265" w:line="186" w:lineRule="auto"/>
              <w:ind w:left="1017"/>
            </w:pPr>
            <w:r>
              <w:rPr>
                <w:spacing w:val="1"/>
              </w:rPr>
              <w:t>84.1～90.5</w:t>
            </w:r>
          </w:p>
        </w:tc>
      </w:tr>
      <w:tr>
        <w:tblPrEx>
          <w:tblW w:w="17409" w:type="dxa"/>
          <w:tblInd w:w="27" w:type="dxa"/>
          <w:tblLayout w:type="fixed"/>
        </w:tblPrEx>
        <w:trPr>
          <w:trHeight w:val="661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4" w:lineRule="auto"/>
              <w:ind w:left="531"/>
            </w:pPr>
            <w:r>
              <w:rPr>
                <w:spacing w:val="12"/>
              </w:rPr>
              <w:t>猪肝</w:t>
            </w:r>
          </w:p>
        </w:tc>
        <w:tc>
          <w:tcPr>
            <w:tcW w:w="3493" w:type="dxa"/>
            <w:vAlign w:val="top"/>
          </w:tcPr>
          <w:p>
            <w:pPr>
              <w:pStyle w:val="TableText"/>
              <w:spacing w:before="263" w:line="186" w:lineRule="auto"/>
              <w:ind w:left="1425"/>
            </w:pPr>
            <w:r>
              <w:rPr>
                <w:spacing w:val="-1"/>
              </w:rPr>
              <w:t>0.01</w:t>
            </w:r>
          </w:p>
        </w:tc>
        <w:tc>
          <w:tcPr>
            <w:tcW w:w="3413" w:type="dxa"/>
            <w:vAlign w:val="top"/>
          </w:tcPr>
          <w:p>
            <w:pPr>
              <w:pStyle w:val="TableText"/>
              <w:spacing w:before="263" w:line="186" w:lineRule="auto"/>
              <w:ind w:left="834"/>
            </w:pPr>
            <w:r>
              <w:rPr>
                <w:spacing w:val="1"/>
              </w:rPr>
              <w:t>92.7～109.0</w:t>
            </w:r>
          </w:p>
        </w:tc>
        <w:tc>
          <w:tcPr>
            <w:tcW w:w="1702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4" w:lineRule="auto"/>
              <w:ind w:left="533"/>
            </w:pPr>
            <w:r>
              <w:rPr>
                <w:spacing w:val="13"/>
              </w:rPr>
              <w:t>鸡蛋</w:t>
            </w:r>
          </w:p>
        </w:tc>
        <w:tc>
          <w:tcPr>
            <w:tcW w:w="3480" w:type="dxa"/>
            <w:vAlign w:val="top"/>
          </w:tcPr>
          <w:p>
            <w:pPr>
              <w:pStyle w:val="TableText"/>
              <w:spacing w:before="263" w:line="186" w:lineRule="auto"/>
              <w:ind w:left="1422"/>
            </w:pPr>
            <w:r>
              <w:rPr>
                <w:spacing w:val="-1"/>
              </w:rPr>
              <w:t>0.01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263" w:line="186" w:lineRule="auto"/>
              <w:ind w:left="939"/>
            </w:pPr>
            <w:r>
              <w:rPr>
                <w:spacing w:val="1"/>
              </w:rPr>
              <w:t>90.3～101.4</w:t>
            </w:r>
          </w:p>
        </w:tc>
      </w:tr>
      <w:tr>
        <w:tblPrEx>
          <w:tblW w:w="17409" w:type="dxa"/>
          <w:tblInd w:w="27" w:type="dxa"/>
          <w:tblLayout w:type="fixed"/>
        </w:tblPrEx>
        <w:trPr>
          <w:trHeight w:val="690"/>
        </w:trPr>
        <w:tc>
          <w:tcPr>
            <w:tcW w:w="1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93" w:type="dxa"/>
            <w:vAlign w:val="top"/>
          </w:tcPr>
          <w:p>
            <w:pPr>
              <w:pStyle w:val="TableText"/>
              <w:spacing w:before="281" w:line="185" w:lineRule="auto"/>
              <w:ind w:left="1425"/>
            </w:pPr>
            <w:r>
              <w:rPr>
                <w:spacing w:val="-1"/>
              </w:rPr>
              <w:t>0.05</w:t>
            </w:r>
          </w:p>
        </w:tc>
        <w:tc>
          <w:tcPr>
            <w:tcW w:w="3413" w:type="dxa"/>
            <w:vAlign w:val="top"/>
          </w:tcPr>
          <w:p>
            <w:pPr>
              <w:pStyle w:val="TableText"/>
              <w:spacing w:before="279" w:line="186" w:lineRule="auto"/>
              <w:ind w:left="834"/>
            </w:pPr>
            <w:r>
              <w:rPr>
                <w:spacing w:val="1"/>
              </w:rPr>
              <w:t>93.2～109.2</w:t>
            </w:r>
          </w:p>
        </w:tc>
        <w:tc>
          <w:tcPr>
            <w:tcW w:w="17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vAlign w:val="top"/>
          </w:tcPr>
          <w:p>
            <w:pPr>
              <w:pStyle w:val="TableText"/>
              <w:spacing w:before="281" w:line="185" w:lineRule="auto"/>
              <w:ind w:left="1422"/>
            </w:pPr>
            <w:r>
              <w:rPr>
                <w:spacing w:val="-1"/>
              </w:rPr>
              <w:t>0.05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279" w:line="186" w:lineRule="auto"/>
              <w:ind w:left="939"/>
            </w:pPr>
            <w:r>
              <w:rPr>
                <w:spacing w:val="1"/>
              </w:rPr>
              <w:t>93.7～107.5</w:t>
            </w:r>
          </w:p>
        </w:tc>
      </w:tr>
      <w:tr>
        <w:tblPrEx>
          <w:tblW w:w="17409" w:type="dxa"/>
          <w:tblInd w:w="27" w:type="dxa"/>
          <w:tblLayout w:type="fixed"/>
        </w:tblPrEx>
        <w:trPr>
          <w:trHeight w:val="665"/>
        </w:trPr>
        <w:tc>
          <w:tcPr>
            <w:tcW w:w="1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93" w:type="dxa"/>
            <w:vAlign w:val="top"/>
          </w:tcPr>
          <w:p>
            <w:pPr>
              <w:pStyle w:val="TableText"/>
              <w:spacing w:before="266" w:line="186" w:lineRule="auto"/>
              <w:ind w:left="1505"/>
            </w:pPr>
            <w:r>
              <w:rPr>
                <w:spacing w:val="-2"/>
              </w:rPr>
              <w:t>0.1</w:t>
            </w:r>
          </w:p>
        </w:tc>
        <w:tc>
          <w:tcPr>
            <w:tcW w:w="3413" w:type="dxa"/>
            <w:vAlign w:val="top"/>
          </w:tcPr>
          <w:p>
            <w:pPr>
              <w:pStyle w:val="TableText"/>
              <w:spacing w:before="268" w:line="185" w:lineRule="auto"/>
              <w:ind w:left="914"/>
            </w:pPr>
            <w:r>
              <w:rPr>
                <w:spacing w:val="1"/>
              </w:rPr>
              <w:t>90.6～98.4</w:t>
            </w:r>
          </w:p>
        </w:tc>
        <w:tc>
          <w:tcPr>
            <w:tcW w:w="17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vAlign w:val="top"/>
          </w:tcPr>
          <w:p>
            <w:pPr>
              <w:pStyle w:val="TableText"/>
              <w:spacing w:before="266" w:line="186" w:lineRule="auto"/>
              <w:ind w:left="1502"/>
            </w:pPr>
            <w:r>
              <w:rPr>
                <w:spacing w:val="-2"/>
              </w:rPr>
              <w:t>0.1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266" w:line="186" w:lineRule="auto"/>
              <w:ind w:left="939"/>
            </w:pPr>
            <w:r>
              <w:rPr>
                <w:spacing w:val="1"/>
              </w:rPr>
              <w:t>96.6～101.6</w:t>
            </w:r>
          </w:p>
        </w:tc>
      </w:tr>
      <w:tr>
        <w:tblPrEx>
          <w:tblW w:w="17409" w:type="dxa"/>
          <w:tblInd w:w="27" w:type="dxa"/>
          <w:tblLayout w:type="fixed"/>
        </w:tblPrEx>
        <w:trPr>
          <w:trHeight w:val="679"/>
        </w:trPr>
        <w:tc>
          <w:tcPr>
            <w:tcW w:w="17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93" w:type="dxa"/>
            <w:vAlign w:val="top"/>
          </w:tcPr>
          <w:p>
            <w:pPr>
              <w:pStyle w:val="TableText"/>
              <w:spacing w:before="275" w:line="185" w:lineRule="auto"/>
              <w:ind w:left="1505"/>
            </w:pPr>
            <w:r>
              <w:rPr>
                <w:spacing w:val="-2"/>
              </w:rPr>
              <w:t>0.3</w:t>
            </w:r>
          </w:p>
        </w:tc>
        <w:tc>
          <w:tcPr>
            <w:tcW w:w="3413" w:type="dxa"/>
            <w:vAlign w:val="top"/>
          </w:tcPr>
          <w:p>
            <w:pPr>
              <w:pStyle w:val="TableText"/>
              <w:spacing w:before="275" w:line="185" w:lineRule="auto"/>
              <w:ind w:left="914"/>
            </w:pPr>
            <w:r>
              <w:rPr>
                <w:spacing w:val="1"/>
              </w:rPr>
              <w:t>90.2～98.0</w:t>
            </w:r>
          </w:p>
        </w:tc>
        <w:tc>
          <w:tcPr>
            <w:tcW w:w="17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vAlign w:val="top"/>
          </w:tcPr>
          <w:p>
            <w:pPr>
              <w:pStyle w:val="TableText"/>
              <w:spacing w:before="275" w:line="185" w:lineRule="auto"/>
              <w:ind w:left="1502"/>
            </w:pPr>
            <w:r>
              <w:rPr>
                <w:spacing w:val="-2"/>
              </w:rPr>
              <w:t>0.5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275" w:line="185" w:lineRule="auto"/>
              <w:ind w:left="1017"/>
            </w:pPr>
            <w:r>
              <w:rPr>
                <w:spacing w:val="1"/>
              </w:rPr>
              <w:t>93.4～99.5</w:t>
            </w:r>
          </w:p>
        </w:tc>
      </w:tr>
      <w:tr>
        <w:tblPrEx>
          <w:tblW w:w="17409" w:type="dxa"/>
          <w:tblInd w:w="27" w:type="dxa"/>
          <w:tblLayout w:type="fixed"/>
        </w:tblPrEx>
        <w:trPr>
          <w:trHeight w:val="681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3" w:lineRule="auto"/>
              <w:ind w:left="531"/>
            </w:pPr>
            <w:r>
              <w:rPr>
                <w:spacing w:val="15"/>
              </w:rPr>
              <w:t>猪肾</w:t>
            </w:r>
          </w:p>
        </w:tc>
        <w:tc>
          <w:tcPr>
            <w:tcW w:w="3493" w:type="dxa"/>
            <w:vAlign w:val="top"/>
          </w:tcPr>
          <w:p>
            <w:pPr>
              <w:pStyle w:val="TableText"/>
              <w:spacing w:before="276" w:line="186" w:lineRule="auto"/>
              <w:ind w:left="1425"/>
            </w:pPr>
            <w:r>
              <w:rPr>
                <w:spacing w:val="-1"/>
              </w:rPr>
              <w:t>0.01</w:t>
            </w:r>
          </w:p>
        </w:tc>
        <w:tc>
          <w:tcPr>
            <w:tcW w:w="3413" w:type="dxa"/>
            <w:vAlign w:val="top"/>
          </w:tcPr>
          <w:p>
            <w:pPr>
              <w:pStyle w:val="TableText"/>
              <w:spacing w:before="276" w:line="186" w:lineRule="auto"/>
              <w:ind w:left="834"/>
            </w:pPr>
            <w:r>
              <w:rPr>
                <w:spacing w:val="1"/>
              </w:rPr>
              <w:t>85.8～102.0</w:t>
            </w:r>
          </w:p>
        </w:tc>
        <w:tc>
          <w:tcPr>
            <w:tcW w:w="1702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226" w:lineRule="auto"/>
              <w:ind w:left="533"/>
            </w:pPr>
            <w:r>
              <w:rPr>
                <w:spacing w:val="21"/>
              </w:rPr>
              <w:t>鱼肉</w:t>
            </w:r>
          </w:p>
        </w:tc>
        <w:tc>
          <w:tcPr>
            <w:tcW w:w="3480" w:type="dxa"/>
            <w:vAlign w:val="top"/>
          </w:tcPr>
          <w:p>
            <w:pPr>
              <w:pStyle w:val="TableText"/>
              <w:spacing w:before="276" w:line="186" w:lineRule="auto"/>
              <w:ind w:left="1422"/>
            </w:pPr>
            <w:r>
              <w:rPr>
                <w:spacing w:val="-1"/>
              </w:rPr>
              <w:t>0.01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276" w:line="186" w:lineRule="auto"/>
              <w:ind w:left="939"/>
            </w:pPr>
            <w:r>
              <w:rPr>
                <w:spacing w:val="1"/>
              </w:rPr>
              <w:t>94.7～102.1</w:t>
            </w:r>
          </w:p>
        </w:tc>
      </w:tr>
      <w:tr>
        <w:tblPrEx>
          <w:tblW w:w="17409" w:type="dxa"/>
          <w:tblInd w:w="27" w:type="dxa"/>
          <w:tblLayout w:type="fixed"/>
        </w:tblPrEx>
        <w:trPr>
          <w:trHeight w:val="672"/>
        </w:trPr>
        <w:tc>
          <w:tcPr>
            <w:tcW w:w="1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93" w:type="dxa"/>
            <w:vAlign w:val="top"/>
          </w:tcPr>
          <w:p>
            <w:pPr>
              <w:pStyle w:val="TableText"/>
              <w:spacing w:before="273" w:line="185" w:lineRule="auto"/>
              <w:ind w:left="1425"/>
            </w:pPr>
            <w:r>
              <w:rPr>
                <w:spacing w:val="-1"/>
              </w:rPr>
              <w:t>0.05</w:t>
            </w:r>
          </w:p>
        </w:tc>
        <w:tc>
          <w:tcPr>
            <w:tcW w:w="3413" w:type="dxa"/>
            <w:vAlign w:val="top"/>
          </w:tcPr>
          <w:p>
            <w:pPr>
              <w:pStyle w:val="TableText"/>
              <w:spacing w:before="272" w:line="186" w:lineRule="auto"/>
              <w:ind w:left="834"/>
            </w:pPr>
            <w:r>
              <w:rPr>
                <w:spacing w:val="1"/>
              </w:rPr>
              <w:t>91.3～105.6</w:t>
            </w:r>
          </w:p>
        </w:tc>
        <w:tc>
          <w:tcPr>
            <w:tcW w:w="17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vAlign w:val="top"/>
          </w:tcPr>
          <w:p>
            <w:pPr>
              <w:pStyle w:val="TableText"/>
              <w:spacing w:before="273" w:line="185" w:lineRule="auto"/>
              <w:ind w:left="1422"/>
            </w:pPr>
            <w:r>
              <w:rPr>
                <w:spacing w:val="-1"/>
              </w:rPr>
              <w:t>0.05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272" w:line="186" w:lineRule="auto"/>
              <w:ind w:left="939"/>
            </w:pPr>
            <w:r>
              <w:rPr>
                <w:spacing w:val="1"/>
              </w:rPr>
              <w:t>87.7～108.0</w:t>
            </w:r>
          </w:p>
        </w:tc>
      </w:tr>
      <w:tr>
        <w:tblPrEx>
          <w:tblW w:w="17409" w:type="dxa"/>
          <w:tblInd w:w="27" w:type="dxa"/>
          <w:tblLayout w:type="fixed"/>
        </w:tblPrEx>
        <w:trPr>
          <w:trHeight w:val="668"/>
        </w:trPr>
        <w:tc>
          <w:tcPr>
            <w:tcW w:w="1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93" w:type="dxa"/>
            <w:vAlign w:val="top"/>
          </w:tcPr>
          <w:p>
            <w:pPr>
              <w:pStyle w:val="TableText"/>
              <w:spacing w:before="270" w:line="186" w:lineRule="auto"/>
              <w:ind w:left="1425"/>
            </w:pPr>
            <w:r>
              <w:rPr>
                <w:spacing w:val="-1"/>
              </w:rPr>
              <w:t>0.10</w:t>
            </w:r>
          </w:p>
        </w:tc>
        <w:tc>
          <w:tcPr>
            <w:tcW w:w="3413" w:type="dxa"/>
            <w:vAlign w:val="top"/>
          </w:tcPr>
          <w:p>
            <w:pPr>
              <w:pStyle w:val="TableText"/>
              <w:spacing w:before="270" w:line="186" w:lineRule="auto"/>
              <w:ind w:left="834"/>
            </w:pPr>
            <w:r>
              <w:rPr>
                <w:spacing w:val="1"/>
              </w:rPr>
              <w:t>92.0～105.6</w:t>
            </w:r>
          </w:p>
        </w:tc>
        <w:tc>
          <w:tcPr>
            <w:tcW w:w="17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vAlign w:val="top"/>
          </w:tcPr>
          <w:p>
            <w:pPr>
              <w:pStyle w:val="TableText"/>
              <w:spacing w:before="270" w:line="186" w:lineRule="auto"/>
              <w:ind w:left="1422"/>
            </w:pPr>
            <w:r>
              <w:rPr>
                <w:spacing w:val="-1"/>
              </w:rPr>
              <w:t>0.10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271" w:line="185" w:lineRule="auto"/>
              <w:ind w:left="1017"/>
            </w:pPr>
            <w:r>
              <w:rPr>
                <w:spacing w:val="1"/>
              </w:rPr>
              <w:t>92.0～97.7</w:t>
            </w:r>
          </w:p>
        </w:tc>
      </w:tr>
      <w:tr>
        <w:tblPrEx>
          <w:tblW w:w="17409" w:type="dxa"/>
          <w:tblInd w:w="27" w:type="dxa"/>
          <w:tblLayout w:type="fixed"/>
        </w:tblPrEx>
        <w:trPr>
          <w:trHeight w:val="683"/>
        </w:trPr>
        <w:tc>
          <w:tcPr>
            <w:tcW w:w="17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93" w:type="dxa"/>
            <w:vAlign w:val="top"/>
          </w:tcPr>
          <w:p>
            <w:pPr>
              <w:pStyle w:val="TableText"/>
              <w:spacing w:before="278" w:line="185" w:lineRule="auto"/>
              <w:ind w:left="1425"/>
            </w:pPr>
            <w:r>
              <w:rPr>
                <w:spacing w:val="-1"/>
              </w:rPr>
              <w:t>0.30</w:t>
            </w:r>
          </w:p>
        </w:tc>
        <w:tc>
          <w:tcPr>
            <w:tcW w:w="3413" w:type="dxa"/>
            <w:vAlign w:val="top"/>
          </w:tcPr>
          <w:p>
            <w:pPr>
              <w:pStyle w:val="TableText"/>
              <w:spacing w:before="278" w:line="185" w:lineRule="auto"/>
              <w:ind w:left="914"/>
            </w:pPr>
            <w:r>
              <w:rPr>
                <w:spacing w:val="1"/>
              </w:rPr>
              <w:t>90.7～98.6</w:t>
            </w:r>
          </w:p>
        </w:tc>
        <w:tc>
          <w:tcPr>
            <w:tcW w:w="17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vAlign w:val="top"/>
          </w:tcPr>
          <w:p>
            <w:pPr>
              <w:pStyle w:val="TableText"/>
              <w:spacing w:before="277" w:line="186" w:lineRule="auto"/>
              <w:ind w:left="1502"/>
            </w:pPr>
            <w:r>
              <w:rPr>
                <w:spacing w:val="-6"/>
              </w:rPr>
              <w:t>1.0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277" w:line="186" w:lineRule="auto"/>
              <w:ind w:left="1017"/>
            </w:pPr>
            <w:r>
              <w:rPr>
                <w:spacing w:val="1"/>
              </w:rPr>
              <w:t>85.1～95.7</w:t>
            </w:r>
          </w:p>
        </w:tc>
      </w:tr>
      <w:tr>
        <w:tblPrEx>
          <w:tblW w:w="17409" w:type="dxa"/>
          <w:tblInd w:w="27" w:type="dxa"/>
          <w:tblLayout w:type="fixed"/>
        </w:tblPrEx>
        <w:trPr>
          <w:trHeight w:val="681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4" w:lineRule="auto"/>
              <w:ind w:left="531"/>
            </w:pPr>
            <w:r>
              <w:rPr>
                <w:spacing w:val="21"/>
              </w:rPr>
              <w:t>鸡肉</w:t>
            </w:r>
          </w:p>
        </w:tc>
        <w:tc>
          <w:tcPr>
            <w:tcW w:w="3493" w:type="dxa"/>
            <w:vAlign w:val="top"/>
          </w:tcPr>
          <w:p>
            <w:pPr>
              <w:pStyle w:val="TableText"/>
              <w:spacing w:before="277" w:line="186" w:lineRule="auto"/>
              <w:ind w:left="1425"/>
            </w:pPr>
            <w:r>
              <w:rPr>
                <w:spacing w:val="-1"/>
              </w:rPr>
              <w:t>0.01</w:t>
            </w:r>
          </w:p>
        </w:tc>
        <w:tc>
          <w:tcPr>
            <w:tcW w:w="3413" w:type="dxa"/>
            <w:vAlign w:val="top"/>
          </w:tcPr>
          <w:p>
            <w:pPr>
              <w:pStyle w:val="TableText"/>
              <w:spacing w:before="277" w:line="186" w:lineRule="auto"/>
              <w:ind w:left="834"/>
            </w:pPr>
            <w:r>
              <w:rPr>
                <w:spacing w:val="1"/>
              </w:rPr>
              <w:t>84.8～101.1</w:t>
            </w:r>
          </w:p>
        </w:tc>
        <w:tc>
          <w:tcPr>
            <w:tcW w:w="1702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4" w:lineRule="auto"/>
              <w:ind w:left="533"/>
            </w:pPr>
            <w:r>
              <w:rPr>
                <w:spacing w:val="13"/>
              </w:rPr>
              <w:t>牛奶</w:t>
            </w:r>
          </w:p>
        </w:tc>
        <w:tc>
          <w:tcPr>
            <w:tcW w:w="3480" w:type="dxa"/>
            <w:vAlign w:val="top"/>
          </w:tcPr>
          <w:p>
            <w:pPr>
              <w:pStyle w:val="TableText"/>
              <w:spacing w:before="277" w:line="186" w:lineRule="auto"/>
              <w:ind w:left="1422"/>
            </w:pPr>
            <w:r>
              <w:rPr>
                <w:spacing w:val="-1"/>
              </w:rPr>
              <w:t>0.01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277" w:line="186" w:lineRule="auto"/>
              <w:ind w:left="939"/>
            </w:pPr>
            <w:r>
              <w:rPr>
                <w:spacing w:val="1"/>
              </w:rPr>
              <w:t>91.4～103.1</w:t>
            </w:r>
          </w:p>
        </w:tc>
      </w:tr>
      <w:tr>
        <w:tblPrEx>
          <w:tblW w:w="17409" w:type="dxa"/>
          <w:tblInd w:w="27" w:type="dxa"/>
          <w:tblLayout w:type="fixed"/>
        </w:tblPrEx>
        <w:trPr>
          <w:trHeight w:val="674"/>
        </w:trPr>
        <w:tc>
          <w:tcPr>
            <w:tcW w:w="1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93" w:type="dxa"/>
            <w:vAlign w:val="top"/>
          </w:tcPr>
          <w:p>
            <w:pPr>
              <w:pStyle w:val="TableText"/>
              <w:spacing w:before="275" w:line="185" w:lineRule="auto"/>
              <w:ind w:left="1425"/>
            </w:pPr>
            <w:r>
              <w:rPr>
                <w:spacing w:val="-1"/>
              </w:rPr>
              <w:t>0.05</w:t>
            </w:r>
          </w:p>
        </w:tc>
        <w:tc>
          <w:tcPr>
            <w:tcW w:w="3413" w:type="dxa"/>
            <w:vAlign w:val="top"/>
          </w:tcPr>
          <w:p>
            <w:pPr>
              <w:pStyle w:val="TableText"/>
              <w:spacing w:before="273" w:line="186" w:lineRule="auto"/>
              <w:ind w:left="834"/>
            </w:pPr>
            <w:r>
              <w:rPr>
                <w:spacing w:val="1"/>
              </w:rPr>
              <w:t>85.8～102.6</w:t>
            </w:r>
          </w:p>
        </w:tc>
        <w:tc>
          <w:tcPr>
            <w:tcW w:w="17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vAlign w:val="top"/>
          </w:tcPr>
          <w:p>
            <w:pPr>
              <w:pStyle w:val="TableText"/>
              <w:spacing w:before="275" w:line="185" w:lineRule="auto"/>
              <w:ind w:left="1422"/>
            </w:pPr>
            <w:r>
              <w:rPr>
                <w:spacing w:val="-1"/>
              </w:rPr>
              <w:t>0.05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275" w:line="185" w:lineRule="auto"/>
              <w:ind w:left="1017"/>
            </w:pPr>
            <w:r>
              <w:rPr>
                <w:spacing w:val="1"/>
              </w:rPr>
              <w:t>83.9～95.2</w:t>
            </w:r>
          </w:p>
        </w:tc>
      </w:tr>
      <w:tr>
        <w:tblPrEx>
          <w:tblW w:w="17409" w:type="dxa"/>
          <w:tblInd w:w="27" w:type="dxa"/>
          <w:tblLayout w:type="fixed"/>
        </w:tblPrEx>
        <w:trPr>
          <w:trHeight w:val="664"/>
        </w:trPr>
        <w:tc>
          <w:tcPr>
            <w:tcW w:w="17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93" w:type="dxa"/>
            <w:vAlign w:val="top"/>
          </w:tcPr>
          <w:p>
            <w:pPr>
              <w:pStyle w:val="TableText"/>
              <w:spacing w:before="269" w:line="186" w:lineRule="auto"/>
              <w:ind w:left="1425"/>
            </w:pPr>
            <w:r>
              <w:rPr>
                <w:spacing w:val="-1"/>
              </w:rPr>
              <w:t>0.10</w:t>
            </w:r>
          </w:p>
        </w:tc>
        <w:tc>
          <w:tcPr>
            <w:tcW w:w="3413" w:type="dxa"/>
            <w:vAlign w:val="top"/>
          </w:tcPr>
          <w:p>
            <w:pPr>
              <w:pStyle w:val="TableText"/>
              <w:spacing w:before="269" w:line="186" w:lineRule="auto"/>
              <w:ind w:left="914"/>
            </w:pPr>
            <w:r>
              <w:rPr>
                <w:spacing w:val="1"/>
              </w:rPr>
              <w:t>86.1～99.5</w:t>
            </w:r>
          </w:p>
        </w:tc>
        <w:tc>
          <w:tcPr>
            <w:tcW w:w="17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vAlign w:val="top"/>
          </w:tcPr>
          <w:p>
            <w:pPr>
              <w:pStyle w:val="TableText"/>
              <w:spacing w:before="269" w:line="186" w:lineRule="auto"/>
              <w:ind w:left="1422"/>
            </w:pPr>
            <w:r>
              <w:rPr>
                <w:spacing w:val="-1"/>
              </w:rPr>
              <w:t>0.10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271" w:line="185" w:lineRule="auto"/>
              <w:ind w:left="1017"/>
            </w:pPr>
            <w:r>
              <w:rPr>
                <w:spacing w:val="1"/>
              </w:rPr>
              <w:t>87.4～89.8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6"/>
          <w:pgSz w:w="22124" w:h="31680"/>
          <w:pgMar w:top="2533" w:right="3017" w:bottom="2478" w:left="1666" w:header="0" w:footer="2225" w:gutter="0"/>
          <w:pgNumType w:start="8"/>
          <w:cols w:space="708"/>
        </w:sectPr>
      </w:pPr>
    </w:p>
    <w:p>
      <w:pPr>
        <w:pStyle w:val="BodyText"/>
        <w:spacing w:before="77" w:line="229" w:lineRule="auto"/>
        <w:jc w:val="right"/>
        <w:rPr>
          <w:sz w:val="38"/>
          <w:szCs w:val="38"/>
        </w:rPr>
      </w:pPr>
      <w:r>
        <w:rPr>
          <w:b/>
          <w:bCs/>
          <w:spacing w:val="-2"/>
          <w:sz w:val="38"/>
          <w:szCs w:val="38"/>
        </w:rPr>
        <w:t>SN/T</w:t>
      </w:r>
      <w:r>
        <w:rPr>
          <w:spacing w:val="15"/>
          <w:sz w:val="38"/>
          <w:szCs w:val="38"/>
        </w:rPr>
        <w:t xml:space="preserve">  </w:t>
      </w:r>
      <w:r>
        <w:rPr>
          <w:b/>
          <w:bCs/>
          <w:spacing w:val="-2"/>
          <w:sz w:val="38"/>
          <w:szCs w:val="38"/>
        </w:rPr>
        <w:t>2539—2010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123" w:line="183" w:lineRule="auto"/>
        <w:ind w:left="7998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LiSu" w:eastAsia="LiSu" w:hAnsi="LiSu" w:cs="LiSu"/>
          <w:b/>
          <w:bCs/>
          <w:spacing w:val="-7"/>
          <w:sz w:val="38"/>
          <w:szCs w:val="38"/>
        </w:rPr>
        <w:t>附</w:t>
      </w:r>
      <w:r>
        <w:rPr>
          <w:rFonts w:ascii="LiSu" w:eastAsia="LiSu" w:hAnsi="LiSu" w:cs="LiSu"/>
          <w:spacing w:val="7"/>
          <w:sz w:val="38"/>
          <w:szCs w:val="38"/>
        </w:rPr>
        <w:t xml:space="preserve">  </w:t>
      </w:r>
      <w:r>
        <w:rPr>
          <w:rFonts w:ascii="LiSu" w:eastAsia="LiSu" w:hAnsi="LiSu" w:cs="LiSu"/>
          <w:b/>
          <w:bCs/>
          <w:spacing w:val="-7"/>
          <w:sz w:val="38"/>
          <w:szCs w:val="38"/>
        </w:rPr>
        <w:t>录</w:t>
      </w:r>
      <w:r>
        <w:rPr>
          <w:rFonts w:ascii="LiSu" w:eastAsia="LiSu" w:hAnsi="LiSu" w:cs="LiSu"/>
          <w:spacing w:val="6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7"/>
          <w:sz w:val="38"/>
          <w:szCs w:val="38"/>
        </w:rPr>
        <w:t>A</w:t>
      </w:r>
    </w:p>
    <w:p>
      <w:pPr>
        <w:spacing w:before="147" w:line="226" w:lineRule="auto"/>
        <w:ind w:left="774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(资料性附录)</w:t>
      </w:r>
    </w:p>
    <w:p>
      <w:pPr>
        <w:pStyle w:val="BodyText"/>
        <w:spacing w:before="139" w:line="224" w:lineRule="auto"/>
        <w:ind w:left="7978"/>
        <w:rPr>
          <w:sz w:val="38"/>
          <w:szCs w:val="38"/>
        </w:rPr>
      </w:pPr>
      <w:r>
        <w:rPr>
          <w:b/>
          <w:bCs/>
          <w:spacing w:val="27"/>
          <w:sz w:val="38"/>
          <w:szCs w:val="38"/>
        </w:rPr>
        <w:t>质谱条件)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131" w:line="225" w:lineRule="auto"/>
        <w:ind w:left="733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2"/>
          <w:sz w:val="40"/>
          <w:szCs w:val="40"/>
        </w:rPr>
        <w:t>表</w:t>
      </w:r>
      <w:r>
        <w:rPr>
          <w:rFonts w:ascii="SimHei" w:eastAsia="SimHei" w:hAnsi="SimHei" w:cs="SimHei"/>
          <w:spacing w:val="-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2"/>
          <w:sz w:val="40"/>
          <w:szCs w:val="40"/>
        </w:rPr>
        <w:t>A.1</w:t>
      </w:r>
      <w:r>
        <w:rPr>
          <w:rFonts w:ascii="Times New Roman" w:eastAsia="Times New Roman" w:hAnsi="Times New Roman" w:cs="Times New Roman"/>
          <w:b/>
          <w:bCs/>
          <w:spacing w:val="15"/>
          <w:sz w:val="40"/>
          <w:szCs w:val="40"/>
        </w:rPr>
        <w:t xml:space="preserve">    </w:t>
      </w:r>
      <w:r>
        <w:rPr>
          <w:rFonts w:ascii="SimHei" w:eastAsia="SimHei" w:hAnsi="SimHei" w:cs="SimHei"/>
          <w:b/>
          <w:bCs/>
          <w:spacing w:val="-12"/>
          <w:sz w:val="40"/>
          <w:szCs w:val="40"/>
        </w:rPr>
        <w:t>质谱条件</w:t>
      </w:r>
    </w:p>
    <w:p>
      <w:pPr>
        <w:spacing w:line="107" w:lineRule="exact"/>
      </w:pPr>
    </w:p>
    <w:tbl>
      <w:tblPr>
        <w:tblStyle w:val="TableNormal4"/>
        <w:tblW w:w="17429" w:type="dxa"/>
        <w:tblInd w:w="16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23"/>
        <w:gridCol w:w="8906"/>
      </w:tblGrid>
      <w:tr>
        <w:tblPrEx>
          <w:tblW w:w="17429" w:type="dxa"/>
          <w:tblInd w:w="16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54"/>
        </w:trPr>
        <w:tc>
          <w:tcPr>
            <w:tcW w:w="8523" w:type="dxa"/>
            <w:vAlign w:val="top"/>
          </w:tcPr>
          <w:p>
            <w:pPr>
              <w:pStyle w:val="TableText"/>
              <w:spacing w:before="176" w:line="222" w:lineRule="auto"/>
              <w:ind w:left="3451"/>
              <w:rPr>
                <w:sz w:val="32"/>
                <w:szCs w:val="32"/>
              </w:rPr>
            </w:pPr>
            <w:r>
              <w:rPr>
                <w:spacing w:val="-9"/>
                <w:sz w:val="32"/>
                <w:szCs w:val="32"/>
              </w:rPr>
              <w:t>离</w:t>
            </w:r>
            <w:r>
              <w:rPr>
                <w:spacing w:val="16"/>
                <w:sz w:val="32"/>
                <w:szCs w:val="32"/>
              </w:rPr>
              <w:t xml:space="preserve">  </w:t>
            </w:r>
            <w:r>
              <w:rPr>
                <w:spacing w:val="-9"/>
                <w:sz w:val="32"/>
                <w:szCs w:val="32"/>
              </w:rPr>
              <w:t>子</w:t>
            </w:r>
            <w:r>
              <w:rPr>
                <w:spacing w:val="14"/>
                <w:sz w:val="32"/>
                <w:szCs w:val="32"/>
              </w:rPr>
              <w:t xml:space="preserve">  </w:t>
            </w:r>
            <w:r>
              <w:rPr>
                <w:spacing w:val="-9"/>
                <w:sz w:val="32"/>
                <w:szCs w:val="32"/>
              </w:rPr>
              <w:t>源</w:t>
            </w:r>
          </w:p>
        </w:tc>
        <w:tc>
          <w:tcPr>
            <w:tcW w:w="8906" w:type="dxa"/>
            <w:vAlign w:val="top"/>
          </w:tcPr>
          <w:p>
            <w:pPr>
              <w:pStyle w:val="TableText"/>
              <w:spacing w:before="171" w:line="218" w:lineRule="auto"/>
              <w:ind w:left="1708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电喷雾离子化电离源(</w:t>
            </w:r>
            <w:r>
              <w:rPr>
                <w:sz w:val="32"/>
                <w:szCs w:val="32"/>
              </w:rPr>
              <w:t>ESI</w:t>
            </w:r>
            <w:r>
              <w:rPr>
                <w:spacing w:val="4"/>
                <w:sz w:val="32"/>
                <w:szCs w:val="32"/>
              </w:rPr>
              <w:t>),正离子监测</w:t>
            </w:r>
          </w:p>
        </w:tc>
      </w:tr>
      <w:tr>
        <w:tblPrEx>
          <w:tblW w:w="17429" w:type="dxa"/>
          <w:tblInd w:w="161" w:type="dxa"/>
          <w:tblLayout w:type="fixed"/>
        </w:tblPrEx>
        <w:trPr>
          <w:trHeight w:val="672"/>
        </w:trPr>
        <w:tc>
          <w:tcPr>
            <w:tcW w:w="8523" w:type="dxa"/>
            <w:vAlign w:val="top"/>
          </w:tcPr>
          <w:p>
            <w:pPr>
              <w:pStyle w:val="TableText"/>
              <w:spacing w:before="188" w:line="222" w:lineRule="auto"/>
              <w:ind w:left="3611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扫描方式</w:t>
            </w:r>
          </w:p>
        </w:tc>
        <w:tc>
          <w:tcPr>
            <w:tcW w:w="8906" w:type="dxa"/>
            <w:vAlign w:val="top"/>
          </w:tcPr>
          <w:p>
            <w:pPr>
              <w:pStyle w:val="TableText"/>
              <w:spacing w:before="185" w:line="222" w:lineRule="auto"/>
              <w:ind w:left="2917"/>
              <w:rPr>
                <w:sz w:val="32"/>
                <w:szCs w:val="32"/>
              </w:rPr>
            </w:pPr>
            <w:r>
              <w:rPr>
                <w:spacing w:val="10"/>
                <w:sz w:val="32"/>
                <w:szCs w:val="32"/>
              </w:rPr>
              <w:t>’选择离子监测(</w:t>
            </w:r>
            <w:r>
              <w:rPr>
                <w:sz w:val="32"/>
                <w:szCs w:val="32"/>
              </w:rPr>
              <w:t>SRM</w:t>
            </w:r>
            <w:r>
              <w:rPr>
                <w:spacing w:val="10"/>
                <w:sz w:val="32"/>
                <w:szCs w:val="32"/>
              </w:rPr>
              <w:t>)</w:t>
            </w:r>
          </w:p>
        </w:tc>
      </w:tr>
      <w:tr>
        <w:tblPrEx>
          <w:tblW w:w="17429" w:type="dxa"/>
          <w:tblInd w:w="161" w:type="dxa"/>
          <w:tblLayout w:type="fixed"/>
        </w:tblPrEx>
        <w:trPr>
          <w:trHeight w:val="693"/>
        </w:trPr>
        <w:tc>
          <w:tcPr>
            <w:tcW w:w="8523" w:type="dxa"/>
            <w:vAlign w:val="top"/>
          </w:tcPr>
          <w:p>
            <w:pPr>
              <w:pStyle w:val="TableText"/>
              <w:spacing w:before="197" w:line="222" w:lineRule="auto"/>
              <w:ind w:left="3369"/>
              <w:rPr>
                <w:sz w:val="32"/>
                <w:szCs w:val="32"/>
              </w:rPr>
            </w:pPr>
            <w:r>
              <w:rPr>
                <w:spacing w:val="17"/>
                <w:sz w:val="32"/>
                <w:szCs w:val="32"/>
              </w:rPr>
              <w:t>气帘气(</w:t>
            </w:r>
            <w:r>
              <w:rPr>
                <w:sz w:val="32"/>
                <w:szCs w:val="32"/>
              </w:rPr>
              <w:t>CUR</w:t>
            </w:r>
            <w:r>
              <w:rPr>
                <w:spacing w:val="17"/>
                <w:sz w:val="32"/>
                <w:szCs w:val="32"/>
              </w:rPr>
              <w:t>)</w:t>
            </w:r>
          </w:p>
        </w:tc>
        <w:tc>
          <w:tcPr>
            <w:tcW w:w="8906" w:type="dxa"/>
            <w:vAlign w:val="top"/>
          </w:tcPr>
          <w:p>
            <w:pPr>
              <w:pStyle w:val="TableText"/>
              <w:spacing w:before="187" w:line="216" w:lineRule="auto"/>
              <w:ind w:left="3079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68.95</w:t>
            </w:r>
            <w:r>
              <w:rPr>
                <w:spacing w:val="54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kPa(10</w:t>
            </w:r>
            <w:r>
              <w:rPr>
                <w:spacing w:val="53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psi)</w:t>
            </w:r>
          </w:p>
        </w:tc>
      </w:tr>
      <w:tr>
        <w:tblPrEx>
          <w:tblW w:w="17429" w:type="dxa"/>
          <w:tblInd w:w="161" w:type="dxa"/>
          <w:tblLayout w:type="fixed"/>
        </w:tblPrEx>
        <w:trPr>
          <w:trHeight w:val="669"/>
        </w:trPr>
        <w:tc>
          <w:tcPr>
            <w:tcW w:w="8523" w:type="dxa"/>
            <w:vAlign w:val="top"/>
          </w:tcPr>
          <w:p>
            <w:pPr>
              <w:pStyle w:val="TableText"/>
              <w:spacing w:before="188" w:line="222" w:lineRule="auto"/>
              <w:ind w:left="3369"/>
              <w:rPr>
                <w:sz w:val="32"/>
                <w:szCs w:val="32"/>
              </w:rPr>
            </w:pPr>
            <w:r>
              <w:rPr>
                <w:spacing w:val="14"/>
                <w:sz w:val="32"/>
                <w:szCs w:val="32"/>
              </w:rPr>
              <w:t>雾化气(</w:t>
            </w:r>
            <w:r>
              <w:rPr>
                <w:sz w:val="32"/>
                <w:szCs w:val="32"/>
              </w:rPr>
              <w:t>GS</w:t>
            </w:r>
            <w:r>
              <w:rPr>
                <w:spacing w:val="14"/>
                <w:sz w:val="32"/>
                <w:szCs w:val="32"/>
              </w:rPr>
              <w:t>1)</w:t>
            </w:r>
          </w:p>
        </w:tc>
        <w:tc>
          <w:tcPr>
            <w:tcW w:w="8906" w:type="dxa"/>
            <w:vAlign w:val="top"/>
          </w:tcPr>
          <w:p>
            <w:pPr>
              <w:pStyle w:val="TableText"/>
              <w:spacing w:before="176" w:line="216" w:lineRule="auto"/>
              <w:ind w:left="3079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275.8</w:t>
            </w:r>
            <w:r>
              <w:rPr>
                <w:spacing w:val="54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kPa(40</w:t>
            </w:r>
            <w:r>
              <w:rPr>
                <w:spacing w:val="53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psi)</w:t>
            </w:r>
          </w:p>
        </w:tc>
      </w:tr>
      <w:tr>
        <w:tblPrEx>
          <w:tblW w:w="17429" w:type="dxa"/>
          <w:tblInd w:w="161" w:type="dxa"/>
          <w:tblLayout w:type="fixed"/>
        </w:tblPrEx>
        <w:trPr>
          <w:trHeight w:val="669"/>
        </w:trPr>
        <w:tc>
          <w:tcPr>
            <w:tcW w:w="8523" w:type="dxa"/>
            <w:vAlign w:val="top"/>
          </w:tcPr>
          <w:p>
            <w:pPr>
              <w:pStyle w:val="TableText"/>
              <w:spacing w:before="187" w:line="222" w:lineRule="auto"/>
              <w:ind w:left="3046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辅助加热气(</w:t>
            </w:r>
            <w:r>
              <w:rPr>
                <w:sz w:val="32"/>
                <w:szCs w:val="32"/>
              </w:rPr>
              <w:t>GS</w:t>
            </w:r>
            <w:r>
              <w:rPr>
                <w:spacing w:val="11"/>
                <w:sz w:val="32"/>
                <w:szCs w:val="32"/>
              </w:rPr>
              <w:t>2)</w:t>
            </w:r>
          </w:p>
        </w:tc>
        <w:tc>
          <w:tcPr>
            <w:tcW w:w="8906" w:type="dxa"/>
            <w:vAlign w:val="top"/>
          </w:tcPr>
          <w:p>
            <w:pPr>
              <w:pStyle w:val="TableText"/>
              <w:spacing w:before="177" w:line="216" w:lineRule="auto"/>
              <w:ind w:left="2999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344.75</w:t>
            </w:r>
            <w:r>
              <w:rPr>
                <w:spacing w:val="56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kPa(50</w:t>
            </w:r>
            <w:r>
              <w:rPr>
                <w:spacing w:val="54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psi)</w:t>
            </w:r>
          </w:p>
        </w:tc>
      </w:tr>
      <w:tr>
        <w:tblPrEx>
          <w:tblW w:w="17429" w:type="dxa"/>
          <w:tblInd w:w="161" w:type="dxa"/>
          <w:tblLayout w:type="fixed"/>
        </w:tblPrEx>
        <w:trPr>
          <w:trHeight w:val="676"/>
        </w:trPr>
        <w:tc>
          <w:tcPr>
            <w:tcW w:w="8523" w:type="dxa"/>
            <w:vAlign w:val="top"/>
          </w:tcPr>
          <w:p>
            <w:pPr>
              <w:pStyle w:val="TableText"/>
              <w:spacing w:before="193" w:line="222" w:lineRule="auto"/>
              <w:ind w:left="3369"/>
              <w:rPr>
                <w:sz w:val="32"/>
                <w:szCs w:val="32"/>
              </w:rPr>
            </w:pPr>
            <w:r>
              <w:rPr>
                <w:spacing w:val="17"/>
                <w:sz w:val="32"/>
                <w:szCs w:val="32"/>
              </w:rPr>
              <w:t>碰撞气(</w:t>
            </w:r>
            <w:r>
              <w:rPr>
                <w:sz w:val="32"/>
                <w:szCs w:val="32"/>
              </w:rPr>
              <w:t>CAD</w:t>
            </w:r>
            <w:r>
              <w:rPr>
                <w:spacing w:val="17"/>
                <w:sz w:val="32"/>
                <w:szCs w:val="32"/>
              </w:rPr>
              <w:t>)</w:t>
            </w:r>
          </w:p>
        </w:tc>
        <w:tc>
          <w:tcPr>
            <w:tcW w:w="8906" w:type="dxa"/>
            <w:vAlign w:val="top"/>
          </w:tcPr>
          <w:p>
            <w:pPr>
              <w:pStyle w:val="TableText"/>
              <w:spacing w:before="180" w:line="216" w:lineRule="auto"/>
              <w:ind w:left="3159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48.27</w:t>
            </w:r>
            <w:r>
              <w:rPr>
                <w:spacing w:val="54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kPa(7</w:t>
            </w:r>
            <w:r>
              <w:rPr>
                <w:spacing w:val="51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psi)</w:t>
            </w:r>
          </w:p>
        </w:tc>
      </w:tr>
      <w:tr>
        <w:tblPrEx>
          <w:tblW w:w="17429" w:type="dxa"/>
          <w:tblInd w:w="161" w:type="dxa"/>
          <w:tblLayout w:type="fixed"/>
        </w:tblPrEx>
        <w:trPr>
          <w:trHeight w:val="672"/>
        </w:trPr>
        <w:tc>
          <w:tcPr>
            <w:tcW w:w="8523" w:type="dxa"/>
            <w:vAlign w:val="top"/>
          </w:tcPr>
          <w:p>
            <w:pPr>
              <w:pStyle w:val="TableText"/>
              <w:spacing w:before="189" w:line="222" w:lineRule="auto"/>
              <w:ind w:left="3129"/>
              <w:rPr>
                <w:sz w:val="32"/>
                <w:szCs w:val="32"/>
              </w:rPr>
            </w:pPr>
            <w:r>
              <w:rPr>
                <w:spacing w:val="12"/>
                <w:sz w:val="32"/>
                <w:szCs w:val="32"/>
              </w:rPr>
              <w:t>电喷雾电压(</w:t>
            </w:r>
            <w:r>
              <w:rPr>
                <w:sz w:val="32"/>
                <w:szCs w:val="32"/>
              </w:rPr>
              <w:t>IS</w:t>
            </w:r>
            <w:r>
              <w:rPr>
                <w:spacing w:val="12"/>
                <w:sz w:val="32"/>
                <w:szCs w:val="32"/>
              </w:rPr>
              <w:t>)</w:t>
            </w:r>
          </w:p>
        </w:tc>
        <w:tc>
          <w:tcPr>
            <w:tcW w:w="8906" w:type="dxa"/>
            <w:vAlign w:val="top"/>
          </w:tcPr>
          <w:p>
            <w:pPr>
              <w:pStyle w:val="TableText"/>
              <w:spacing w:before="272" w:line="184" w:lineRule="auto"/>
              <w:ind w:left="3967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5000</w:t>
            </w:r>
            <w:r>
              <w:rPr>
                <w:spacing w:val="34"/>
                <w:sz w:val="32"/>
                <w:szCs w:val="32"/>
              </w:rPr>
              <w:t xml:space="preserve"> </w:t>
            </w:r>
            <w:r>
              <w:rPr>
                <w:spacing w:val="-3"/>
                <w:sz w:val="32"/>
                <w:szCs w:val="32"/>
              </w:rPr>
              <w:t>V</w:t>
            </w:r>
          </w:p>
        </w:tc>
      </w:tr>
      <w:tr>
        <w:tblPrEx>
          <w:tblW w:w="17429" w:type="dxa"/>
          <w:tblInd w:w="161" w:type="dxa"/>
          <w:tblLayout w:type="fixed"/>
        </w:tblPrEx>
        <w:trPr>
          <w:trHeight w:val="664"/>
        </w:trPr>
        <w:tc>
          <w:tcPr>
            <w:tcW w:w="8523" w:type="dxa"/>
            <w:vAlign w:val="top"/>
          </w:tcPr>
          <w:p>
            <w:pPr>
              <w:pStyle w:val="TableText"/>
              <w:spacing w:before="184" w:line="222" w:lineRule="auto"/>
              <w:ind w:left="3046"/>
              <w:rPr>
                <w:sz w:val="32"/>
                <w:szCs w:val="32"/>
              </w:rPr>
            </w:pPr>
            <w:r>
              <w:rPr>
                <w:spacing w:val="13"/>
                <w:sz w:val="32"/>
                <w:szCs w:val="32"/>
              </w:rPr>
              <w:t>离子源温度(</w:t>
            </w:r>
            <w:r>
              <w:rPr>
                <w:sz w:val="32"/>
                <w:szCs w:val="32"/>
              </w:rPr>
              <w:t>TEM</w:t>
            </w:r>
            <w:r>
              <w:rPr>
                <w:spacing w:val="13"/>
                <w:sz w:val="32"/>
                <w:szCs w:val="32"/>
              </w:rPr>
              <w:t>)</w:t>
            </w:r>
          </w:p>
        </w:tc>
        <w:tc>
          <w:tcPr>
            <w:tcW w:w="8906" w:type="dxa"/>
            <w:vAlign w:val="top"/>
          </w:tcPr>
          <w:p>
            <w:pPr>
              <w:pStyle w:val="TableText"/>
              <w:spacing w:before="215" w:line="239" w:lineRule="auto"/>
              <w:ind w:left="3967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450</w:t>
            </w:r>
            <w:r>
              <w:rPr>
                <w:spacing w:val="93"/>
                <w:sz w:val="32"/>
                <w:szCs w:val="32"/>
              </w:rPr>
              <w:t xml:space="preserve"> </w:t>
            </w:r>
            <w:r>
              <w:rPr>
                <w:spacing w:val="-2"/>
                <w:sz w:val="32"/>
                <w:szCs w:val="32"/>
              </w:rPr>
              <w:t>℃</w:t>
            </w:r>
          </w:p>
        </w:tc>
      </w:tr>
    </w:tbl>
    <w:p>
      <w:pPr>
        <w:pStyle w:val="BodyText"/>
        <w:spacing w:before="226" w:line="223" w:lineRule="auto"/>
        <w:ind w:left="6499"/>
        <w:rPr>
          <w:sz w:val="37"/>
          <w:szCs w:val="37"/>
        </w:rPr>
      </w:pPr>
      <w:r>
        <w:rPr>
          <w:b/>
          <w:bCs/>
          <w:spacing w:val="3"/>
          <w:sz w:val="37"/>
          <w:szCs w:val="37"/>
        </w:rPr>
        <w:t>表A.2</w:t>
      </w:r>
      <w:r>
        <w:rPr>
          <w:spacing w:val="3"/>
          <w:sz w:val="37"/>
          <w:szCs w:val="37"/>
        </w:rPr>
        <w:t xml:space="preserve">  </w:t>
      </w:r>
      <w:r>
        <w:rPr>
          <w:b/>
          <w:bCs/>
          <w:spacing w:val="3"/>
          <w:sz w:val="37"/>
          <w:szCs w:val="37"/>
        </w:rPr>
        <w:t>选择离子监测条件</w:t>
      </w:r>
    </w:p>
    <w:p>
      <w:pPr>
        <w:spacing w:line="144" w:lineRule="exact"/>
      </w:pPr>
    </w:p>
    <w:tbl>
      <w:tblPr>
        <w:tblStyle w:val="TableNormal4"/>
        <w:tblW w:w="17445" w:type="dxa"/>
        <w:tblInd w:w="1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99"/>
        <w:gridCol w:w="2056"/>
        <w:gridCol w:w="2041"/>
        <w:gridCol w:w="2047"/>
        <w:gridCol w:w="2054"/>
        <w:gridCol w:w="3246"/>
        <w:gridCol w:w="4302"/>
      </w:tblGrid>
      <w:tr>
        <w:tblPrEx>
          <w:tblW w:w="17445" w:type="dxa"/>
          <w:tblInd w:w="13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180"/>
        </w:trPr>
        <w:tc>
          <w:tcPr>
            <w:tcW w:w="169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3" w:lineRule="auto"/>
              <w:ind w:left="339"/>
              <w:rPr>
                <w:sz w:val="33"/>
                <w:szCs w:val="33"/>
              </w:rPr>
            </w:pPr>
            <w:r>
              <w:rPr>
                <w:spacing w:val="12"/>
                <w:sz w:val="33"/>
                <w:szCs w:val="33"/>
              </w:rPr>
              <w:t>待测物</w:t>
            </w:r>
          </w:p>
        </w:tc>
        <w:tc>
          <w:tcPr>
            <w:tcW w:w="2056" w:type="dxa"/>
            <w:vAlign w:val="top"/>
          </w:tcPr>
          <w:p>
            <w:pPr>
              <w:pStyle w:val="TableText"/>
              <w:spacing w:before="215" w:line="508" w:lineRule="exact"/>
              <w:ind w:left="855"/>
              <w:rPr>
                <w:sz w:val="33"/>
                <w:szCs w:val="33"/>
              </w:rPr>
            </w:pPr>
            <w:r>
              <w:rPr>
                <w:spacing w:val="-2"/>
                <w:position w:val="17"/>
                <w:sz w:val="33"/>
                <w:szCs w:val="33"/>
              </w:rPr>
              <w:t>Q1</w:t>
            </w:r>
          </w:p>
          <w:p>
            <w:pPr>
              <w:pStyle w:val="TableText"/>
              <w:spacing w:before="1" w:line="227" w:lineRule="auto"/>
              <w:ind w:left="770"/>
              <w:rPr>
                <w:sz w:val="33"/>
                <w:szCs w:val="33"/>
              </w:rPr>
            </w:pPr>
            <w:r>
              <w:rPr>
                <w:spacing w:val="1"/>
                <w:sz w:val="33"/>
                <w:szCs w:val="33"/>
              </w:rPr>
              <w:t>m/z</w:t>
            </w:r>
          </w:p>
        </w:tc>
        <w:tc>
          <w:tcPr>
            <w:tcW w:w="2041" w:type="dxa"/>
            <w:vAlign w:val="top"/>
          </w:tcPr>
          <w:p>
            <w:pPr>
              <w:pStyle w:val="TableText"/>
              <w:spacing w:before="236" w:line="487" w:lineRule="exact"/>
              <w:ind w:left="847"/>
              <w:rPr>
                <w:sz w:val="33"/>
                <w:szCs w:val="33"/>
              </w:rPr>
            </w:pPr>
            <w:r>
              <w:rPr>
                <w:spacing w:val="-2"/>
                <w:position w:val="16"/>
                <w:sz w:val="33"/>
                <w:szCs w:val="33"/>
              </w:rPr>
              <w:t>Q3</w:t>
            </w:r>
          </w:p>
          <w:p>
            <w:pPr>
              <w:pStyle w:val="TableText"/>
              <w:spacing w:before="1" w:line="227" w:lineRule="auto"/>
              <w:ind w:left="763"/>
              <w:rPr>
                <w:sz w:val="33"/>
                <w:szCs w:val="33"/>
              </w:rPr>
            </w:pPr>
            <w:r>
              <w:rPr>
                <w:spacing w:val="1"/>
                <w:sz w:val="33"/>
                <w:szCs w:val="33"/>
              </w:rPr>
              <w:t>m/z</w:t>
            </w:r>
          </w:p>
        </w:tc>
        <w:tc>
          <w:tcPr>
            <w:tcW w:w="2047" w:type="dxa"/>
            <w:vAlign w:val="top"/>
          </w:tcPr>
          <w:p>
            <w:pPr>
              <w:pStyle w:val="TableText"/>
              <w:spacing w:before="149" w:line="540" w:lineRule="exact"/>
              <w:ind w:left="346"/>
              <w:rPr>
                <w:sz w:val="33"/>
                <w:szCs w:val="33"/>
              </w:rPr>
            </w:pPr>
            <w:r>
              <w:rPr>
                <w:spacing w:val="10"/>
                <w:position w:val="14"/>
                <w:sz w:val="33"/>
                <w:szCs w:val="33"/>
              </w:rPr>
              <w:t>去簇电压</w:t>
            </w:r>
          </w:p>
          <w:p>
            <w:pPr>
              <w:pStyle w:val="TableText"/>
              <w:spacing w:before="1" w:line="227" w:lineRule="auto"/>
              <w:ind w:left="683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DP</w:t>
            </w:r>
            <w:r>
              <w:rPr>
                <w:spacing w:val="3"/>
                <w:sz w:val="33"/>
                <w:szCs w:val="33"/>
              </w:rPr>
              <w:t>/V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spacing w:before="155" w:line="573" w:lineRule="exact"/>
              <w:ind w:left="352"/>
              <w:rPr>
                <w:sz w:val="33"/>
                <w:szCs w:val="33"/>
              </w:rPr>
            </w:pPr>
            <w:r>
              <w:rPr>
                <w:spacing w:val="10"/>
                <w:position w:val="17"/>
                <w:sz w:val="33"/>
                <w:szCs w:val="33"/>
              </w:rPr>
              <w:t>碰撞电压</w:t>
            </w:r>
          </w:p>
          <w:p>
            <w:pPr>
              <w:pStyle w:val="TableText"/>
              <w:spacing w:before="1" w:line="227" w:lineRule="auto"/>
              <w:ind w:left="688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CE</w:t>
            </w:r>
            <w:r>
              <w:rPr>
                <w:spacing w:val="1"/>
                <w:sz w:val="33"/>
                <w:szCs w:val="33"/>
              </w:rPr>
              <w:t>/V</w:t>
            </w:r>
          </w:p>
        </w:tc>
        <w:tc>
          <w:tcPr>
            <w:tcW w:w="3246" w:type="dxa"/>
            <w:vAlign w:val="top"/>
          </w:tcPr>
          <w:p>
            <w:pPr>
              <w:pStyle w:val="TableText"/>
              <w:spacing w:before="141" w:line="571" w:lineRule="exact"/>
              <w:ind w:left="444"/>
              <w:rPr>
                <w:sz w:val="33"/>
                <w:szCs w:val="33"/>
              </w:rPr>
            </w:pPr>
            <w:r>
              <w:rPr>
                <w:spacing w:val="8"/>
                <w:position w:val="17"/>
                <w:sz w:val="33"/>
                <w:szCs w:val="33"/>
              </w:rPr>
              <w:t>碰撞室入室电压</w:t>
            </w:r>
          </w:p>
          <w:p>
            <w:pPr>
              <w:pStyle w:val="TableText"/>
              <w:spacing w:before="1" w:line="227" w:lineRule="auto"/>
              <w:ind w:left="1284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EP</w:t>
            </w:r>
            <w:r>
              <w:rPr>
                <w:spacing w:val="1"/>
                <w:sz w:val="33"/>
                <w:szCs w:val="33"/>
              </w:rPr>
              <w:t>/V</w:t>
            </w:r>
          </w:p>
        </w:tc>
        <w:tc>
          <w:tcPr>
            <w:tcW w:w="4302" w:type="dxa"/>
            <w:vAlign w:val="top"/>
          </w:tcPr>
          <w:p>
            <w:pPr>
              <w:pStyle w:val="TableText"/>
              <w:spacing w:before="169" w:line="568" w:lineRule="exact"/>
              <w:ind w:left="972"/>
              <w:rPr>
                <w:sz w:val="33"/>
                <w:szCs w:val="33"/>
              </w:rPr>
            </w:pPr>
            <w:r>
              <w:rPr>
                <w:spacing w:val="8"/>
                <w:position w:val="17"/>
                <w:sz w:val="33"/>
                <w:szCs w:val="33"/>
              </w:rPr>
              <w:t>碰撞室出室电压</w:t>
            </w:r>
          </w:p>
          <w:p>
            <w:pPr>
              <w:pStyle w:val="TableText"/>
              <w:spacing w:before="1" w:line="227" w:lineRule="auto"/>
              <w:ind w:left="1729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CXP</w:t>
            </w:r>
            <w:r>
              <w:rPr>
                <w:spacing w:val="2"/>
                <w:sz w:val="33"/>
                <w:szCs w:val="33"/>
              </w:rPr>
              <w:t>/V</w:t>
            </w:r>
          </w:p>
        </w:tc>
      </w:tr>
      <w:tr>
        <w:tblPrEx>
          <w:tblW w:w="17445" w:type="dxa"/>
          <w:tblInd w:w="138" w:type="dxa"/>
          <w:tblLayout w:type="fixed"/>
        </w:tblPrEx>
        <w:trPr>
          <w:trHeight w:val="669"/>
        </w:trPr>
        <w:tc>
          <w:tcPr>
            <w:tcW w:w="1699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2" w:lineRule="auto"/>
              <w:ind w:left="172"/>
              <w:rPr>
                <w:sz w:val="33"/>
                <w:szCs w:val="33"/>
              </w:rPr>
            </w:pPr>
            <w:r>
              <w:rPr>
                <w:spacing w:val="9"/>
                <w:sz w:val="33"/>
                <w:szCs w:val="33"/>
              </w:rPr>
              <w:t>乙氧喹啉</w:t>
            </w:r>
          </w:p>
        </w:tc>
        <w:tc>
          <w:tcPr>
            <w:tcW w:w="2056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6" w:lineRule="auto"/>
              <w:ind w:left="601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218.1</w:t>
            </w:r>
          </w:p>
        </w:tc>
        <w:tc>
          <w:tcPr>
            <w:tcW w:w="2041" w:type="dxa"/>
            <w:vAlign w:val="top"/>
          </w:tcPr>
          <w:p>
            <w:pPr>
              <w:pStyle w:val="TableText"/>
              <w:spacing w:before="265" w:line="186" w:lineRule="auto"/>
              <w:ind w:left="511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148.1*</w:t>
            </w:r>
          </w:p>
        </w:tc>
        <w:tc>
          <w:tcPr>
            <w:tcW w:w="2047" w:type="dxa"/>
            <w:vAlign w:val="top"/>
          </w:tcPr>
          <w:p>
            <w:pPr>
              <w:pStyle w:val="TableText"/>
              <w:spacing w:before="265" w:line="186" w:lineRule="auto"/>
              <w:ind w:left="852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74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spacing w:before="265" w:line="186" w:lineRule="auto"/>
              <w:ind w:left="855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31</w:t>
            </w:r>
          </w:p>
        </w:tc>
        <w:tc>
          <w:tcPr>
            <w:tcW w:w="3246" w:type="dxa"/>
            <w:vAlign w:val="top"/>
          </w:tcPr>
          <w:p>
            <w:pPr>
              <w:pStyle w:val="TableText"/>
              <w:spacing w:before="265" w:line="186" w:lineRule="auto"/>
              <w:ind w:left="1453"/>
              <w:rPr>
                <w:sz w:val="33"/>
                <w:szCs w:val="33"/>
              </w:rPr>
            </w:pPr>
            <w:r>
              <w:rPr>
                <w:spacing w:val="-8"/>
                <w:sz w:val="33"/>
                <w:szCs w:val="33"/>
              </w:rPr>
              <w:t>10</w:t>
            </w:r>
          </w:p>
        </w:tc>
        <w:tc>
          <w:tcPr>
            <w:tcW w:w="4302" w:type="dxa"/>
            <w:vAlign w:val="top"/>
          </w:tcPr>
          <w:p>
            <w:pPr>
              <w:pStyle w:val="TableText"/>
              <w:spacing w:before="265" w:line="186" w:lineRule="auto"/>
              <w:ind w:left="1981"/>
              <w:rPr>
                <w:sz w:val="33"/>
                <w:szCs w:val="33"/>
              </w:rPr>
            </w:pPr>
            <w:r>
              <w:rPr>
                <w:spacing w:val="-8"/>
                <w:sz w:val="33"/>
                <w:szCs w:val="33"/>
              </w:rPr>
              <w:t>12</w:t>
            </w:r>
          </w:p>
        </w:tc>
      </w:tr>
      <w:tr>
        <w:tblPrEx>
          <w:tblW w:w="17445" w:type="dxa"/>
          <w:tblInd w:w="138" w:type="dxa"/>
          <w:tblLayout w:type="fixed"/>
        </w:tblPrEx>
        <w:trPr>
          <w:trHeight w:val="681"/>
        </w:trPr>
        <w:tc>
          <w:tcPr>
            <w:tcW w:w="169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1" w:type="dxa"/>
            <w:vAlign w:val="top"/>
          </w:tcPr>
          <w:p>
            <w:pPr>
              <w:pStyle w:val="TableText"/>
              <w:spacing w:before="271" w:line="186" w:lineRule="auto"/>
              <w:ind w:left="595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190.4</w:t>
            </w:r>
          </w:p>
        </w:tc>
        <w:tc>
          <w:tcPr>
            <w:tcW w:w="2047" w:type="dxa"/>
            <w:vAlign w:val="top"/>
          </w:tcPr>
          <w:p>
            <w:pPr>
              <w:pStyle w:val="TableText"/>
              <w:spacing w:before="271" w:line="186" w:lineRule="auto"/>
              <w:ind w:left="852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74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spacing w:before="271" w:line="186" w:lineRule="auto"/>
              <w:ind w:left="855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30</w:t>
            </w:r>
          </w:p>
        </w:tc>
        <w:tc>
          <w:tcPr>
            <w:tcW w:w="3246" w:type="dxa"/>
            <w:vAlign w:val="top"/>
          </w:tcPr>
          <w:p>
            <w:pPr>
              <w:pStyle w:val="TableText"/>
              <w:spacing w:before="271" w:line="186" w:lineRule="auto"/>
              <w:ind w:left="1453"/>
              <w:rPr>
                <w:sz w:val="33"/>
                <w:szCs w:val="33"/>
              </w:rPr>
            </w:pPr>
            <w:r>
              <w:rPr>
                <w:spacing w:val="-8"/>
                <w:sz w:val="33"/>
                <w:szCs w:val="33"/>
              </w:rPr>
              <w:t>10</w:t>
            </w:r>
          </w:p>
        </w:tc>
        <w:tc>
          <w:tcPr>
            <w:tcW w:w="4302" w:type="dxa"/>
            <w:vAlign w:val="top"/>
          </w:tcPr>
          <w:p>
            <w:pPr>
              <w:pStyle w:val="TableText"/>
              <w:spacing w:before="271" w:line="186" w:lineRule="auto"/>
              <w:ind w:left="2066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6</w:t>
            </w:r>
          </w:p>
        </w:tc>
      </w:tr>
      <w:tr>
        <w:tblPrEx>
          <w:tblW w:w="17445" w:type="dxa"/>
          <w:tblInd w:w="138" w:type="dxa"/>
          <w:tblLayout w:type="fixed"/>
        </w:tblPrEx>
        <w:trPr>
          <w:trHeight w:val="662"/>
        </w:trPr>
        <w:tc>
          <w:tcPr>
            <w:tcW w:w="169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1" w:type="dxa"/>
            <w:vAlign w:val="top"/>
          </w:tcPr>
          <w:p>
            <w:pPr>
              <w:pStyle w:val="TableText"/>
              <w:spacing w:before="262" w:line="186" w:lineRule="auto"/>
              <w:ind w:left="595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202.1</w:t>
            </w:r>
          </w:p>
        </w:tc>
        <w:tc>
          <w:tcPr>
            <w:tcW w:w="2047" w:type="dxa"/>
            <w:vAlign w:val="top"/>
          </w:tcPr>
          <w:p>
            <w:pPr>
              <w:pStyle w:val="TableText"/>
              <w:spacing w:before="262" w:line="186" w:lineRule="auto"/>
              <w:ind w:left="852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74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spacing w:before="262" w:line="186" w:lineRule="auto"/>
              <w:ind w:left="855"/>
              <w:rPr>
                <w:sz w:val="33"/>
                <w:szCs w:val="33"/>
              </w:rPr>
            </w:pPr>
            <w:r>
              <w:rPr>
                <w:spacing w:val="-3"/>
                <w:sz w:val="33"/>
                <w:szCs w:val="33"/>
              </w:rPr>
              <w:t>28</w:t>
            </w:r>
          </w:p>
        </w:tc>
        <w:tc>
          <w:tcPr>
            <w:tcW w:w="3246" w:type="dxa"/>
            <w:vAlign w:val="top"/>
          </w:tcPr>
          <w:p>
            <w:pPr>
              <w:pStyle w:val="TableText"/>
              <w:spacing w:before="262" w:line="186" w:lineRule="auto"/>
              <w:ind w:left="1453"/>
              <w:rPr>
                <w:sz w:val="33"/>
                <w:szCs w:val="33"/>
              </w:rPr>
            </w:pPr>
            <w:r>
              <w:rPr>
                <w:spacing w:val="-8"/>
                <w:sz w:val="33"/>
                <w:szCs w:val="33"/>
              </w:rPr>
              <w:t>10</w:t>
            </w:r>
          </w:p>
        </w:tc>
        <w:tc>
          <w:tcPr>
            <w:tcW w:w="4302" w:type="dxa"/>
            <w:vAlign w:val="top"/>
          </w:tcPr>
          <w:p>
            <w:pPr>
              <w:pStyle w:val="TableText"/>
              <w:spacing w:before="262" w:line="186" w:lineRule="auto"/>
              <w:ind w:left="2066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9</w:t>
            </w:r>
          </w:p>
        </w:tc>
      </w:tr>
      <w:tr>
        <w:tblPrEx>
          <w:tblW w:w="17445" w:type="dxa"/>
          <w:tblInd w:w="138" w:type="dxa"/>
          <w:tblLayout w:type="fixed"/>
        </w:tblPrEx>
        <w:trPr>
          <w:trHeight w:val="663"/>
        </w:trPr>
        <w:tc>
          <w:tcPr>
            <w:tcW w:w="17445" w:type="dxa"/>
            <w:gridSpan w:val="7"/>
            <w:vAlign w:val="top"/>
          </w:tcPr>
          <w:p>
            <w:pPr>
              <w:pStyle w:val="TableText"/>
              <w:spacing w:before="178" w:line="224" w:lineRule="auto"/>
              <w:ind w:left="863"/>
              <w:rPr>
                <w:sz w:val="33"/>
                <w:szCs w:val="33"/>
              </w:rPr>
            </w:pPr>
            <w:r>
              <w:rPr>
                <w:spacing w:val="5"/>
                <w:sz w:val="33"/>
                <w:szCs w:val="33"/>
              </w:rPr>
              <w:t>a定量离子对。</w:t>
            </w:r>
          </w:p>
        </w:tc>
      </w:tr>
    </w:tbl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  <w:sectPr>
          <w:footerReference w:type="default" r:id="rId17"/>
          <w:pgSz w:w="22124" w:h="31680"/>
          <w:pgMar w:top="2643" w:right="1692" w:bottom="2428" w:left="2807" w:header="0" w:footer="2152" w:gutter="0"/>
          <w:pgNumType w:start="9"/>
          <w:cols w:space="708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3" w:lineRule="exact"/>
      </w:pPr>
      <w:r>
        <w:drawing>
          <wp:inline distT="0" distB="0" distL="0" distR="0">
            <wp:extent cx="2564718" cy="1468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64718" cy="1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11" w:line="246" w:lineRule="auto"/>
        <w:ind w:left="1468" w:right="89" w:hanging="734"/>
        <w:rPr>
          <w:sz w:val="34"/>
          <w:szCs w:val="34"/>
        </w:rPr>
      </w:pPr>
      <w:r>
        <w:rPr>
          <w:sz w:val="34"/>
          <w:szCs w:val="34"/>
        </w:rPr>
        <w:t>1)  附录</w:t>
      </w:r>
      <w:r>
        <w:rPr>
          <w:spacing w:val="-101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sz w:val="34"/>
          <w:szCs w:val="34"/>
        </w:rPr>
        <w:t xml:space="preserve">A </w:t>
      </w:r>
      <w:r>
        <w:rPr>
          <w:sz w:val="34"/>
          <w:szCs w:val="34"/>
        </w:rPr>
        <w:t>所列参数是在API400</w:t>
      </w:r>
      <w:r>
        <w:rPr>
          <w:spacing w:val="-1"/>
          <w:sz w:val="34"/>
          <w:szCs w:val="34"/>
        </w:rPr>
        <w:t>0</w:t>
      </w:r>
      <w:r>
        <w:rPr>
          <w:spacing w:val="11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质谱仪上完成的，此处列出试验用仪器型号仅是为了提供参考，并不涉及商业</w:t>
      </w:r>
      <w:r>
        <w:rPr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目的。鼓励标准使用者尝试采用不同厂家或型号的仪器。</w:t>
      </w:r>
    </w:p>
    <w:p>
      <w:pPr>
        <w:spacing w:line="246" w:lineRule="auto"/>
        <w:rPr>
          <w:sz w:val="34"/>
          <w:szCs w:val="34"/>
        </w:rPr>
        <w:sectPr>
          <w:footerReference w:type="default" r:id="rId19"/>
          <w:type w:val="nextPage"/>
          <w:pgSz w:w="22124" w:h="31680"/>
          <w:pgMar w:top="2643" w:right="1692" w:bottom="2428" w:left="2807" w:header="0" w:footer="2152" w:gutter="0"/>
          <w:pgNumType w:start="10"/>
          <w:cols w:space="708"/>
          <w:titlePg w:val="0"/>
        </w:sectPr>
      </w:pPr>
    </w:p>
    <w:p>
      <w:pPr>
        <w:pStyle w:val="BodyText"/>
        <w:spacing w:before="81" w:line="229" w:lineRule="auto"/>
      </w:pPr>
      <w:r>
        <w:rPr>
          <w:b/>
          <w:bCs/>
          <w:spacing w:val="-2"/>
        </w:rPr>
        <w:t>SN/T</w:t>
      </w:r>
      <w:r>
        <w:rPr>
          <w:spacing w:val="69"/>
        </w:rPr>
        <w:t xml:space="preserve"> </w:t>
      </w:r>
      <w:r>
        <w:rPr>
          <w:b/>
          <w:bCs/>
          <w:spacing w:val="-2"/>
        </w:rPr>
        <w:t>2539—2010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24" w:line="226" w:lineRule="auto"/>
        <w:ind w:left="7838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Hei" w:eastAsia="SimHei" w:hAnsi="SimHei" w:cs="SimHei"/>
          <w:spacing w:val="-13"/>
          <w:sz w:val="38"/>
          <w:szCs w:val="38"/>
        </w:rPr>
        <w:t>附</w:t>
      </w:r>
      <w:r>
        <w:rPr>
          <w:rFonts w:ascii="SimHei" w:eastAsia="SimHei" w:hAnsi="SimHei" w:cs="SimHei"/>
          <w:spacing w:val="22"/>
          <w:sz w:val="38"/>
          <w:szCs w:val="38"/>
        </w:rPr>
        <w:t xml:space="preserve">  </w:t>
      </w:r>
      <w:r>
        <w:rPr>
          <w:rFonts w:ascii="SimHei" w:eastAsia="SimHei" w:hAnsi="SimHei" w:cs="SimHei"/>
          <w:spacing w:val="-13"/>
          <w:sz w:val="38"/>
          <w:szCs w:val="38"/>
        </w:rPr>
        <w:t>录</w:t>
      </w:r>
      <w:r>
        <w:rPr>
          <w:rFonts w:ascii="SimHei" w:eastAsia="SimHei" w:hAnsi="SimHei" w:cs="SimHei"/>
          <w:spacing w:val="13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spacing w:val="-13"/>
          <w:sz w:val="38"/>
          <w:szCs w:val="38"/>
        </w:rPr>
        <w:t>B</w:t>
      </w:r>
    </w:p>
    <w:p>
      <w:pPr>
        <w:spacing w:before="142" w:line="226" w:lineRule="auto"/>
        <w:ind w:left="760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spacing w:val="1"/>
          <w:sz w:val="40"/>
          <w:szCs w:val="40"/>
        </w:rPr>
        <w:t>(资料性附录)</w:t>
      </w:r>
    </w:p>
    <w:p>
      <w:pPr>
        <w:spacing w:before="109" w:line="225" w:lineRule="auto"/>
        <w:ind w:left="6433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11"/>
          <w:sz w:val="38"/>
          <w:szCs w:val="38"/>
        </w:rPr>
        <w:t>乙氧喹啉标准品液相色谱图</w:t>
      </w:r>
    </w:p>
    <w:p>
      <w:pPr>
        <w:spacing w:line="389" w:lineRule="auto"/>
        <w:rPr>
          <w:rFonts w:ascii="Arial"/>
          <w:sz w:val="21"/>
        </w:rPr>
      </w:pPr>
    </w:p>
    <w:p>
      <w:pPr>
        <w:spacing w:line="15469" w:lineRule="exact"/>
        <w:ind w:firstLine="914"/>
      </w:pPr>
      <w:r>
        <w:rPr>
          <w:position w:val="-309"/>
        </w:rPr>
        <w:drawing>
          <wp:inline distT="0" distB="0" distL="0" distR="0">
            <wp:extent cx="10020605" cy="9823032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020605" cy="9823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5469" w:lineRule="exact"/>
        <w:sectPr>
          <w:footerReference w:type="default" r:id="rId21"/>
          <w:pgSz w:w="22124" w:h="31680"/>
          <w:pgMar w:top="2640" w:right="3318" w:bottom="2377" w:left="1559" w:header="0" w:footer="2143" w:gutter="0"/>
          <w:pgNumType w:start="11"/>
          <w:cols w:space="708"/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47" w:line="226" w:lineRule="auto"/>
        <w:ind w:left="16964"/>
        <w:rPr>
          <w:sz w:val="45"/>
          <w:szCs w:val="45"/>
        </w:rPr>
      </w:pPr>
      <w:r>
        <w:rPr>
          <w:b/>
          <w:bCs/>
          <w:spacing w:val="-23"/>
          <w:sz w:val="45"/>
          <w:szCs w:val="45"/>
        </w:rPr>
        <w:t>SN/T</w:t>
      </w:r>
      <w:r>
        <w:rPr>
          <w:spacing w:val="-23"/>
          <w:sz w:val="45"/>
          <w:szCs w:val="45"/>
        </w:rPr>
        <w:t xml:space="preserve"> </w:t>
      </w:r>
      <w:r>
        <w:rPr>
          <w:b/>
          <w:bCs/>
          <w:spacing w:val="-23"/>
          <w:sz w:val="45"/>
          <w:szCs w:val="45"/>
        </w:rPr>
        <w:t>2539—2010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10" w:line="222" w:lineRule="auto"/>
        <w:ind w:left="10396"/>
        <w:rPr>
          <w:rFonts w:ascii="Times New Roman" w:eastAsia="Times New Roman" w:hAnsi="Times New Roman" w:cs="Times New Roman"/>
          <w:sz w:val="34"/>
          <w:szCs w:val="34"/>
        </w:rPr>
      </w:pPr>
      <w:r>
        <w:rPr>
          <w:b/>
          <w:bCs/>
          <w:spacing w:val="-12"/>
          <w:sz w:val="34"/>
          <w:szCs w:val="34"/>
        </w:rPr>
        <w:t>附</w:t>
      </w:r>
      <w:r>
        <w:rPr>
          <w:spacing w:val="-12"/>
          <w:sz w:val="34"/>
          <w:szCs w:val="34"/>
        </w:rPr>
        <w:t xml:space="preserve">   </w:t>
      </w:r>
      <w:r>
        <w:rPr>
          <w:b/>
          <w:bCs/>
          <w:spacing w:val="-12"/>
          <w:sz w:val="34"/>
          <w:szCs w:val="34"/>
        </w:rPr>
        <w:t>录</w:t>
      </w:r>
      <w:r>
        <w:rPr>
          <w:spacing w:val="42"/>
          <w:sz w:val="34"/>
          <w:szCs w:val="34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12"/>
          <w:sz w:val="34"/>
          <w:szCs w:val="34"/>
        </w:rPr>
        <w:t>C</w:t>
      </w:r>
    </w:p>
    <w:p>
      <w:pPr>
        <w:spacing w:before="156" w:line="226" w:lineRule="auto"/>
        <w:ind w:left="10159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8"/>
          <w:sz w:val="40"/>
          <w:szCs w:val="40"/>
        </w:rPr>
        <w:t>(资料性附录)</w:t>
      </w:r>
    </w:p>
    <w:p>
      <w:pPr>
        <w:spacing w:before="101" w:line="217" w:lineRule="auto"/>
        <w:ind w:left="7587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乙氧喹啉标准品选择离子监测</w:t>
      </w:r>
      <w:r>
        <w:rPr>
          <w:rFonts w:ascii="Times New Roman" w:eastAsia="Times New Roman" w:hAnsi="Times New Roman" w:cs="Times New Roman"/>
          <w:b/>
          <w:bCs/>
          <w:spacing w:val="-6"/>
          <w:sz w:val="40"/>
          <w:szCs w:val="40"/>
        </w:rPr>
        <w:t>(SRM)</w:t>
      </w: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色谱图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14977" w:lineRule="exact"/>
        <w:ind w:firstLine="3476"/>
      </w:pPr>
      <w:r>
        <w:rPr>
          <w:position w:val="-299"/>
        </w:rPr>
        <w:drawing>
          <wp:inline distT="0" distB="0" distL="0" distR="0">
            <wp:extent cx="9876749" cy="9510621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876749" cy="9510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97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https://d.book118.com/048101027065006045</w:t>
        </w:r>
      </w:hyperlink>
    </w:p>
    <w:p>
      <w:pPr>
        <w:spacing w:line="14977" w:lineRule="exact"/>
      </w:pPr>
    </w:p>
    <w:sectPr>
      <w:footerReference w:type="default" r:id="rId24"/>
      <w:pgSz w:w="22124" w:h="31680"/>
      <w:pgMar w:top="0" w:right="0" w:bottom="2520" w:left="0" w:header="0" w:footer="2268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16491"/>
      <w:rPr>
        <w:rFonts w:ascii="Times New Roman" w:eastAsia="Times New Roman" w:hAnsi="Times New Roman" w:cs="Times New Roman"/>
        <w:sz w:val="38"/>
        <w:szCs w:val="38"/>
      </w:rPr>
    </w:pPr>
    <w:r>
      <w:rPr>
        <w:rFonts w:ascii="Times New Roman" w:eastAsia="Times New Roman" w:hAnsi="Times New Roman" w:cs="Times New Roman"/>
        <w:sz w:val="38"/>
        <w:szCs w:val="3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0" w:lineRule="auto"/>
      <w:ind w:left="17066"/>
      <w:rPr>
        <w:sz w:val="25"/>
        <w:szCs w:val="25"/>
      </w:rPr>
    </w:pPr>
    <w:r>
      <w:rPr>
        <w:sz w:val="25"/>
        <w:szCs w:val="25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0" w:lineRule="auto"/>
      <w:ind w:left="17066"/>
      <w:rPr>
        <w:sz w:val="25"/>
        <w:szCs w:val="25"/>
      </w:rPr>
    </w:pPr>
    <w:r>
      <w:rPr>
        <w:sz w:val="25"/>
        <w:szCs w:val="25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301"/>
      <w:rPr>
        <w:sz w:val="28"/>
        <w:szCs w:val="28"/>
      </w:rPr>
    </w:pPr>
    <w:r>
      <w:rPr>
        <w:sz w:val="28"/>
        <w:szCs w:val="2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301"/>
      <w:rPr>
        <w:sz w:val="28"/>
        <w:szCs w:val="28"/>
      </w:rPr>
    </w:pPr>
    <w:r>
      <w:rPr>
        <w:sz w:val="28"/>
        <w:szCs w:val="2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0" w:lineRule="auto"/>
      <w:ind w:left="17004"/>
      <w:rPr>
        <w:sz w:val="25"/>
        <w:szCs w:val="25"/>
      </w:rPr>
    </w:pPr>
    <w:r>
      <w:rPr>
        <w:sz w:val="25"/>
        <w:szCs w:val="2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0" w:lineRule="auto"/>
      <w:ind w:left="17004"/>
      <w:rPr>
        <w:sz w:val="25"/>
        <w:szCs w:val="25"/>
      </w:rPr>
    </w:pPr>
    <w:r>
      <w:rPr>
        <w:sz w:val="25"/>
        <w:szCs w:val="25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9" w:lineRule="auto"/>
      <w:ind w:left="298"/>
      <w:rPr>
        <w:sz w:val="25"/>
        <w:szCs w:val="25"/>
      </w:rPr>
    </w:pPr>
    <w:r>
      <w:rPr>
        <w:sz w:val="25"/>
        <w:szCs w:val="25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5" w:lineRule="auto"/>
      <w:ind w:left="17089"/>
      <w:rPr>
        <w:sz w:val="28"/>
        <w:szCs w:val="28"/>
      </w:rPr>
    </w:pPr>
    <w:r>
      <w:rPr>
        <w:sz w:val="28"/>
        <w:szCs w:val="2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5" w:lineRule="auto"/>
      <w:ind w:left="17089"/>
      <w:rPr>
        <w:sz w:val="28"/>
        <w:szCs w:val="28"/>
      </w:rPr>
    </w:pPr>
    <w:r>
      <w:rPr>
        <w:sz w:val="28"/>
        <w:szCs w:val="2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362"/>
      <w:rPr>
        <w:sz w:val="23"/>
        <w:szCs w:val="23"/>
      </w:rPr>
    </w:pPr>
    <w:r>
      <w:rPr>
        <w:sz w:val="23"/>
        <w:szCs w:val="23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8" w:lineRule="auto"/>
      <w:ind w:left="19702"/>
      <w:rPr>
        <w:sz w:val="25"/>
        <w:szCs w:val="25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-18515806</wp:posOffset>
          </wp:positionV>
          <wp:extent cx="14048629" cy="20116800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4048629" cy="20116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5"/>
        <w:szCs w:val="25"/>
      </w:rPr>
      <w:t>7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40"/>
      <w:szCs w:val="4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1"/>
      <w:szCs w:val="3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1.jpeg" /><Relationship Id="rId11" Type="http://schemas.openxmlformats.org/officeDocument/2006/relationships/hyperlink" Target="6.2.2.2" TargetMode="External" /><Relationship Id="rId12" Type="http://schemas.openxmlformats.org/officeDocument/2006/relationships/hyperlink" Target="6.2.3.1" TargetMode="External" /><Relationship Id="rId13" Type="http://schemas.openxmlformats.org/officeDocument/2006/relationships/hyperlink" Target="6.2.3.2" TargetMode="External" /><Relationship Id="rId14" Type="http://schemas.openxmlformats.org/officeDocument/2006/relationships/footer" Target="footer6.xml" /><Relationship Id="rId15" Type="http://schemas.openxmlformats.org/officeDocument/2006/relationships/footer" Target="footer7.xml" /><Relationship Id="rId16" Type="http://schemas.openxmlformats.org/officeDocument/2006/relationships/footer" Target="footer8.xml" /><Relationship Id="rId17" Type="http://schemas.openxmlformats.org/officeDocument/2006/relationships/footer" Target="footer9.xml" /><Relationship Id="rId18" Type="http://schemas.openxmlformats.org/officeDocument/2006/relationships/image" Target="media/image2.jpeg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image" Target="media/image3.jpeg" /><Relationship Id="rId21" Type="http://schemas.openxmlformats.org/officeDocument/2006/relationships/footer" Target="footer11.xml" /><Relationship Id="rId22" Type="http://schemas.openxmlformats.org/officeDocument/2006/relationships/image" Target="media/image4.jpeg" /><Relationship Id="rId23" Type="http://schemas.openxmlformats.org/officeDocument/2006/relationships/hyperlink" Target="https://d.book118.com/048101027065006045" TargetMode="External" /><Relationship Id="rId24" Type="http://schemas.openxmlformats.org/officeDocument/2006/relationships/footer" Target="footer12.xm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hyperlink" Target="6.2.2.1" TargetMode="Externa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2024-03-13T11:48:16Z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2024-03-13T11:48:23Z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65f121c971bc50001f4fdf9ewl</vt:lpwstr>
  </property>
</Properties>
</file>