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
        <w:rPr>
          <w:rFonts w:hint="eastAsia"/>
        </w:rPr>
        <w:drawing>
          <wp:inline distT="0" distB="0" distL="0" distR="0">
            <wp:extent cx="800100" cy="793750"/>
            <wp:effectExtent l="1905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xmlns:r="http://schemas.openxmlformats.org/officeDocument/2006/relationships" r:embed="rId6" cstate="print"/>
                    <a:stretch>
                      <a:fillRect/>
                    </a:stretch>
                  </pic:blipFill>
                  <pic:spPr>
                    <a:xfrm>
                      <a:off x="0" y="0"/>
                      <a:ext cx="800100" cy="793750"/>
                    </a:xfrm>
                    <a:prstGeom prst="rect">
                      <a:avLst/>
                    </a:prstGeom>
                    <a:noFill/>
                    <a:ln w="9525">
                      <a:noFill/>
                      <a:miter lim="800000"/>
                      <a:headEnd/>
                      <a:tailEnd/>
                    </a:ln>
                  </pic:spPr>
                </pic:pic>
              </a:graphicData>
            </a:graphic>
          </wp:inline>
        </w:drawing>
      </w:r>
      <w:r>
        <w:rPr>
          <w:rFonts w:hint="eastAsia"/>
        </w:rPr>
        <w:t xml:space="preserve">                                         </w:t>
      </w:r>
      <w:r>
        <w:rPr>
          <w:rFonts w:hint="eastAsia"/>
          <w:b/>
          <w:sz w:val="36"/>
          <w:szCs w:val="36"/>
        </w:rPr>
        <w:t>CMCA   XXX—20XX</w:t>
      </w:r>
      <w:r>
        <w:rPr>
          <w:rFonts w:hint="eastAsia"/>
        </w:rPr>
        <w:t xml:space="preserve">                                                       </w:t>
      </w:r>
    </w:p>
    <w:p>
      <w:r>
        <w:rPr>
          <w:rFonts w:hint="eastAsia"/>
          <w:u w:val="thick"/>
        </w:rPr>
        <w:t xml:space="preserve">                                                                                        </w:t>
      </w:r>
    </w:p>
    <w:p/>
    <w:p/>
    <w:p/>
    <w:p/>
    <w:p/>
    <w:p>
      <w:pPr>
        <w:wordWrap w:val="0"/>
        <w:jc w:val="center"/>
        <w:rPr>
          <w:b/>
          <w:sz w:val="42"/>
          <w:szCs w:val="44"/>
        </w:rPr>
      </w:pPr>
      <w:r>
        <w:rPr>
          <w:rFonts w:hint="eastAsia"/>
          <w:b/>
          <w:sz w:val="42"/>
          <w:szCs w:val="44"/>
        </w:rPr>
        <w:t>中国冶金建设协会标准</w:t>
      </w:r>
    </w:p>
    <w:p/>
    <w:p/>
    <w:p/>
    <w:p/>
    <w:p/>
    <w:p>
      <w:pPr>
        <w:jc w:val="center"/>
        <w:rPr>
          <w:rFonts w:ascii="黑体" w:eastAsia="黑体"/>
          <w:sz w:val="52"/>
          <w:szCs w:val="52"/>
        </w:rPr>
      </w:pPr>
      <w:r>
        <w:rPr>
          <w:rFonts w:ascii="黑体" w:eastAsia="黑体" w:hint="eastAsia"/>
          <w:sz w:val="52"/>
          <w:szCs w:val="52"/>
        </w:rPr>
        <w:t>玄武岩纤维复合材料管道及管件</w:t>
      </w:r>
    </w:p>
    <w:p>
      <w:pPr>
        <w:jc w:val="center"/>
        <w:rPr>
          <w:rFonts w:eastAsia="黑体"/>
          <w:sz w:val="32"/>
          <w:szCs w:val="32"/>
        </w:rPr>
      </w:pPr>
      <w:r>
        <w:rPr>
          <w:rFonts w:eastAsia="黑体"/>
          <w:sz w:val="32"/>
          <w:szCs w:val="32"/>
        </w:rPr>
        <w:t>Basalt fiber composite pipes and fittings</w:t>
      </w:r>
    </w:p>
    <w:p/>
    <w:p/>
    <w:p/>
    <w:p/>
    <w:p/>
    <w:p/>
    <w:p/>
    <w:p/>
    <w:p/>
    <w:p/>
    <w:p/>
    <w:p/>
    <w:p>
      <w:pPr>
        <w:spacing w:line="480" w:lineRule="auto"/>
        <w:rPr>
          <w:rFonts w:ascii="黑体" w:eastAsia="黑体"/>
          <w:sz w:val="28"/>
          <w:szCs w:val="28"/>
          <w:u w:val="thick"/>
        </w:rPr>
      </w:pPr>
      <w:r>
        <w:rPr>
          <w:rFonts w:ascii="黑体" w:eastAsia="黑体" w:hint="eastAsia"/>
          <w:sz w:val="28"/>
          <w:szCs w:val="28"/>
          <w:u w:val="thick"/>
        </w:rPr>
        <w:t xml:space="preserve">201X-XX-XX发布                                      201X-XX-XX实施                                                                    </w:t>
      </w:r>
    </w:p>
    <w:p/>
    <w:p>
      <w:pPr>
        <w:jc w:val="center"/>
        <w:rPr>
          <w:rFonts w:ascii="黑体" w:eastAsia="黑体"/>
          <w:sz w:val="33"/>
        </w:rPr>
        <w:sectPr>
          <w:headerReference w:type="default" r:id="rId7"/>
          <w:footerReference w:type="default" r:id="rId8"/>
          <w:pgSz w:w="11906" w:h="16838"/>
          <w:pgMar w:top="1440" w:right="1800" w:bottom="1440" w:left="1800" w:header="851" w:footer="992" w:gutter="0"/>
          <w:pgNumType w:start="1"/>
          <w:cols w:num="1" w:space="720"/>
          <w:docGrid w:type="lines" w:linePitch="312" w:charSpace="0"/>
        </w:sectPr>
      </w:pPr>
      <w:r>
        <w:rPr>
          <w:rFonts w:ascii="黑体" w:eastAsia="黑体" w:hint="eastAsia"/>
          <w:sz w:val="41"/>
        </w:rPr>
        <w:t xml:space="preserve">中国冶金建设协会  </w:t>
      </w:r>
      <w:r>
        <w:rPr>
          <w:rFonts w:ascii="黑体" w:eastAsia="黑体" w:hint="eastAsia"/>
          <w:sz w:val="33"/>
        </w:rPr>
        <w:t>发布</w:t>
      </w:r>
    </w:p>
    <w:p>
      <w:pPr>
        <w:spacing w:line="360" w:lineRule="auto"/>
        <w:jc w:val="center"/>
        <w:rPr>
          <w:rFonts w:ascii="黑体" w:eastAsia="黑体" w:hAnsi="宋体"/>
          <w:sz w:val="32"/>
          <w:szCs w:val="32"/>
        </w:rPr>
      </w:pPr>
      <w:bookmarkStart w:id="0" w:name="_GoBack"/>
      <w:bookmarkEnd w:id="0"/>
      <w:r>
        <w:rPr>
          <w:rFonts w:ascii="黑体" w:eastAsia="黑体" w:hAnsi="宋体" w:hint="eastAsia"/>
          <w:sz w:val="32"/>
          <w:szCs w:val="32"/>
        </w:rPr>
        <w:t>玄武岩纤维复合材料管道及管件</w:t>
      </w:r>
    </w:p>
    <w:p>
      <w:pPr>
        <w:pStyle w:val="Heading1"/>
        <w:spacing w:before="156" w:after="156"/>
        <w:ind w:right="960"/>
        <w:rPr>
          <w:rFonts w:ascii="Times New Roman" w:hAnsi="Times New Roman"/>
          <w:szCs w:val="24"/>
        </w:rPr>
      </w:pPr>
      <w:bookmarkStart w:id="1" w:name="_Toc504574661"/>
      <w:r>
        <w:rPr>
          <w:rFonts w:ascii="Times New Roman" w:hAnsi="Times New Roman" w:hint="eastAsia"/>
          <w:szCs w:val="24"/>
        </w:rPr>
        <w:t>1 范围</w:t>
      </w:r>
      <w:bookmarkEnd w:id="1"/>
    </w:p>
    <w:p>
      <w:pPr>
        <w:spacing w:line="360" w:lineRule="auto"/>
        <w:rPr>
          <w:rFonts w:ascii="宋体" w:hAnsi="宋体"/>
          <w:szCs w:val="21"/>
        </w:rPr>
      </w:pPr>
      <w:r>
        <w:rPr>
          <w:rFonts w:ascii="宋体" w:hAnsi="宋体" w:hint="eastAsia"/>
          <w:szCs w:val="21"/>
        </w:rPr>
        <w:t xml:space="preserve">    本标准规定了玄武岩纤维复合材料管道及管件（以下简称BFRP管道及管件）的术语及定义，分类和标记，原材料，要求，试验方法，检验规则，产品标志及运输，其他。</w:t>
      </w:r>
    </w:p>
    <w:p>
      <w:pPr>
        <w:spacing w:line="360" w:lineRule="auto"/>
        <w:ind w:firstLine="420" w:firstLineChars="200"/>
        <w:rPr>
          <w:rFonts w:ascii="宋体" w:hAnsi="宋体"/>
          <w:szCs w:val="21"/>
        </w:rPr>
      </w:pPr>
      <w:r>
        <w:rPr>
          <w:rFonts w:ascii="宋体" w:hAnsi="宋体" w:hint="eastAsia"/>
          <w:szCs w:val="21"/>
        </w:rPr>
        <w:t>本标准适用于以玄武岩纤维为增强材料，热固性树脂为基体，采用缠绕工艺制成的玄武岩纤维复合材料管道和管件。</w:t>
      </w:r>
    </w:p>
    <w:p>
      <w:pPr>
        <w:spacing w:line="360" w:lineRule="auto"/>
        <w:rPr>
          <w:rFonts w:ascii="宋体" w:hAnsi="宋体"/>
          <w:szCs w:val="21"/>
        </w:rPr>
      </w:pPr>
      <w:r>
        <w:rPr>
          <w:rFonts w:ascii="宋体" w:hAnsi="宋体" w:hint="eastAsia"/>
          <w:szCs w:val="21"/>
        </w:rPr>
        <w:t xml:space="preserve">    本标准适用于公称直径为</w:t>
      </w:r>
      <w:r>
        <w:rPr>
          <w:rFonts w:ascii="宋体" w:hAnsi="宋体"/>
          <w:szCs w:val="21"/>
        </w:rPr>
        <w:t>100 mm～4 000</w:t>
      </w:r>
      <w:r>
        <w:rPr>
          <w:rFonts w:ascii="宋体" w:hAnsi="宋体" w:hint="eastAsia"/>
          <w:szCs w:val="21"/>
        </w:rPr>
        <w:t xml:space="preserve"> mm，压力等级为0.25 MPa～3.2 MPa，适用于地下和地面管道工程用玄武岩纤维复合材料管道，介质最高温度不超过</w:t>
      </w:r>
      <w:r>
        <w:rPr>
          <w:rFonts w:ascii="宋体" w:hAnsi="宋体"/>
          <w:szCs w:val="21"/>
        </w:rPr>
        <w:t>50℃</w:t>
      </w:r>
      <w:r>
        <w:rPr>
          <w:rFonts w:ascii="宋体" w:hAnsi="宋体" w:hint="eastAsia"/>
          <w:szCs w:val="21"/>
        </w:rPr>
        <w:t xml:space="preserve">。    </w:t>
      </w:r>
    </w:p>
    <w:p>
      <w:pPr>
        <w:pStyle w:val="Heading1"/>
        <w:spacing w:before="156" w:after="156"/>
        <w:ind w:right="960"/>
        <w:rPr>
          <w:rFonts w:ascii="Times New Roman" w:hAnsi="Times New Roman"/>
          <w:szCs w:val="24"/>
        </w:rPr>
      </w:pPr>
      <w:bookmarkStart w:id="2" w:name="_Toc504574662"/>
      <w:r>
        <w:rPr>
          <w:rFonts w:ascii="Times New Roman" w:hAnsi="Times New Roman" w:hint="eastAsia"/>
          <w:szCs w:val="24"/>
        </w:rPr>
        <w:t>2 规范性引用文件</w:t>
      </w:r>
      <w:bookmarkEnd w:id="2"/>
    </w:p>
    <w:p>
      <w:pPr>
        <w:spacing w:line="360" w:lineRule="auto"/>
        <w:ind w:firstLine="420" w:firstLineChars="200"/>
        <w:rPr>
          <w:rFonts w:ascii="宋体" w:hAnsi="宋体"/>
          <w:szCs w:val="21"/>
        </w:rPr>
      </w:pPr>
      <w:r>
        <w:rPr>
          <w:rFonts w:ascii="宋体" w:hAnsi="宋体" w:hint="eastAsia"/>
          <w:szCs w:val="21"/>
        </w:rPr>
        <w:t>下列文件对于本文件的应用是必不可少的。凡是注日期的引用文件，仅所注日期的版本适用于本文件。凡是不注日期的引用文件，其最新版本（包括所有的修改单）适用于本文件。</w:t>
      </w:r>
    </w:p>
    <w:p>
      <w:pPr>
        <w:spacing w:line="360" w:lineRule="auto"/>
        <w:ind w:firstLine="420" w:firstLineChars="200"/>
        <w:rPr>
          <w:rFonts w:ascii="宋体" w:hAnsi="宋体"/>
          <w:szCs w:val="21"/>
        </w:rPr>
      </w:pPr>
      <w:r>
        <w:rPr>
          <w:rFonts w:ascii="宋体" w:hAnsi="宋体" w:hint="eastAsia"/>
          <w:szCs w:val="21"/>
        </w:rPr>
        <w:t>GB/T 1447  纤维增强塑料拉伸性能试验方法</w:t>
      </w:r>
    </w:p>
    <w:p>
      <w:pPr>
        <w:spacing w:line="360" w:lineRule="auto"/>
        <w:ind w:firstLine="420" w:firstLineChars="200"/>
        <w:rPr>
          <w:rFonts w:ascii="宋体" w:hAnsi="宋体"/>
          <w:szCs w:val="21"/>
        </w:rPr>
      </w:pPr>
      <w:r>
        <w:rPr>
          <w:rFonts w:ascii="宋体" w:hAnsi="宋体" w:hint="eastAsia"/>
          <w:szCs w:val="21"/>
        </w:rPr>
        <w:t>GB/T 2576  纤维增强塑料树脂不可溶分含量试验方法</w:t>
      </w:r>
    </w:p>
    <w:p>
      <w:pPr>
        <w:spacing w:line="360" w:lineRule="auto"/>
        <w:ind w:firstLine="420" w:firstLineChars="200"/>
        <w:rPr>
          <w:rFonts w:ascii="宋体" w:hAnsi="宋体"/>
          <w:szCs w:val="21"/>
        </w:rPr>
      </w:pPr>
      <w:r>
        <w:rPr>
          <w:rFonts w:ascii="宋体" w:hAnsi="宋体" w:hint="eastAsia"/>
          <w:szCs w:val="21"/>
        </w:rPr>
        <w:t>GB/T 2577  玻璃纤维增强塑料树脂含量实验方法</w:t>
      </w:r>
    </w:p>
    <w:p>
      <w:pPr>
        <w:spacing w:line="360" w:lineRule="auto"/>
        <w:ind w:firstLine="420" w:firstLineChars="200"/>
        <w:rPr>
          <w:rFonts w:ascii="宋体" w:hAnsi="宋体"/>
          <w:szCs w:val="21"/>
        </w:rPr>
      </w:pPr>
      <w:r>
        <w:rPr>
          <w:rFonts w:ascii="宋体" w:hAnsi="宋体" w:hint="eastAsia"/>
          <w:szCs w:val="21"/>
        </w:rPr>
        <w:t>GB/T 3854  增强塑料巴柯尔硬度试验方法</w:t>
      </w:r>
    </w:p>
    <w:p>
      <w:pPr>
        <w:spacing w:line="360" w:lineRule="auto"/>
        <w:ind w:firstLine="420" w:firstLineChars="200"/>
        <w:rPr>
          <w:rFonts w:ascii="宋体" w:hAnsi="宋体"/>
          <w:szCs w:val="21"/>
        </w:rPr>
      </w:pPr>
      <w:r>
        <w:rPr>
          <w:rFonts w:ascii="宋体" w:hAnsi="宋体" w:hint="eastAsia"/>
          <w:szCs w:val="21"/>
        </w:rPr>
        <w:t>GB/T 5351  纤维增强热固性塑料管短时水压失效压力试验方法</w:t>
      </w:r>
    </w:p>
    <w:p>
      <w:pPr>
        <w:spacing w:line="360" w:lineRule="auto"/>
        <w:ind w:firstLine="420" w:firstLineChars="200"/>
        <w:rPr>
          <w:rFonts w:ascii="宋体" w:hAnsi="宋体"/>
          <w:szCs w:val="21"/>
        </w:rPr>
      </w:pPr>
      <w:r>
        <w:rPr>
          <w:rFonts w:ascii="宋体" w:hAnsi="宋体" w:hint="eastAsia"/>
          <w:szCs w:val="21"/>
        </w:rPr>
        <w:t>GB/T 5352  纤维增强热固性塑料管平行板外载性能试验方法</w:t>
      </w:r>
    </w:p>
    <w:p>
      <w:pPr>
        <w:spacing w:line="360" w:lineRule="auto"/>
        <w:ind w:firstLine="420" w:firstLineChars="200"/>
        <w:rPr>
          <w:rFonts w:ascii="宋体" w:hAnsi="宋体"/>
          <w:szCs w:val="21"/>
        </w:rPr>
      </w:pPr>
      <w:r>
        <w:rPr>
          <w:rFonts w:ascii="宋体" w:hAnsi="宋体" w:hint="eastAsia"/>
          <w:szCs w:val="21"/>
        </w:rPr>
        <w:t>GB/T 5721  橡胶密封制品标志、包装、运输、贮存的一般规定</w:t>
      </w:r>
    </w:p>
    <w:p>
      <w:pPr>
        <w:spacing w:line="360" w:lineRule="auto"/>
        <w:ind w:firstLine="420" w:firstLineChars="200"/>
        <w:rPr>
          <w:rFonts w:ascii="宋体" w:hAnsi="宋体"/>
          <w:szCs w:val="21"/>
        </w:rPr>
      </w:pPr>
      <w:r>
        <w:rPr>
          <w:rFonts w:ascii="宋体" w:hAnsi="宋体" w:hint="eastAsia"/>
          <w:szCs w:val="21"/>
        </w:rPr>
        <w:t>GB/T 6483  柔性机械接口灰口铸铁管</w:t>
      </w:r>
    </w:p>
    <w:p>
      <w:pPr>
        <w:spacing w:line="360" w:lineRule="auto"/>
        <w:ind w:firstLine="420" w:firstLineChars="200"/>
        <w:rPr>
          <w:rFonts w:ascii="宋体" w:hAnsi="宋体"/>
          <w:szCs w:val="21"/>
        </w:rPr>
      </w:pPr>
      <w:r>
        <w:rPr>
          <w:rFonts w:ascii="宋体" w:hAnsi="宋体" w:hint="eastAsia"/>
          <w:szCs w:val="21"/>
        </w:rPr>
        <w:t>GB/T 8237  纤维增强塑料用液体不饱和聚酯树脂</w:t>
      </w:r>
    </w:p>
    <w:p>
      <w:pPr>
        <w:spacing w:line="360" w:lineRule="auto"/>
        <w:ind w:firstLine="420" w:firstLineChars="200"/>
        <w:rPr>
          <w:rFonts w:ascii="宋体" w:hAnsi="宋体"/>
          <w:szCs w:val="21"/>
        </w:rPr>
      </w:pPr>
      <w:r>
        <w:rPr>
          <w:rFonts w:ascii="宋体" w:hAnsi="宋体" w:hint="eastAsia"/>
          <w:szCs w:val="21"/>
        </w:rPr>
        <w:t>GB 13115    食品容器及包装材料用不饱和聚酯及其玻璃钢制品卫生标准</w:t>
      </w:r>
    </w:p>
    <w:p>
      <w:pPr>
        <w:spacing w:line="360" w:lineRule="auto"/>
        <w:ind w:firstLine="420" w:firstLineChars="200"/>
        <w:rPr>
          <w:rFonts w:ascii="宋体" w:hAnsi="宋体"/>
          <w:szCs w:val="21"/>
        </w:rPr>
      </w:pPr>
      <w:r>
        <w:rPr>
          <w:rFonts w:ascii="宋体" w:hAnsi="宋体"/>
          <w:szCs w:val="21"/>
        </w:rPr>
        <w:t>GB/T</w:t>
      </w:r>
      <w:r>
        <w:rPr>
          <w:rFonts w:ascii="宋体" w:hAnsi="宋体" w:hint="eastAsia"/>
          <w:szCs w:val="21"/>
        </w:rPr>
        <w:t xml:space="preserve"> </w:t>
      </w:r>
      <w:r>
        <w:rPr>
          <w:rFonts w:ascii="宋体" w:hAnsi="宋体"/>
          <w:szCs w:val="21"/>
        </w:rPr>
        <w:t xml:space="preserve">25045 </w:t>
      </w:r>
      <w:r>
        <w:rPr>
          <w:rFonts w:ascii="宋体" w:hAnsi="宋体" w:hint="eastAsia"/>
          <w:szCs w:val="21"/>
        </w:rPr>
        <w:t xml:space="preserve"> </w:t>
      </w:r>
      <w:r>
        <w:rPr>
          <w:rFonts w:ascii="宋体" w:hAnsi="宋体"/>
          <w:szCs w:val="21"/>
        </w:rPr>
        <w:t>玄武岩纤维无捻粗纱</w:t>
      </w:r>
    </w:p>
    <w:p>
      <w:pPr>
        <w:spacing w:line="360" w:lineRule="auto"/>
        <w:ind w:firstLine="420" w:firstLineChars="200"/>
        <w:rPr>
          <w:rFonts w:ascii="宋体" w:hAnsi="宋体"/>
          <w:szCs w:val="21"/>
        </w:rPr>
      </w:pPr>
      <w:r>
        <w:rPr>
          <w:rFonts w:ascii="宋体" w:hAnsi="宋体" w:hint="eastAsia"/>
          <w:szCs w:val="21"/>
        </w:rPr>
        <w:t>GB/T 32491  玻璃纤维增强热固性树脂管及管件长期静水压实验方法</w:t>
      </w:r>
    </w:p>
    <w:p>
      <w:pPr>
        <w:pStyle w:val="Heading1"/>
        <w:spacing w:before="156" w:after="156"/>
        <w:ind w:right="960"/>
        <w:rPr>
          <w:rFonts w:ascii="Times New Roman" w:hAnsi="Times New Roman"/>
          <w:szCs w:val="24"/>
        </w:rPr>
      </w:pPr>
      <w:bookmarkStart w:id="3" w:name="_Toc504574663"/>
      <w:r>
        <w:rPr>
          <w:rFonts w:ascii="Times New Roman" w:hAnsi="Times New Roman" w:hint="eastAsia"/>
          <w:szCs w:val="24"/>
        </w:rPr>
        <w:t>3 术语及定义</w:t>
      </w:r>
      <w:bookmarkEnd w:id="3"/>
    </w:p>
    <w:p>
      <w:pPr>
        <w:spacing w:line="360" w:lineRule="auto"/>
        <w:ind w:firstLine="420" w:firstLineChars="200"/>
        <w:rPr>
          <w:rFonts w:ascii="宋体" w:hAnsi="宋体"/>
          <w:szCs w:val="21"/>
        </w:rPr>
      </w:pPr>
      <w:r>
        <w:rPr>
          <w:rFonts w:ascii="宋体" w:hAnsi="宋体" w:hint="eastAsia"/>
          <w:szCs w:val="21"/>
        </w:rPr>
        <w:t>下列术语和定义适用于本文件。</w:t>
      </w:r>
      <w:bookmarkStart w:id="4" w:name="_Toc504574664"/>
    </w:p>
    <w:p>
      <w:pPr>
        <w:pStyle w:val="Subtitle"/>
        <w:rPr>
          <w:rFonts w:ascii="Times New Roman" w:hAnsi="Times New Roman"/>
          <w:sz w:val="21"/>
          <w:szCs w:val="21"/>
        </w:rPr>
      </w:pPr>
      <w:r>
        <w:rPr>
          <w:rFonts w:hint="eastAsia"/>
          <w:sz w:val="21"/>
          <w:szCs w:val="21"/>
        </w:rPr>
        <w:t>3.</w:t>
      </w:r>
      <w:bookmarkEnd w:id="4"/>
      <w:r>
        <w:rPr>
          <w:rFonts w:hint="eastAsia"/>
          <w:sz w:val="21"/>
          <w:szCs w:val="21"/>
        </w:rPr>
        <w:t>1</w:t>
      </w:r>
      <w:r>
        <w:rPr>
          <w:rFonts w:hint="eastAsia"/>
          <w:bCs w:val="0"/>
          <w:kern w:val="2"/>
          <w:sz w:val="21"/>
          <w:szCs w:val="21"/>
        </w:rPr>
        <w:t>玄武岩纤维复</w:t>
      </w:r>
      <w:r>
        <w:rPr>
          <w:rFonts w:ascii="Times New Roman" w:hint="eastAsia"/>
          <w:bCs w:val="0"/>
          <w:kern w:val="2"/>
          <w:sz w:val="21"/>
          <w:szCs w:val="21"/>
        </w:rPr>
        <w:t>合材料管道</w:t>
      </w:r>
      <w:r>
        <w:rPr>
          <w:rFonts w:ascii="Times New Roman" w:hAnsi="Times New Roman" w:hint="eastAsia"/>
          <w:sz w:val="21"/>
          <w:szCs w:val="21"/>
        </w:rPr>
        <w:t>b</w:t>
      </w:r>
      <w:r>
        <w:rPr>
          <w:rFonts w:ascii="Times New Roman" w:hAnsi="Times New Roman"/>
          <w:sz w:val="21"/>
          <w:szCs w:val="21"/>
        </w:rPr>
        <w:t>asalt fiber composite pipes</w:t>
      </w:r>
    </w:p>
    <w:p>
      <w:pPr>
        <w:pStyle w:val="Subtitle"/>
        <w:spacing w:line="360" w:lineRule="auto"/>
        <w:ind w:firstLine="420" w:firstLineChars="200"/>
        <w:rPr>
          <w:rFonts w:ascii="Times New Roman" w:hAnsi="Times New Roman"/>
          <w:b w:val="0"/>
          <w:bCs w:val="0"/>
          <w:kern w:val="2"/>
          <w:sz w:val="21"/>
          <w:szCs w:val="21"/>
        </w:rPr>
        <w:sectPr>
          <w:headerReference w:type="default" r:id="rId9"/>
          <w:footerReference w:type="default" r:id="rId10"/>
          <w:type w:val="nextPage"/>
          <w:pgSz w:w="11906" w:h="16838"/>
          <w:pgMar w:top="1440" w:right="1800" w:bottom="1440" w:left="1800" w:header="851" w:footer="992" w:gutter="0"/>
          <w:pgNumType w:start="2"/>
          <w:cols w:num="1" w:space="720"/>
          <w:titlePg w:val="0"/>
          <w:docGrid w:type="lines" w:linePitch="312" w:charSpace="0"/>
        </w:sectPr>
      </w:pPr>
      <w:r>
        <w:rPr>
          <w:rFonts w:ascii="Times New Roman" w:hint="eastAsia"/>
          <w:b w:val="0"/>
          <w:bCs w:val="0"/>
          <w:kern w:val="2"/>
          <w:sz w:val="21"/>
          <w:szCs w:val="21"/>
        </w:rPr>
        <w:t>以玄武岩纤维及或其织物为增强材料，热固性树脂为基体，采用缠绕工艺制成的玄武岩纤维复合材料管道。</w:t>
      </w:r>
    </w:p>
    <w:p>
      <w:pPr>
        <w:pStyle w:val="Subtitle"/>
        <w:rPr>
          <w:rFonts w:ascii="Times New Roman" w:hAnsi="Times New Roman"/>
          <w:bCs w:val="0"/>
          <w:kern w:val="2"/>
          <w:sz w:val="21"/>
          <w:szCs w:val="21"/>
        </w:rPr>
      </w:pPr>
      <w:r>
        <w:rPr>
          <w:rFonts w:ascii="Times New Roman" w:hAnsi="Times New Roman"/>
          <w:sz w:val="21"/>
          <w:szCs w:val="21"/>
        </w:rPr>
        <w:t>3.2</w:t>
      </w:r>
      <w:r>
        <w:rPr>
          <w:rFonts w:ascii="Times New Roman" w:hint="eastAsia"/>
          <w:bCs w:val="0"/>
          <w:kern w:val="2"/>
          <w:sz w:val="21"/>
          <w:szCs w:val="21"/>
        </w:rPr>
        <w:t>玄武岩纤维复合材料管件</w:t>
      </w:r>
      <w:r>
        <w:rPr>
          <w:rFonts w:ascii="Times New Roman" w:hAnsi="Times New Roman" w:hint="eastAsia"/>
          <w:sz w:val="21"/>
          <w:szCs w:val="21"/>
        </w:rPr>
        <w:t>b</w:t>
      </w:r>
      <w:r>
        <w:rPr>
          <w:rFonts w:ascii="Times New Roman" w:hAnsi="Times New Roman"/>
          <w:sz w:val="21"/>
          <w:szCs w:val="21"/>
        </w:rPr>
        <w:t>asalt fiber composite fittings</w:t>
      </w:r>
    </w:p>
    <w:p>
      <w:pPr>
        <w:spacing w:line="360" w:lineRule="auto"/>
        <w:ind w:firstLine="420" w:firstLineChars="200"/>
      </w:pPr>
      <w:r>
        <w:rPr>
          <w:rFonts w:hint="eastAsia"/>
        </w:rPr>
        <w:t>以玄武岩纤维及或其织物为增强材料，热固性树脂为基体，经缠绕成型的内衬橡胶密封圈的套管接头以及从符合本文件要求的管道上截取的管段，经手糊成型的弯头、三通、异型管等产品。</w:t>
      </w:r>
    </w:p>
    <w:p>
      <w:pPr>
        <w:pStyle w:val="Subtitle"/>
        <w:rPr>
          <w:rFonts w:ascii="Times New Roman" w:hAnsi="Times New Roman"/>
          <w:sz w:val="21"/>
          <w:szCs w:val="21"/>
        </w:rPr>
      </w:pPr>
      <w:bookmarkStart w:id="5" w:name="_Toc504574666"/>
      <w:r>
        <w:rPr>
          <w:rFonts w:ascii="Times New Roman" w:hAnsi="Times New Roman"/>
          <w:sz w:val="21"/>
          <w:szCs w:val="21"/>
        </w:rPr>
        <w:t>3.3</w:t>
      </w:r>
      <w:r>
        <w:rPr>
          <w:rFonts w:ascii="Times New Roman" w:hint="eastAsia"/>
          <w:sz w:val="21"/>
          <w:szCs w:val="21"/>
        </w:rPr>
        <w:t>纤维缠绕工艺</w:t>
      </w:r>
      <w:r>
        <w:rPr>
          <w:rFonts w:ascii="Times New Roman" w:hAnsi="Times New Roman"/>
          <w:sz w:val="21"/>
          <w:szCs w:val="21"/>
        </w:rPr>
        <w:t>fiber</w:t>
      </w:r>
      <w:r>
        <w:rPr>
          <w:rFonts w:ascii="Times New Roman" w:hAnsi="Times New Roman" w:hint="eastAsia"/>
          <w:sz w:val="21"/>
          <w:szCs w:val="21"/>
        </w:rPr>
        <w:t xml:space="preserve"> </w:t>
      </w:r>
      <w:r>
        <w:rPr>
          <w:rFonts w:ascii="Times New Roman" w:hAnsi="Times New Roman"/>
          <w:sz w:val="21"/>
          <w:szCs w:val="21"/>
        </w:rPr>
        <w:t>basalt winding</w:t>
      </w:r>
      <w:bookmarkEnd w:id="5"/>
    </w:p>
    <w:p>
      <w:pPr>
        <w:spacing w:line="360" w:lineRule="auto"/>
        <w:ind w:firstLine="420" w:firstLineChars="200"/>
        <w:rPr>
          <w:szCs w:val="21"/>
        </w:rPr>
      </w:pPr>
      <w:r>
        <w:rPr>
          <w:rFonts w:hAnsi="宋体" w:hint="eastAsia"/>
          <w:szCs w:val="21"/>
        </w:rPr>
        <w:t>由玄武岩纤维无捻粗纱在模具轴或衬垫上缠绕制备管道的方法。</w:t>
      </w:r>
    </w:p>
    <w:p>
      <w:pPr>
        <w:pStyle w:val="Subtitle"/>
        <w:rPr>
          <w:sz w:val="21"/>
          <w:szCs w:val="21"/>
        </w:rPr>
      </w:pPr>
      <w:bookmarkStart w:id="6" w:name="_Toc504574667"/>
      <w:r>
        <w:rPr>
          <w:rFonts w:hint="eastAsia"/>
          <w:sz w:val="21"/>
          <w:szCs w:val="21"/>
        </w:rPr>
        <w:t xml:space="preserve">3.4环刚度 </w:t>
      </w:r>
      <w:r>
        <w:rPr>
          <w:rFonts w:ascii="Times New Roman" w:hAnsi="Times New Roman"/>
          <w:sz w:val="21"/>
          <w:szCs w:val="21"/>
        </w:rPr>
        <w:t>ring stiffness</w:t>
      </w:r>
      <w:bookmarkEnd w:id="6"/>
    </w:p>
    <w:p>
      <w:pPr>
        <w:spacing w:line="360" w:lineRule="auto"/>
        <w:ind w:firstLine="420" w:firstLineChars="200"/>
        <w:rPr>
          <w:color w:val="000000"/>
        </w:rPr>
      </w:pPr>
      <w:r>
        <w:rPr>
          <w:rFonts w:hint="eastAsia"/>
          <w:color w:val="000000"/>
        </w:rPr>
        <w:t>单位长度的管环在外压作用下，在一定径向变形下所承受的荷载大小。它表征管环抵抗外荷载能力。以下式计算：S＝EI/D</w:t>
      </w:r>
      <w:r>
        <w:rPr>
          <w:rFonts w:hint="eastAsia"/>
          <w:color w:val="000000"/>
          <w:vertAlign w:val="superscript"/>
        </w:rPr>
        <w:t>3</w:t>
      </w:r>
      <w:r>
        <w:rPr>
          <w:rFonts w:hint="eastAsia"/>
          <w:color w:val="000000"/>
        </w:rPr>
        <w:t>，通常以N/m</w:t>
      </w:r>
      <w:r>
        <w:rPr>
          <w:rFonts w:hint="eastAsia"/>
          <w:color w:val="000000"/>
          <w:vertAlign w:val="superscript"/>
        </w:rPr>
        <w:t>2</w:t>
      </w:r>
      <w:r>
        <w:rPr>
          <w:rFonts w:hint="eastAsia"/>
          <w:color w:val="000000"/>
        </w:rPr>
        <w:t>作单位。其中EI为沿管轴方向单位长度内管壁环向弯曲刚度，D为管道计算直径。</w:t>
      </w:r>
    </w:p>
    <w:p>
      <w:pPr>
        <w:pStyle w:val="Subtitle"/>
        <w:rPr>
          <w:sz w:val="21"/>
          <w:szCs w:val="21"/>
        </w:rPr>
      </w:pPr>
      <w:r>
        <w:rPr>
          <w:rFonts w:hint="eastAsia"/>
          <w:sz w:val="21"/>
          <w:szCs w:val="21"/>
        </w:rPr>
        <w:t xml:space="preserve">3.5初始环刚度 </w:t>
      </w:r>
      <w:r>
        <w:rPr>
          <w:rFonts w:ascii="Times New Roman" w:hAnsi="Times New Roman" w:hint="eastAsia"/>
          <w:sz w:val="21"/>
          <w:szCs w:val="21"/>
        </w:rPr>
        <w:t>i</w:t>
      </w:r>
      <w:r>
        <w:rPr>
          <w:rFonts w:ascii="Times New Roman" w:hAnsi="Times New Roman"/>
          <w:sz w:val="21"/>
          <w:szCs w:val="21"/>
        </w:rPr>
        <w:t>nitial ring stiffness</w:t>
      </w:r>
    </w:p>
    <w:p>
      <w:pPr>
        <w:spacing w:line="360" w:lineRule="auto"/>
        <w:ind w:firstLine="420" w:firstLineChars="200"/>
        <w:rPr>
          <w:color w:val="000000"/>
        </w:rPr>
      </w:pPr>
      <w:r>
        <w:rPr>
          <w:rFonts w:hint="eastAsia"/>
          <w:color w:val="000000"/>
        </w:rPr>
        <w:t>管环在外压作用下，在一定的加载速度下下，管直径变化量达到试样计算直径的3%时，测出的管环的环刚度。</w:t>
      </w:r>
    </w:p>
    <w:p>
      <w:pPr>
        <w:spacing w:line="360" w:lineRule="auto"/>
        <w:rPr>
          <w:rFonts w:ascii="宋体" w:hAnsi="宋体"/>
          <w:b/>
          <w:szCs w:val="21"/>
        </w:rPr>
      </w:pPr>
      <w:r>
        <w:rPr>
          <w:rFonts w:ascii="宋体" w:hAnsi="宋体" w:hint="eastAsia"/>
          <w:b/>
          <w:szCs w:val="21"/>
        </w:rPr>
        <w:t xml:space="preserve">3.6压力设计基准 </w:t>
      </w:r>
      <w:r>
        <w:rPr>
          <w:b/>
          <w:bCs/>
          <w:kern w:val="28"/>
          <w:szCs w:val="21"/>
        </w:rPr>
        <w:t>pressure design basis</w:t>
      </w:r>
      <w:r>
        <w:rPr>
          <w:rFonts w:hint="eastAsia"/>
          <w:b/>
          <w:bCs/>
          <w:kern w:val="28"/>
          <w:szCs w:val="21"/>
        </w:rPr>
        <w:t>；</w:t>
      </w:r>
      <w:r>
        <w:rPr>
          <w:b/>
          <w:bCs/>
          <w:kern w:val="28"/>
          <w:szCs w:val="21"/>
        </w:rPr>
        <w:t>PDB</w:t>
      </w:r>
    </w:p>
    <w:p>
      <w:pPr>
        <w:spacing w:line="360" w:lineRule="auto"/>
        <w:ind w:firstLine="420" w:firstLineChars="200"/>
        <w:rPr>
          <w:color w:val="000000"/>
        </w:rPr>
      </w:pPr>
      <w:r>
        <w:rPr>
          <w:rFonts w:hint="eastAsia"/>
          <w:color w:val="000000"/>
        </w:rPr>
        <w:t>对一组规格相同的玄武岩纤维复合材料管道试样分别施加不同的静水内压，测出每个试样的失效时间，再由回归曲线外推至50年（4.38×10</w:t>
      </w:r>
      <w:r>
        <w:rPr>
          <w:rFonts w:hint="eastAsia"/>
          <w:color w:val="000000"/>
          <w:vertAlign w:val="superscript"/>
        </w:rPr>
        <w:t>5</w:t>
      </w:r>
      <w:r>
        <w:rPr>
          <w:rFonts w:hint="eastAsia"/>
          <w:color w:val="000000"/>
        </w:rPr>
        <w:t>h）后管道能承受的静水内压值。</w:t>
      </w:r>
    </w:p>
    <w:p>
      <w:pPr>
        <w:pStyle w:val="Heading1"/>
        <w:spacing w:before="156" w:after="156"/>
        <w:ind w:right="960"/>
        <w:rPr>
          <w:rFonts w:ascii="Times New Roman" w:hAnsi="Times New Roman"/>
          <w:szCs w:val="24"/>
        </w:rPr>
      </w:pPr>
      <w:bookmarkStart w:id="7" w:name="_Toc504574668"/>
      <w:r>
        <w:rPr>
          <w:rFonts w:ascii="Times New Roman" w:hAnsi="Times New Roman" w:hint="eastAsia"/>
          <w:szCs w:val="24"/>
        </w:rPr>
        <w:t>4 分类和标记</w:t>
      </w:r>
      <w:bookmarkEnd w:id="7"/>
    </w:p>
    <w:p>
      <w:pPr>
        <w:spacing w:line="360" w:lineRule="auto"/>
        <w:rPr>
          <w:b/>
          <w:color w:val="000000"/>
        </w:rPr>
      </w:pPr>
      <w:r>
        <w:rPr>
          <w:rFonts w:hint="eastAsia"/>
          <w:b/>
          <w:color w:val="000000"/>
        </w:rPr>
        <w:t>4.1  分类</w:t>
      </w:r>
    </w:p>
    <w:p>
      <w:pPr>
        <w:spacing w:line="360" w:lineRule="auto"/>
        <w:jc w:val="left"/>
        <w:rPr>
          <w:rFonts w:ascii="宋体" w:hAnsi="宋体"/>
          <w:szCs w:val="21"/>
        </w:rPr>
      </w:pPr>
      <w:r>
        <w:rPr>
          <w:rFonts w:hint="eastAsia"/>
          <w:color w:val="000000"/>
        </w:rPr>
        <w:t xml:space="preserve">4.1.1 </w:t>
      </w:r>
      <w:r>
        <w:rPr>
          <w:rFonts w:ascii="宋体" w:hAnsi="宋体" w:hint="eastAsia"/>
          <w:szCs w:val="21"/>
        </w:rPr>
        <w:t>产品按照公称直径、压力等级、环刚度、用途进行分类。</w:t>
      </w:r>
    </w:p>
    <w:p>
      <w:pPr>
        <w:spacing w:line="360" w:lineRule="auto"/>
        <w:rPr>
          <w:szCs w:val="21"/>
        </w:rPr>
      </w:pPr>
      <w:r>
        <w:rPr>
          <w:rFonts w:hint="eastAsia"/>
          <w:color w:val="000000"/>
        </w:rPr>
        <w:t>4.1.2</w:t>
      </w:r>
      <w:r>
        <w:rPr>
          <w:color w:val="000000"/>
        </w:rPr>
        <w:t xml:space="preserve"> </w:t>
      </w:r>
      <w:r>
        <w:rPr>
          <w:rFonts w:hAnsi="宋体" w:hint="eastAsia"/>
          <w:szCs w:val="21"/>
        </w:rPr>
        <w:t>公称直径</w:t>
      </w:r>
      <w:r>
        <w:rPr>
          <w:szCs w:val="21"/>
        </w:rPr>
        <w:t>DN</w:t>
      </w:r>
      <w:r>
        <w:rPr>
          <w:rFonts w:hAnsi="宋体" w:hint="eastAsia"/>
          <w:szCs w:val="21"/>
        </w:rPr>
        <w:t>见表</w:t>
      </w:r>
      <w:r>
        <w:rPr>
          <w:szCs w:val="21"/>
        </w:rPr>
        <w:t>1</w:t>
      </w:r>
      <w:r>
        <w:rPr>
          <w:rFonts w:hAnsi="宋体" w:hint="eastAsia"/>
          <w:szCs w:val="21"/>
        </w:rPr>
        <w:t>。</w:t>
      </w:r>
    </w:p>
    <w:p>
      <w:pPr>
        <w:spacing w:line="360" w:lineRule="auto"/>
        <w:rPr>
          <w:szCs w:val="21"/>
        </w:rPr>
      </w:pPr>
      <w:r>
        <w:rPr>
          <w:color w:val="000000"/>
        </w:rPr>
        <w:t>4.1.3</w:t>
      </w:r>
      <w:r>
        <w:rPr>
          <w:rFonts w:hAnsi="宋体" w:hint="eastAsia"/>
          <w:szCs w:val="21"/>
        </w:rPr>
        <w:t>压力等级</w:t>
      </w:r>
      <w:r>
        <w:rPr>
          <w:szCs w:val="21"/>
        </w:rPr>
        <w:t>PN</w:t>
      </w:r>
      <w:r>
        <w:rPr>
          <w:rFonts w:hAnsi="宋体" w:hint="eastAsia"/>
          <w:szCs w:val="21"/>
        </w:rPr>
        <w:t>：</w:t>
      </w:r>
      <w:r>
        <w:rPr>
          <w:szCs w:val="21"/>
        </w:rPr>
        <w:t xml:space="preserve"> 0.1MPa</w:t>
      </w:r>
      <w:r>
        <w:rPr>
          <w:rFonts w:hAnsi="宋体" w:hint="eastAsia"/>
          <w:szCs w:val="21"/>
        </w:rPr>
        <w:t>、</w:t>
      </w:r>
      <w:r>
        <w:rPr>
          <w:szCs w:val="21"/>
        </w:rPr>
        <w:t>0.2MPa</w:t>
      </w:r>
      <w:r>
        <w:rPr>
          <w:rFonts w:hAnsi="宋体" w:hint="eastAsia"/>
          <w:szCs w:val="21"/>
        </w:rPr>
        <w:t>、</w:t>
      </w:r>
      <w:r>
        <w:rPr>
          <w:szCs w:val="21"/>
        </w:rPr>
        <w:t>0.4MPa</w:t>
      </w:r>
      <w:r>
        <w:rPr>
          <w:rFonts w:hAnsi="宋体" w:hint="eastAsia"/>
          <w:szCs w:val="21"/>
        </w:rPr>
        <w:t>、</w:t>
      </w:r>
      <w:r>
        <w:rPr>
          <w:szCs w:val="21"/>
        </w:rPr>
        <w:t>0.6 MPa</w:t>
      </w:r>
      <w:r>
        <w:rPr>
          <w:rFonts w:hAnsi="宋体" w:hint="eastAsia"/>
          <w:szCs w:val="21"/>
        </w:rPr>
        <w:t>、</w:t>
      </w:r>
      <w:r>
        <w:rPr>
          <w:szCs w:val="21"/>
        </w:rPr>
        <w:t>0.8MPa</w:t>
      </w:r>
      <w:r>
        <w:rPr>
          <w:rFonts w:hAnsi="宋体" w:hint="eastAsia"/>
          <w:szCs w:val="21"/>
        </w:rPr>
        <w:t>、</w:t>
      </w:r>
      <w:r>
        <w:rPr>
          <w:szCs w:val="21"/>
        </w:rPr>
        <w:t>1.0 MPa</w:t>
      </w:r>
      <w:r>
        <w:rPr>
          <w:rFonts w:hAnsi="宋体" w:hint="eastAsia"/>
          <w:szCs w:val="21"/>
        </w:rPr>
        <w:t>、</w:t>
      </w:r>
      <w:r>
        <w:rPr>
          <w:szCs w:val="21"/>
        </w:rPr>
        <w:t>1.2MPa</w:t>
      </w:r>
      <w:r>
        <w:rPr>
          <w:rFonts w:hAnsi="宋体" w:hint="eastAsia"/>
          <w:szCs w:val="21"/>
        </w:rPr>
        <w:t>、</w:t>
      </w:r>
      <w:r>
        <w:rPr>
          <w:szCs w:val="21"/>
        </w:rPr>
        <w:t>1.4MPa</w:t>
      </w:r>
      <w:r>
        <w:rPr>
          <w:rFonts w:hAnsi="宋体" w:hint="eastAsia"/>
          <w:szCs w:val="21"/>
        </w:rPr>
        <w:t>、</w:t>
      </w:r>
      <w:r>
        <w:rPr>
          <w:szCs w:val="21"/>
        </w:rPr>
        <w:t>1.6 MPa</w:t>
      </w:r>
      <w:r>
        <w:rPr>
          <w:rFonts w:hAnsi="宋体" w:hint="eastAsia"/>
          <w:szCs w:val="21"/>
        </w:rPr>
        <w:t>、</w:t>
      </w:r>
      <w:r>
        <w:rPr>
          <w:szCs w:val="21"/>
        </w:rPr>
        <w:t>2.0 MPa</w:t>
      </w:r>
      <w:r>
        <w:rPr>
          <w:rFonts w:hAnsi="宋体" w:hint="eastAsia"/>
          <w:szCs w:val="21"/>
        </w:rPr>
        <w:t>、</w:t>
      </w:r>
      <w:r>
        <w:rPr>
          <w:szCs w:val="21"/>
        </w:rPr>
        <w:t>2.5 MPa</w:t>
      </w:r>
      <w:r>
        <w:rPr>
          <w:rFonts w:hAnsi="宋体" w:hint="eastAsia"/>
          <w:szCs w:val="21"/>
        </w:rPr>
        <w:t>、</w:t>
      </w:r>
      <w:r>
        <w:rPr>
          <w:szCs w:val="21"/>
        </w:rPr>
        <w:t>3.2 MPa</w:t>
      </w:r>
      <w:r>
        <w:rPr>
          <w:rFonts w:hAnsi="宋体" w:hint="eastAsia"/>
          <w:szCs w:val="21"/>
        </w:rPr>
        <w:t>。</w:t>
      </w:r>
    </w:p>
    <w:p>
      <w:pPr>
        <w:spacing w:line="360" w:lineRule="auto"/>
        <w:rPr>
          <w:szCs w:val="21"/>
        </w:rPr>
      </w:pPr>
      <w:r>
        <w:rPr>
          <w:color w:val="000000"/>
        </w:rPr>
        <w:t>4.1.4</w:t>
      </w:r>
      <w:r>
        <w:rPr>
          <w:rFonts w:hint="eastAsia"/>
          <w:color w:val="000000"/>
        </w:rPr>
        <w:t>环</w:t>
      </w:r>
      <w:r>
        <w:rPr>
          <w:rFonts w:hAnsi="宋体" w:hint="eastAsia"/>
          <w:szCs w:val="21"/>
        </w:rPr>
        <w:t>刚度等级</w:t>
      </w:r>
      <w:r>
        <w:rPr>
          <w:szCs w:val="21"/>
        </w:rPr>
        <w:t>SN</w:t>
      </w:r>
      <w:r>
        <w:rPr>
          <w:rFonts w:hint="eastAsia"/>
          <w:szCs w:val="21"/>
        </w:rPr>
        <w:t>：</w:t>
      </w:r>
      <w:r>
        <w:rPr>
          <w:szCs w:val="21"/>
        </w:rPr>
        <w:t>1250 N/m</w:t>
      </w:r>
      <w:r>
        <w:rPr>
          <w:szCs w:val="21"/>
          <w:vertAlign w:val="superscript"/>
        </w:rPr>
        <w:t>2</w:t>
      </w:r>
      <w:r>
        <w:rPr>
          <w:rFonts w:hAnsi="宋体" w:hint="eastAsia"/>
          <w:szCs w:val="21"/>
        </w:rPr>
        <w:t>、</w:t>
      </w:r>
      <w:r>
        <w:rPr>
          <w:szCs w:val="21"/>
        </w:rPr>
        <w:t>2500 N/m</w:t>
      </w:r>
      <w:r>
        <w:rPr>
          <w:szCs w:val="21"/>
          <w:vertAlign w:val="superscript"/>
        </w:rPr>
        <w:t>2</w:t>
      </w:r>
      <w:r>
        <w:rPr>
          <w:rFonts w:hAnsi="宋体" w:hint="eastAsia"/>
          <w:szCs w:val="21"/>
        </w:rPr>
        <w:t>、</w:t>
      </w:r>
      <w:r>
        <w:rPr>
          <w:szCs w:val="21"/>
        </w:rPr>
        <w:t>5000 N/m</w:t>
      </w:r>
      <w:r>
        <w:rPr>
          <w:szCs w:val="21"/>
          <w:vertAlign w:val="superscript"/>
        </w:rPr>
        <w:t>2</w:t>
      </w:r>
      <w:r>
        <w:rPr>
          <w:rFonts w:hAnsi="宋体" w:hint="eastAsia"/>
          <w:szCs w:val="21"/>
        </w:rPr>
        <w:t>、</w:t>
      </w:r>
      <w:r>
        <w:rPr>
          <w:szCs w:val="21"/>
        </w:rPr>
        <w:t>7500 N/m</w:t>
      </w:r>
      <w:r>
        <w:rPr>
          <w:szCs w:val="21"/>
          <w:vertAlign w:val="superscript"/>
        </w:rPr>
        <w:t>2</w:t>
      </w:r>
      <w:r>
        <w:rPr>
          <w:rFonts w:hAnsi="宋体" w:hint="eastAsia"/>
          <w:szCs w:val="21"/>
        </w:rPr>
        <w:t>、</w:t>
      </w:r>
      <w:r>
        <w:rPr>
          <w:szCs w:val="21"/>
        </w:rPr>
        <w:t>10000 N/m</w:t>
      </w:r>
      <w:r>
        <w:rPr>
          <w:szCs w:val="21"/>
          <w:vertAlign w:val="superscript"/>
        </w:rPr>
        <w:t>2</w:t>
      </w:r>
      <w:r>
        <w:rPr>
          <w:rFonts w:hAnsi="宋体" w:hint="eastAsia"/>
          <w:szCs w:val="21"/>
        </w:rPr>
        <w:t>、</w:t>
      </w:r>
      <w:r>
        <w:rPr>
          <w:szCs w:val="21"/>
        </w:rPr>
        <w:t>12500 N/m</w:t>
      </w:r>
      <w:r>
        <w:rPr>
          <w:szCs w:val="21"/>
          <w:vertAlign w:val="superscript"/>
        </w:rPr>
        <w:t>2</w:t>
      </w:r>
      <w:r>
        <w:rPr>
          <w:rFonts w:hAnsi="宋体" w:hint="eastAsia"/>
          <w:szCs w:val="21"/>
        </w:rPr>
        <w:t>、</w:t>
      </w:r>
      <w:r>
        <w:rPr>
          <w:szCs w:val="21"/>
        </w:rPr>
        <w:t>15000 N/m</w:t>
      </w:r>
      <w:r>
        <w:rPr>
          <w:szCs w:val="21"/>
          <w:vertAlign w:val="superscript"/>
        </w:rPr>
        <w:t>2</w:t>
      </w:r>
      <w:r>
        <w:rPr>
          <w:rFonts w:hAnsi="宋体" w:hint="eastAsia"/>
          <w:szCs w:val="21"/>
        </w:rPr>
        <w:t>等。</w:t>
      </w:r>
    </w:p>
    <w:p>
      <w:pPr>
        <w:spacing w:line="360" w:lineRule="auto"/>
        <w:rPr>
          <w:szCs w:val="21"/>
        </w:rPr>
      </w:pPr>
      <w:r>
        <w:rPr>
          <w:color w:val="000000"/>
        </w:rPr>
        <w:t xml:space="preserve">4.1.5 </w:t>
      </w:r>
      <w:r>
        <w:rPr>
          <w:rFonts w:hAnsi="宋体" w:hint="eastAsia"/>
          <w:szCs w:val="21"/>
        </w:rPr>
        <w:t>用途：</w:t>
      </w:r>
      <w:r>
        <w:rPr>
          <w:szCs w:val="21"/>
        </w:rPr>
        <w:t>A</w:t>
      </w:r>
      <w:r>
        <w:rPr>
          <w:rFonts w:hint="eastAsia"/>
          <w:szCs w:val="21"/>
        </w:rPr>
        <w:t>—</w:t>
      </w:r>
      <w:r>
        <w:rPr>
          <w:rFonts w:hAnsi="宋体" w:hint="eastAsia"/>
          <w:szCs w:val="21"/>
        </w:rPr>
        <w:t>污水排水；</w:t>
      </w:r>
      <w:r>
        <w:rPr>
          <w:szCs w:val="21"/>
        </w:rPr>
        <w:t xml:space="preserve"> B</w:t>
      </w:r>
      <w:r>
        <w:rPr>
          <w:rFonts w:hint="eastAsia"/>
          <w:szCs w:val="21"/>
        </w:rPr>
        <w:t>—</w:t>
      </w:r>
      <w:r>
        <w:rPr>
          <w:rFonts w:hAnsi="宋体" w:hint="eastAsia"/>
          <w:szCs w:val="21"/>
        </w:rPr>
        <w:t>饮水供水；</w:t>
      </w:r>
      <w:r>
        <w:rPr>
          <w:szCs w:val="21"/>
        </w:rPr>
        <w:t xml:space="preserve"> C</w:t>
      </w:r>
      <w:r>
        <w:rPr>
          <w:rFonts w:hint="eastAsia"/>
          <w:szCs w:val="21"/>
        </w:rPr>
        <w:t>—</w:t>
      </w:r>
      <w:r>
        <w:rPr>
          <w:rFonts w:hAnsi="宋体" w:hint="eastAsia"/>
          <w:szCs w:val="21"/>
        </w:rPr>
        <w:t>农田灌溉；</w:t>
      </w:r>
      <w:r>
        <w:rPr>
          <w:szCs w:val="21"/>
        </w:rPr>
        <w:t>D</w:t>
      </w:r>
      <w:r>
        <w:rPr>
          <w:rFonts w:hint="eastAsia"/>
          <w:szCs w:val="21"/>
        </w:rPr>
        <w:t>—</w:t>
      </w:r>
      <w:r>
        <w:rPr>
          <w:rFonts w:hAnsi="宋体" w:hint="eastAsia"/>
          <w:szCs w:val="21"/>
        </w:rPr>
        <w:t>其他</w:t>
      </w:r>
      <w:r>
        <w:rPr>
          <w:szCs w:val="21"/>
        </w:rPr>
        <w:t xml:space="preserve">  </w:t>
      </w:r>
    </w:p>
    <w:p>
      <w:pPr>
        <w:spacing w:line="360" w:lineRule="auto"/>
        <w:rPr>
          <w:b/>
          <w:color w:val="000000"/>
        </w:rPr>
      </w:pPr>
      <w:r>
        <w:rPr>
          <w:rFonts w:hint="eastAsia"/>
          <w:b/>
          <w:color w:val="000000"/>
        </w:rPr>
        <w:t>4.2标记</w:t>
      </w:r>
    </w:p>
    <w:p>
      <w:pPr>
        <w:adjustRightInd w:val="0"/>
        <w:snapToGrid w:val="0"/>
        <w:spacing w:line="340" w:lineRule="exact"/>
        <w:ind w:firstLine="525" w:firstLineChars="250"/>
        <w:rPr>
          <w:color w:val="000000"/>
        </w:rPr>
      </w:pPr>
      <w:r>
        <w:t>B</w:t>
      </w:r>
      <w:r>
        <w:rPr>
          <w:rFonts w:hint="eastAsia"/>
        </w:rPr>
        <w:t>FR</w:t>
      </w:r>
      <w:r>
        <w:t>P</w:t>
      </w:r>
      <w:r>
        <w:rPr>
          <w:rFonts w:hint="eastAsia"/>
          <w:color w:val="000000"/>
        </w:rPr>
        <w:t xml:space="preserve">管的标记方法如下：  </w:t>
      </w:r>
    </w:p>
    <w:p>
      <w:pPr>
        <w:adjustRightInd w:val="0"/>
        <w:snapToGrid w:val="0"/>
        <w:spacing w:line="360" w:lineRule="exact"/>
        <w:ind w:firstLine="1300" w:firstLineChars="650"/>
        <w:rPr>
          <w:color w:val="000000"/>
        </w:rPr>
      </w:pPr>
      <w:r>
        <w:rPr>
          <w:color w:val="000000"/>
          <w:sz w:val="20"/>
        </w:rPr>
        <w:pict>
          <v:line id="_x0000_s1039" o:spid="_x0000_s1025" style="mso-height-relative:page;mso-width-relative:page;position:absolute;z-index:251663360" from="111.1pt,16.05pt" to="111.2pt,82.65pt" coordsize="21600,21600"/>
        </w:pict>
      </w:r>
      <w:r>
        <w:rPr>
          <w:color w:val="000000"/>
          <w:u w:val="single"/>
        </w:rPr>
        <w:t>B</w:t>
      </w:r>
      <w:r>
        <w:rPr>
          <w:rFonts w:hint="eastAsia"/>
          <w:color w:val="000000"/>
          <w:u w:val="single"/>
        </w:rPr>
        <w:t>FR</w:t>
      </w:r>
      <w:r>
        <w:rPr>
          <w:color w:val="000000"/>
          <w:u w:val="single"/>
        </w:rPr>
        <w:t>P</w:t>
      </w:r>
      <w:r>
        <w:rPr>
          <w:rFonts w:hint="eastAsia"/>
          <w:color w:val="000000"/>
        </w:rPr>
        <w:t>-</w:t>
      </w:r>
      <w:r>
        <w:rPr>
          <w:rFonts w:hint="eastAsia"/>
          <w:color w:val="000000"/>
          <w:u w:val="single"/>
        </w:rPr>
        <w:t>□</w:t>
      </w:r>
      <w:r>
        <w:rPr>
          <w:rFonts w:hint="eastAsia"/>
          <w:color w:val="000000"/>
        </w:rPr>
        <w:t>-</w:t>
      </w:r>
      <w:r>
        <w:rPr>
          <w:rFonts w:hint="eastAsia"/>
          <w:color w:val="000000"/>
          <w:u w:val="single"/>
        </w:rPr>
        <w:t>□</w:t>
      </w:r>
      <w:r>
        <w:rPr>
          <w:rFonts w:hint="eastAsia"/>
          <w:color w:val="000000"/>
        </w:rPr>
        <w:t>-</w:t>
      </w:r>
      <w:r>
        <w:rPr>
          <w:rFonts w:hint="eastAsia"/>
          <w:color w:val="000000"/>
          <w:u w:val="single"/>
        </w:rPr>
        <w:t>□</w:t>
      </w:r>
      <w:r>
        <w:rPr>
          <w:rFonts w:hint="eastAsia"/>
          <w:color w:val="000000"/>
        </w:rPr>
        <w:t>-</w:t>
      </w:r>
      <w:r>
        <w:rPr>
          <w:rFonts w:hint="eastAsia"/>
          <w:color w:val="000000"/>
          <w:u w:val="single"/>
        </w:rPr>
        <w:t>□</w:t>
      </w:r>
      <w:r>
        <w:rPr>
          <w:rFonts w:hint="eastAsia"/>
          <w:color w:val="000000"/>
        </w:rPr>
        <w:t xml:space="preserve">  </w:t>
      </w:r>
    </w:p>
    <w:p>
      <w:pPr>
        <w:adjustRightInd w:val="0"/>
        <w:snapToGrid w:val="0"/>
        <w:spacing w:line="360" w:lineRule="exact"/>
        <w:ind w:firstLine="1000" w:firstLineChars="500"/>
        <w:rPr>
          <w:color w:val="000000"/>
        </w:rPr>
      </w:pPr>
      <w:r>
        <w:rPr>
          <w:color w:val="000000"/>
          <w:sz w:val="20"/>
        </w:rPr>
        <w:pict>
          <v:line id="_x0000_s1029" o:spid="_x0000_s1026" style="mso-height-relative:page;mso-width-relative:page;position:absolute;z-index:251658240" from="139.5pt,0" to="139.5pt,31.2pt" coordsize="21600,21600"/>
        </w:pict>
      </w:r>
      <w:r>
        <w:rPr>
          <w:color w:val="000000"/>
          <w:sz w:val="20"/>
        </w:rPr>
        <w:pict>
          <v:line id="_x0000_s1035" o:spid="_x0000_s1027" style="mso-height-relative:page;mso-width-relative:page;position:absolute;z-index:251661312" from="97.4pt,0" to="97.4pt,85.8pt" coordsize="21600,21600"/>
        </w:pict>
      </w:r>
      <w:r>
        <w:rPr>
          <w:color w:val="000000"/>
          <w:sz w:val="20"/>
        </w:rPr>
        <w:pict>
          <v:line id="_x0000_s1037" o:spid="_x0000_s1028" style="mso-height-relative:page;mso-width-relative:page;position:absolute;z-index:251662336" from="1in,0" to="1in,101.4pt" coordsize="21600,21600"/>
        </w:pict>
      </w:r>
      <w:r>
        <w:rPr>
          <w:color w:val="000000"/>
          <w:sz w:val="20"/>
        </w:rPr>
        <w:pict>
          <v:line id="_x0000_s1031" o:spid="_x0000_s1029" style="mso-height-relative:page;mso-width-relative:page;position:absolute;z-index:251660288" from="126pt,0" to="126pt,46.8pt" coordsize="21600,21600"/>
        </w:pict>
      </w:r>
      <w:r>
        <w:rPr>
          <w:rFonts w:hint="eastAsia"/>
          <w:color w:val="000000"/>
        </w:rPr>
        <w:t xml:space="preserve">                                        </w:t>
      </w:r>
    </w:p>
    <w:p>
      <w:pPr>
        <w:adjustRightInd w:val="0"/>
        <w:snapToGrid w:val="0"/>
        <w:spacing w:line="360" w:lineRule="exact"/>
        <w:ind w:firstLine="1000" w:firstLineChars="500"/>
        <w:rPr>
          <w:color w:val="000000"/>
        </w:rPr>
        <w:sectPr>
          <w:headerReference w:type="default" r:id="rId11"/>
          <w:footerReference w:type="default" r:id="rId12"/>
          <w:type w:val="nextPage"/>
          <w:pgSz w:w="11906" w:h="16838"/>
          <w:pgMar w:top="1440" w:right="1800" w:bottom="1440" w:left="1800" w:header="851" w:footer="992" w:gutter="0"/>
          <w:pgNumType w:start="3"/>
          <w:cols w:num="1" w:space="720"/>
          <w:titlePg w:val="0"/>
          <w:docGrid w:type="lines" w:linePitch="312" w:charSpace="0"/>
        </w:sectPr>
      </w:pPr>
      <w:r>
        <w:rPr>
          <w:color w:val="000000"/>
          <w:sz w:val="20"/>
        </w:rPr>
        <w:pict>
          <v:line id="_x0000_s1030" o:spid="_x0000_s1030" style="mso-height-relative:page;mso-width-relative:page;position:absolute;z-index:251659264" from="138pt,13.2pt" to="252pt,13.2pt" coordsize="21600,21600"/>
        </w:pict>
      </w:r>
      <w:r>
        <w:rPr>
          <w:rFonts w:hint="eastAsia"/>
          <w:color w:val="000000"/>
        </w:rPr>
        <w:t xml:space="preserve">                                       用途；</w:t>
      </w:r>
    </w:p>
    <w:p>
      <w:pPr>
        <w:adjustRightInd w:val="0"/>
        <w:snapToGrid w:val="0"/>
        <w:spacing w:line="360" w:lineRule="exact"/>
        <w:ind w:firstLine="1000" w:firstLineChars="500"/>
        <w:rPr>
          <w:color w:val="000000"/>
        </w:rPr>
      </w:pPr>
      <w:r>
        <w:rPr>
          <w:color w:val="000000"/>
          <w:sz w:val="20"/>
        </w:rPr>
        <w:pict>
          <v:line id="_x0000_s1032" o:spid="_x0000_s1031" style="mso-height-relative:page;mso-width-relative:page;position:absolute;z-index:251664384" from="126pt,10.8pt" to="252pt,10.8pt" coordsize="21600,21600"/>
        </w:pict>
      </w:r>
      <w:r>
        <w:rPr>
          <w:rFonts w:hint="eastAsia"/>
          <w:color w:val="000000"/>
        </w:rPr>
        <w:t xml:space="preserve">                                       环刚度等级；</w:t>
      </w:r>
    </w:p>
    <w:p>
      <w:pPr>
        <w:adjustRightInd w:val="0"/>
        <w:snapToGrid w:val="0"/>
        <w:spacing w:line="360" w:lineRule="exact"/>
        <w:ind w:firstLine="1000" w:firstLineChars="500"/>
        <w:rPr>
          <w:color w:val="000000"/>
        </w:rPr>
      </w:pPr>
      <w:r>
        <w:rPr>
          <w:color w:val="000000"/>
          <w:sz w:val="20"/>
        </w:rPr>
        <w:pict>
          <v:line id="_x0000_s1034" o:spid="_x0000_s1032" style="mso-height-relative:page;mso-width-relative:page;position:absolute;z-index:251665408" from="110.5pt,9.9pt" to="252pt,9.9pt" coordsize="21600,21600"/>
        </w:pict>
      </w:r>
      <w:r>
        <w:rPr>
          <w:rFonts w:hint="eastAsia"/>
          <w:color w:val="000000"/>
        </w:rPr>
        <w:t xml:space="preserve">                                       压力等级；</w:t>
      </w:r>
    </w:p>
    <w:p>
      <w:pPr>
        <w:adjustRightInd w:val="0"/>
        <w:snapToGrid w:val="0"/>
        <w:spacing w:line="360" w:lineRule="exact"/>
        <w:ind w:firstLine="1000" w:firstLineChars="500"/>
        <w:rPr>
          <w:color w:val="000000"/>
        </w:rPr>
      </w:pPr>
      <w:r>
        <w:rPr>
          <w:color w:val="000000"/>
          <w:sz w:val="20"/>
        </w:rPr>
        <w:pict>
          <v:line id="_x0000_s1036" o:spid="_x0000_s1033" style="mso-height-relative:page;mso-width-relative:page;position:absolute;z-index:251666432" from="98.5pt,13.8pt" to="252pt,13.8pt" coordsize="21600,21600"/>
        </w:pict>
      </w:r>
      <w:r>
        <w:rPr>
          <w:rFonts w:hint="eastAsia"/>
          <w:color w:val="000000"/>
        </w:rPr>
        <w:t xml:space="preserve">                                       公称直径；</w:t>
      </w:r>
    </w:p>
    <w:p>
      <w:pPr>
        <w:adjustRightInd w:val="0"/>
        <w:snapToGrid w:val="0"/>
        <w:spacing w:line="360" w:lineRule="exact"/>
        <w:ind w:firstLine="1000" w:firstLineChars="500"/>
        <w:rPr>
          <w:color w:val="000000"/>
        </w:rPr>
      </w:pPr>
      <w:r>
        <w:rPr>
          <w:color w:val="000000"/>
          <w:sz w:val="20"/>
        </w:rPr>
        <w:pict>
          <v:line id="_x0000_s1038" o:spid="_x0000_s1034" style="mso-height-relative:page;mso-width-relative:page;position:absolute;z-index:251667456" from="1in,11.4pt" to="251.95pt,11.4pt" coordsize="21600,21600"/>
        </w:pict>
      </w:r>
      <w:r>
        <w:rPr>
          <w:rFonts w:hint="eastAsia"/>
          <w:color w:val="000000"/>
        </w:rPr>
        <w:t xml:space="preserve">                                       产品代号。</w:t>
      </w:r>
    </w:p>
    <w:p>
      <w:pPr>
        <w:spacing w:line="360" w:lineRule="auto"/>
        <w:rPr>
          <w:rFonts w:ascii="宋体" w:hAnsi="宋体"/>
          <w:sz w:val="20"/>
          <w:szCs w:val="21"/>
        </w:rPr>
      </w:pPr>
      <w:r>
        <w:rPr>
          <w:rFonts w:ascii="宋体" w:hAnsi="宋体" w:hint="eastAsia"/>
          <w:sz w:val="20"/>
          <w:szCs w:val="21"/>
        </w:rPr>
        <w:t>示例：公称直径为1200mm，、压力等级为1.6MPa、环刚度等级为5000 N/m</w:t>
      </w:r>
      <w:r>
        <w:rPr>
          <w:rFonts w:ascii="宋体" w:hAnsi="宋体" w:hint="eastAsia"/>
          <w:sz w:val="20"/>
          <w:szCs w:val="21"/>
          <w:vertAlign w:val="superscript"/>
        </w:rPr>
        <w:t>2</w:t>
      </w:r>
      <w:r>
        <w:rPr>
          <w:rFonts w:ascii="宋体" w:hAnsi="宋体" w:hint="eastAsia"/>
          <w:sz w:val="20"/>
          <w:szCs w:val="21"/>
        </w:rPr>
        <w:t>，用途为城市饮水供水，按照本标准生产的BFRP管标记为：BFRP-1200-1.6-5000-B</w:t>
      </w:r>
    </w:p>
    <w:p>
      <w:pPr>
        <w:pStyle w:val="Heading1"/>
        <w:spacing w:before="156" w:after="156"/>
        <w:ind w:right="960"/>
        <w:rPr>
          <w:rFonts w:ascii="Times New Roman" w:hAnsi="Times New Roman"/>
          <w:szCs w:val="24"/>
        </w:rPr>
      </w:pPr>
      <w:bookmarkStart w:id="8" w:name="_Toc504574669"/>
      <w:r>
        <w:rPr>
          <w:rFonts w:ascii="Times New Roman" w:hAnsi="Times New Roman" w:hint="eastAsia"/>
          <w:szCs w:val="24"/>
        </w:rPr>
        <w:t>5 原材料要求</w:t>
      </w:r>
      <w:bookmarkEnd w:id="8"/>
    </w:p>
    <w:p>
      <w:pPr>
        <w:pStyle w:val="Subtitle"/>
      </w:pPr>
      <w:bookmarkStart w:id="9" w:name="_Toc504574670"/>
      <w:r>
        <w:rPr>
          <w:rFonts w:hint="eastAsia"/>
        </w:rPr>
        <w:t>5.1 树脂</w:t>
      </w:r>
      <w:bookmarkEnd w:id="9"/>
    </w:p>
    <w:p>
      <w:pPr>
        <w:spacing w:line="360" w:lineRule="auto"/>
        <w:rPr>
          <w:rFonts w:ascii="宋体" w:hAnsi="宋体"/>
          <w:szCs w:val="21"/>
        </w:rPr>
      </w:pPr>
      <w:r>
        <w:rPr>
          <w:rFonts w:ascii="宋体" w:hAnsi="宋体" w:hint="eastAsia"/>
          <w:szCs w:val="21"/>
        </w:rPr>
        <w:t>5.1.1 制作管道及管件的不饱和聚酯树脂应符合</w:t>
      </w:r>
      <w:r>
        <w:rPr>
          <w:rFonts w:ascii="宋体" w:hAnsi="宋体"/>
          <w:szCs w:val="21"/>
        </w:rPr>
        <w:t>GB/T 8237的规定。</w:t>
      </w:r>
      <w:r>
        <w:rPr>
          <w:rFonts w:ascii="宋体" w:hAnsi="宋体" w:hint="eastAsia"/>
          <w:szCs w:val="21"/>
        </w:rPr>
        <w:t>其他树脂应符合相应的国家或行业标准的规定。</w:t>
      </w:r>
    </w:p>
    <w:p>
      <w:pPr>
        <w:spacing w:line="360" w:lineRule="auto"/>
        <w:rPr>
          <w:rFonts w:ascii="宋体" w:hAnsi="宋体"/>
          <w:szCs w:val="21"/>
        </w:rPr>
      </w:pPr>
      <w:r>
        <w:rPr>
          <w:rFonts w:ascii="宋体" w:hAnsi="宋体" w:hint="eastAsia"/>
          <w:szCs w:val="21"/>
        </w:rPr>
        <w:t>5.1.2 管道及管件用于贮存或输送化学介质时，应选择合适的耐化学树脂体系。</w:t>
      </w:r>
    </w:p>
    <w:p>
      <w:pPr>
        <w:spacing w:line="360" w:lineRule="auto"/>
        <w:rPr>
          <w:rFonts w:ascii="宋体" w:hAnsi="宋体"/>
          <w:szCs w:val="21"/>
        </w:rPr>
      </w:pPr>
      <w:r>
        <w:rPr>
          <w:rFonts w:ascii="宋体" w:hAnsi="宋体" w:hint="eastAsia"/>
          <w:szCs w:val="21"/>
        </w:rPr>
        <w:t>5.1.3 树脂通常应不含有颜料、染料、着色剂或填料。但下述情况除外：</w:t>
      </w:r>
    </w:p>
    <w:p>
      <w:pPr>
        <w:spacing w:line="360" w:lineRule="auto"/>
        <w:ind w:firstLine="420"/>
        <w:rPr>
          <w:rFonts w:ascii="宋体" w:hAnsi="宋体"/>
          <w:szCs w:val="21"/>
        </w:rPr>
      </w:pPr>
      <w:r>
        <w:rPr>
          <w:rFonts w:ascii="宋体" w:hAnsi="宋体" w:hint="eastAsia"/>
          <w:szCs w:val="21"/>
        </w:rPr>
        <w:t>a) 如供需双方同意，树脂中可以加入颜料，染色或着色剂；</w:t>
      </w:r>
    </w:p>
    <w:p>
      <w:pPr>
        <w:spacing w:line="360" w:lineRule="auto"/>
        <w:ind w:firstLine="420"/>
        <w:rPr>
          <w:rFonts w:ascii="宋体" w:hAnsi="宋体"/>
          <w:szCs w:val="21"/>
        </w:rPr>
      </w:pPr>
      <w:r>
        <w:rPr>
          <w:rFonts w:ascii="宋体" w:hAnsi="宋体" w:hint="eastAsia"/>
          <w:szCs w:val="21"/>
        </w:rPr>
        <w:t>b) 管道及管件长期暴露紫外线下时，可加入紫外线吸收剂以</w:t>
      </w:r>
      <w:r>
        <w:rPr>
          <w:rFonts w:ascii="宋体" w:hAnsi="宋体" w:hint="eastAsia"/>
          <w:strike/>
          <w:szCs w:val="21"/>
        </w:rPr>
        <w:t>应</w:t>
      </w:r>
      <w:r>
        <w:rPr>
          <w:rFonts w:ascii="宋体" w:hAnsi="宋体" w:hint="eastAsia"/>
          <w:szCs w:val="21"/>
        </w:rPr>
        <w:t>提高抗紫外线辐射能力；</w:t>
      </w:r>
    </w:p>
    <w:p>
      <w:pPr>
        <w:spacing w:line="360" w:lineRule="auto"/>
        <w:ind w:firstLine="420"/>
        <w:rPr>
          <w:rFonts w:ascii="宋体" w:hAnsi="宋体"/>
          <w:szCs w:val="21"/>
        </w:rPr>
      </w:pPr>
      <w:r>
        <w:rPr>
          <w:rFonts w:ascii="宋体" w:hAnsi="宋体" w:hint="eastAsia"/>
          <w:szCs w:val="21"/>
        </w:rPr>
        <w:t>c) 外表层喷涂胶衣或刷漆以提高表面耐老化能力。</w:t>
      </w:r>
    </w:p>
    <w:p>
      <w:pPr>
        <w:spacing w:line="360" w:lineRule="auto"/>
        <w:jc w:val="left"/>
        <w:rPr>
          <w:rFonts w:ascii="宋体" w:hAnsi="宋体"/>
          <w:szCs w:val="21"/>
        </w:rPr>
      </w:pPr>
      <w:r>
        <w:rPr>
          <w:rFonts w:ascii="宋体" w:hAnsi="宋体" w:hint="eastAsia"/>
          <w:szCs w:val="21"/>
        </w:rPr>
        <w:t>5.1.4给水工程用BFRP管的内衬层树脂的卫生指标应满足GB13115的规定。</w:t>
      </w:r>
    </w:p>
    <w:p>
      <w:pPr>
        <w:pStyle w:val="Subtitle"/>
      </w:pPr>
      <w:bookmarkStart w:id="10" w:name="_Toc504574671"/>
      <w:r>
        <w:rPr>
          <w:rFonts w:hint="eastAsia"/>
        </w:rPr>
        <w:t>5.2 增强材料</w:t>
      </w:r>
      <w:bookmarkEnd w:id="10"/>
    </w:p>
    <w:p>
      <w:pPr>
        <w:spacing w:line="360" w:lineRule="auto"/>
        <w:rPr>
          <w:rFonts w:ascii="宋体" w:hAnsi="宋体"/>
          <w:szCs w:val="21"/>
        </w:rPr>
      </w:pPr>
      <w:r>
        <w:rPr>
          <w:rFonts w:ascii="宋体" w:hAnsi="宋体" w:hint="eastAsia"/>
          <w:szCs w:val="21"/>
        </w:rPr>
        <w:t xml:space="preserve">5.2.1制作管道及管件用玄武岩纤维无捻粗纱应符合GB/T 25045的规定，玄武岩纤维毡、布等制品应符合相应的国家或行业标准的规定。                    </w:t>
      </w:r>
    </w:p>
    <w:p>
      <w:pPr>
        <w:spacing w:line="360" w:lineRule="auto"/>
        <w:rPr>
          <w:rFonts w:ascii="宋体" w:hAnsi="宋体"/>
          <w:szCs w:val="21"/>
        </w:rPr>
      </w:pPr>
      <w:r>
        <w:rPr>
          <w:rFonts w:ascii="宋体" w:hAnsi="宋体" w:hint="eastAsia"/>
          <w:szCs w:val="21"/>
        </w:rPr>
        <w:t>5.2.2 制作管道及管件用的增强材料与树脂系统应具有化学相容性。</w:t>
      </w:r>
    </w:p>
    <w:p>
      <w:pPr>
        <w:pStyle w:val="Heading1"/>
        <w:spacing w:before="156" w:after="156"/>
        <w:ind w:right="960"/>
        <w:rPr>
          <w:rFonts w:ascii="Times New Roman" w:hAnsi="Times New Roman"/>
          <w:szCs w:val="24"/>
        </w:rPr>
      </w:pPr>
      <w:bookmarkStart w:id="11" w:name="_Toc504574672"/>
      <w:r>
        <w:rPr>
          <w:rFonts w:ascii="Times New Roman" w:hAnsi="Times New Roman" w:hint="eastAsia"/>
          <w:szCs w:val="24"/>
        </w:rPr>
        <w:t>6要求</w:t>
      </w:r>
      <w:bookmarkEnd w:id="11"/>
    </w:p>
    <w:p>
      <w:pPr>
        <w:pStyle w:val="Subtitle"/>
      </w:pPr>
      <w:bookmarkStart w:id="12" w:name="_Toc504574673"/>
      <w:r>
        <w:rPr>
          <w:rFonts w:hint="eastAsia"/>
        </w:rPr>
        <w:t>6.1 外观</w:t>
      </w:r>
      <w:bookmarkEnd w:id="12"/>
    </w:p>
    <w:p>
      <w:pPr>
        <w:spacing w:line="360" w:lineRule="auto"/>
        <w:rPr>
          <w:rFonts w:ascii="宋体" w:hAnsi="宋体"/>
          <w:szCs w:val="21"/>
        </w:rPr>
      </w:pPr>
      <w:r>
        <w:rPr>
          <w:rFonts w:ascii="宋体" w:hAnsi="宋体" w:hint="eastAsia"/>
          <w:szCs w:val="21"/>
        </w:rPr>
        <w:t xml:space="preserve">    管道及管件内表面应光滑平整，无对使用性能有影响的龟裂、分层、针孔、杂质、贫胶区、气泡和纤维浸润不良等现象；管端面应平齐；边棱应无毛刺；外表面无明显缺陷。</w:t>
      </w:r>
    </w:p>
    <w:p>
      <w:pPr>
        <w:pStyle w:val="Subtitle"/>
      </w:pPr>
      <w:bookmarkStart w:id="13" w:name="_Toc504574674"/>
      <w:r>
        <w:rPr>
          <w:rFonts w:hint="eastAsia"/>
        </w:rPr>
        <w:t>6.2 尺寸</w:t>
      </w:r>
      <w:bookmarkEnd w:id="13"/>
    </w:p>
    <w:p>
      <w:pPr>
        <w:pStyle w:val="Title"/>
      </w:pPr>
      <w:bookmarkStart w:id="14" w:name="_Toc504574675"/>
      <w:r>
        <w:rPr>
          <w:rFonts w:hint="eastAsia"/>
        </w:rPr>
        <w:t>6.2.1 内径</w:t>
      </w:r>
      <w:bookmarkEnd w:id="14"/>
    </w:p>
    <w:p>
      <w:pPr>
        <w:spacing w:line="360" w:lineRule="auto"/>
        <w:rPr>
          <w:rFonts w:ascii="宋体" w:hAnsi="宋体"/>
          <w:szCs w:val="21"/>
        </w:rPr>
      </w:pPr>
      <w:r>
        <w:rPr>
          <w:rFonts w:ascii="宋体" w:hAnsi="宋体" w:hint="eastAsia"/>
          <w:szCs w:val="21"/>
        </w:rPr>
        <w:t xml:space="preserve">    管道的公称直径以内径表示，不同规格管道内径及其偏差应符合表1的规定。</w:t>
      </w:r>
    </w:p>
    <w:p>
      <w:pPr>
        <w:spacing w:line="360" w:lineRule="auto"/>
        <w:jc w:val="center"/>
        <w:rPr>
          <w:rFonts w:ascii="宋体" w:hAnsi="宋体"/>
          <w:szCs w:val="21"/>
        </w:rPr>
      </w:pPr>
      <w:r>
        <w:rPr>
          <w:rFonts w:ascii="宋体" w:hAnsi="宋体" w:hint="eastAsia"/>
          <w:szCs w:val="21"/>
        </w:rPr>
        <w:t xml:space="preserve">                         表 1 管道内径及其偏差                 单位为毫米</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1"/>
        <w:gridCol w:w="426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hint="eastAsia"/>
                <w:szCs w:val="21"/>
              </w:rPr>
              <w:t>公称直径DN</w:t>
            </w:r>
          </w:p>
        </w:tc>
        <w:tc>
          <w:tcPr>
            <w:tcW w:w="4261" w:type="dxa"/>
            <w:vAlign w:val="center"/>
          </w:tcPr>
          <w:p>
            <w:pPr>
              <w:spacing w:line="360" w:lineRule="auto"/>
              <w:jc w:val="center"/>
              <w:rPr>
                <w:rFonts w:ascii="宋体" w:hAnsi="宋体"/>
                <w:szCs w:val="21"/>
              </w:rPr>
            </w:pPr>
            <w:r>
              <w:rPr>
                <w:rFonts w:ascii="宋体" w:hAnsi="宋体" w:hint="eastAsia"/>
                <w:szCs w:val="21"/>
              </w:rPr>
              <w:t>偏差</w:t>
            </w:r>
          </w:p>
        </w:tc>
      </w:tr>
      <w:tr>
        <w:tblPrEx>
          <w:tblW w:w="0" w:type="auto"/>
          <w:tblInd w:w="0" w:type="dxa"/>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szCs w:val="21"/>
              </w:rPr>
              <w:t>100≤DN≤250</w:t>
            </w:r>
          </w:p>
        </w:tc>
        <w:tc>
          <w:tcPr>
            <w:tcW w:w="4261" w:type="dxa"/>
            <w:vAlign w:val="center"/>
          </w:tcPr>
          <w:p>
            <w:pPr>
              <w:spacing w:line="360" w:lineRule="auto"/>
              <w:jc w:val="center"/>
              <w:rPr>
                <w:rFonts w:ascii="宋体" w:hAnsi="宋体"/>
                <w:szCs w:val="21"/>
              </w:rPr>
            </w:pPr>
            <w:r>
              <w:rPr>
                <w:rFonts w:ascii="宋体" w:hAnsi="宋体" w:hint="eastAsia"/>
                <w:szCs w:val="21"/>
              </w:rPr>
              <w:t>±1.5</w:t>
            </w:r>
          </w:p>
        </w:tc>
      </w:tr>
    </w:tbl>
    <w:p>
      <w:pPr>
        <w:sectPr>
          <w:headerReference w:type="default" r:id="rId13"/>
          <w:footerReference w:type="default" r:id="rId14"/>
          <w:type w:val="nextPage"/>
          <w:pgSz w:w="11906" w:h="16838"/>
          <w:pgMar w:top="1440" w:right="1800" w:bottom="1440" w:left="1800" w:header="851" w:footer="992" w:gutter="0"/>
          <w:pgNumType w:start="4"/>
          <w:cols w:num="1" w:space="720"/>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1"/>
        <w:gridCol w:w="426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szCs w:val="21"/>
              </w:rPr>
              <w:t>250</w:t>
            </w:r>
            <w:r>
              <w:rPr>
                <w:rFonts w:ascii="宋体" w:hAnsi="宋体" w:hint="eastAsia"/>
                <w:szCs w:val="21"/>
              </w:rPr>
              <w:t>＜</w:t>
            </w:r>
            <w:r>
              <w:rPr>
                <w:rFonts w:ascii="宋体" w:hAnsi="宋体"/>
                <w:szCs w:val="21"/>
              </w:rPr>
              <w:t>DN≤350</w:t>
            </w:r>
          </w:p>
        </w:tc>
        <w:tc>
          <w:tcPr>
            <w:tcW w:w="4261" w:type="dxa"/>
            <w:vAlign w:val="center"/>
          </w:tcPr>
          <w:p>
            <w:pPr>
              <w:spacing w:line="360" w:lineRule="auto"/>
              <w:jc w:val="center"/>
              <w:rPr>
                <w:rFonts w:ascii="宋体" w:hAnsi="宋体"/>
                <w:szCs w:val="21"/>
              </w:rPr>
            </w:pPr>
            <w:r>
              <w:rPr>
                <w:rFonts w:ascii="宋体" w:hAnsi="宋体" w:hint="eastAsia"/>
                <w:szCs w:val="21"/>
              </w:rPr>
              <w:t>±1.8</w:t>
            </w:r>
          </w:p>
        </w:tc>
      </w:tr>
      <w:tr>
        <w:tblPrEx>
          <w:tblW w:w="0" w:type="auto"/>
          <w:tblInd w:w="0" w:type="dxa"/>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szCs w:val="21"/>
              </w:rPr>
              <w:t>350＜DN≤450</w:t>
            </w:r>
          </w:p>
        </w:tc>
        <w:tc>
          <w:tcPr>
            <w:tcW w:w="4261" w:type="dxa"/>
            <w:vAlign w:val="center"/>
          </w:tcPr>
          <w:p>
            <w:pPr>
              <w:spacing w:line="360" w:lineRule="auto"/>
              <w:jc w:val="center"/>
              <w:rPr>
                <w:rFonts w:ascii="宋体" w:hAnsi="宋体"/>
                <w:szCs w:val="21"/>
              </w:rPr>
            </w:pPr>
            <w:r>
              <w:rPr>
                <w:rFonts w:ascii="宋体" w:hAnsi="宋体" w:hint="eastAsia"/>
                <w:szCs w:val="21"/>
              </w:rPr>
              <w:t>±2.4</w:t>
            </w:r>
          </w:p>
        </w:tc>
      </w:tr>
      <w:tr>
        <w:tblPrEx>
          <w:tblW w:w="0" w:type="auto"/>
          <w:tblInd w:w="0" w:type="dxa"/>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szCs w:val="21"/>
              </w:rPr>
              <w:t>450＜DN≤550</w:t>
            </w:r>
          </w:p>
        </w:tc>
        <w:tc>
          <w:tcPr>
            <w:tcW w:w="4261" w:type="dxa"/>
            <w:vAlign w:val="center"/>
          </w:tcPr>
          <w:p>
            <w:pPr>
              <w:spacing w:line="360" w:lineRule="auto"/>
              <w:jc w:val="center"/>
              <w:rPr>
                <w:rFonts w:ascii="宋体" w:hAnsi="宋体"/>
                <w:szCs w:val="21"/>
              </w:rPr>
            </w:pPr>
            <w:r>
              <w:rPr>
                <w:rFonts w:ascii="宋体" w:hAnsi="宋体" w:hint="eastAsia"/>
                <w:szCs w:val="21"/>
              </w:rPr>
              <w:t>±3.0</w:t>
            </w:r>
          </w:p>
        </w:tc>
      </w:tr>
      <w:tr>
        <w:tblPrEx>
          <w:tblW w:w="0" w:type="auto"/>
          <w:tblInd w:w="0" w:type="dxa"/>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szCs w:val="21"/>
              </w:rPr>
              <w:t>550＜DN≤700</w:t>
            </w:r>
          </w:p>
        </w:tc>
        <w:tc>
          <w:tcPr>
            <w:tcW w:w="4261" w:type="dxa"/>
            <w:vAlign w:val="center"/>
          </w:tcPr>
          <w:p>
            <w:pPr>
              <w:spacing w:line="360" w:lineRule="auto"/>
              <w:jc w:val="center"/>
              <w:rPr>
                <w:rFonts w:ascii="宋体" w:hAnsi="宋体"/>
                <w:szCs w:val="21"/>
              </w:rPr>
            </w:pPr>
            <w:r>
              <w:rPr>
                <w:rFonts w:ascii="宋体" w:hAnsi="宋体" w:hint="eastAsia"/>
                <w:szCs w:val="21"/>
              </w:rPr>
              <w:t>±3.6</w:t>
            </w:r>
          </w:p>
        </w:tc>
      </w:tr>
      <w:tr>
        <w:tblPrEx>
          <w:tblW w:w="0" w:type="auto"/>
          <w:tblInd w:w="0" w:type="dxa"/>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szCs w:val="21"/>
              </w:rPr>
              <w:t>700＜DN≤1000</w:t>
            </w:r>
          </w:p>
        </w:tc>
        <w:tc>
          <w:tcPr>
            <w:tcW w:w="4261" w:type="dxa"/>
            <w:vAlign w:val="center"/>
          </w:tcPr>
          <w:p>
            <w:pPr>
              <w:spacing w:line="360" w:lineRule="auto"/>
              <w:jc w:val="center"/>
              <w:rPr>
                <w:rFonts w:ascii="宋体" w:hAnsi="宋体"/>
                <w:szCs w:val="21"/>
              </w:rPr>
            </w:pPr>
            <w:r>
              <w:rPr>
                <w:rFonts w:ascii="宋体" w:hAnsi="宋体" w:hint="eastAsia"/>
                <w:szCs w:val="21"/>
              </w:rPr>
              <w:t>±4.2</w:t>
            </w:r>
          </w:p>
        </w:tc>
      </w:tr>
      <w:tr>
        <w:tblPrEx>
          <w:tblW w:w="0" w:type="auto"/>
          <w:tblInd w:w="0" w:type="dxa"/>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szCs w:val="21"/>
              </w:rPr>
              <w:t>1000</w:t>
            </w:r>
            <w:r>
              <w:rPr>
                <w:rFonts w:ascii="宋体" w:hAnsi="宋体" w:hint="eastAsia"/>
                <w:szCs w:val="21"/>
              </w:rPr>
              <w:t>＜</w:t>
            </w:r>
            <w:r>
              <w:rPr>
                <w:rFonts w:ascii="宋体" w:hAnsi="宋体"/>
                <w:szCs w:val="21"/>
              </w:rPr>
              <w:t>DN≤2200</w:t>
            </w:r>
          </w:p>
        </w:tc>
        <w:tc>
          <w:tcPr>
            <w:tcW w:w="4261" w:type="dxa"/>
            <w:vAlign w:val="center"/>
          </w:tcPr>
          <w:p>
            <w:pPr>
              <w:spacing w:line="360" w:lineRule="auto"/>
              <w:jc w:val="center"/>
              <w:rPr>
                <w:rFonts w:ascii="宋体" w:hAnsi="宋体"/>
                <w:szCs w:val="21"/>
              </w:rPr>
            </w:pPr>
            <w:r>
              <w:rPr>
                <w:rFonts w:ascii="宋体" w:hAnsi="宋体" w:hint="eastAsia"/>
                <w:szCs w:val="21"/>
              </w:rPr>
              <w:t>±5.0</w:t>
            </w:r>
          </w:p>
        </w:tc>
      </w:tr>
      <w:tr>
        <w:tblPrEx>
          <w:tblW w:w="0" w:type="auto"/>
          <w:tblInd w:w="0" w:type="dxa"/>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szCs w:val="21"/>
              </w:rPr>
              <w:t>2200＜DN≤3600</w:t>
            </w:r>
          </w:p>
        </w:tc>
        <w:tc>
          <w:tcPr>
            <w:tcW w:w="4261" w:type="dxa"/>
            <w:vAlign w:val="center"/>
          </w:tcPr>
          <w:p>
            <w:pPr>
              <w:spacing w:line="360" w:lineRule="auto"/>
              <w:jc w:val="center"/>
              <w:rPr>
                <w:rFonts w:ascii="宋体" w:hAnsi="宋体"/>
                <w:szCs w:val="21"/>
              </w:rPr>
            </w:pPr>
            <w:r>
              <w:rPr>
                <w:rFonts w:ascii="宋体" w:hAnsi="宋体" w:hint="eastAsia"/>
                <w:szCs w:val="21"/>
              </w:rPr>
              <w:t>±6.0</w:t>
            </w:r>
          </w:p>
        </w:tc>
      </w:tr>
      <w:tr>
        <w:tblPrEx>
          <w:tblW w:w="0" w:type="auto"/>
          <w:tblInd w:w="0" w:type="dxa"/>
          <w:tblCellMar>
            <w:top w:w="0" w:type="dxa"/>
            <w:left w:w="108" w:type="dxa"/>
            <w:bottom w:w="0" w:type="dxa"/>
            <w:right w:w="108" w:type="dxa"/>
          </w:tblCellMar>
        </w:tblPrEx>
        <w:trPr>
          <w:trHeight w:val="277"/>
        </w:trPr>
        <w:tc>
          <w:tcPr>
            <w:tcW w:w="4261" w:type="dxa"/>
            <w:vAlign w:val="center"/>
          </w:tcPr>
          <w:p>
            <w:pPr>
              <w:spacing w:line="360" w:lineRule="auto"/>
              <w:jc w:val="center"/>
              <w:rPr>
                <w:rFonts w:ascii="宋体" w:hAnsi="宋体"/>
                <w:szCs w:val="21"/>
              </w:rPr>
            </w:pPr>
            <w:r>
              <w:rPr>
                <w:rFonts w:ascii="宋体" w:hAnsi="宋体"/>
                <w:szCs w:val="21"/>
              </w:rPr>
              <w:t>DN＞3600</w:t>
            </w:r>
          </w:p>
        </w:tc>
        <w:tc>
          <w:tcPr>
            <w:tcW w:w="4261" w:type="dxa"/>
            <w:vAlign w:val="center"/>
          </w:tcPr>
          <w:p>
            <w:pPr>
              <w:spacing w:line="360" w:lineRule="auto"/>
              <w:jc w:val="center"/>
              <w:rPr>
                <w:rFonts w:ascii="宋体" w:hAnsi="宋体"/>
                <w:szCs w:val="21"/>
              </w:rPr>
            </w:pPr>
            <w:r>
              <w:rPr>
                <w:rFonts w:ascii="宋体" w:hAnsi="宋体" w:hint="eastAsia"/>
                <w:szCs w:val="21"/>
              </w:rPr>
              <w:t>±7.0</w:t>
            </w:r>
          </w:p>
        </w:tc>
      </w:tr>
    </w:tbl>
    <w:p>
      <w:pPr>
        <w:pStyle w:val="Title"/>
      </w:pPr>
      <w:bookmarkStart w:id="15" w:name="_Toc504574676"/>
      <w:r>
        <w:rPr>
          <w:rFonts w:hint="eastAsia"/>
        </w:rPr>
        <w:t>6.2.2 长度</w:t>
      </w:r>
      <w:bookmarkEnd w:id="15"/>
    </w:p>
    <w:p>
      <w:pPr>
        <w:spacing w:line="360" w:lineRule="auto"/>
        <w:rPr>
          <w:rFonts w:ascii="宋体" w:hAnsi="宋体"/>
          <w:szCs w:val="21"/>
        </w:rPr>
      </w:pPr>
      <w:r>
        <w:rPr>
          <w:rFonts w:ascii="宋体" w:hAnsi="宋体" w:hint="eastAsia"/>
          <w:szCs w:val="21"/>
        </w:rPr>
        <w:t xml:space="preserve">    管道的有效长度为</w:t>
      </w:r>
      <w:r>
        <w:rPr>
          <w:rFonts w:ascii="宋体" w:hAnsi="宋体"/>
          <w:szCs w:val="21"/>
        </w:rPr>
        <w:t>3m、6m、9m、12m</w:t>
      </w:r>
      <w:r>
        <w:rPr>
          <w:rFonts w:ascii="宋体" w:hAnsi="宋体" w:hint="eastAsia"/>
          <w:szCs w:val="21"/>
        </w:rPr>
        <w:t>。如果需要特殊长度的管道，由供需双方商定。长度偏差按有效长度的±0.5%，且不超过±60mm。</w:t>
      </w:r>
    </w:p>
    <w:p>
      <w:pPr>
        <w:pStyle w:val="Title"/>
      </w:pPr>
      <w:bookmarkStart w:id="16" w:name="_Toc504574677"/>
      <w:r>
        <w:rPr>
          <w:rFonts w:hint="eastAsia"/>
        </w:rPr>
        <w:t>6.2.3 壁厚</w:t>
      </w:r>
      <w:bookmarkEnd w:id="16"/>
    </w:p>
    <w:p>
      <w:pPr>
        <w:spacing w:line="360" w:lineRule="auto"/>
        <w:rPr>
          <w:rFonts w:ascii="宋体" w:hAnsi="宋体"/>
          <w:szCs w:val="21"/>
        </w:rPr>
      </w:pPr>
      <w:r>
        <w:rPr>
          <w:rFonts w:ascii="宋体" w:hAnsi="宋体" w:hint="eastAsia"/>
          <w:szCs w:val="21"/>
        </w:rPr>
        <w:t xml:space="preserve">    管道及管件的最小厚度不得小于设计厚度的90%，平均厚度不得小于设计厚度。</w:t>
      </w:r>
    </w:p>
    <w:p>
      <w:pPr>
        <w:pStyle w:val="Title"/>
      </w:pPr>
      <w:bookmarkStart w:id="17" w:name="_Toc504574679"/>
      <w:r>
        <w:rPr>
          <w:rFonts w:hint="eastAsia"/>
        </w:rPr>
        <w:t>6.2.4 端部垂直度</w:t>
      </w:r>
      <w:bookmarkEnd w:id="17"/>
    </w:p>
    <w:p>
      <w:pPr>
        <w:spacing w:line="360" w:lineRule="auto"/>
        <w:rPr>
          <w:rFonts w:ascii="宋体" w:hAnsi="宋体"/>
          <w:szCs w:val="21"/>
        </w:rPr>
      </w:pPr>
      <w:r>
        <w:rPr>
          <w:rFonts w:ascii="宋体" w:hAnsi="宋体" w:hint="eastAsia"/>
          <w:szCs w:val="21"/>
        </w:rPr>
        <w:t xml:space="preserve">    不带法兰的管道端部垂直度偏差应符合表4的要求。</w:t>
      </w:r>
    </w:p>
    <w:p>
      <w:pPr>
        <w:spacing w:line="360" w:lineRule="auto"/>
        <w:jc w:val="center"/>
        <w:rPr>
          <w:rFonts w:ascii="宋体" w:hAnsi="宋体"/>
          <w:szCs w:val="21"/>
        </w:rPr>
      </w:pPr>
      <w:r>
        <w:rPr>
          <w:rFonts w:ascii="宋体" w:hAnsi="宋体" w:hint="eastAsia"/>
          <w:szCs w:val="21"/>
        </w:rPr>
        <w:t xml:space="preserve">                         表4 管端面垂直度偏差                   单位为毫米</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61"/>
        <w:gridCol w:w="426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hint="eastAsia"/>
                <w:szCs w:val="21"/>
              </w:rPr>
              <w:t>公称直径DN</w:t>
            </w:r>
          </w:p>
        </w:tc>
        <w:tc>
          <w:tcPr>
            <w:tcW w:w="4261" w:type="dxa"/>
            <w:vAlign w:val="center"/>
          </w:tcPr>
          <w:p>
            <w:pPr>
              <w:spacing w:line="360" w:lineRule="auto"/>
              <w:jc w:val="center"/>
              <w:rPr>
                <w:rFonts w:ascii="宋体" w:hAnsi="宋体"/>
                <w:szCs w:val="21"/>
              </w:rPr>
            </w:pPr>
            <w:r>
              <w:rPr>
                <w:rFonts w:ascii="宋体" w:hAnsi="宋体" w:hint="eastAsia"/>
                <w:szCs w:val="21"/>
              </w:rPr>
              <w:t>管端面垂直度偏差</w:t>
            </w:r>
          </w:p>
        </w:tc>
      </w:tr>
      <w:tr>
        <w:tblPrEx>
          <w:tblW w:w="0" w:type="auto"/>
          <w:tblInd w:w="0" w:type="dxa"/>
          <w:tblLayout w:type="fixed"/>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hint="eastAsia"/>
                <w:szCs w:val="21"/>
              </w:rPr>
              <w:t>DN＜600</w:t>
            </w:r>
          </w:p>
        </w:tc>
        <w:tc>
          <w:tcPr>
            <w:tcW w:w="4261" w:type="dxa"/>
            <w:vAlign w:val="center"/>
          </w:tcPr>
          <w:p>
            <w:pPr>
              <w:spacing w:line="360" w:lineRule="auto"/>
              <w:jc w:val="center"/>
              <w:rPr>
                <w:rFonts w:ascii="宋体" w:hAnsi="宋体"/>
                <w:szCs w:val="21"/>
              </w:rPr>
            </w:pPr>
            <w:r>
              <w:rPr>
                <w:rFonts w:ascii="宋体" w:hAnsi="宋体" w:hint="eastAsia"/>
                <w:szCs w:val="21"/>
              </w:rPr>
              <w:t>±4.0</w:t>
            </w:r>
          </w:p>
        </w:tc>
      </w:tr>
      <w:tr>
        <w:tblPrEx>
          <w:tblW w:w="0" w:type="auto"/>
          <w:tblInd w:w="0" w:type="dxa"/>
          <w:tblLayout w:type="fixed"/>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hint="eastAsia"/>
                <w:szCs w:val="21"/>
              </w:rPr>
              <w:t>600≤DN＜1000</w:t>
            </w:r>
          </w:p>
        </w:tc>
        <w:tc>
          <w:tcPr>
            <w:tcW w:w="4261" w:type="dxa"/>
            <w:vAlign w:val="center"/>
          </w:tcPr>
          <w:p>
            <w:pPr>
              <w:spacing w:line="360" w:lineRule="auto"/>
              <w:jc w:val="center"/>
              <w:rPr>
                <w:rFonts w:ascii="宋体" w:hAnsi="宋体"/>
                <w:szCs w:val="21"/>
              </w:rPr>
            </w:pPr>
            <w:r>
              <w:rPr>
                <w:rFonts w:ascii="宋体" w:hAnsi="宋体" w:hint="eastAsia"/>
                <w:szCs w:val="21"/>
              </w:rPr>
              <w:t>±6.0</w:t>
            </w:r>
          </w:p>
        </w:tc>
      </w:tr>
      <w:tr>
        <w:tblPrEx>
          <w:tblW w:w="0" w:type="auto"/>
          <w:tblInd w:w="0" w:type="dxa"/>
          <w:tblLayout w:type="fixed"/>
          <w:tblCellMar>
            <w:top w:w="0" w:type="dxa"/>
            <w:left w:w="108" w:type="dxa"/>
            <w:bottom w:w="0" w:type="dxa"/>
            <w:right w:w="108" w:type="dxa"/>
          </w:tblCellMar>
        </w:tblPrEx>
        <w:tc>
          <w:tcPr>
            <w:tcW w:w="4261" w:type="dxa"/>
            <w:vAlign w:val="center"/>
          </w:tcPr>
          <w:p>
            <w:pPr>
              <w:spacing w:line="360" w:lineRule="auto"/>
              <w:jc w:val="center"/>
              <w:rPr>
                <w:rFonts w:ascii="宋体" w:hAnsi="宋体"/>
                <w:szCs w:val="21"/>
              </w:rPr>
            </w:pPr>
            <w:r>
              <w:rPr>
                <w:rFonts w:ascii="宋体" w:hAnsi="宋体" w:hint="eastAsia"/>
                <w:szCs w:val="21"/>
              </w:rPr>
              <w:t>1000≤DN</w:t>
            </w:r>
          </w:p>
        </w:tc>
        <w:tc>
          <w:tcPr>
            <w:tcW w:w="4261" w:type="dxa"/>
            <w:vAlign w:val="center"/>
          </w:tcPr>
          <w:p>
            <w:pPr>
              <w:spacing w:line="360" w:lineRule="auto"/>
              <w:jc w:val="center"/>
              <w:rPr>
                <w:rFonts w:ascii="宋体" w:hAnsi="宋体"/>
                <w:szCs w:val="21"/>
              </w:rPr>
            </w:pPr>
            <w:r>
              <w:rPr>
                <w:rFonts w:ascii="宋体" w:hAnsi="宋体" w:hint="eastAsia"/>
                <w:szCs w:val="21"/>
              </w:rPr>
              <w:t>±8.0</w:t>
            </w:r>
          </w:p>
        </w:tc>
      </w:tr>
    </w:tbl>
    <w:p>
      <w:pPr>
        <w:pStyle w:val="Subtitle"/>
      </w:pPr>
      <w:bookmarkStart w:id="18" w:name="_Toc504574680"/>
      <w:r>
        <w:rPr>
          <w:rFonts w:hint="eastAsia"/>
        </w:rPr>
        <w:t xml:space="preserve">6.3 </w:t>
      </w:r>
      <w:bookmarkEnd w:id="18"/>
      <w:r>
        <w:rPr>
          <w:rFonts w:hint="eastAsia"/>
        </w:rPr>
        <w:t>管壁组分质量百分含量</w:t>
      </w:r>
    </w:p>
    <w:p>
      <w:pPr>
        <w:spacing w:line="360" w:lineRule="auto"/>
        <w:rPr>
          <w:rFonts w:ascii="宋体" w:hAnsi="宋体"/>
          <w:szCs w:val="21"/>
        </w:rPr>
      </w:pPr>
      <w:r>
        <w:rPr>
          <w:rFonts w:ascii="宋体" w:hAnsi="宋体" w:hint="eastAsia"/>
          <w:szCs w:val="21"/>
        </w:rPr>
        <w:t xml:space="preserve">    直管段管壁中玄武岩纤维、树脂和填料的含量由管材设计确定，并应在设计文件中明确给出。各组分的质量百分含量允许偏差为±3。</w:t>
      </w:r>
    </w:p>
    <w:p>
      <w:pPr>
        <w:pStyle w:val="Subtitle"/>
      </w:pPr>
      <w:bookmarkStart w:id="19" w:name="_Toc504574681"/>
      <w:r>
        <w:rPr>
          <w:rFonts w:hint="eastAsia"/>
        </w:rPr>
        <w:t>6.4 巴柯尔硬度</w:t>
      </w:r>
      <w:bookmarkEnd w:id="19"/>
    </w:p>
    <w:p>
      <w:pPr>
        <w:spacing w:line="360" w:lineRule="auto"/>
        <w:rPr>
          <w:rFonts w:ascii="宋体" w:hAnsi="宋体"/>
          <w:szCs w:val="21"/>
        </w:rPr>
      </w:pPr>
      <w:r>
        <w:rPr>
          <w:rFonts w:ascii="宋体" w:hAnsi="宋体" w:hint="eastAsia"/>
          <w:szCs w:val="21"/>
        </w:rPr>
        <w:t xml:space="preserve">    管道及管件外表面的巴柯尔硬度不小于40。</w:t>
      </w:r>
    </w:p>
    <w:p>
      <w:pPr>
        <w:pStyle w:val="Subtitle"/>
      </w:pPr>
      <w:bookmarkStart w:id="20" w:name="_Toc504574682"/>
      <w:r>
        <w:rPr>
          <w:rFonts w:hint="eastAsia"/>
        </w:rPr>
        <w:t>6.5 树脂不可溶分含量</w:t>
      </w:r>
      <w:bookmarkEnd w:id="20"/>
    </w:p>
    <w:p>
      <w:pPr>
        <w:spacing w:line="360" w:lineRule="auto"/>
        <w:rPr>
          <w:rFonts w:ascii="宋体" w:hAnsi="宋体"/>
          <w:szCs w:val="21"/>
        </w:rPr>
      </w:pPr>
      <w:r>
        <w:rPr>
          <w:rFonts w:ascii="宋体" w:hAnsi="宋体" w:hint="eastAsia"/>
          <w:szCs w:val="21"/>
        </w:rPr>
        <w:t xml:space="preserve">    管壁中树脂的不可溶分含量应不小于90%。</w:t>
      </w:r>
    </w:p>
    <w:p>
      <w:pPr>
        <w:pStyle w:val="Subtitle"/>
      </w:pPr>
      <w:bookmarkStart w:id="21" w:name="_Toc504574683"/>
      <w:r>
        <w:rPr>
          <w:rFonts w:hint="eastAsia"/>
        </w:rPr>
        <w:t>6.6 力学性能</w:t>
      </w:r>
      <w:bookmarkEnd w:id="21"/>
    </w:p>
    <w:p>
      <w:pPr>
        <w:ind w:firstLine="420" w:firstLineChars="200"/>
        <w:rPr>
          <w:rFonts w:ascii="宋体" w:hAnsi="宋体"/>
          <w:szCs w:val="21"/>
        </w:rPr>
      </w:pPr>
      <w:r>
        <w:rPr>
          <w:rFonts w:ascii="宋体" w:hAnsi="宋体" w:hint="eastAsia"/>
          <w:szCs w:val="21"/>
        </w:rPr>
        <w:t>管道及管件的结构层力学性能应满足表5的规定。当轴向拉伸强度有特殊要求时，由设计双方商量确定。</w:t>
      </w:r>
    </w:p>
    <w:p>
      <w:pPr>
        <w:spacing w:line="360" w:lineRule="auto"/>
        <w:jc w:val="center"/>
        <w:rPr>
          <w:rFonts w:ascii="宋体" w:hAnsi="宋体"/>
          <w:szCs w:val="21"/>
        </w:rPr>
        <w:sectPr>
          <w:headerReference w:type="default" r:id="rId15"/>
          <w:footerReference w:type="default" r:id="rId16"/>
          <w:type w:val="nextPage"/>
          <w:pgSz w:w="11906" w:h="16838"/>
          <w:pgMar w:top="1440" w:right="1800" w:bottom="1440" w:left="1800" w:header="851" w:footer="992" w:gutter="0"/>
          <w:pgNumType w:start="5"/>
          <w:cols w:num="1" w:space="720"/>
          <w:titlePg w:val="0"/>
          <w:docGrid w:type="lines" w:linePitch="312" w:charSpace="0"/>
        </w:sectPr>
      </w:pPr>
      <w:r>
        <w:rPr>
          <w:rFonts w:ascii="宋体" w:hAnsi="宋体" w:hint="eastAsia"/>
          <w:szCs w:val="21"/>
        </w:rPr>
        <w:t>表5 管道及管件力学性能</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841"/>
        <w:gridCol w:w="2841"/>
        <w:gridCol w:w="2840"/>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667" w:type="pct"/>
            <w:vAlign w:val="center"/>
          </w:tcPr>
          <w:p>
            <w:pPr>
              <w:spacing w:line="360" w:lineRule="auto"/>
              <w:jc w:val="center"/>
              <w:rPr>
                <w:rFonts w:ascii="宋体" w:hAnsi="宋体"/>
                <w:szCs w:val="21"/>
              </w:rPr>
            </w:pPr>
            <w:r>
              <w:rPr>
                <w:rFonts w:ascii="宋体" w:hAnsi="宋体" w:hint="eastAsia"/>
                <w:szCs w:val="21"/>
              </w:rPr>
              <w:t>项目</w:t>
            </w:r>
          </w:p>
        </w:tc>
        <w:tc>
          <w:tcPr>
            <w:tcW w:w="1667" w:type="pct"/>
            <w:vAlign w:val="center"/>
          </w:tcPr>
          <w:p>
            <w:pPr>
              <w:spacing w:line="360" w:lineRule="auto"/>
              <w:jc w:val="center"/>
              <w:rPr>
                <w:rFonts w:ascii="宋体" w:hAnsi="宋体"/>
                <w:szCs w:val="21"/>
              </w:rPr>
            </w:pPr>
            <w:r>
              <w:rPr>
                <w:rFonts w:ascii="宋体" w:hAnsi="宋体" w:hint="eastAsia"/>
                <w:szCs w:val="21"/>
              </w:rPr>
              <w:t>管道</w:t>
            </w:r>
          </w:p>
        </w:tc>
        <w:tc>
          <w:tcPr>
            <w:tcW w:w="1666" w:type="pct"/>
            <w:vAlign w:val="center"/>
          </w:tcPr>
          <w:p>
            <w:pPr>
              <w:spacing w:line="360" w:lineRule="auto"/>
              <w:jc w:val="center"/>
              <w:rPr>
                <w:rFonts w:ascii="宋体" w:hAnsi="宋体"/>
                <w:szCs w:val="21"/>
              </w:rPr>
            </w:pPr>
            <w:r>
              <w:rPr>
                <w:rFonts w:ascii="宋体" w:hAnsi="宋体" w:hint="eastAsia"/>
                <w:szCs w:val="21"/>
              </w:rPr>
              <w:t>管件</w:t>
            </w:r>
          </w:p>
        </w:tc>
      </w:tr>
      <w:tr>
        <w:tblPrEx>
          <w:tblW w:w="5000" w:type="pct"/>
          <w:tblInd w:w="0" w:type="dxa"/>
          <w:tblCellMar>
            <w:top w:w="0" w:type="dxa"/>
            <w:left w:w="108" w:type="dxa"/>
            <w:bottom w:w="0" w:type="dxa"/>
            <w:right w:w="108" w:type="dxa"/>
          </w:tblCellMar>
        </w:tblPrEx>
        <w:tc>
          <w:tcPr>
            <w:tcW w:w="1667" w:type="pct"/>
            <w:vAlign w:val="center"/>
          </w:tcPr>
          <w:p>
            <w:pPr>
              <w:spacing w:line="360" w:lineRule="auto"/>
              <w:jc w:val="center"/>
              <w:rPr>
                <w:rFonts w:ascii="宋体" w:hAnsi="宋体"/>
                <w:szCs w:val="21"/>
              </w:rPr>
            </w:pPr>
            <w:r>
              <w:rPr>
                <w:rFonts w:ascii="宋体" w:hAnsi="宋体" w:hint="eastAsia"/>
                <w:szCs w:val="21"/>
              </w:rPr>
              <w:t>环向拉伸强度/MPa</w:t>
            </w:r>
          </w:p>
        </w:tc>
        <w:tc>
          <w:tcPr>
            <w:tcW w:w="1667" w:type="pct"/>
          </w:tcPr>
          <w:p>
            <w:pPr>
              <w:spacing w:line="360" w:lineRule="auto"/>
              <w:jc w:val="center"/>
              <w:rPr>
                <w:rFonts w:ascii="宋体" w:hAnsi="宋体"/>
                <w:szCs w:val="21"/>
              </w:rPr>
            </w:pPr>
            <w:r>
              <w:rPr>
                <w:rFonts w:ascii="宋体" w:hAnsi="宋体" w:hint="eastAsia"/>
                <w:szCs w:val="21"/>
              </w:rPr>
              <w:t>≥250</w:t>
            </w:r>
          </w:p>
        </w:tc>
        <w:tc>
          <w:tcPr>
            <w:tcW w:w="1666" w:type="pct"/>
          </w:tcPr>
          <w:p>
            <w:pPr>
              <w:spacing w:line="360" w:lineRule="auto"/>
              <w:jc w:val="center"/>
              <w:rPr>
                <w:rFonts w:ascii="宋体" w:hAnsi="宋体"/>
                <w:szCs w:val="21"/>
              </w:rPr>
            </w:pPr>
            <w:r>
              <w:rPr>
                <w:rFonts w:ascii="宋体" w:hAnsi="宋体" w:hint="eastAsia"/>
                <w:szCs w:val="21"/>
              </w:rPr>
              <w:t>≥130</w:t>
            </w:r>
          </w:p>
        </w:tc>
      </w:tr>
      <w:tr>
        <w:tblPrEx>
          <w:tblW w:w="5000" w:type="pct"/>
          <w:tblInd w:w="0" w:type="dxa"/>
          <w:tblCellMar>
            <w:top w:w="0" w:type="dxa"/>
            <w:left w:w="108" w:type="dxa"/>
            <w:bottom w:w="0" w:type="dxa"/>
            <w:right w:w="108" w:type="dxa"/>
          </w:tblCellMar>
        </w:tblPrEx>
        <w:tc>
          <w:tcPr>
            <w:tcW w:w="1667" w:type="pct"/>
            <w:vAlign w:val="center"/>
          </w:tcPr>
          <w:p>
            <w:pPr>
              <w:spacing w:line="360" w:lineRule="auto"/>
              <w:jc w:val="center"/>
              <w:rPr>
                <w:rFonts w:ascii="宋体" w:hAnsi="宋体"/>
                <w:szCs w:val="21"/>
              </w:rPr>
            </w:pPr>
            <w:r>
              <w:rPr>
                <w:rFonts w:ascii="宋体" w:hAnsi="宋体" w:hint="eastAsia"/>
                <w:szCs w:val="21"/>
              </w:rPr>
              <w:t>环向拉伸弹性模量/GPa</w:t>
            </w:r>
          </w:p>
        </w:tc>
        <w:tc>
          <w:tcPr>
            <w:tcW w:w="1667" w:type="pct"/>
          </w:tcPr>
          <w:p>
            <w:pPr>
              <w:spacing w:line="360" w:lineRule="auto"/>
              <w:jc w:val="center"/>
              <w:rPr>
                <w:rFonts w:ascii="宋体" w:hAnsi="宋体"/>
                <w:szCs w:val="21"/>
              </w:rPr>
            </w:pPr>
            <w:r>
              <w:rPr>
                <w:rFonts w:ascii="宋体" w:hAnsi="宋体" w:hint="eastAsia"/>
                <w:szCs w:val="21"/>
              </w:rPr>
              <w:t>≥20</w:t>
            </w:r>
          </w:p>
        </w:tc>
        <w:tc>
          <w:tcPr>
            <w:tcW w:w="1666" w:type="pct"/>
          </w:tcPr>
          <w:p>
            <w:pPr>
              <w:spacing w:line="360" w:lineRule="auto"/>
              <w:jc w:val="center"/>
              <w:rPr>
                <w:rFonts w:ascii="宋体" w:hAnsi="宋体"/>
                <w:szCs w:val="21"/>
              </w:rPr>
            </w:pPr>
            <w:r>
              <w:rPr>
                <w:rFonts w:ascii="宋体" w:hAnsi="宋体" w:hint="eastAsia"/>
                <w:szCs w:val="21"/>
              </w:rPr>
              <w:t>≥13</w:t>
            </w:r>
          </w:p>
        </w:tc>
      </w:tr>
      <w:tr>
        <w:tblPrEx>
          <w:tblW w:w="5000" w:type="pct"/>
          <w:tblInd w:w="0" w:type="dxa"/>
          <w:tblCellMar>
            <w:top w:w="0" w:type="dxa"/>
            <w:left w:w="108" w:type="dxa"/>
            <w:bottom w:w="0" w:type="dxa"/>
            <w:right w:w="108" w:type="dxa"/>
          </w:tblCellMar>
        </w:tblPrEx>
        <w:tc>
          <w:tcPr>
            <w:tcW w:w="1667" w:type="pct"/>
            <w:vAlign w:val="center"/>
          </w:tcPr>
          <w:p>
            <w:pPr>
              <w:spacing w:line="360" w:lineRule="auto"/>
              <w:jc w:val="center"/>
              <w:rPr>
                <w:rFonts w:ascii="宋体" w:hAnsi="宋体"/>
                <w:szCs w:val="21"/>
              </w:rPr>
            </w:pPr>
            <w:r>
              <w:rPr>
                <w:rFonts w:ascii="宋体" w:hAnsi="宋体" w:hint="eastAsia"/>
                <w:szCs w:val="21"/>
              </w:rPr>
              <w:t>轴向拉伸强度/MPa</w:t>
            </w:r>
          </w:p>
        </w:tc>
        <w:tc>
          <w:tcPr>
            <w:tcW w:w="1667" w:type="pct"/>
          </w:tcPr>
          <w:p>
            <w:pPr>
              <w:spacing w:line="360" w:lineRule="auto"/>
              <w:jc w:val="center"/>
              <w:rPr>
                <w:rFonts w:ascii="宋体" w:hAnsi="宋体"/>
                <w:szCs w:val="21"/>
              </w:rPr>
            </w:pPr>
            <w:r>
              <w:rPr>
                <w:rFonts w:ascii="宋体" w:hAnsi="宋体" w:hint="eastAsia"/>
                <w:szCs w:val="21"/>
              </w:rPr>
              <w:t>≥40</w:t>
            </w:r>
          </w:p>
        </w:tc>
        <w:tc>
          <w:tcPr>
            <w:tcW w:w="1666" w:type="pct"/>
          </w:tcPr>
          <w:p>
            <w:pPr>
              <w:spacing w:line="360" w:lineRule="auto"/>
              <w:jc w:val="center"/>
              <w:rPr>
                <w:rFonts w:ascii="宋体" w:hAnsi="宋体"/>
                <w:szCs w:val="21"/>
              </w:rPr>
            </w:pPr>
            <w:r>
              <w:rPr>
                <w:rFonts w:ascii="宋体" w:hAnsi="宋体" w:hint="eastAsia"/>
                <w:szCs w:val="21"/>
              </w:rPr>
              <w:t>≥130</w:t>
            </w:r>
          </w:p>
        </w:tc>
      </w:tr>
      <w:tr>
        <w:tblPrEx>
          <w:tblW w:w="5000" w:type="pct"/>
          <w:tblInd w:w="0" w:type="dxa"/>
          <w:tblCellMar>
            <w:top w:w="0" w:type="dxa"/>
            <w:left w:w="108" w:type="dxa"/>
            <w:bottom w:w="0" w:type="dxa"/>
            <w:right w:w="108" w:type="dxa"/>
          </w:tblCellMar>
        </w:tblPrEx>
        <w:tc>
          <w:tcPr>
            <w:tcW w:w="1667" w:type="pct"/>
            <w:vAlign w:val="center"/>
          </w:tcPr>
          <w:p>
            <w:pPr>
              <w:spacing w:line="360" w:lineRule="auto"/>
              <w:jc w:val="center"/>
              <w:rPr>
                <w:rFonts w:ascii="宋体" w:hAnsi="宋体"/>
                <w:szCs w:val="21"/>
              </w:rPr>
            </w:pPr>
            <w:r>
              <w:rPr>
                <w:rFonts w:ascii="宋体" w:hAnsi="宋体" w:hint="eastAsia"/>
                <w:szCs w:val="21"/>
              </w:rPr>
              <w:t>轴向拉伸弹性模量/GPa</w:t>
            </w:r>
          </w:p>
        </w:tc>
        <w:tc>
          <w:tcPr>
            <w:tcW w:w="1667" w:type="pct"/>
          </w:tcPr>
          <w:p>
            <w:pPr>
              <w:spacing w:line="360" w:lineRule="auto"/>
              <w:jc w:val="center"/>
              <w:rPr>
                <w:rFonts w:ascii="宋体" w:hAnsi="宋体"/>
                <w:szCs w:val="21"/>
              </w:rPr>
            </w:pPr>
            <w:r>
              <w:rPr>
                <w:rFonts w:ascii="宋体" w:hAnsi="宋体" w:hint="eastAsia"/>
                <w:szCs w:val="21"/>
              </w:rPr>
              <w:t>≥10</w:t>
            </w:r>
          </w:p>
        </w:tc>
        <w:tc>
          <w:tcPr>
            <w:tcW w:w="1666" w:type="pct"/>
          </w:tcPr>
          <w:p>
            <w:pPr>
              <w:spacing w:line="360" w:lineRule="auto"/>
              <w:jc w:val="center"/>
              <w:rPr>
                <w:rFonts w:ascii="宋体" w:hAnsi="宋体"/>
                <w:szCs w:val="21"/>
              </w:rPr>
            </w:pPr>
            <w:r>
              <w:rPr>
                <w:rFonts w:ascii="宋体" w:hAnsi="宋体" w:hint="eastAsia"/>
                <w:szCs w:val="21"/>
              </w:rPr>
              <w:t>≥13</w:t>
            </w:r>
          </w:p>
        </w:tc>
      </w:tr>
    </w:tbl>
    <w:p>
      <w:pPr>
        <w:pStyle w:val="Subtitle"/>
      </w:pPr>
      <w:bookmarkStart w:id="22" w:name="_Toc504574684"/>
    </w:p>
    <w:p>
      <w:pPr>
        <w:pStyle w:val="Subtitle"/>
      </w:pPr>
      <w:r>
        <w:rPr>
          <w:rFonts w:hint="eastAsia"/>
        </w:rPr>
        <w:t>6.7 水压渗漏</w:t>
      </w:r>
      <w:bookmarkEnd w:id="22"/>
    </w:p>
    <w:p>
      <w:pPr>
        <w:spacing w:line="360" w:lineRule="auto"/>
        <w:rPr>
          <w:rFonts w:ascii="宋体" w:hAnsi="宋体"/>
          <w:szCs w:val="21"/>
        </w:rPr>
      </w:pPr>
      <w:r>
        <w:rPr>
          <w:rFonts w:ascii="宋体" w:hAnsi="宋体" w:hint="eastAsia"/>
          <w:szCs w:val="21"/>
        </w:rPr>
        <w:t xml:space="preserve">    对管道或管件施加压力等级1.5倍的静水内压，保压2min，管体及连接部位应无渗漏。</w:t>
      </w:r>
    </w:p>
    <w:p>
      <w:pPr>
        <w:pStyle w:val="Subtitle"/>
      </w:pPr>
      <w:bookmarkStart w:id="23" w:name="_Toc504574685"/>
      <w:r>
        <w:rPr>
          <w:rFonts w:hint="eastAsia"/>
        </w:rPr>
        <w:t>6.8 短时失效水压</w:t>
      </w:r>
      <w:bookmarkEnd w:id="23"/>
    </w:p>
    <w:p>
      <w:pPr>
        <w:spacing w:line="360" w:lineRule="auto"/>
        <w:rPr>
          <w:rFonts w:ascii="宋体" w:hAnsi="宋体"/>
          <w:szCs w:val="21"/>
        </w:rPr>
      </w:pPr>
      <w:r>
        <w:rPr>
          <w:rFonts w:ascii="宋体" w:hAnsi="宋体" w:hint="eastAsia"/>
          <w:szCs w:val="21"/>
        </w:rPr>
        <w:t xml:space="preserve">    短时失效水压应不小于管道压力等级的C</w:t>
      </w:r>
      <w:r>
        <w:rPr>
          <w:rFonts w:ascii="宋体" w:hAnsi="宋体" w:hint="eastAsia"/>
          <w:szCs w:val="21"/>
          <w:vertAlign w:val="subscript"/>
        </w:rPr>
        <w:t>1</w:t>
      </w:r>
      <w:r>
        <w:rPr>
          <w:rFonts w:ascii="宋体" w:hAnsi="宋体" w:hint="eastAsia"/>
          <w:szCs w:val="21"/>
        </w:rPr>
        <w:t>倍（若管道生产厂家没有长期静水压设计压力基准试验结果，C</w:t>
      </w:r>
      <w:r>
        <w:rPr>
          <w:rFonts w:ascii="宋体" w:hAnsi="宋体" w:hint="eastAsia"/>
          <w:szCs w:val="21"/>
          <w:vertAlign w:val="subscript"/>
        </w:rPr>
        <w:t>1</w:t>
      </w:r>
      <w:r>
        <w:rPr>
          <w:rFonts w:ascii="宋体" w:hAnsi="宋体" w:hint="eastAsia"/>
          <w:szCs w:val="21"/>
        </w:rPr>
        <w:t>=6.3；若有长期水压设计压力基准试验结果，C</w:t>
      </w:r>
      <w:r>
        <w:rPr>
          <w:rFonts w:ascii="宋体" w:hAnsi="宋体" w:hint="eastAsia"/>
          <w:szCs w:val="21"/>
          <w:vertAlign w:val="subscript"/>
        </w:rPr>
        <w:t>1</w:t>
      </w:r>
      <w:r>
        <w:rPr>
          <w:rFonts w:ascii="宋体" w:hAnsi="宋体" w:hint="eastAsia"/>
          <w:szCs w:val="21"/>
        </w:rPr>
        <w:t>应不小于4）。</w:t>
      </w:r>
    </w:p>
    <w:p>
      <w:pPr>
        <w:pStyle w:val="Subtitle"/>
      </w:pPr>
      <w:bookmarkStart w:id="24" w:name="_Toc504574686"/>
      <w:r>
        <w:rPr>
          <w:rFonts w:hint="eastAsia"/>
        </w:rPr>
        <w:t>6.9 初始环刚度</w:t>
      </w:r>
      <w:bookmarkEnd w:id="24"/>
    </w:p>
    <w:p>
      <w:pPr>
        <w:spacing w:line="360" w:lineRule="auto"/>
        <w:ind w:firstLine="420" w:firstLineChars="200"/>
        <w:rPr>
          <w:rFonts w:ascii="宋体" w:hAnsi="宋体"/>
          <w:szCs w:val="21"/>
        </w:rPr>
      </w:pPr>
      <w:r>
        <w:rPr>
          <w:rFonts w:ascii="宋体" w:hAnsi="宋体" w:hint="eastAsia"/>
          <w:szCs w:val="21"/>
        </w:rPr>
        <w:t>初始环刚度S</w:t>
      </w:r>
      <w:r>
        <w:rPr>
          <w:rFonts w:ascii="宋体" w:hAnsi="宋体" w:hint="eastAsia"/>
          <w:szCs w:val="21"/>
          <w:vertAlign w:val="subscript"/>
        </w:rPr>
        <w:t>0</w:t>
      </w:r>
      <w:r>
        <w:rPr>
          <w:rFonts w:ascii="宋体" w:hAnsi="宋体" w:hint="eastAsia"/>
          <w:szCs w:val="21"/>
        </w:rPr>
        <w:t>应不小于相应的环刚度等级值SN。</w:t>
      </w:r>
    </w:p>
    <w:p>
      <w:pPr>
        <w:pStyle w:val="Subtitle"/>
      </w:pPr>
      <w:bookmarkStart w:id="25" w:name="_Toc504574688"/>
      <w:r>
        <w:rPr>
          <w:rFonts w:hint="eastAsia"/>
        </w:rPr>
        <w:t>6.10 初始挠曲性</w:t>
      </w:r>
      <w:bookmarkEnd w:id="25"/>
    </w:p>
    <w:p>
      <w:pPr>
        <w:ind w:firstLine="420" w:firstLineChars="200"/>
      </w:pPr>
      <w:r>
        <w:rPr>
          <w:rFonts w:hint="eastAsia"/>
        </w:rPr>
        <w:t>初始挠曲水平A和挠曲水平B均应满足表6要求。</w:t>
      </w:r>
    </w:p>
    <w:p>
      <w:pPr>
        <w:jc w:val="center"/>
        <w:rPr>
          <w:b/>
        </w:rPr>
      </w:pPr>
      <w:r>
        <w:rPr>
          <w:rFonts w:hint="eastAsia"/>
          <w:b/>
        </w:rPr>
        <w:t>表6 初始挠曲性的径向变形率及要求</w:t>
      </w:r>
    </w:p>
    <w:tbl>
      <w:tblPr>
        <w:tblStyle w:val="TableNormal"/>
        <w:tblW w:w="10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17"/>
        <w:gridCol w:w="1217"/>
        <w:gridCol w:w="1217"/>
        <w:gridCol w:w="1217"/>
        <w:gridCol w:w="1218"/>
        <w:gridCol w:w="1218"/>
        <w:gridCol w:w="3451"/>
      </w:tblGrid>
      <w:tr>
        <w:tblPrEx>
          <w:tblW w:w="10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217" w:type="dxa"/>
            <w:vMerge w:val="restart"/>
            <w:vAlign w:val="center"/>
          </w:tcPr>
          <w:p>
            <w:pPr>
              <w:jc w:val="center"/>
            </w:pPr>
            <w:r>
              <w:rPr>
                <w:rFonts w:hint="eastAsia"/>
              </w:rPr>
              <w:t>挠曲水平</w:t>
            </w:r>
          </w:p>
          <w:p>
            <w:pPr>
              <w:jc w:val="center"/>
            </w:pPr>
            <w:r>
              <w:rPr>
                <w:rFonts w:hint="eastAsia"/>
              </w:rPr>
              <w:t>%</w:t>
            </w:r>
          </w:p>
        </w:tc>
        <w:tc>
          <w:tcPr>
            <w:tcW w:w="6087" w:type="dxa"/>
            <w:gridSpan w:val="5"/>
            <w:vAlign w:val="center"/>
          </w:tcPr>
          <w:p>
            <w:pPr>
              <w:jc w:val="center"/>
            </w:pPr>
            <w:r>
              <w:rPr>
                <w:rFonts w:hint="eastAsia"/>
              </w:rPr>
              <w:t>环刚度等级</w:t>
            </w:r>
          </w:p>
          <w:p>
            <w:pPr>
              <w:jc w:val="center"/>
            </w:pPr>
            <w:r>
              <w:rPr>
                <w:rFonts w:hint="eastAsia"/>
              </w:rPr>
              <w:t>N/mm</w:t>
            </w:r>
            <w:r>
              <w:rPr>
                <w:rFonts w:hint="eastAsia"/>
                <w:vertAlign w:val="superscript"/>
              </w:rPr>
              <w:t>2</w:t>
            </w:r>
          </w:p>
        </w:tc>
        <w:tc>
          <w:tcPr>
            <w:tcW w:w="3451" w:type="dxa"/>
            <w:vMerge w:val="restart"/>
            <w:vAlign w:val="center"/>
          </w:tcPr>
          <w:p>
            <w:pPr>
              <w:jc w:val="center"/>
            </w:pPr>
            <w:r>
              <w:rPr>
                <w:rFonts w:hint="eastAsia"/>
              </w:rPr>
              <w:t>要求</w:t>
            </w:r>
          </w:p>
        </w:tc>
      </w:tr>
      <w:tr>
        <w:tblPrEx>
          <w:tblW w:w="10755" w:type="dxa"/>
          <w:jc w:val="center"/>
          <w:tblCellMar>
            <w:top w:w="0" w:type="dxa"/>
            <w:left w:w="108" w:type="dxa"/>
            <w:bottom w:w="0" w:type="dxa"/>
            <w:right w:w="108" w:type="dxa"/>
          </w:tblCellMar>
        </w:tblPrEx>
        <w:trPr>
          <w:jc w:val="center"/>
        </w:trPr>
        <w:tc>
          <w:tcPr>
            <w:tcW w:w="1217" w:type="dxa"/>
            <w:vMerge/>
            <w:vAlign w:val="center"/>
          </w:tcPr>
          <w:p>
            <w:pPr>
              <w:jc w:val="center"/>
            </w:pPr>
          </w:p>
        </w:tc>
        <w:tc>
          <w:tcPr>
            <w:tcW w:w="1217" w:type="dxa"/>
            <w:vAlign w:val="center"/>
          </w:tcPr>
          <w:p>
            <w:pPr>
              <w:jc w:val="center"/>
            </w:pPr>
            <w:r>
              <w:rPr>
                <w:rFonts w:hint="eastAsia"/>
              </w:rPr>
              <w:t>1250</w:t>
            </w:r>
          </w:p>
        </w:tc>
        <w:tc>
          <w:tcPr>
            <w:tcW w:w="1217" w:type="dxa"/>
            <w:vAlign w:val="center"/>
          </w:tcPr>
          <w:p>
            <w:pPr>
              <w:jc w:val="center"/>
            </w:pPr>
            <w:r>
              <w:rPr>
                <w:rFonts w:hint="eastAsia"/>
              </w:rPr>
              <w:t>2500</w:t>
            </w:r>
          </w:p>
        </w:tc>
        <w:tc>
          <w:tcPr>
            <w:tcW w:w="1217" w:type="dxa"/>
            <w:vAlign w:val="center"/>
          </w:tcPr>
          <w:p>
            <w:pPr>
              <w:jc w:val="center"/>
            </w:pPr>
            <w:r>
              <w:rPr>
                <w:rFonts w:hint="eastAsia"/>
              </w:rPr>
              <w:t>5000</w:t>
            </w:r>
          </w:p>
        </w:tc>
        <w:tc>
          <w:tcPr>
            <w:tcW w:w="1218" w:type="dxa"/>
            <w:vAlign w:val="center"/>
          </w:tcPr>
          <w:p>
            <w:pPr>
              <w:jc w:val="center"/>
            </w:pPr>
            <w:r>
              <w:rPr>
                <w:rFonts w:hint="eastAsia"/>
              </w:rPr>
              <w:t>7500</w:t>
            </w:r>
          </w:p>
        </w:tc>
        <w:tc>
          <w:tcPr>
            <w:tcW w:w="1218" w:type="dxa"/>
            <w:vAlign w:val="center"/>
          </w:tcPr>
          <w:p>
            <w:pPr>
              <w:jc w:val="center"/>
            </w:pPr>
            <w:r>
              <w:rPr>
                <w:rFonts w:hint="eastAsia"/>
              </w:rPr>
              <w:t>10000</w:t>
            </w:r>
          </w:p>
        </w:tc>
        <w:tc>
          <w:tcPr>
            <w:tcW w:w="3451" w:type="dxa"/>
            <w:vMerge/>
            <w:vAlign w:val="center"/>
          </w:tcPr>
          <w:p>
            <w:pPr>
              <w:jc w:val="center"/>
            </w:pPr>
          </w:p>
        </w:tc>
      </w:tr>
      <w:tr>
        <w:tblPrEx>
          <w:tblW w:w="10755" w:type="dxa"/>
          <w:jc w:val="center"/>
          <w:tblCellMar>
            <w:top w:w="0" w:type="dxa"/>
            <w:left w:w="108" w:type="dxa"/>
            <w:bottom w:w="0" w:type="dxa"/>
            <w:right w:w="108" w:type="dxa"/>
          </w:tblCellMar>
        </w:tblPrEx>
        <w:trPr>
          <w:jc w:val="center"/>
        </w:trPr>
        <w:tc>
          <w:tcPr>
            <w:tcW w:w="1217" w:type="dxa"/>
            <w:vAlign w:val="center"/>
          </w:tcPr>
          <w:p>
            <w:pPr>
              <w:jc w:val="center"/>
            </w:pPr>
            <w:r>
              <w:rPr>
                <w:rFonts w:hint="eastAsia"/>
              </w:rPr>
              <w:t>A</w:t>
            </w:r>
          </w:p>
        </w:tc>
        <w:tc>
          <w:tcPr>
            <w:tcW w:w="1217" w:type="dxa"/>
            <w:vAlign w:val="center"/>
          </w:tcPr>
          <w:p>
            <w:pPr>
              <w:jc w:val="center"/>
            </w:pPr>
            <w:r>
              <w:rPr>
                <w:rFonts w:hint="eastAsia"/>
              </w:rPr>
              <w:t>18.0</w:t>
            </w:r>
          </w:p>
        </w:tc>
        <w:tc>
          <w:tcPr>
            <w:tcW w:w="1217" w:type="dxa"/>
            <w:vAlign w:val="center"/>
          </w:tcPr>
          <w:p>
            <w:pPr>
              <w:jc w:val="center"/>
            </w:pPr>
            <w:r>
              <w:rPr>
                <w:rFonts w:hint="eastAsia"/>
              </w:rPr>
              <w:t>15.0</w:t>
            </w:r>
          </w:p>
        </w:tc>
        <w:tc>
          <w:tcPr>
            <w:tcW w:w="1217" w:type="dxa"/>
            <w:vAlign w:val="center"/>
          </w:tcPr>
          <w:p>
            <w:pPr>
              <w:jc w:val="center"/>
            </w:pPr>
            <w:r>
              <w:rPr>
                <w:rFonts w:hint="eastAsia"/>
              </w:rPr>
              <w:t>12.0</w:t>
            </w:r>
          </w:p>
        </w:tc>
        <w:tc>
          <w:tcPr>
            <w:tcW w:w="1218" w:type="dxa"/>
            <w:vAlign w:val="center"/>
          </w:tcPr>
          <w:p>
            <w:pPr>
              <w:jc w:val="center"/>
            </w:pPr>
            <w:r>
              <w:rPr>
                <w:rFonts w:hint="eastAsia"/>
              </w:rPr>
              <w:t>10.5</w:t>
            </w:r>
          </w:p>
        </w:tc>
        <w:tc>
          <w:tcPr>
            <w:tcW w:w="1218" w:type="dxa"/>
            <w:vAlign w:val="center"/>
          </w:tcPr>
          <w:p>
            <w:pPr>
              <w:jc w:val="center"/>
            </w:pPr>
            <w:r>
              <w:rPr>
                <w:rFonts w:hint="eastAsia"/>
              </w:rPr>
              <w:t>9.0</w:t>
            </w:r>
          </w:p>
        </w:tc>
        <w:tc>
          <w:tcPr>
            <w:tcW w:w="3451" w:type="dxa"/>
            <w:vAlign w:val="center"/>
          </w:tcPr>
          <w:p>
            <w:pPr>
              <w:jc w:val="center"/>
            </w:pPr>
            <w:r>
              <w:rPr>
                <w:rFonts w:hint="eastAsia"/>
              </w:rPr>
              <w:t>管内壁无裂纹</w:t>
            </w:r>
          </w:p>
        </w:tc>
      </w:tr>
      <w:tr>
        <w:tblPrEx>
          <w:tblW w:w="10755" w:type="dxa"/>
          <w:jc w:val="center"/>
          <w:tblCellMar>
            <w:top w:w="0" w:type="dxa"/>
            <w:left w:w="108" w:type="dxa"/>
            <w:bottom w:w="0" w:type="dxa"/>
            <w:right w:w="108" w:type="dxa"/>
          </w:tblCellMar>
        </w:tblPrEx>
        <w:trPr>
          <w:jc w:val="center"/>
        </w:trPr>
        <w:tc>
          <w:tcPr>
            <w:tcW w:w="1217" w:type="dxa"/>
            <w:vAlign w:val="center"/>
          </w:tcPr>
          <w:p>
            <w:pPr>
              <w:jc w:val="center"/>
            </w:pPr>
            <w:r>
              <w:rPr>
                <w:rFonts w:hint="eastAsia"/>
              </w:rPr>
              <w:t>B</w:t>
            </w:r>
          </w:p>
        </w:tc>
        <w:tc>
          <w:tcPr>
            <w:tcW w:w="1217" w:type="dxa"/>
            <w:vAlign w:val="center"/>
          </w:tcPr>
          <w:p>
            <w:pPr>
              <w:jc w:val="center"/>
            </w:pPr>
            <w:r>
              <w:rPr>
                <w:rFonts w:hint="eastAsia"/>
              </w:rPr>
              <w:t>30.0</w:t>
            </w:r>
          </w:p>
        </w:tc>
        <w:tc>
          <w:tcPr>
            <w:tcW w:w="1217" w:type="dxa"/>
            <w:vAlign w:val="center"/>
          </w:tcPr>
          <w:p>
            <w:pPr>
              <w:jc w:val="center"/>
            </w:pPr>
            <w:r>
              <w:rPr>
                <w:rFonts w:hint="eastAsia"/>
              </w:rPr>
              <w:t>25.0</w:t>
            </w:r>
          </w:p>
        </w:tc>
        <w:tc>
          <w:tcPr>
            <w:tcW w:w="1217" w:type="dxa"/>
            <w:vAlign w:val="center"/>
          </w:tcPr>
          <w:p>
            <w:pPr>
              <w:jc w:val="center"/>
            </w:pPr>
            <w:r>
              <w:rPr>
                <w:rFonts w:hint="eastAsia"/>
              </w:rPr>
              <w:t>20.0</w:t>
            </w:r>
          </w:p>
        </w:tc>
        <w:tc>
          <w:tcPr>
            <w:tcW w:w="1218" w:type="dxa"/>
            <w:vAlign w:val="center"/>
          </w:tcPr>
          <w:p>
            <w:pPr>
              <w:jc w:val="center"/>
            </w:pPr>
            <w:r>
              <w:rPr>
                <w:rFonts w:hint="eastAsia"/>
              </w:rPr>
              <w:t>17.5</w:t>
            </w:r>
          </w:p>
        </w:tc>
        <w:tc>
          <w:tcPr>
            <w:tcW w:w="1218" w:type="dxa"/>
            <w:vAlign w:val="center"/>
          </w:tcPr>
          <w:p>
            <w:pPr>
              <w:jc w:val="center"/>
            </w:pPr>
            <w:r>
              <w:rPr>
                <w:rFonts w:hint="eastAsia"/>
              </w:rPr>
              <w:t>15.0</w:t>
            </w:r>
          </w:p>
        </w:tc>
        <w:tc>
          <w:tcPr>
            <w:tcW w:w="3451" w:type="dxa"/>
            <w:vAlign w:val="center"/>
          </w:tcPr>
          <w:p>
            <w:pPr>
              <w:jc w:val="center"/>
            </w:pPr>
            <w:r>
              <w:rPr>
                <w:rFonts w:hint="eastAsia"/>
              </w:rPr>
              <w:t>管壁结构无分层、纤维断裂及屈曲</w:t>
            </w:r>
          </w:p>
        </w:tc>
      </w:tr>
      <w:tr>
        <w:tblPrEx>
          <w:tblW w:w="10755" w:type="dxa"/>
          <w:jc w:val="center"/>
          <w:tblCellMar>
            <w:top w:w="0" w:type="dxa"/>
            <w:left w:w="108" w:type="dxa"/>
            <w:bottom w:w="0" w:type="dxa"/>
            <w:right w:w="108" w:type="dxa"/>
          </w:tblCellMar>
        </w:tblPrEx>
        <w:trPr>
          <w:jc w:val="center"/>
        </w:trPr>
        <w:tc>
          <w:tcPr>
            <w:tcW w:w="10755" w:type="dxa"/>
            <w:gridSpan w:val="7"/>
          </w:tcPr>
          <w:p>
            <w:pPr>
              <w:spacing w:line="312" w:lineRule="auto"/>
              <w:ind w:firstLine="420" w:firstLineChars="200"/>
            </w:pPr>
            <w:r>
              <w:rPr>
                <w:rFonts w:hint="eastAsia"/>
              </w:rPr>
              <w:t>注：对于其他环刚度管的初始挠曲性的径向变形率按下述要求执行：</w:t>
            </w:r>
          </w:p>
          <w:p>
            <w:pPr>
              <w:spacing w:line="312" w:lineRule="auto"/>
              <w:ind w:left="1134" w:hanging="284" w:leftChars="405" w:hangingChars="135"/>
            </w:pPr>
            <w:r>
              <w:rPr>
                <w:rFonts w:hint="eastAsia"/>
              </w:rPr>
              <w:t>a）对于环刚度等级在标准等级之间的管，挠曲水平A和B对应的径向变形率分别按线形插值的方法确定；</w:t>
            </w:r>
          </w:p>
          <w:p>
            <w:pPr>
              <w:spacing w:line="312" w:lineRule="auto"/>
              <w:ind w:left="1134" w:hanging="284" w:leftChars="405" w:hangingChars="135"/>
            </w:pPr>
            <w:r>
              <w:rPr>
                <w:rFonts w:hint="eastAsia"/>
              </w:rPr>
              <w:t>b）对于环刚度等级≤1250 N/mm</w:t>
            </w:r>
            <w:r>
              <w:rPr>
                <w:rFonts w:hint="eastAsia"/>
                <w:vertAlign w:val="superscript"/>
              </w:rPr>
              <w:t>2</w:t>
            </w:r>
            <w:r>
              <w:rPr>
                <w:rFonts w:hint="eastAsia"/>
              </w:rPr>
              <w:t>或≥10000 N/mm</w:t>
            </w:r>
            <w:r>
              <w:rPr>
                <w:rFonts w:hint="eastAsia"/>
                <w:vertAlign w:val="superscript"/>
              </w:rPr>
              <w:t>2</w:t>
            </w:r>
            <w:r>
              <w:rPr>
                <w:rFonts w:hint="eastAsia"/>
              </w:rPr>
              <w:t>的管，挠曲水平A和B按下式计算确定：</w:t>
            </w:r>
          </w:p>
          <w:p>
            <w:pPr>
              <w:spacing w:line="312" w:lineRule="auto"/>
              <w:ind w:left="708" w:firstLine="420" w:leftChars="337" w:firstLineChars="200"/>
              <w:rPr>
                <w:vertAlign w:val="superscript"/>
              </w:rPr>
            </w:pPr>
            <w:r>
              <w:rPr>
                <w:rFonts w:hint="eastAsia"/>
              </w:rPr>
              <w:t>挠曲水平A对应的径向变形率=18×（1250/S</w:t>
            </w:r>
            <w:r>
              <w:rPr>
                <w:rFonts w:hint="eastAsia"/>
                <w:vertAlign w:val="subscript"/>
              </w:rPr>
              <w:t>0</w:t>
            </w:r>
            <w:r>
              <w:rPr>
                <w:rFonts w:hint="eastAsia"/>
              </w:rPr>
              <w:t>）</w:t>
            </w:r>
            <w:r>
              <w:rPr>
                <w:rFonts w:hint="eastAsia"/>
                <w:vertAlign w:val="superscript"/>
              </w:rPr>
              <w:t>1/3</w:t>
            </w:r>
          </w:p>
          <w:p>
            <w:pPr>
              <w:spacing w:line="312" w:lineRule="auto"/>
              <w:ind w:left="708" w:firstLine="420" w:leftChars="337" w:firstLineChars="200"/>
            </w:pPr>
            <w:r>
              <w:rPr>
                <w:rFonts w:hint="eastAsia"/>
              </w:rPr>
              <w:t>挠曲水平B对应的径向变形率=30×（1250/S</w:t>
            </w:r>
            <w:r>
              <w:rPr>
                <w:rFonts w:hint="eastAsia"/>
                <w:vertAlign w:val="subscript"/>
              </w:rPr>
              <w:t>0</w:t>
            </w:r>
            <w:r>
              <w:rPr>
                <w:rFonts w:hint="eastAsia"/>
              </w:rPr>
              <w:t>）</w:t>
            </w:r>
            <w:r>
              <w:rPr>
                <w:rFonts w:hint="eastAsia"/>
                <w:vertAlign w:val="superscript"/>
              </w:rPr>
              <w:t>1/3</w:t>
            </w:r>
            <w:r>
              <w:rPr>
                <w:rFonts w:hint="eastAsia"/>
              </w:rPr>
              <w:t>。</w:t>
            </w:r>
          </w:p>
        </w:tc>
      </w:tr>
    </w:tbl>
    <w:p/>
    <w:p>
      <w:pPr>
        <w:pStyle w:val="Subtitle"/>
      </w:pPr>
      <w:bookmarkStart w:id="26" w:name="_Toc504574689"/>
      <w:r>
        <w:rPr>
          <w:rFonts w:hint="eastAsia"/>
        </w:rPr>
        <w:t>6.11压力设计基准</w:t>
      </w:r>
      <w:bookmarkEnd w:id="26"/>
    </w:p>
    <w:p>
      <w:pPr>
        <w:ind w:firstLine="420" w:firstLineChars="200"/>
      </w:pPr>
      <w:r>
        <w:rPr>
          <w:rFonts w:hint="eastAsia"/>
        </w:rPr>
        <w:t>压力设计基准PDB应满足式（1）要求：</w:t>
      </w:r>
    </w:p>
    <w:p>
      <w:pPr>
        <w:ind w:firstLine="420" w:firstLineChars="200"/>
        <w:jc w:val="right"/>
      </w:pPr>
      <w:r>
        <w:rPr>
          <w:rFonts w:hint="eastAsia"/>
        </w:rPr>
        <w:t>PDB≥C</w:t>
      </w:r>
      <w:r>
        <w:rPr>
          <w:rFonts w:hint="eastAsia"/>
          <w:vertAlign w:val="subscript"/>
        </w:rPr>
        <w:t>3</w:t>
      </w:r>
      <w:r>
        <w:rPr>
          <w:rFonts w:hint="eastAsia"/>
        </w:rPr>
        <w:t>·PN          ·····················（1）</w:t>
      </w:r>
    </w:p>
    <w:p>
      <w:pPr>
        <w:ind w:firstLine="420" w:firstLineChars="200"/>
        <w:jc w:val="left"/>
      </w:pPr>
      <w:r>
        <w:rPr>
          <w:rFonts w:hint="eastAsia"/>
        </w:rPr>
        <w:t>式中：</w:t>
      </w:r>
    </w:p>
    <w:p>
      <w:pPr>
        <w:ind w:firstLine="420" w:firstLineChars="200"/>
        <w:jc w:val="left"/>
      </w:pPr>
      <w:r>
        <w:rPr>
          <w:rFonts w:hint="eastAsia"/>
        </w:rPr>
        <w:t>PDB</w:t>
      </w:r>
      <w:r>
        <w:t>——</w:t>
      </w:r>
      <w:r>
        <w:rPr>
          <w:rFonts w:hint="eastAsia"/>
        </w:rPr>
        <w:t>长期静水压力设计基准，单位为兆帕（MPa）；</w:t>
      </w:r>
    </w:p>
    <w:p>
      <w:pPr>
        <w:ind w:firstLine="424" w:firstLineChars="202"/>
        <w:jc w:val="left"/>
      </w:pPr>
      <w:r>
        <w:rPr>
          <w:rFonts w:hint="eastAsia"/>
        </w:rPr>
        <w:t>PN</w:t>
      </w:r>
      <w:r>
        <w:t>——</w:t>
      </w:r>
      <w:r>
        <w:rPr>
          <w:rFonts w:hint="eastAsia"/>
        </w:rPr>
        <w:t>压力等级，单位为兆帕（MPa）；</w:t>
      </w:r>
    </w:p>
    <w:p>
      <w:pPr>
        <w:ind w:firstLine="424" w:firstLineChars="202"/>
        <w:jc w:val="left"/>
      </w:pPr>
      <w:r>
        <w:rPr>
          <w:rFonts w:hint="eastAsia"/>
        </w:rPr>
        <w:t>C</w:t>
      </w:r>
      <w:r>
        <w:rPr>
          <w:rFonts w:hint="eastAsia"/>
          <w:vertAlign w:val="subscript"/>
        </w:rPr>
        <w:t>3</w:t>
      </w:r>
      <w:r>
        <w:t>——</w:t>
      </w:r>
      <w:r>
        <w:rPr>
          <w:rFonts w:hint="eastAsia"/>
        </w:rPr>
        <w:t>长期环向拉伸强度安全系数，见表7。</w:t>
      </w:r>
    </w:p>
    <w:p>
      <w:pPr>
        <w:ind w:firstLine="424" w:firstLineChars="202"/>
        <w:jc w:val="center"/>
        <w:rPr>
          <w:b/>
        </w:rPr>
      </w:pPr>
      <w:r>
        <w:rPr>
          <w:rFonts w:hint="eastAsia"/>
          <w:b/>
        </w:rPr>
        <w:t>表7 长期环向拉伸强度安全系数C</w:t>
      </w:r>
      <w:r>
        <w:rPr>
          <w:rFonts w:hint="eastAsia"/>
          <w:b/>
          <w:vertAlign w:val="subscript"/>
        </w:rPr>
        <w:t>3</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1"/>
        <w:gridCol w:w="426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261" w:type="dxa"/>
            <w:vAlign w:val="center"/>
          </w:tcPr>
          <w:p>
            <w:pPr>
              <w:jc w:val="center"/>
            </w:pPr>
            <w:r>
              <w:rPr>
                <w:rFonts w:hint="eastAsia"/>
              </w:rPr>
              <w:t>压力等级PN</w:t>
            </w:r>
          </w:p>
        </w:tc>
        <w:tc>
          <w:tcPr>
            <w:tcW w:w="4261" w:type="dxa"/>
            <w:vAlign w:val="center"/>
          </w:tcPr>
          <w:p>
            <w:pPr>
              <w:jc w:val="center"/>
            </w:pPr>
            <w:r>
              <w:rPr>
                <w:rFonts w:hint="eastAsia"/>
              </w:rPr>
              <w:t>系数C</w:t>
            </w:r>
            <w:r>
              <w:rPr>
                <w:rFonts w:hint="eastAsia"/>
                <w:vertAlign w:val="subscript"/>
              </w:rPr>
              <w:t>3</w:t>
            </w:r>
          </w:p>
        </w:tc>
      </w:tr>
    </w:tbl>
    <w:p>
      <w:pPr>
        <w:sectPr>
          <w:headerReference w:type="default" r:id="rId17"/>
          <w:footerReference w:type="default" r:id="rId18"/>
          <w:type w:val="nextPage"/>
          <w:pgSz w:w="11906" w:h="16838"/>
          <w:pgMar w:top="1440" w:right="1800" w:bottom="1440" w:left="1800" w:header="851" w:footer="992" w:gutter="0"/>
          <w:pgNumType w:start="6"/>
          <w:cols w:num="1" w:space="720"/>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1"/>
        <w:gridCol w:w="426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261" w:type="dxa"/>
            <w:vAlign w:val="center"/>
          </w:tcPr>
          <w:p>
            <w:pPr>
              <w:jc w:val="center"/>
            </w:pPr>
            <w:r>
              <w:rPr>
                <w:rFonts w:hint="eastAsia"/>
              </w:rPr>
              <w:t>MPa</w:t>
            </w:r>
          </w:p>
        </w:tc>
        <w:tc>
          <w:tcPr>
            <w:tcW w:w="4261" w:type="dxa"/>
            <w:vAlign w:val="center"/>
          </w:tcPr>
          <w:p/>
        </w:tc>
      </w:tr>
      <w:tr>
        <w:tblPrEx>
          <w:tblW w:w="0" w:type="auto"/>
          <w:tblInd w:w="0" w:type="dxa"/>
          <w:tblCellMar>
            <w:top w:w="0" w:type="dxa"/>
            <w:left w:w="108" w:type="dxa"/>
            <w:bottom w:w="0" w:type="dxa"/>
            <w:right w:w="108" w:type="dxa"/>
          </w:tblCellMar>
        </w:tblPrEx>
        <w:tc>
          <w:tcPr>
            <w:tcW w:w="4261" w:type="dxa"/>
          </w:tcPr>
          <w:p>
            <w:pPr>
              <w:jc w:val="center"/>
            </w:pPr>
            <w:r>
              <w:rPr>
                <w:rFonts w:hint="eastAsia"/>
              </w:rPr>
              <w:t>≤0.25</w:t>
            </w:r>
          </w:p>
        </w:tc>
        <w:tc>
          <w:tcPr>
            <w:tcW w:w="4261" w:type="dxa"/>
          </w:tcPr>
          <w:p>
            <w:pPr>
              <w:jc w:val="center"/>
            </w:pPr>
            <w:r>
              <w:rPr>
                <w:rFonts w:hint="eastAsia"/>
              </w:rPr>
              <w:t>2.1</w:t>
            </w:r>
          </w:p>
        </w:tc>
      </w:tr>
      <w:tr>
        <w:tblPrEx>
          <w:tblW w:w="0" w:type="auto"/>
          <w:tblInd w:w="0" w:type="dxa"/>
          <w:tblCellMar>
            <w:top w:w="0" w:type="dxa"/>
            <w:left w:w="108" w:type="dxa"/>
            <w:bottom w:w="0" w:type="dxa"/>
            <w:right w:w="108" w:type="dxa"/>
          </w:tblCellMar>
        </w:tblPrEx>
        <w:tc>
          <w:tcPr>
            <w:tcW w:w="4261" w:type="dxa"/>
          </w:tcPr>
          <w:p>
            <w:pPr>
              <w:jc w:val="center"/>
            </w:pPr>
            <w:r>
              <w:rPr>
                <w:rFonts w:hint="eastAsia"/>
              </w:rPr>
              <w:t>0.4</w:t>
            </w:r>
          </w:p>
        </w:tc>
        <w:tc>
          <w:tcPr>
            <w:tcW w:w="4261" w:type="dxa"/>
          </w:tcPr>
          <w:p>
            <w:pPr>
              <w:jc w:val="center"/>
            </w:pPr>
            <w:r>
              <w:rPr>
                <w:rFonts w:hint="eastAsia"/>
              </w:rPr>
              <w:t>2.05</w:t>
            </w:r>
          </w:p>
        </w:tc>
      </w:tr>
      <w:tr>
        <w:tblPrEx>
          <w:tblW w:w="0" w:type="auto"/>
          <w:tblInd w:w="0" w:type="dxa"/>
          <w:tblCellMar>
            <w:top w:w="0" w:type="dxa"/>
            <w:left w:w="108" w:type="dxa"/>
            <w:bottom w:w="0" w:type="dxa"/>
            <w:right w:w="108" w:type="dxa"/>
          </w:tblCellMar>
        </w:tblPrEx>
        <w:tc>
          <w:tcPr>
            <w:tcW w:w="4261" w:type="dxa"/>
          </w:tcPr>
          <w:p>
            <w:pPr>
              <w:jc w:val="center"/>
            </w:pPr>
            <w:r>
              <w:rPr>
                <w:rFonts w:hint="eastAsia"/>
              </w:rPr>
              <w:t>0.6</w:t>
            </w:r>
          </w:p>
        </w:tc>
        <w:tc>
          <w:tcPr>
            <w:tcW w:w="4261" w:type="dxa"/>
          </w:tcPr>
          <w:p>
            <w:pPr>
              <w:jc w:val="center"/>
            </w:pPr>
            <w:r>
              <w:rPr>
                <w:rFonts w:hint="eastAsia"/>
              </w:rPr>
              <w:t>2.0</w:t>
            </w:r>
          </w:p>
        </w:tc>
      </w:tr>
      <w:tr>
        <w:tblPrEx>
          <w:tblW w:w="0" w:type="auto"/>
          <w:tblInd w:w="0" w:type="dxa"/>
          <w:tblCellMar>
            <w:top w:w="0" w:type="dxa"/>
            <w:left w:w="108" w:type="dxa"/>
            <w:bottom w:w="0" w:type="dxa"/>
            <w:right w:w="108" w:type="dxa"/>
          </w:tblCellMar>
        </w:tblPrEx>
        <w:tc>
          <w:tcPr>
            <w:tcW w:w="4261" w:type="dxa"/>
          </w:tcPr>
          <w:p>
            <w:pPr>
              <w:jc w:val="center"/>
            </w:pPr>
            <w:r>
              <w:rPr>
                <w:rFonts w:hint="eastAsia"/>
              </w:rPr>
              <w:t>0.8</w:t>
            </w:r>
          </w:p>
        </w:tc>
        <w:tc>
          <w:tcPr>
            <w:tcW w:w="4261" w:type="dxa"/>
          </w:tcPr>
          <w:p>
            <w:pPr>
              <w:jc w:val="center"/>
            </w:pPr>
            <w:r>
              <w:rPr>
                <w:rFonts w:hint="eastAsia"/>
              </w:rPr>
              <w:t>1.95</w:t>
            </w:r>
          </w:p>
        </w:tc>
      </w:tr>
      <w:tr>
        <w:tblPrEx>
          <w:tblW w:w="0" w:type="auto"/>
          <w:tblInd w:w="0" w:type="dxa"/>
          <w:tblCellMar>
            <w:top w:w="0" w:type="dxa"/>
            <w:left w:w="108" w:type="dxa"/>
            <w:bottom w:w="0" w:type="dxa"/>
            <w:right w:w="108" w:type="dxa"/>
          </w:tblCellMar>
        </w:tblPrEx>
        <w:tc>
          <w:tcPr>
            <w:tcW w:w="4261" w:type="dxa"/>
          </w:tcPr>
          <w:p>
            <w:pPr>
              <w:jc w:val="center"/>
            </w:pPr>
            <w:r>
              <w:rPr>
                <w:rFonts w:hint="eastAsia"/>
              </w:rPr>
              <w:t>1.0</w:t>
            </w:r>
          </w:p>
        </w:tc>
        <w:tc>
          <w:tcPr>
            <w:tcW w:w="4261" w:type="dxa"/>
          </w:tcPr>
          <w:p>
            <w:pPr>
              <w:jc w:val="center"/>
            </w:pPr>
            <w:r>
              <w:rPr>
                <w:rFonts w:hint="eastAsia"/>
              </w:rPr>
              <w:t>1.9</w:t>
            </w:r>
          </w:p>
        </w:tc>
      </w:tr>
      <w:tr>
        <w:tblPrEx>
          <w:tblW w:w="0" w:type="auto"/>
          <w:tblInd w:w="0" w:type="dxa"/>
          <w:tblCellMar>
            <w:top w:w="0" w:type="dxa"/>
            <w:left w:w="108" w:type="dxa"/>
            <w:bottom w:w="0" w:type="dxa"/>
            <w:right w:w="108" w:type="dxa"/>
          </w:tblCellMar>
        </w:tblPrEx>
        <w:tc>
          <w:tcPr>
            <w:tcW w:w="4261" w:type="dxa"/>
          </w:tcPr>
          <w:p>
            <w:pPr>
              <w:jc w:val="center"/>
            </w:pPr>
            <w:r>
              <w:rPr>
                <w:rFonts w:hint="eastAsia"/>
              </w:rPr>
              <w:t>1.2</w:t>
            </w:r>
          </w:p>
        </w:tc>
        <w:tc>
          <w:tcPr>
            <w:tcW w:w="4261" w:type="dxa"/>
          </w:tcPr>
          <w:p>
            <w:pPr>
              <w:jc w:val="center"/>
            </w:pPr>
            <w:r>
              <w:rPr>
                <w:rFonts w:hint="eastAsia"/>
              </w:rPr>
              <w:t>1.87</w:t>
            </w:r>
          </w:p>
        </w:tc>
      </w:tr>
      <w:tr>
        <w:tblPrEx>
          <w:tblW w:w="0" w:type="auto"/>
          <w:tblInd w:w="0" w:type="dxa"/>
          <w:tblCellMar>
            <w:top w:w="0" w:type="dxa"/>
            <w:left w:w="108" w:type="dxa"/>
            <w:bottom w:w="0" w:type="dxa"/>
            <w:right w:w="108" w:type="dxa"/>
          </w:tblCellMar>
        </w:tblPrEx>
        <w:tc>
          <w:tcPr>
            <w:tcW w:w="4261" w:type="dxa"/>
          </w:tcPr>
          <w:p>
            <w:pPr>
              <w:jc w:val="center"/>
            </w:pPr>
            <w:r>
              <w:rPr>
                <w:rFonts w:hint="eastAsia"/>
              </w:rPr>
              <w:t>1.4</w:t>
            </w:r>
          </w:p>
        </w:tc>
        <w:tc>
          <w:tcPr>
            <w:tcW w:w="4261" w:type="dxa"/>
          </w:tcPr>
          <w:p>
            <w:pPr>
              <w:jc w:val="center"/>
            </w:pPr>
            <w:r>
              <w:rPr>
                <w:rFonts w:hint="eastAsia"/>
              </w:rPr>
              <w:t>1.84</w:t>
            </w:r>
          </w:p>
        </w:tc>
      </w:tr>
      <w:tr>
        <w:tblPrEx>
          <w:tblW w:w="0" w:type="auto"/>
          <w:tblInd w:w="0" w:type="dxa"/>
          <w:tblCellMar>
            <w:top w:w="0" w:type="dxa"/>
            <w:left w:w="108" w:type="dxa"/>
            <w:bottom w:w="0" w:type="dxa"/>
            <w:right w:w="108" w:type="dxa"/>
          </w:tblCellMar>
        </w:tblPrEx>
        <w:tc>
          <w:tcPr>
            <w:tcW w:w="4261" w:type="dxa"/>
          </w:tcPr>
          <w:p>
            <w:pPr>
              <w:jc w:val="center"/>
            </w:pPr>
            <w:r>
              <w:rPr>
                <w:rFonts w:hint="eastAsia"/>
              </w:rPr>
              <w:t>1.6</w:t>
            </w:r>
          </w:p>
        </w:tc>
        <w:tc>
          <w:tcPr>
            <w:tcW w:w="4261" w:type="dxa"/>
          </w:tcPr>
          <w:p>
            <w:pPr>
              <w:jc w:val="center"/>
            </w:pPr>
            <w:r>
              <w:rPr>
                <w:rFonts w:hint="eastAsia"/>
              </w:rPr>
              <w:t>1.8</w:t>
            </w:r>
          </w:p>
        </w:tc>
      </w:tr>
      <w:tr>
        <w:tblPrEx>
          <w:tblW w:w="0" w:type="auto"/>
          <w:tblInd w:w="0" w:type="dxa"/>
          <w:tblCellMar>
            <w:top w:w="0" w:type="dxa"/>
            <w:left w:w="108" w:type="dxa"/>
            <w:bottom w:w="0" w:type="dxa"/>
            <w:right w:w="108" w:type="dxa"/>
          </w:tblCellMar>
        </w:tblPrEx>
        <w:tc>
          <w:tcPr>
            <w:tcW w:w="4261" w:type="dxa"/>
          </w:tcPr>
          <w:p>
            <w:pPr>
              <w:jc w:val="center"/>
            </w:pPr>
            <w:r>
              <w:rPr>
                <w:rFonts w:hint="eastAsia"/>
              </w:rPr>
              <w:t>2.0</w:t>
            </w:r>
          </w:p>
        </w:tc>
        <w:tc>
          <w:tcPr>
            <w:tcW w:w="4261" w:type="dxa"/>
          </w:tcPr>
          <w:p>
            <w:pPr>
              <w:jc w:val="center"/>
            </w:pPr>
            <w:r>
              <w:rPr>
                <w:rFonts w:hint="eastAsia"/>
              </w:rPr>
              <w:t>1.7</w:t>
            </w:r>
          </w:p>
        </w:tc>
      </w:tr>
      <w:tr>
        <w:tblPrEx>
          <w:tblW w:w="0" w:type="auto"/>
          <w:tblInd w:w="0" w:type="dxa"/>
          <w:tblCellMar>
            <w:top w:w="0" w:type="dxa"/>
            <w:left w:w="108" w:type="dxa"/>
            <w:bottom w:w="0" w:type="dxa"/>
            <w:right w:w="108" w:type="dxa"/>
          </w:tblCellMar>
        </w:tblPrEx>
        <w:tc>
          <w:tcPr>
            <w:tcW w:w="4261" w:type="dxa"/>
          </w:tcPr>
          <w:p>
            <w:pPr>
              <w:jc w:val="center"/>
            </w:pPr>
            <w:r>
              <w:rPr>
                <w:rFonts w:hint="eastAsia"/>
              </w:rPr>
              <w:t>2.5</w:t>
            </w:r>
          </w:p>
        </w:tc>
        <w:tc>
          <w:tcPr>
            <w:tcW w:w="4261" w:type="dxa"/>
          </w:tcPr>
          <w:p>
            <w:pPr>
              <w:jc w:val="center"/>
            </w:pPr>
            <w:r>
              <w:rPr>
                <w:rFonts w:hint="eastAsia"/>
              </w:rPr>
              <w:t>1.6</w:t>
            </w:r>
          </w:p>
        </w:tc>
      </w:tr>
      <w:tr>
        <w:tblPrEx>
          <w:tblW w:w="0" w:type="auto"/>
          <w:tblInd w:w="0" w:type="dxa"/>
          <w:tblCellMar>
            <w:top w:w="0" w:type="dxa"/>
            <w:left w:w="108" w:type="dxa"/>
            <w:bottom w:w="0" w:type="dxa"/>
            <w:right w:w="108" w:type="dxa"/>
          </w:tblCellMar>
        </w:tblPrEx>
        <w:tc>
          <w:tcPr>
            <w:tcW w:w="4261" w:type="dxa"/>
          </w:tcPr>
          <w:p>
            <w:pPr>
              <w:jc w:val="center"/>
            </w:pPr>
            <w:r>
              <w:rPr>
                <w:rFonts w:hint="eastAsia"/>
              </w:rPr>
              <w:t>3.2</w:t>
            </w:r>
          </w:p>
        </w:tc>
        <w:tc>
          <w:tcPr>
            <w:tcW w:w="4261" w:type="dxa"/>
          </w:tcPr>
          <w:p>
            <w:pPr>
              <w:jc w:val="center"/>
            </w:pPr>
            <w:r>
              <w:rPr>
                <w:rFonts w:hint="eastAsia"/>
              </w:rPr>
              <w:t>1.6</w:t>
            </w:r>
          </w:p>
        </w:tc>
      </w:tr>
    </w:tbl>
    <w:p>
      <w:pPr>
        <w:ind w:firstLine="424" w:firstLineChars="202"/>
        <w:jc w:val="center"/>
        <w:rPr>
          <w:b/>
        </w:rPr>
      </w:pPr>
    </w:p>
    <w:p>
      <w:pPr>
        <w:pStyle w:val="Heading1"/>
        <w:spacing w:before="156" w:after="156"/>
        <w:ind w:right="960"/>
        <w:rPr>
          <w:rFonts w:ascii="Times New Roman" w:hAnsi="Times New Roman"/>
          <w:szCs w:val="24"/>
        </w:rPr>
      </w:pPr>
      <w:bookmarkStart w:id="27" w:name="_Toc504574690"/>
      <w:r>
        <w:rPr>
          <w:rFonts w:ascii="Times New Roman" w:hAnsi="Times New Roman" w:hint="eastAsia"/>
          <w:szCs w:val="24"/>
        </w:rPr>
        <w:t>7 试验方法</w:t>
      </w:r>
      <w:bookmarkEnd w:id="27"/>
    </w:p>
    <w:p>
      <w:pPr>
        <w:pStyle w:val="Subtitle"/>
      </w:pPr>
      <w:bookmarkStart w:id="28" w:name="_Toc504574691"/>
      <w:r>
        <w:rPr>
          <w:rFonts w:hint="eastAsia"/>
        </w:rPr>
        <w:t>7.1 外观</w:t>
      </w:r>
      <w:bookmarkEnd w:id="28"/>
    </w:p>
    <w:p>
      <w:pPr>
        <w:spacing w:line="360" w:lineRule="auto"/>
        <w:rPr>
          <w:rFonts w:ascii="宋体" w:hAnsi="宋体"/>
          <w:szCs w:val="21"/>
        </w:rPr>
      </w:pPr>
      <w:r>
        <w:rPr>
          <w:rFonts w:ascii="宋体" w:hAnsi="宋体" w:hint="eastAsia"/>
          <w:szCs w:val="21"/>
        </w:rPr>
        <w:t xml:space="preserve">    用肉眼观察产品的内、外表面和两端面。</w:t>
      </w:r>
    </w:p>
    <w:p>
      <w:pPr>
        <w:pStyle w:val="Subtitle"/>
      </w:pPr>
      <w:bookmarkStart w:id="29" w:name="_Toc504574692"/>
      <w:r>
        <w:rPr>
          <w:rFonts w:hint="eastAsia"/>
        </w:rPr>
        <w:t>7.2 尺寸</w:t>
      </w:r>
      <w:bookmarkEnd w:id="29"/>
    </w:p>
    <w:p>
      <w:pPr>
        <w:pStyle w:val="Title"/>
      </w:pPr>
      <w:bookmarkStart w:id="30" w:name="_Toc504574693"/>
      <w:r>
        <w:rPr>
          <w:rFonts w:hint="eastAsia"/>
        </w:rPr>
        <w:t>7.2.1 内径</w:t>
      </w:r>
      <w:bookmarkEnd w:id="30"/>
    </w:p>
    <w:p>
      <w:pPr>
        <w:spacing w:line="360" w:lineRule="auto"/>
        <w:rPr>
          <w:rFonts w:ascii="宋体" w:hAnsi="宋体"/>
          <w:szCs w:val="21"/>
        </w:rPr>
      </w:pPr>
      <w:r>
        <w:rPr>
          <w:rFonts w:ascii="宋体" w:hAnsi="宋体" w:hint="eastAsia"/>
          <w:szCs w:val="21"/>
        </w:rPr>
        <w:t xml:space="preserve">    用精度为0.1mm的测量尺在管道及管件端部均布测量4次取平均值。</w:t>
      </w:r>
    </w:p>
    <w:p>
      <w:pPr>
        <w:pStyle w:val="Title"/>
      </w:pPr>
      <w:bookmarkStart w:id="31" w:name="_Toc504574694"/>
      <w:r>
        <w:rPr>
          <w:rFonts w:hint="eastAsia"/>
        </w:rPr>
        <w:t>7.2.2 长度</w:t>
      </w:r>
      <w:bookmarkEnd w:id="31"/>
    </w:p>
    <w:p>
      <w:pPr>
        <w:spacing w:line="360" w:lineRule="auto"/>
        <w:rPr>
          <w:rFonts w:ascii="宋体" w:hAnsi="宋体"/>
          <w:szCs w:val="21"/>
        </w:rPr>
      </w:pPr>
      <w:r>
        <w:rPr>
          <w:rFonts w:ascii="宋体" w:hAnsi="宋体" w:hint="eastAsia"/>
          <w:szCs w:val="21"/>
        </w:rPr>
        <w:t xml:space="preserve">    用精度为1mm的钢卷尺沿管道及管件轴线方向测量产品长度。</w:t>
      </w:r>
    </w:p>
    <w:p>
      <w:pPr>
        <w:pStyle w:val="Title"/>
      </w:pPr>
      <w:bookmarkStart w:id="32" w:name="_Toc504574695"/>
      <w:r>
        <w:rPr>
          <w:rFonts w:hint="eastAsia"/>
        </w:rPr>
        <w:t>7.2.3 壁厚</w:t>
      </w:r>
      <w:bookmarkEnd w:id="32"/>
    </w:p>
    <w:p>
      <w:pPr>
        <w:spacing w:line="360" w:lineRule="auto"/>
        <w:rPr>
          <w:rFonts w:ascii="宋体" w:hAnsi="宋体"/>
          <w:szCs w:val="21"/>
        </w:rPr>
      </w:pPr>
      <w:r>
        <w:rPr>
          <w:rFonts w:ascii="宋体" w:hAnsi="宋体" w:hint="eastAsia"/>
          <w:szCs w:val="21"/>
        </w:rPr>
        <w:t xml:space="preserve">    厚度测量可按下列方法之一进行：</w:t>
      </w:r>
    </w:p>
    <w:p>
      <w:pPr>
        <w:spacing w:line="360" w:lineRule="auto"/>
        <w:rPr>
          <w:rFonts w:ascii="宋体" w:hAnsi="宋体"/>
          <w:szCs w:val="21"/>
        </w:rPr>
      </w:pPr>
      <w:r>
        <w:rPr>
          <w:rFonts w:ascii="宋体" w:hAnsi="宋体" w:hint="eastAsia"/>
          <w:szCs w:val="21"/>
        </w:rPr>
        <w:t xml:space="preserve">    a）用精度为1mm的π尺绕管外部一周（确保其垂直于管轴线），测出管的周长，算出管外直径，取2次测量的平均数。用精度为0.1mm的测量尺测量同一截面内周长或内直径，用内径之差的方法计算出管道壁厚。对于直径较小的管，内外径可采用精度为0.02mm的游标卡尺测量。</w:t>
      </w:r>
    </w:p>
    <w:p>
      <w:pPr>
        <w:spacing w:line="360" w:lineRule="auto"/>
        <w:ind w:firstLine="420" w:firstLineChars="200"/>
        <w:rPr>
          <w:rFonts w:ascii="宋体" w:hAnsi="宋体"/>
          <w:szCs w:val="21"/>
        </w:rPr>
      </w:pPr>
      <w:r>
        <w:rPr>
          <w:rFonts w:ascii="宋体" w:hAnsi="宋体" w:hint="eastAsia"/>
          <w:szCs w:val="21"/>
        </w:rPr>
        <w:t>b)垂直切割管道或管件，用精度为0.02mm的游标卡尺沿圆周测量7次，测点均布，取7次测量的算术平均数。</w:t>
      </w:r>
    </w:p>
    <w:p>
      <w:pPr>
        <w:rPr>
          <w:rFonts w:ascii="宋体" w:hAnsi="宋体"/>
          <w:b/>
          <w:bCs/>
          <w:sz w:val="24"/>
          <w:szCs w:val="32"/>
        </w:rPr>
      </w:pPr>
      <w:bookmarkStart w:id="33" w:name="_Toc504574696"/>
      <w:r>
        <w:rPr>
          <w:rFonts w:ascii="宋体" w:hAnsi="宋体" w:hint="eastAsia"/>
          <w:b/>
          <w:bCs/>
          <w:sz w:val="24"/>
          <w:szCs w:val="32"/>
        </w:rPr>
        <w:t>7.2.4 椭圆度</w:t>
      </w:r>
      <w:bookmarkEnd w:id="33"/>
    </w:p>
    <w:p>
      <w:pPr>
        <w:spacing w:line="360" w:lineRule="auto"/>
        <w:rPr>
          <w:rFonts w:ascii="宋体" w:hAnsi="宋体"/>
          <w:szCs w:val="21"/>
        </w:rPr>
      </w:pPr>
      <w:r>
        <w:rPr>
          <w:rFonts w:ascii="宋体" w:hAnsi="宋体" w:hint="eastAsia"/>
          <w:szCs w:val="21"/>
        </w:rPr>
        <w:t xml:space="preserve">    用精度为1mm的钢卷尺测量。</w:t>
      </w:r>
    </w:p>
    <w:p>
      <w:pPr>
        <w:pStyle w:val="Title"/>
      </w:pPr>
      <w:bookmarkStart w:id="34" w:name="_Toc504574697"/>
      <w:r>
        <w:rPr>
          <w:rFonts w:hint="eastAsia"/>
        </w:rPr>
        <w:t>7.2.5 管端面垂直度</w:t>
      </w:r>
      <w:bookmarkEnd w:id="34"/>
    </w:p>
    <w:p>
      <w:pPr>
        <w:spacing w:line="360" w:lineRule="auto"/>
        <w:rPr>
          <w:rFonts w:ascii="宋体" w:hAnsi="宋体"/>
          <w:szCs w:val="21"/>
        </w:rPr>
      </w:pPr>
      <w:r>
        <w:rPr>
          <w:rFonts w:ascii="宋体" w:hAnsi="宋体" w:hint="eastAsia"/>
          <w:szCs w:val="21"/>
        </w:rPr>
        <w:t xml:space="preserve">    用精度为1mm的直角尺加钢卷尺测定管端面的垂直度。</w:t>
      </w:r>
    </w:p>
    <w:p>
      <w:pPr>
        <w:pStyle w:val="Subtitle"/>
      </w:pPr>
      <w:bookmarkStart w:id="35" w:name="_Toc504574698"/>
      <w:r>
        <w:rPr>
          <w:rFonts w:hint="eastAsia"/>
        </w:rPr>
        <w:t xml:space="preserve">7.3 </w:t>
      </w:r>
      <w:bookmarkEnd w:id="35"/>
      <w:r>
        <w:rPr>
          <w:rFonts w:hint="eastAsia"/>
        </w:rPr>
        <w:t>管壁组分质量百分含量</w:t>
      </w:r>
    </w:p>
    <w:p>
      <w:pPr>
        <w:spacing w:line="360" w:lineRule="auto"/>
        <w:rPr>
          <w:rFonts w:ascii="宋体" w:hAnsi="宋体"/>
          <w:szCs w:val="21"/>
        </w:rPr>
        <w:sectPr>
          <w:headerReference w:type="default" r:id="rId19"/>
          <w:footerReference w:type="default" r:id="rId20"/>
          <w:type w:val="nextPage"/>
          <w:pgSz w:w="11906" w:h="16838"/>
          <w:pgMar w:top="1440" w:right="1800" w:bottom="1440" w:left="1800" w:header="851" w:footer="992" w:gutter="0"/>
          <w:pgNumType w:start="7"/>
          <w:cols w:num="1" w:space="720"/>
          <w:titlePg w:val="0"/>
          <w:docGrid w:type="lines" w:linePitch="312" w:charSpace="0"/>
        </w:sectPr>
      </w:pPr>
      <w:r>
        <w:rPr>
          <w:rFonts w:ascii="宋体" w:hAnsi="宋体" w:hint="eastAsia"/>
          <w:szCs w:val="21"/>
        </w:rPr>
        <w:t xml:space="preserve">  </w:t>
      </w:r>
      <w:r>
        <w:rPr>
          <w:rFonts w:ascii="宋体" w:hAnsi="宋体" w:hint="eastAsia"/>
          <w:szCs w:val="21"/>
        </w:rPr>
        <w:t xml:space="preserve"> </w:t>
      </w:r>
      <w:r>
        <w:rPr>
          <w:rFonts w:ascii="宋体" w:hAnsi="宋体" w:hint="eastAsia"/>
          <w:szCs w:val="21"/>
        </w:rPr>
        <w:t xml:space="preserve"> 按GB/T</w:t>
      </w:r>
    </w:p>
    <w:p>
      <w:pPr>
        <w:spacing w:line="360" w:lineRule="auto"/>
        <w:rPr>
          <w:rFonts w:ascii="宋体" w:hAnsi="宋体"/>
          <w:szCs w:val="21"/>
        </w:rPr>
      </w:pPr>
      <w:r>
        <w:rPr>
          <w:rFonts w:ascii="宋体" w:hAnsi="宋体" w:hint="eastAsia"/>
          <w:szCs w:val="21"/>
        </w:rPr>
        <w:t xml:space="preserve"> 2577的规定进行测试，其中试样的厚度为整个管壁厚度，长度和宽度取（20±2）mm。在完成煅烧并对带有残余物的坩埚称量后，剔除坩埚中的玄武岩纤维，再次称量，前后两次的质量差可作为试样中的玄武岩纤维质量，玄武岩纤维质量与试样质量的比值即为玄武岩纤维含量；坩埚中剩下的材料作为填料，填料质量与试样质量的比值即为填料的含量。</w:t>
      </w:r>
    </w:p>
    <w:p>
      <w:pPr>
        <w:pStyle w:val="Subtitle"/>
      </w:pPr>
      <w:bookmarkStart w:id="36" w:name="_Toc504574699"/>
      <w:r>
        <w:rPr>
          <w:rFonts w:hint="eastAsia"/>
        </w:rPr>
        <w:t>7.4 巴柯尔硬度</w:t>
      </w:r>
      <w:bookmarkEnd w:id="36"/>
    </w:p>
    <w:p>
      <w:pPr>
        <w:spacing w:line="360" w:lineRule="auto"/>
        <w:rPr>
          <w:rFonts w:ascii="宋体" w:hAnsi="宋体"/>
          <w:szCs w:val="21"/>
        </w:rPr>
      </w:pPr>
      <w:r>
        <w:rPr>
          <w:rFonts w:ascii="宋体" w:hAnsi="宋体" w:hint="eastAsia"/>
          <w:szCs w:val="21"/>
        </w:rPr>
        <w:t xml:space="preserve">    按GB/T 3854的规定进行测试。</w:t>
      </w:r>
    </w:p>
    <w:p>
      <w:pPr>
        <w:pStyle w:val="Subtitle"/>
      </w:pPr>
      <w:bookmarkStart w:id="37" w:name="_Toc504574700"/>
      <w:r>
        <w:rPr>
          <w:rFonts w:hint="eastAsia"/>
        </w:rPr>
        <w:t>7.5 树脂不可溶分含量</w:t>
      </w:r>
      <w:bookmarkEnd w:id="37"/>
    </w:p>
    <w:p>
      <w:pPr>
        <w:spacing w:line="360" w:lineRule="auto"/>
        <w:rPr>
          <w:rFonts w:ascii="宋体" w:hAnsi="宋体"/>
          <w:szCs w:val="21"/>
        </w:rPr>
      </w:pPr>
      <w:r>
        <w:rPr>
          <w:rFonts w:ascii="宋体" w:hAnsi="宋体" w:hint="eastAsia"/>
          <w:szCs w:val="21"/>
        </w:rPr>
        <w:t xml:space="preserve">    按GB/T 2576的规定进行测试。</w:t>
      </w:r>
    </w:p>
    <w:p>
      <w:pPr>
        <w:pStyle w:val="Subtitle"/>
      </w:pPr>
      <w:bookmarkStart w:id="38" w:name="_Toc504574701"/>
      <w:r>
        <w:rPr>
          <w:rFonts w:hint="eastAsia"/>
        </w:rPr>
        <w:t>7.6力学性能</w:t>
      </w:r>
      <w:bookmarkEnd w:id="38"/>
    </w:p>
    <w:p>
      <w:pPr>
        <w:spacing w:line="360" w:lineRule="auto"/>
        <w:rPr>
          <w:rFonts w:ascii="宋体" w:hAnsi="宋体"/>
          <w:szCs w:val="21"/>
        </w:rPr>
      </w:pPr>
      <w:r>
        <w:rPr>
          <w:rFonts w:ascii="宋体" w:hAnsi="宋体"/>
          <w:b/>
          <w:bCs/>
          <w:sz w:val="24"/>
          <w:szCs w:val="32"/>
        </w:rPr>
        <w:t xml:space="preserve">7.6.1 </w:t>
      </w:r>
      <w:r>
        <w:rPr>
          <w:rFonts w:ascii="宋体" w:hAnsi="宋体" w:hint="eastAsia"/>
          <w:b/>
          <w:bCs/>
          <w:sz w:val="24"/>
          <w:szCs w:val="32"/>
        </w:rPr>
        <w:t>环向拉伸强度及环向拉伸弹性模量</w:t>
      </w:r>
    </w:p>
    <w:p>
      <w:pPr>
        <w:spacing w:line="360" w:lineRule="auto"/>
        <w:ind w:firstLine="420" w:firstLineChars="200"/>
        <w:rPr>
          <w:rFonts w:ascii="宋体" w:hAnsi="宋体"/>
          <w:szCs w:val="21"/>
        </w:rPr>
      </w:pPr>
      <w:r>
        <w:rPr>
          <w:rFonts w:ascii="宋体" w:hAnsi="宋体" w:hint="eastAsia"/>
          <w:szCs w:val="21"/>
        </w:rPr>
        <w:t>按</w:t>
      </w:r>
      <w:r>
        <w:rPr>
          <w:rFonts w:ascii="宋体" w:hAnsi="宋体"/>
          <w:szCs w:val="21"/>
        </w:rPr>
        <w:t>GB/T1447进行测试，试样型式和试样尺寸见附录A,加载速度取2mm/min～5mm/min，每根管的有效试样不少于5个，所有有效试样测试结果的算术平均值作为测试结果。</w:t>
      </w:r>
    </w:p>
    <w:p>
      <w:pPr>
        <w:spacing w:line="360" w:lineRule="auto"/>
        <w:rPr>
          <w:rFonts w:ascii="宋体" w:hAnsi="宋体"/>
          <w:b/>
          <w:bCs/>
          <w:sz w:val="24"/>
          <w:szCs w:val="32"/>
        </w:rPr>
      </w:pPr>
      <w:r>
        <w:rPr>
          <w:rFonts w:ascii="宋体" w:hAnsi="宋体"/>
          <w:b/>
          <w:bCs/>
          <w:sz w:val="24"/>
          <w:szCs w:val="32"/>
        </w:rPr>
        <w:t xml:space="preserve">7.6.2 </w:t>
      </w:r>
      <w:r>
        <w:rPr>
          <w:rFonts w:ascii="宋体" w:hAnsi="宋体" w:hint="eastAsia"/>
          <w:b/>
          <w:bCs/>
          <w:sz w:val="24"/>
          <w:szCs w:val="32"/>
        </w:rPr>
        <w:t>轴向拉伸强度及轴向拉伸弹性模量</w:t>
      </w:r>
    </w:p>
    <w:p>
      <w:pPr>
        <w:spacing w:line="360" w:lineRule="auto"/>
        <w:rPr>
          <w:rFonts w:ascii="宋体" w:hAnsi="宋体"/>
          <w:szCs w:val="21"/>
        </w:rPr>
      </w:pPr>
      <w:r>
        <w:rPr>
          <w:rFonts w:ascii="宋体" w:hAnsi="宋体"/>
          <w:szCs w:val="21"/>
        </w:rPr>
        <w:t xml:space="preserve">    按GB/T 1447</w:t>
      </w:r>
      <w:r>
        <w:rPr>
          <w:rFonts w:ascii="宋体" w:hAnsi="宋体" w:hint="eastAsia"/>
          <w:szCs w:val="21"/>
        </w:rPr>
        <w:t>进行测试。</w:t>
      </w:r>
    </w:p>
    <w:p>
      <w:pPr>
        <w:pStyle w:val="Subtitle"/>
      </w:pPr>
      <w:bookmarkStart w:id="39" w:name="_Toc504574702"/>
      <w:r>
        <w:rPr>
          <w:rFonts w:hint="eastAsia"/>
        </w:rPr>
        <w:t>7.7 水压渗漏</w:t>
      </w:r>
      <w:bookmarkEnd w:id="39"/>
    </w:p>
    <w:p>
      <w:pPr>
        <w:spacing w:line="360" w:lineRule="auto"/>
        <w:rPr>
          <w:rFonts w:ascii="宋体" w:hAnsi="宋体"/>
          <w:szCs w:val="21"/>
        </w:rPr>
      </w:pPr>
      <w:r>
        <w:rPr>
          <w:rFonts w:ascii="宋体" w:hAnsi="宋体" w:hint="eastAsia"/>
          <w:szCs w:val="21"/>
        </w:rPr>
        <w:t xml:space="preserve">    按照GB/T 5351进行试验，试样为1根整管。如果管道在使用中不承受由内压产生的轴向力时，其密封型式应采用约束端密封；若承受由内压产生的轴向力，则其密封型式应采用自由端密封。试验压力为压力等级的1.5倍，保压2min。</w:t>
      </w:r>
    </w:p>
    <w:p>
      <w:pPr>
        <w:pStyle w:val="Subtitle"/>
      </w:pPr>
      <w:bookmarkStart w:id="40" w:name="_Toc504574703"/>
      <w:r>
        <w:rPr>
          <w:rFonts w:hint="eastAsia"/>
        </w:rPr>
        <w:t>7.8 短时失效水压</w:t>
      </w:r>
      <w:bookmarkEnd w:id="40"/>
    </w:p>
    <w:p>
      <w:pPr>
        <w:spacing w:line="360" w:lineRule="auto"/>
        <w:rPr>
          <w:rFonts w:ascii="宋体" w:hAnsi="宋体"/>
          <w:szCs w:val="21"/>
        </w:rPr>
      </w:pPr>
      <w:r>
        <w:rPr>
          <w:rFonts w:ascii="宋体" w:hAnsi="宋体" w:hint="eastAsia"/>
          <w:szCs w:val="21"/>
        </w:rPr>
        <w:t xml:space="preserve">    按GB/T 5351的规定进行测试。</w:t>
      </w:r>
    </w:p>
    <w:p>
      <w:pPr>
        <w:pStyle w:val="Subtitle"/>
      </w:pPr>
      <w:bookmarkStart w:id="41" w:name="_Toc504574704"/>
      <w:r>
        <w:rPr>
          <w:rFonts w:hint="eastAsia"/>
        </w:rPr>
        <w:t>7.9初始环刚度</w:t>
      </w:r>
      <w:bookmarkEnd w:id="41"/>
    </w:p>
    <w:p>
      <w:pPr>
        <w:pStyle w:val="Subtitle"/>
        <w:spacing w:line="360" w:lineRule="auto"/>
        <w:ind w:firstLine="420" w:firstLineChars="200"/>
        <w:rPr>
          <w:b w:val="0"/>
          <w:bCs w:val="0"/>
          <w:kern w:val="2"/>
          <w:sz w:val="21"/>
          <w:szCs w:val="21"/>
        </w:rPr>
      </w:pPr>
      <w:bookmarkStart w:id="42" w:name="_Toc504574705"/>
      <w:r>
        <w:rPr>
          <w:rFonts w:hint="eastAsia"/>
          <w:b w:val="0"/>
          <w:bCs w:val="0"/>
          <w:kern w:val="2"/>
          <w:sz w:val="21"/>
          <w:szCs w:val="21"/>
        </w:rPr>
        <w:t>测试设备、测试环境及试样按照GB/T 5352的规定，加载速度按式（2）确定。初始环刚度S</w:t>
      </w:r>
      <w:r>
        <w:rPr>
          <w:rFonts w:hint="eastAsia"/>
          <w:b w:val="0"/>
          <w:bCs w:val="0"/>
          <w:kern w:val="2"/>
          <w:sz w:val="21"/>
          <w:szCs w:val="21"/>
          <w:vertAlign w:val="subscript"/>
        </w:rPr>
        <w:t>0</w:t>
      </w:r>
      <w:r>
        <w:rPr>
          <w:rFonts w:hint="eastAsia"/>
          <w:b w:val="0"/>
          <w:bCs w:val="0"/>
          <w:kern w:val="2"/>
          <w:sz w:val="21"/>
          <w:szCs w:val="21"/>
        </w:rPr>
        <w:t>按式（3）进行计算，取3个试样环刚度的算数平均值作为测试结果。</w:t>
      </w:r>
      <w:bookmarkEnd w:id="42"/>
    </w:p>
    <w:p>
      <w:pPr>
        <w:jc w:val="right"/>
      </w:pPr>
      <w:r>
        <w:rPr>
          <w:rFonts w:ascii="宋体" w:hAnsi="宋体"/>
          <w:position w:val="-6"/>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90.75pt;height:15.75pt" o:ole="" coordsize="21600,21600" o:preferrelative="t" filled="f" stroked="f">
            <v:stroke joinstyle="miter"/>
            <v:imagedata r:id="rId21" o:title=""/>
            <o:lock v:ext="edit" aspectratio="t"/>
            <w10:anchorlock/>
          </v:shape>
          <o:OLEObject Type="Embed" ProgID="Equation.3" ShapeID="_x0000_i1035" DrawAspect="Content" ObjectID="_1468075725" r:id="rId22"/>
        </w:object>
      </w:r>
      <w:r>
        <w:rPr>
          <w:rFonts w:ascii="宋体" w:hAnsi="宋体" w:hint="eastAsia"/>
        </w:rPr>
        <w:t xml:space="preserve">             </w:t>
      </w:r>
      <w:r>
        <w:rPr>
          <w:rFonts w:hint="eastAsia"/>
        </w:rPr>
        <w:t>····················（2）</w:t>
      </w:r>
    </w:p>
    <w:p>
      <w:pPr>
        <w:spacing w:line="360" w:lineRule="auto"/>
        <w:ind w:firstLine="420" w:firstLineChars="200"/>
        <w:jc w:val="left"/>
      </w:pPr>
      <w:r>
        <w:rPr>
          <w:rFonts w:hint="eastAsia"/>
        </w:rPr>
        <w:t>式中：</w:t>
      </w:r>
    </w:p>
    <w:p>
      <w:pPr>
        <w:spacing w:line="360" w:lineRule="auto"/>
        <w:ind w:left="991" w:hanging="571" w:leftChars="200" w:hangingChars="272"/>
        <w:jc w:val="left"/>
      </w:pPr>
      <w:r>
        <w:rPr>
          <w:rFonts w:ascii="宋体" w:hAnsi="宋体"/>
          <w:position w:val="-6"/>
        </w:rPr>
        <w:object>
          <v:shape id="_x0000_i1036" type="#_x0000_t75" style="width:9.75pt;height:9.75pt" o:ole="" coordsize="21600,21600" o:preferrelative="t" filled="f" stroked="f">
            <v:stroke joinstyle="miter"/>
            <v:imagedata r:id="rId23" o:title=""/>
            <o:lock v:ext="edit" aspectratio="t"/>
            <w10:anchorlock/>
          </v:shape>
          <o:OLEObject Type="Embed" ProgID="Equation.3" ShapeID="_x0000_i1036" DrawAspect="Content" ObjectID="_1468075726" r:id="rId24"/>
        </w:object>
      </w:r>
      <w:r>
        <w:t>——</w:t>
      </w:r>
      <w:r>
        <w:rPr>
          <w:rFonts w:hint="eastAsia"/>
        </w:rPr>
        <w:t>加载速度，取整数，管径大于500mm时可修约到个位数为0或5，单位为毫米每分（mm/min）；</w:t>
      </w:r>
    </w:p>
    <w:p>
      <w:pPr>
        <w:spacing w:line="360" w:lineRule="auto"/>
        <w:ind w:left="991" w:hanging="571" w:leftChars="200" w:hangingChars="272"/>
        <w:jc w:val="left"/>
      </w:pPr>
      <w:r>
        <w:rPr>
          <w:rFonts w:hint="eastAsia"/>
        </w:rPr>
        <w:t>t</w:t>
      </w:r>
      <w:r>
        <w:t>——</w:t>
      </w:r>
      <w:r>
        <w:rPr>
          <w:rFonts w:hint="eastAsia"/>
        </w:rPr>
        <w:t>管壁实际测试厚度，单位为毫米（mm）；</w:t>
      </w:r>
    </w:p>
    <w:p>
      <w:pPr>
        <w:spacing w:line="360" w:lineRule="auto"/>
        <w:ind w:left="991" w:hanging="571" w:leftChars="200" w:hangingChars="272"/>
        <w:jc w:val="left"/>
      </w:pPr>
      <w:r>
        <w:rPr>
          <w:rFonts w:hint="eastAsia"/>
        </w:rPr>
        <w:t>D</w:t>
      </w:r>
      <w:r>
        <w:t>——</w:t>
      </w:r>
      <w:r>
        <w:rPr>
          <w:rFonts w:hint="eastAsia"/>
        </w:rPr>
        <w:t>管的计算致敬，单位为毫米（mm），D=D</w:t>
      </w:r>
      <w:r>
        <w:rPr>
          <w:rFonts w:hint="eastAsia"/>
          <w:vertAlign w:val="subscript"/>
        </w:rPr>
        <w:t>n</w:t>
      </w:r>
      <w:r>
        <w:rPr>
          <w:rFonts w:hint="eastAsia"/>
        </w:rPr>
        <w:t>+t；</w:t>
      </w:r>
    </w:p>
    <w:p>
      <w:pPr>
        <w:spacing w:line="360" w:lineRule="auto"/>
        <w:ind w:left="991" w:hanging="571" w:leftChars="200" w:hangingChars="272"/>
        <w:jc w:val="left"/>
      </w:pPr>
      <w:r>
        <w:rPr>
          <w:rFonts w:hint="eastAsia"/>
        </w:rPr>
        <w:t>D</w:t>
      </w:r>
      <w:r>
        <w:rPr>
          <w:rFonts w:hint="eastAsia"/>
          <w:vertAlign w:val="subscript"/>
        </w:rPr>
        <w:t>n</w:t>
      </w:r>
      <w:r>
        <w:t>——</w:t>
      </w:r>
      <w:r>
        <w:rPr>
          <w:rFonts w:hint="eastAsia"/>
        </w:rPr>
        <w:t xml:space="preserve">管的内直径，单位为毫米（mm）。 </w:t>
      </w:r>
    </w:p>
    <w:p>
      <w:pPr>
        <w:ind w:left="991" w:hanging="571" w:leftChars="200" w:hangingChars="272"/>
        <w:jc w:val="right"/>
        <w:sectPr>
          <w:headerReference w:type="default" r:id="rId25"/>
          <w:footerReference w:type="default" r:id="rId26"/>
          <w:type w:val="nextPage"/>
          <w:pgSz w:w="11906" w:h="16838"/>
          <w:pgMar w:top="1440" w:right="1800" w:bottom="1440" w:left="1800" w:header="851" w:footer="992" w:gutter="0"/>
          <w:pgNumType w:start="8"/>
          <w:cols w:num="1" w:space="720"/>
          <w:titlePg w:val="0"/>
          <w:docGrid w:type="lines" w:linePitch="312" w:charSpace="0"/>
        </w:sectPr>
      </w:pPr>
      <w:r>
        <w:rPr>
          <w:rFonts w:ascii="宋体" w:hAnsi="宋体"/>
          <w:position w:val="-10"/>
        </w:rPr>
        <w:object>
          <v:shape id="_x0000_i1037" type="#_x0000_t75" style="width:84pt;height:15.75pt" o:ole="" coordsize="21600,21600" o:preferrelative="t" filled="f" stroked="f">
            <v:stroke joinstyle="miter"/>
            <v:imagedata r:id="rId27" o:title=""/>
            <o:lock v:ext="edit" aspectratio="t"/>
            <w10:anchorlock/>
          </v:shape>
          <o:OLEObject Type="Embed" ProgID="Equation.3" ShapeID="_x0000_i1037" DrawAspect="Content" ObjectID="_1468075727" r:id="rId28"/>
        </w:object>
      </w:r>
      <w:r>
        <w:rPr>
          <w:rFonts w:ascii="宋体" w:hAnsi="宋体" w:hint="eastAsia"/>
        </w:rPr>
        <w:t xml:space="preserve">               </w:t>
      </w:r>
      <w:r>
        <w:rPr>
          <w:rFonts w:hint="eastAsia"/>
        </w:rPr>
        <w:t>····················（3）</w:t>
      </w:r>
    </w:p>
    <w:p>
      <w:pPr>
        <w:spacing w:line="360" w:lineRule="auto"/>
        <w:ind w:left="991" w:hanging="571" w:leftChars="200" w:hangingChars="272"/>
        <w:jc w:val="left"/>
      </w:pPr>
      <w:r>
        <w:rPr>
          <w:rFonts w:hint="eastAsia"/>
        </w:rPr>
        <w:t>式中：</w:t>
      </w:r>
    </w:p>
    <w:p>
      <w:pPr>
        <w:spacing w:line="360" w:lineRule="auto"/>
        <w:ind w:left="991" w:hanging="571" w:leftChars="200" w:hangingChars="272"/>
        <w:jc w:val="left"/>
      </w:pPr>
      <w:r>
        <w:rPr>
          <w:rFonts w:hint="eastAsia"/>
        </w:rPr>
        <w:t>S</w:t>
      </w:r>
      <w:r>
        <w:rPr>
          <w:rFonts w:hint="eastAsia"/>
          <w:vertAlign w:val="subscript"/>
        </w:rPr>
        <w:t>0</w:t>
      </w:r>
      <w:r>
        <w:t>——</w:t>
      </w:r>
      <w:r>
        <w:rPr>
          <w:rFonts w:hint="eastAsia"/>
        </w:rPr>
        <w:t>初始环刚度，单位为牛每平方米（</w:t>
      </w:r>
      <w:r>
        <w:rPr>
          <w:rFonts w:hint="eastAsia"/>
        </w:rPr>
        <w:tab/>
      </w:r>
      <w:r>
        <w:rPr>
          <w:rFonts w:hint="eastAsia"/>
        </w:rPr>
        <w:t>N/m</w:t>
      </w:r>
      <w:r>
        <w:rPr>
          <w:rFonts w:hint="eastAsia"/>
          <w:vertAlign w:val="superscript"/>
        </w:rPr>
        <w:t>2</w:t>
      </w:r>
      <w:r>
        <w:rPr>
          <w:rFonts w:hint="eastAsia"/>
        </w:rPr>
        <w:t>）；</w:t>
      </w:r>
    </w:p>
    <w:p>
      <w:pPr>
        <w:spacing w:line="360" w:lineRule="auto"/>
        <w:ind w:left="991" w:hanging="571" w:leftChars="200" w:hangingChars="272"/>
        <w:jc w:val="left"/>
      </w:pPr>
      <w:r>
        <w:rPr>
          <w:rFonts w:ascii="GreekC" w:hAnsi="GreekC" w:cs="GreekC"/>
        </w:rPr>
        <w:t>D</w:t>
      </w:r>
      <w:r>
        <w:rPr>
          <w:rFonts w:hint="eastAsia"/>
          <w:vertAlign w:val="subscript"/>
        </w:rPr>
        <w:t>Y</w:t>
      </w:r>
      <w:r>
        <w:t>——</w:t>
      </w:r>
      <w:r>
        <w:rPr>
          <w:rFonts w:hint="eastAsia"/>
        </w:rPr>
        <w:t>管直径变化量，取试样计算直径的3%，单位为米（m）；</w:t>
      </w:r>
    </w:p>
    <w:p>
      <w:pPr>
        <w:spacing w:line="360" w:lineRule="auto"/>
        <w:ind w:left="991" w:hanging="571" w:leftChars="200" w:hangingChars="272"/>
        <w:jc w:val="left"/>
      </w:pPr>
      <w:r>
        <w:rPr>
          <w:rFonts w:hint="eastAsia"/>
        </w:rPr>
        <w:t>F</w:t>
      </w:r>
      <w:r>
        <w:t>——</w:t>
      </w:r>
      <w:r>
        <w:rPr>
          <w:rFonts w:hint="eastAsia"/>
        </w:rPr>
        <w:t>与</w:t>
      </w:r>
      <w:r>
        <w:rPr>
          <w:rFonts w:ascii="GreekC" w:hAnsi="GreekC" w:cs="GreekC"/>
        </w:rPr>
        <w:t>D</w:t>
      </w:r>
      <w:r>
        <w:rPr>
          <w:rFonts w:hint="eastAsia"/>
          <w:vertAlign w:val="subscript"/>
        </w:rPr>
        <w:t>Y</w:t>
      </w:r>
      <w:r>
        <w:rPr>
          <w:rFonts w:hint="eastAsia"/>
        </w:rPr>
        <w:t>相对应的线载荷，单位为牛每米（N/m）。</w:t>
      </w:r>
    </w:p>
    <w:p>
      <w:pPr>
        <w:pStyle w:val="Subtitle"/>
      </w:pPr>
      <w:bookmarkStart w:id="43" w:name="_Toc504574707"/>
      <w:r>
        <w:rPr>
          <w:rFonts w:hint="eastAsia"/>
        </w:rPr>
        <w:t>7.10 初始挠曲性</w:t>
      </w:r>
      <w:bookmarkEnd w:id="43"/>
    </w:p>
    <w:p>
      <w:pPr>
        <w:spacing w:line="360" w:lineRule="auto"/>
        <w:ind w:firstLine="420" w:firstLineChars="200"/>
      </w:pPr>
      <w:r>
        <w:rPr>
          <w:rFonts w:hint="eastAsia"/>
        </w:rPr>
        <w:t>测试设备、测试环境及试样按GB/T 5352的规定，加载速度同式（2）。当加载至挠曲水平A后保持2min，观察试样情况，然后继续加载至挠曲水平B，保持2min，观察试样情况。</w:t>
      </w:r>
    </w:p>
    <w:p>
      <w:pPr>
        <w:spacing w:line="360" w:lineRule="auto"/>
        <w:ind w:firstLine="360" w:firstLineChars="200"/>
        <w:rPr>
          <w:sz w:val="18"/>
          <w:szCs w:val="18"/>
        </w:rPr>
      </w:pPr>
      <w:r>
        <w:rPr>
          <w:rFonts w:hint="eastAsia"/>
          <w:sz w:val="18"/>
          <w:szCs w:val="18"/>
        </w:rPr>
        <w:t>注：可根据环刚度实测值S</w:t>
      </w:r>
      <w:r>
        <w:rPr>
          <w:rFonts w:hint="eastAsia"/>
          <w:sz w:val="18"/>
          <w:szCs w:val="18"/>
          <w:vertAlign w:val="subscript"/>
        </w:rPr>
        <w:t>0</w:t>
      </w:r>
      <w:r>
        <w:rPr>
          <w:rFonts w:hint="eastAsia"/>
          <w:sz w:val="18"/>
          <w:szCs w:val="18"/>
        </w:rPr>
        <w:t>按表6确定挠曲水平A和挠曲水平B。</w:t>
      </w:r>
    </w:p>
    <w:p>
      <w:pPr>
        <w:pStyle w:val="Subtitle"/>
      </w:pPr>
      <w:bookmarkStart w:id="44" w:name="_Toc504574708"/>
      <w:r>
        <w:rPr>
          <w:rFonts w:hint="eastAsia"/>
        </w:rPr>
        <w:t>7.11压力设计基准</w:t>
      </w:r>
      <w:bookmarkEnd w:id="44"/>
    </w:p>
    <w:p>
      <w:pPr>
        <w:ind w:firstLine="420" w:firstLineChars="200"/>
      </w:pPr>
      <w:r>
        <w:rPr>
          <w:rFonts w:hint="eastAsia"/>
        </w:rPr>
        <w:t>按GB/T 32491的规定进行。</w:t>
      </w:r>
    </w:p>
    <w:p>
      <w:pPr>
        <w:pStyle w:val="Heading1"/>
        <w:spacing w:before="156" w:after="156"/>
        <w:ind w:right="960"/>
        <w:rPr>
          <w:rFonts w:ascii="Times New Roman" w:hAnsi="Times New Roman"/>
          <w:szCs w:val="24"/>
        </w:rPr>
      </w:pPr>
      <w:bookmarkStart w:id="45" w:name="_Toc504574709"/>
      <w:r>
        <w:rPr>
          <w:rFonts w:ascii="Times New Roman" w:hAnsi="Times New Roman" w:hint="eastAsia"/>
          <w:szCs w:val="24"/>
        </w:rPr>
        <w:t>8 检验规则</w:t>
      </w:r>
      <w:bookmarkEnd w:id="45"/>
    </w:p>
    <w:p>
      <w:pPr>
        <w:pStyle w:val="Subtitle"/>
      </w:pPr>
      <w:bookmarkStart w:id="46" w:name="_Toc504574710"/>
      <w:r>
        <w:rPr>
          <w:rFonts w:hint="eastAsia"/>
        </w:rPr>
        <w:t>8.1 检验分类</w:t>
      </w:r>
      <w:bookmarkEnd w:id="46"/>
    </w:p>
    <w:p>
      <w:pPr>
        <w:spacing w:line="360" w:lineRule="auto"/>
        <w:ind w:firstLine="420" w:firstLineChars="200"/>
      </w:pPr>
      <w:r>
        <w:rPr>
          <w:rFonts w:hint="eastAsia"/>
        </w:rPr>
        <w:t>检验分出厂检验和型式检验</w:t>
      </w:r>
    </w:p>
    <w:p>
      <w:pPr>
        <w:pStyle w:val="Subtitle"/>
      </w:pPr>
      <w:bookmarkStart w:id="47" w:name="_Toc504574711"/>
      <w:r>
        <w:rPr>
          <w:rFonts w:hint="eastAsia"/>
        </w:rPr>
        <w:t>8.2 出厂检验</w:t>
      </w:r>
      <w:bookmarkEnd w:id="47"/>
    </w:p>
    <w:p>
      <w:pPr>
        <w:spacing w:line="360" w:lineRule="auto"/>
        <w:rPr>
          <w:rFonts w:ascii="宋体" w:hAnsi="宋体"/>
          <w:b/>
          <w:bCs/>
          <w:sz w:val="24"/>
          <w:szCs w:val="32"/>
        </w:rPr>
      </w:pPr>
      <w:r>
        <w:rPr>
          <w:rFonts w:ascii="宋体" w:hAnsi="宋体" w:hint="eastAsia"/>
          <w:b/>
          <w:bCs/>
          <w:sz w:val="24"/>
          <w:szCs w:val="32"/>
        </w:rPr>
        <w:t>8.2.1 检验项目</w:t>
      </w:r>
    </w:p>
    <w:p>
      <w:pPr>
        <w:spacing w:line="360" w:lineRule="auto"/>
        <w:rPr>
          <w:rFonts w:ascii="宋体" w:hAnsi="宋体"/>
          <w:szCs w:val="21"/>
        </w:rPr>
      </w:pPr>
      <w:r>
        <w:rPr>
          <w:rFonts w:ascii="宋体" w:hAnsi="宋体" w:hint="eastAsia"/>
          <w:szCs w:val="21"/>
        </w:rPr>
        <w:t xml:space="preserve">    外观、尺寸、巴柯尔硬度、水压渗漏。</w:t>
      </w:r>
    </w:p>
    <w:p>
      <w:pPr>
        <w:spacing w:line="360" w:lineRule="auto"/>
        <w:rPr>
          <w:rFonts w:ascii="宋体" w:hAnsi="宋体"/>
          <w:b/>
          <w:bCs/>
          <w:sz w:val="24"/>
          <w:szCs w:val="32"/>
        </w:rPr>
      </w:pPr>
      <w:r>
        <w:rPr>
          <w:rFonts w:ascii="宋体" w:hAnsi="宋体" w:hint="eastAsia"/>
          <w:b/>
          <w:bCs/>
          <w:sz w:val="24"/>
          <w:szCs w:val="32"/>
        </w:rPr>
        <w:t>8.2.2 检验方案</w:t>
      </w:r>
    </w:p>
    <w:p>
      <w:pPr>
        <w:spacing w:line="360" w:lineRule="auto"/>
        <w:rPr>
          <w:rFonts w:ascii="宋体" w:hAnsi="宋体"/>
          <w:szCs w:val="21"/>
        </w:rPr>
      </w:pPr>
      <w:r>
        <w:rPr>
          <w:rFonts w:ascii="宋体" w:hAnsi="宋体" w:hint="eastAsia"/>
          <w:b/>
          <w:bCs/>
          <w:sz w:val="24"/>
          <w:szCs w:val="32"/>
        </w:rPr>
        <w:t>8.2.2.1</w:t>
      </w:r>
      <w:r>
        <w:rPr>
          <w:rFonts w:ascii="宋体" w:hAnsi="宋体" w:hint="eastAsia"/>
          <w:szCs w:val="21"/>
        </w:rPr>
        <w:t>每根管均应进行外观、尺寸、巴柯尔硬度的检验。</w:t>
      </w:r>
    </w:p>
    <w:p>
      <w:pPr>
        <w:spacing w:line="360" w:lineRule="auto"/>
        <w:rPr>
          <w:rFonts w:ascii="宋体" w:hAnsi="宋体"/>
          <w:szCs w:val="21"/>
        </w:rPr>
      </w:pPr>
      <w:r>
        <w:rPr>
          <w:rFonts w:ascii="宋体" w:hAnsi="宋体" w:hint="eastAsia"/>
          <w:b/>
          <w:bCs/>
          <w:sz w:val="24"/>
          <w:szCs w:val="32"/>
        </w:rPr>
        <w:t xml:space="preserve">8.2.2.2 </w:t>
      </w:r>
      <w:r>
        <w:rPr>
          <w:rFonts w:ascii="宋体" w:hAnsi="宋体" w:hint="eastAsia"/>
          <w:szCs w:val="21"/>
        </w:rPr>
        <w:t>对于连续缠绕工艺生产的BFRP管，公称直径不大于1400mm时，每根BFRP管均需进行水压渗漏检验；公称直径大于1400mm、而不大于2400mm时，应按50%的比例抽样进行水压渗漏检验；公称直径大于2400mm时，水压渗漏检验的数量由供需双方商量确定，但不应少于5%。</w:t>
      </w:r>
    </w:p>
    <w:p>
      <w:pPr>
        <w:spacing w:line="360" w:lineRule="auto"/>
        <w:rPr>
          <w:rFonts w:ascii="宋体" w:hAnsi="宋体"/>
          <w:szCs w:val="21"/>
        </w:rPr>
      </w:pPr>
      <w:r>
        <w:rPr>
          <w:rFonts w:ascii="宋体" w:hAnsi="宋体" w:hint="eastAsia"/>
          <w:b/>
          <w:bCs/>
          <w:sz w:val="24"/>
          <w:szCs w:val="32"/>
        </w:rPr>
        <w:t xml:space="preserve">8.2.2.3 </w:t>
      </w:r>
      <w:r>
        <w:rPr>
          <w:rFonts w:ascii="宋体" w:hAnsi="宋体" w:hint="eastAsia"/>
          <w:szCs w:val="21"/>
        </w:rPr>
        <w:t>定长缠绕工艺生产的BFRP管，水压渗漏检验的数量由供需双方商量确定，但应不小于1%。</w:t>
      </w:r>
    </w:p>
    <w:p>
      <w:pPr>
        <w:spacing w:line="360" w:lineRule="auto"/>
        <w:rPr>
          <w:rFonts w:ascii="宋体" w:hAnsi="宋体"/>
          <w:b/>
          <w:bCs/>
          <w:sz w:val="24"/>
          <w:szCs w:val="32"/>
        </w:rPr>
      </w:pPr>
      <w:r>
        <w:rPr>
          <w:rFonts w:ascii="宋体" w:hAnsi="宋体" w:hint="eastAsia"/>
          <w:b/>
          <w:bCs/>
          <w:sz w:val="24"/>
          <w:szCs w:val="32"/>
        </w:rPr>
        <w:t>8.2.3 判定规则</w:t>
      </w:r>
    </w:p>
    <w:p>
      <w:pPr>
        <w:spacing w:line="360" w:lineRule="auto"/>
        <w:ind w:firstLine="420" w:firstLineChars="200"/>
        <w:rPr>
          <w:rFonts w:ascii="宋体" w:hAnsi="宋体"/>
          <w:szCs w:val="21"/>
        </w:rPr>
      </w:pPr>
      <w:r>
        <w:rPr>
          <w:rFonts w:ascii="宋体" w:hAnsi="宋体" w:hint="eastAsia"/>
          <w:szCs w:val="21"/>
        </w:rPr>
        <w:t xml:space="preserve">外观、尺寸、巴柯尔硬度、水压渗漏均应达到相应的要求，否则判该根管不合格。如果水压渗漏检验时出现不合格，则对该批管逐根进行水压渗漏检验，通过的判该根管该项目合格。    </w:t>
      </w:r>
    </w:p>
    <w:p>
      <w:pPr>
        <w:pStyle w:val="Subtitle"/>
      </w:pPr>
      <w:bookmarkStart w:id="48" w:name="_Toc504574712"/>
      <w:r>
        <w:rPr>
          <w:rFonts w:hint="eastAsia"/>
        </w:rPr>
        <w:t>8.3 型式检验</w:t>
      </w:r>
      <w:bookmarkEnd w:id="48"/>
    </w:p>
    <w:p>
      <w:pPr>
        <w:spacing w:line="360" w:lineRule="auto"/>
        <w:rPr>
          <w:rFonts w:ascii="宋体" w:hAnsi="宋体"/>
          <w:b/>
          <w:bCs/>
          <w:sz w:val="24"/>
          <w:szCs w:val="32"/>
        </w:rPr>
        <w:sectPr>
          <w:headerReference w:type="default" r:id="rId29"/>
          <w:footerReference w:type="default" r:id="rId30"/>
          <w:type w:val="nextPage"/>
          <w:pgSz w:w="11906" w:h="16838"/>
          <w:pgMar w:top="1440" w:right="1800" w:bottom="1440" w:left="1800" w:header="851" w:footer="992" w:gutter="0"/>
          <w:pgNumType w:start="9"/>
          <w:cols w:num="1" w:space="720"/>
          <w:titlePg w:val="0"/>
          <w:docGrid w:type="lines" w:linePitch="312" w:charSpace="0"/>
        </w:sectPr>
      </w:pPr>
      <w:r>
        <w:rPr>
          <w:rFonts w:ascii="宋体" w:hAnsi="宋体" w:hint="eastAsia"/>
          <w:b/>
          <w:bCs/>
          <w:sz w:val="24"/>
          <w:szCs w:val="32"/>
        </w:rPr>
        <w:t>8.3.1 检验条件</w:t>
      </w:r>
    </w:p>
    <w:p>
      <w:pPr>
        <w:spacing w:line="360" w:lineRule="auto"/>
        <w:rPr>
          <w:rFonts w:ascii="宋体" w:hAnsi="宋体"/>
          <w:szCs w:val="21"/>
        </w:rPr>
      </w:pPr>
      <w:r>
        <w:rPr>
          <w:rFonts w:ascii="宋体" w:hAnsi="宋体" w:hint="eastAsia"/>
          <w:szCs w:val="21"/>
        </w:rPr>
        <w:t xml:space="preserve">    有下列情况之一时应进行型式检验：</w:t>
      </w:r>
    </w:p>
    <w:p>
      <w:pPr>
        <w:spacing w:line="360" w:lineRule="auto"/>
        <w:rPr>
          <w:rFonts w:ascii="宋体" w:hAnsi="宋体"/>
          <w:szCs w:val="21"/>
        </w:rPr>
      </w:pPr>
      <w:r>
        <w:rPr>
          <w:rFonts w:ascii="宋体" w:hAnsi="宋体" w:hint="eastAsia"/>
          <w:szCs w:val="21"/>
        </w:rPr>
        <w:t xml:space="preserve">    </w:t>
      </w:r>
      <w:r>
        <w:rPr>
          <w:rFonts w:ascii="宋体" w:hAnsi="宋体"/>
          <w:szCs w:val="21"/>
        </w:rPr>
        <w:t>a</w:t>
      </w:r>
      <w:r>
        <w:rPr>
          <w:rFonts w:ascii="宋体" w:hAnsi="宋体" w:hint="eastAsia"/>
          <w:szCs w:val="21"/>
        </w:rPr>
        <w:t>）产品定型鉴定时；</w:t>
      </w:r>
    </w:p>
    <w:p>
      <w:pPr>
        <w:spacing w:line="360" w:lineRule="auto"/>
        <w:rPr>
          <w:rFonts w:ascii="宋体" w:hAnsi="宋体"/>
          <w:szCs w:val="21"/>
        </w:rPr>
      </w:pPr>
      <w:r>
        <w:rPr>
          <w:rFonts w:ascii="宋体" w:hAnsi="宋体" w:hint="eastAsia"/>
          <w:szCs w:val="21"/>
        </w:rPr>
        <w:t xml:space="preserve">    b) 正式投产后，当产品的材料、结构、工艺有较大改变可能影响产品性能时；</w:t>
      </w:r>
    </w:p>
    <w:p>
      <w:pPr>
        <w:spacing w:line="360" w:lineRule="auto"/>
        <w:rPr>
          <w:rFonts w:ascii="宋体" w:hAnsi="宋体"/>
          <w:szCs w:val="21"/>
        </w:rPr>
      </w:pPr>
      <w:r>
        <w:rPr>
          <w:rFonts w:ascii="宋体" w:hAnsi="宋体" w:hint="eastAsia"/>
          <w:szCs w:val="21"/>
        </w:rPr>
        <w:t xml:space="preserve">    c) 正常生产时，应每年至少进行一次型式检验；</w:t>
      </w:r>
    </w:p>
    <w:p>
      <w:pPr>
        <w:spacing w:line="360" w:lineRule="auto"/>
        <w:rPr>
          <w:rFonts w:ascii="宋体" w:hAnsi="宋体"/>
          <w:szCs w:val="21"/>
        </w:rPr>
      </w:pPr>
      <w:r>
        <w:rPr>
          <w:rFonts w:ascii="宋体" w:hAnsi="宋体" w:hint="eastAsia"/>
          <w:szCs w:val="21"/>
        </w:rPr>
        <w:t xml:space="preserve">    d) 产品长期停产（3个月以上）再恢复生产时；</w:t>
      </w:r>
    </w:p>
    <w:p>
      <w:pPr>
        <w:spacing w:line="360" w:lineRule="auto"/>
        <w:rPr>
          <w:rFonts w:ascii="宋体" w:hAnsi="宋体"/>
          <w:szCs w:val="21"/>
        </w:rPr>
      </w:pPr>
      <w:r>
        <w:rPr>
          <w:rFonts w:ascii="宋体" w:hAnsi="宋体" w:hint="eastAsia"/>
          <w:szCs w:val="21"/>
        </w:rPr>
        <w:t xml:space="preserve">    e) 出厂检验结果与最近一次型式检验结果有较大差异时；</w:t>
      </w:r>
    </w:p>
    <w:p>
      <w:pPr>
        <w:spacing w:line="360" w:lineRule="auto"/>
        <w:rPr>
          <w:rFonts w:ascii="宋体" w:hAnsi="宋体"/>
          <w:b/>
          <w:bCs/>
          <w:sz w:val="24"/>
          <w:szCs w:val="32"/>
        </w:rPr>
      </w:pPr>
      <w:r>
        <w:rPr>
          <w:rFonts w:ascii="宋体" w:hAnsi="宋体" w:hint="eastAsia"/>
          <w:b/>
          <w:bCs/>
          <w:sz w:val="24"/>
          <w:szCs w:val="32"/>
        </w:rPr>
        <w:t>8.3.2 检验项目</w:t>
      </w:r>
    </w:p>
    <w:p>
      <w:pPr>
        <w:spacing w:line="360" w:lineRule="auto"/>
        <w:rPr>
          <w:rFonts w:ascii="宋体" w:hAnsi="宋体"/>
          <w:szCs w:val="21"/>
        </w:rPr>
      </w:pPr>
      <w:r>
        <w:rPr>
          <w:rFonts w:ascii="宋体" w:hAnsi="宋体" w:hint="eastAsia"/>
          <w:szCs w:val="21"/>
        </w:rPr>
        <w:t xml:space="preserve">    第6章中除压力设计基准外的所有项目。</w:t>
      </w:r>
    </w:p>
    <w:p>
      <w:pPr>
        <w:spacing w:line="360" w:lineRule="auto"/>
        <w:rPr>
          <w:rFonts w:ascii="宋体" w:hAnsi="宋体"/>
          <w:b/>
          <w:bCs/>
          <w:sz w:val="24"/>
          <w:szCs w:val="32"/>
        </w:rPr>
      </w:pPr>
      <w:r>
        <w:rPr>
          <w:rFonts w:ascii="宋体" w:hAnsi="宋体" w:hint="eastAsia"/>
          <w:b/>
          <w:bCs/>
          <w:sz w:val="24"/>
          <w:szCs w:val="32"/>
        </w:rPr>
        <w:t>8.3.3 检验方案</w:t>
      </w:r>
    </w:p>
    <w:p>
      <w:pPr>
        <w:spacing w:line="360" w:lineRule="auto"/>
        <w:rPr>
          <w:rFonts w:ascii="宋体" w:hAnsi="宋体"/>
          <w:b/>
          <w:bCs/>
          <w:sz w:val="24"/>
          <w:szCs w:val="32"/>
        </w:rPr>
      </w:pPr>
      <w:r>
        <w:rPr>
          <w:rFonts w:ascii="宋体" w:hAnsi="宋体" w:hint="eastAsia"/>
          <w:b/>
          <w:bCs/>
          <w:sz w:val="24"/>
          <w:szCs w:val="32"/>
        </w:rPr>
        <w:t>8.3.3.1 外观、尺寸、巴柯尔硬度</w:t>
      </w:r>
    </w:p>
    <w:p>
      <w:pPr>
        <w:spacing w:line="360" w:lineRule="auto"/>
        <w:ind w:firstLine="420" w:firstLineChars="200"/>
        <w:rPr>
          <w:rFonts w:ascii="宋体" w:hAnsi="宋体"/>
          <w:szCs w:val="21"/>
        </w:rPr>
      </w:pPr>
      <w:r>
        <w:rPr>
          <w:rFonts w:ascii="宋体" w:hAnsi="宋体" w:hint="eastAsia"/>
          <w:szCs w:val="21"/>
        </w:rPr>
        <w:t>以相同材料、相同工艺、相同规格的100根BFRP管为一批（不足100根的也作为一个批），随机抽样6根。</w:t>
      </w:r>
    </w:p>
    <w:p>
      <w:pPr>
        <w:spacing w:line="360" w:lineRule="auto"/>
        <w:rPr>
          <w:rFonts w:ascii="宋体" w:hAnsi="宋体"/>
          <w:b/>
          <w:bCs/>
          <w:sz w:val="24"/>
          <w:szCs w:val="32"/>
        </w:rPr>
      </w:pPr>
      <w:r>
        <w:rPr>
          <w:rFonts w:ascii="宋体" w:hAnsi="宋体" w:hint="eastAsia"/>
          <w:b/>
          <w:bCs/>
          <w:sz w:val="24"/>
          <w:szCs w:val="32"/>
        </w:rPr>
        <w:t>8.3.3.2 管壁组分含量、树脂不可溶分含量、力学性能、短时失效水压、初始环刚度、初始挠曲性</w:t>
      </w:r>
    </w:p>
    <w:p>
      <w:pPr>
        <w:spacing w:line="360" w:lineRule="auto"/>
        <w:ind w:firstLine="420" w:firstLineChars="200"/>
        <w:rPr>
          <w:rFonts w:ascii="宋体" w:hAnsi="宋体"/>
          <w:szCs w:val="21"/>
        </w:rPr>
      </w:pPr>
      <w:r>
        <w:rPr>
          <w:rFonts w:ascii="宋体" w:hAnsi="宋体" w:hint="eastAsia"/>
          <w:szCs w:val="21"/>
        </w:rPr>
        <w:t>对以相同材料、相同工艺、相同规格的100根BFRP管为一批（不足100根的也作为一个批），采用两次抽样法，样本数均为2。</w:t>
      </w:r>
    </w:p>
    <w:p>
      <w:pPr>
        <w:spacing w:line="360" w:lineRule="auto"/>
        <w:rPr>
          <w:rFonts w:ascii="宋体" w:hAnsi="宋体"/>
          <w:b/>
          <w:bCs/>
          <w:sz w:val="24"/>
          <w:szCs w:val="32"/>
        </w:rPr>
      </w:pPr>
      <w:r>
        <w:rPr>
          <w:rFonts w:ascii="宋体" w:hAnsi="宋体" w:hint="eastAsia"/>
          <w:b/>
          <w:bCs/>
          <w:sz w:val="24"/>
          <w:szCs w:val="32"/>
        </w:rPr>
        <w:t>8.3.4 判定规则</w:t>
      </w:r>
    </w:p>
    <w:p>
      <w:pPr>
        <w:spacing w:line="360" w:lineRule="auto"/>
        <w:rPr>
          <w:rFonts w:ascii="宋体" w:hAnsi="宋体"/>
          <w:szCs w:val="21"/>
        </w:rPr>
      </w:pPr>
      <w:r>
        <w:rPr>
          <w:rFonts w:ascii="宋体" w:hAnsi="宋体" w:hint="eastAsia"/>
          <w:b/>
          <w:bCs/>
          <w:sz w:val="24"/>
          <w:szCs w:val="32"/>
        </w:rPr>
        <w:t xml:space="preserve">8.3.4.1 </w:t>
      </w:r>
      <w:r>
        <w:rPr>
          <w:rFonts w:ascii="宋体" w:hAnsi="宋体" w:hint="eastAsia"/>
          <w:szCs w:val="21"/>
        </w:rPr>
        <w:t>所有样本的外观、尺寸、巴柯尔硬度和水压渗漏均达到相应的要求，判相应项的型式检验合格，否则判型式检验不合格。</w:t>
      </w:r>
    </w:p>
    <w:p>
      <w:pPr>
        <w:spacing w:line="360" w:lineRule="auto"/>
        <w:rPr>
          <w:rFonts w:ascii="宋体" w:hAnsi="宋体"/>
          <w:szCs w:val="21"/>
        </w:rPr>
      </w:pPr>
      <w:r>
        <w:rPr>
          <w:rFonts w:ascii="宋体" w:hAnsi="宋体" w:hint="eastAsia"/>
          <w:b/>
          <w:bCs/>
          <w:sz w:val="24"/>
          <w:szCs w:val="32"/>
        </w:rPr>
        <w:t xml:space="preserve">8.3.4.2 </w:t>
      </w:r>
      <w:r>
        <w:rPr>
          <w:rFonts w:ascii="宋体" w:hAnsi="宋体" w:hint="eastAsia"/>
          <w:szCs w:val="21"/>
        </w:rPr>
        <w:t>第一次所抽检的管壁组分含量、</w:t>
      </w:r>
      <w:r>
        <w:rPr>
          <w:rFonts w:hint="eastAsia"/>
        </w:rPr>
        <w:t>树脂不可溶分含量、力学性能、短时失效水压、初始环刚度、初始挠曲性均达到相应要求的，判型式检验合格；2根均不符合要求判型式检验不合格；如有1根不合格且不合格项（力学性能各分项均作一项）不超过2项时，可对不合格项进行第二次抽样检验，第二次抽样检验仍不合格项，判型式检验不合格。</w:t>
      </w:r>
    </w:p>
    <w:p>
      <w:pPr>
        <w:spacing w:line="360" w:lineRule="auto"/>
        <w:rPr>
          <w:rFonts w:ascii="宋体" w:hAnsi="宋体"/>
          <w:b/>
          <w:bCs/>
          <w:sz w:val="24"/>
          <w:szCs w:val="32"/>
        </w:rPr>
      </w:pPr>
      <w:r>
        <w:rPr>
          <w:rFonts w:ascii="宋体" w:hAnsi="宋体" w:hint="eastAsia"/>
          <w:b/>
          <w:bCs/>
          <w:sz w:val="24"/>
          <w:szCs w:val="32"/>
        </w:rPr>
        <w:t>8.3.5压力设计基准试验</w:t>
      </w:r>
    </w:p>
    <w:p>
      <w:pPr>
        <w:spacing w:line="360" w:lineRule="auto"/>
        <w:ind w:firstLine="420" w:firstLineChars="200"/>
        <w:rPr>
          <w:rFonts w:ascii="宋体" w:hAnsi="宋体"/>
          <w:szCs w:val="21"/>
        </w:rPr>
      </w:pPr>
      <w:r>
        <w:rPr>
          <w:rFonts w:ascii="宋体" w:hAnsi="宋体" w:hint="eastAsia"/>
          <w:szCs w:val="21"/>
        </w:rPr>
        <w:t>新产品投产后或产品的材料、结构、工艺有较大改变后，各生产厂应在3年内完成压力设计基准试验</w:t>
      </w:r>
    </w:p>
    <w:p>
      <w:pPr>
        <w:pStyle w:val="Heading1"/>
        <w:spacing w:before="156" w:after="156"/>
        <w:ind w:right="960"/>
        <w:rPr>
          <w:rFonts w:ascii="Times New Roman" w:hAnsi="Times New Roman"/>
          <w:szCs w:val="24"/>
        </w:rPr>
      </w:pPr>
      <w:bookmarkStart w:id="49" w:name="_Toc504574713"/>
      <w:r>
        <w:rPr>
          <w:rFonts w:ascii="Times New Roman" w:hAnsi="Times New Roman" w:hint="eastAsia"/>
          <w:szCs w:val="24"/>
        </w:rPr>
        <w:t>9 产品标志及运输</w:t>
      </w:r>
      <w:bookmarkEnd w:id="49"/>
    </w:p>
    <w:p>
      <w:pPr>
        <w:pStyle w:val="Subtitle"/>
      </w:pPr>
      <w:bookmarkStart w:id="50" w:name="_Toc504574714"/>
      <w:r>
        <w:rPr>
          <w:rFonts w:hint="eastAsia"/>
        </w:rPr>
        <w:t>9.1 标志</w:t>
      </w:r>
      <w:bookmarkEnd w:id="50"/>
    </w:p>
    <w:p>
      <w:pPr>
        <w:spacing w:line="360" w:lineRule="auto"/>
        <w:rPr>
          <w:rFonts w:ascii="宋体" w:hAnsi="宋体"/>
          <w:szCs w:val="21"/>
        </w:rPr>
        <w:sectPr>
          <w:headerReference w:type="default" r:id="rId31"/>
          <w:footerReference w:type="default" r:id="rId32"/>
          <w:type w:val="nextPage"/>
          <w:pgSz w:w="11906" w:h="16838"/>
          <w:pgMar w:top="1440" w:right="1800" w:bottom="1440" w:left="1800" w:header="851" w:footer="992" w:gutter="0"/>
          <w:pgNumType w:start="10"/>
          <w:cols w:num="1" w:space="720"/>
          <w:titlePg w:val="0"/>
          <w:docGrid w:type="lines" w:linePitch="312" w:charSpace="0"/>
        </w:sectPr>
      </w:pPr>
      <w:r>
        <w:rPr>
          <w:rFonts w:ascii="宋体" w:hAnsi="宋体" w:hint="eastAsia"/>
          <w:szCs w:val="21"/>
        </w:rPr>
        <w:t xml:space="preserve">  </w:t>
      </w:r>
      <w:r>
        <w:rPr>
          <w:rFonts w:ascii="宋体" w:hAnsi="宋体" w:hint="eastAsia"/>
          <w:szCs w:val="21"/>
        </w:rPr>
        <w:t xml:space="preserve"> </w:t>
      </w:r>
    </w:p>
    <w:p>
      <w:pPr>
        <w:spacing w:line="360" w:lineRule="auto"/>
        <w:rPr>
          <w:rFonts w:ascii="宋体" w:hAnsi="宋体"/>
          <w:szCs w:val="21"/>
        </w:rPr>
      </w:pPr>
      <w:r>
        <w:rPr>
          <w:rFonts w:ascii="宋体" w:hAnsi="宋体" w:hint="eastAsia"/>
          <w:szCs w:val="21"/>
        </w:rPr>
        <w:t xml:space="preserve"> 每件产品至少应在一处做上标志，在正常装卸和安装中字迹仍应保持清楚。标志应包括下列内容：</w:t>
      </w:r>
    </w:p>
    <w:p>
      <w:pPr>
        <w:spacing w:line="360" w:lineRule="auto"/>
        <w:rPr>
          <w:rFonts w:ascii="宋体" w:hAnsi="宋体"/>
          <w:szCs w:val="21"/>
        </w:rPr>
      </w:pPr>
      <w:r>
        <w:rPr>
          <w:rFonts w:ascii="宋体" w:hAnsi="宋体" w:hint="eastAsia"/>
          <w:szCs w:val="21"/>
        </w:rPr>
        <w:t xml:space="preserve">    a) 生产厂名称（或商标）；</w:t>
      </w:r>
    </w:p>
    <w:p>
      <w:pPr>
        <w:spacing w:line="360" w:lineRule="auto"/>
        <w:rPr>
          <w:rFonts w:ascii="宋体" w:hAnsi="宋体"/>
          <w:szCs w:val="21"/>
        </w:rPr>
      </w:pPr>
      <w:r>
        <w:rPr>
          <w:rFonts w:ascii="宋体" w:hAnsi="宋体" w:hint="eastAsia"/>
          <w:szCs w:val="21"/>
        </w:rPr>
        <w:t xml:space="preserve">    b) 产品标记；</w:t>
      </w:r>
    </w:p>
    <w:p>
      <w:pPr>
        <w:spacing w:line="360" w:lineRule="auto"/>
        <w:rPr>
          <w:rFonts w:ascii="宋体" w:hAnsi="宋体"/>
          <w:szCs w:val="21"/>
        </w:rPr>
      </w:pPr>
      <w:r>
        <w:rPr>
          <w:rFonts w:ascii="宋体" w:hAnsi="宋体" w:hint="eastAsia"/>
          <w:szCs w:val="21"/>
        </w:rPr>
        <w:t xml:space="preserve">    c) 批号及产品编号；</w:t>
      </w:r>
    </w:p>
    <w:p>
      <w:pPr>
        <w:spacing w:line="360" w:lineRule="auto"/>
        <w:rPr>
          <w:rFonts w:ascii="宋体" w:hAnsi="宋体"/>
          <w:szCs w:val="21"/>
        </w:rPr>
      </w:pPr>
      <w:r>
        <w:rPr>
          <w:rFonts w:ascii="宋体" w:hAnsi="宋体" w:hint="eastAsia"/>
          <w:szCs w:val="21"/>
        </w:rPr>
        <w:t xml:space="preserve">    d) 生产日期。</w:t>
      </w:r>
    </w:p>
    <w:p>
      <w:pPr>
        <w:pStyle w:val="Subtitle"/>
      </w:pPr>
      <w:bookmarkStart w:id="51" w:name="_Toc504574715"/>
      <w:r>
        <w:rPr>
          <w:rFonts w:hint="eastAsia"/>
        </w:rPr>
        <w:t>9.2 包装</w:t>
      </w:r>
      <w:bookmarkEnd w:id="51"/>
    </w:p>
    <w:p>
      <w:pPr>
        <w:spacing w:line="360" w:lineRule="auto"/>
        <w:rPr>
          <w:szCs w:val="21"/>
        </w:rPr>
      </w:pPr>
      <w:r>
        <w:rPr>
          <w:rFonts w:ascii="宋体" w:hAnsi="宋体"/>
          <w:szCs w:val="21"/>
        </w:rPr>
        <w:t xml:space="preserve">9.2.1 </w:t>
      </w:r>
      <w:r>
        <w:rPr>
          <w:rFonts w:ascii="宋体" w:hAnsi="宋体" w:hint="eastAsia"/>
          <w:szCs w:val="21"/>
        </w:rPr>
        <w:t>管道及管件发运前应用发泡塑料膜等柔性包装物对管道及管件两端的管端面和外侧连接面进行包装。</w:t>
      </w:r>
    </w:p>
    <w:p>
      <w:pPr>
        <w:spacing w:line="360" w:lineRule="auto"/>
        <w:rPr>
          <w:szCs w:val="21"/>
        </w:rPr>
      </w:pPr>
      <w:r>
        <w:rPr>
          <w:rFonts w:ascii="宋体" w:hAnsi="宋体"/>
          <w:szCs w:val="21"/>
        </w:rPr>
        <w:t xml:space="preserve">9.2.2 </w:t>
      </w:r>
      <w:r>
        <w:rPr>
          <w:rFonts w:ascii="宋体" w:hAnsi="宋体" w:hint="eastAsia"/>
          <w:szCs w:val="21"/>
        </w:rPr>
        <w:t>包装宽度应比管道外侧连接面宽度大</w:t>
      </w:r>
      <w:r>
        <w:rPr>
          <w:rFonts w:ascii="宋体" w:hAnsi="宋体"/>
          <w:szCs w:val="21"/>
        </w:rPr>
        <w:t>100mm。</w:t>
      </w:r>
    </w:p>
    <w:p>
      <w:pPr>
        <w:pStyle w:val="Subtitle"/>
      </w:pPr>
      <w:bookmarkStart w:id="52" w:name="_Toc504574716"/>
      <w:r>
        <w:rPr>
          <w:rFonts w:hint="eastAsia"/>
        </w:rPr>
        <w:t>9.3 运输</w:t>
      </w:r>
      <w:bookmarkEnd w:id="52"/>
    </w:p>
    <w:p>
      <w:pPr>
        <w:spacing w:line="360" w:lineRule="auto"/>
        <w:rPr>
          <w:rFonts w:ascii="宋体" w:hAnsi="宋体"/>
          <w:szCs w:val="21"/>
        </w:rPr>
      </w:pPr>
      <w:r>
        <w:rPr>
          <w:rFonts w:ascii="宋体" w:hAnsi="宋体" w:hint="eastAsia"/>
          <w:szCs w:val="21"/>
        </w:rPr>
        <w:t>9.3.1 管道应采用平板拖车、公路或铁路货车拉运。拉运车辆应有足够的长度，不得使管道一端悬空超过2m。车上不得有铁钉、石块等坚硬物。</w:t>
      </w:r>
    </w:p>
    <w:p>
      <w:pPr>
        <w:spacing w:line="360" w:lineRule="auto"/>
        <w:rPr>
          <w:rFonts w:ascii="宋体" w:hAnsi="宋体"/>
          <w:szCs w:val="21"/>
        </w:rPr>
      </w:pPr>
      <w:r>
        <w:rPr>
          <w:rFonts w:ascii="宋体" w:hAnsi="宋体" w:hint="eastAsia"/>
          <w:szCs w:val="21"/>
        </w:rPr>
        <w:t>9.3.2 管道装车前应对端部用柔韧材料包装。</w:t>
      </w:r>
    </w:p>
    <w:p>
      <w:pPr>
        <w:spacing w:line="360" w:lineRule="auto"/>
        <w:rPr>
          <w:rFonts w:ascii="宋体" w:hAnsi="宋体"/>
          <w:szCs w:val="21"/>
        </w:rPr>
      </w:pPr>
      <w:r>
        <w:rPr>
          <w:rFonts w:ascii="宋体" w:hAnsi="宋体" w:hint="eastAsia"/>
          <w:szCs w:val="21"/>
        </w:rPr>
        <w:t>9.3.3 管道装车时，在管道与车厢板之间应加支撑木方垫，支撑木方垫间距不得大于2m；管道的层与层之间应加软质衬垫，所有管道应用高强度柔软绳索绑扎牢固。</w:t>
      </w:r>
    </w:p>
    <w:p>
      <w:pPr>
        <w:spacing w:line="360" w:lineRule="auto"/>
        <w:rPr>
          <w:rFonts w:ascii="宋体" w:hAnsi="宋体"/>
          <w:szCs w:val="21"/>
        </w:rPr>
      </w:pPr>
      <w:r>
        <w:rPr>
          <w:rFonts w:ascii="宋体" w:hAnsi="宋体" w:hint="eastAsia"/>
          <w:szCs w:val="21"/>
        </w:rPr>
        <w:t>9.3.4 拉运时应平稳行驶，不得颠簸、冲撞。</w:t>
      </w:r>
    </w:p>
    <w:p>
      <w:pPr>
        <w:pStyle w:val="Subtitle"/>
      </w:pPr>
      <w:bookmarkStart w:id="53" w:name="_Toc504574717"/>
      <w:r>
        <w:rPr>
          <w:rFonts w:hint="eastAsia"/>
        </w:rPr>
        <w:t>9.4 装卸</w:t>
      </w:r>
      <w:bookmarkEnd w:id="53"/>
    </w:p>
    <w:p>
      <w:pPr>
        <w:spacing w:line="360" w:lineRule="auto"/>
        <w:rPr>
          <w:rFonts w:ascii="宋体" w:hAnsi="宋体"/>
          <w:szCs w:val="21"/>
        </w:rPr>
      </w:pPr>
      <w:r>
        <w:rPr>
          <w:rFonts w:ascii="宋体" w:hAnsi="宋体" w:hint="eastAsia"/>
          <w:szCs w:val="21"/>
        </w:rPr>
        <w:t>9.4.1 管道的装卸，包括拉运装车、卸车、现场倒运和下沟、安装就位。可用人工或吊车。吊车吊卸时，其吊索吊带应使用柔韧的粗帆布带或宽度大于100mm的聚酯带，或直径大于30mm的尼龙绳，严禁用钢丝绳或链条等钢缆吊起管道。严禁从运输车上往地面或从地面往沟里直接抛掷。装卸时应轻吊轻放，严禁冲击或撞击管道。</w:t>
      </w:r>
    </w:p>
    <w:p>
      <w:pPr>
        <w:spacing w:line="360" w:lineRule="auto"/>
        <w:rPr>
          <w:rFonts w:ascii="宋体" w:hAnsi="宋体"/>
          <w:szCs w:val="21"/>
        </w:rPr>
      </w:pPr>
      <w:r>
        <w:rPr>
          <w:rFonts w:ascii="宋体" w:hAnsi="宋体" w:hint="eastAsia"/>
          <w:szCs w:val="21"/>
        </w:rPr>
        <w:t>9.4.2 吊起管道应在距管道两端各1/4管长处的两点兜身起吊，吊起管道移动时必须使管道在地面上滚动或滑动。</w:t>
      </w:r>
    </w:p>
    <w:p>
      <w:pPr>
        <w:pStyle w:val="Subtitle"/>
      </w:pPr>
      <w:bookmarkStart w:id="54" w:name="_Toc504574718"/>
      <w:r>
        <w:rPr>
          <w:rFonts w:hint="eastAsia"/>
        </w:rPr>
        <w:t>9.5 贮存</w:t>
      </w:r>
      <w:bookmarkEnd w:id="54"/>
    </w:p>
    <w:p>
      <w:pPr>
        <w:spacing w:line="360" w:lineRule="auto"/>
        <w:rPr>
          <w:rFonts w:ascii="宋体" w:hAnsi="宋体"/>
          <w:szCs w:val="21"/>
        </w:rPr>
      </w:pPr>
      <w:r>
        <w:rPr>
          <w:rFonts w:ascii="宋体" w:hAnsi="宋体" w:hint="eastAsia"/>
          <w:szCs w:val="21"/>
        </w:rPr>
        <w:t>9.5.1 堆放场地应平整，管道层间用垫木隔开，最高堆放高度不得超过2.4m。套装管道除非有制造商的允许，否则不可堆放。</w:t>
      </w:r>
    </w:p>
    <w:p>
      <w:pPr>
        <w:spacing w:line="360" w:lineRule="auto"/>
        <w:rPr>
          <w:rFonts w:ascii="宋体" w:hAnsi="宋体"/>
          <w:szCs w:val="21"/>
        </w:rPr>
      </w:pPr>
      <w:r>
        <w:rPr>
          <w:rFonts w:ascii="宋体" w:hAnsi="宋体" w:hint="eastAsia"/>
          <w:szCs w:val="21"/>
        </w:rPr>
        <w:t>9.5.2 运达现场的管道应存放在安装沟附近的平整的软土地上，地面不得有可能造成管道表面损伤的碎石或其他硬碎性物体。</w:t>
      </w:r>
    </w:p>
    <w:p>
      <w:pPr>
        <w:spacing w:line="360" w:lineRule="auto"/>
        <w:rPr>
          <w:rFonts w:ascii="宋体" w:hAnsi="宋体"/>
          <w:szCs w:val="21"/>
        </w:rPr>
      </w:pPr>
      <w:r>
        <w:rPr>
          <w:rFonts w:ascii="宋体" w:hAnsi="宋体" w:hint="eastAsia"/>
          <w:szCs w:val="21"/>
        </w:rPr>
        <w:t>9.5.3 管道和管件存放地不得有易燃物品，应远离热源。</w:t>
      </w:r>
    </w:p>
    <w:p>
      <w:pPr>
        <w:spacing w:line="360" w:lineRule="auto"/>
        <w:rPr>
          <w:rFonts w:ascii="宋体" w:hAnsi="宋体"/>
          <w:szCs w:val="21"/>
        </w:rPr>
        <w:sectPr>
          <w:headerReference w:type="default" r:id="rId33"/>
          <w:footerReference w:type="default" r:id="rId34"/>
          <w:type w:val="nextPage"/>
          <w:pgSz w:w="11906" w:h="16838"/>
          <w:pgMar w:top="1440" w:right="1800" w:bottom="1440" w:left="1800" w:header="851" w:footer="992" w:gutter="0"/>
          <w:pgNumType w:start="11"/>
          <w:cols w:num="1" w:space="720"/>
          <w:titlePg w:val="0"/>
          <w:docGrid w:type="lines" w:linePitch="312" w:charSpace="0"/>
        </w:sectPr>
      </w:pPr>
      <w:r>
        <w:rPr>
          <w:rFonts w:ascii="宋体" w:hAnsi="宋体" w:hint="eastAsia"/>
          <w:szCs w:val="21"/>
        </w:rPr>
        <w:t>9.5.4 管道和管件不宜长期露天存放，地上安装在安装前应防止暴晒。</w:t>
      </w:r>
    </w:p>
    <w:p>
      <w:pPr>
        <w:pStyle w:val="Subtitle"/>
      </w:pPr>
      <w:bookmarkStart w:id="55" w:name="_Toc504574719"/>
      <w:r>
        <w:rPr>
          <w:rFonts w:hint="eastAsia"/>
        </w:rPr>
        <w:t>9.6 出厂证明书</w:t>
      </w:r>
      <w:bookmarkEnd w:id="55"/>
    </w:p>
    <w:p>
      <w:pPr>
        <w:spacing w:line="360" w:lineRule="auto"/>
        <w:rPr>
          <w:rFonts w:ascii="宋体" w:hAnsi="宋体"/>
          <w:szCs w:val="21"/>
        </w:rPr>
      </w:pPr>
      <w:r>
        <w:rPr>
          <w:rFonts w:ascii="宋体" w:hAnsi="宋体" w:hint="eastAsia"/>
          <w:szCs w:val="21"/>
        </w:rPr>
        <w:t xml:space="preserve">    每批管道和管件出厂时应附有质量证明书。质量证明书应至少包括下列内容：</w:t>
      </w:r>
    </w:p>
    <w:p>
      <w:pPr>
        <w:spacing w:line="360" w:lineRule="auto"/>
        <w:rPr>
          <w:rFonts w:ascii="宋体" w:hAnsi="宋体"/>
          <w:szCs w:val="21"/>
        </w:rPr>
      </w:pPr>
      <w:r>
        <w:rPr>
          <w:rFonts w:ascii="宋体" w:hAnsi="宋体" w:hint="eastAsia"/>
          <w:szCs w:val="21"/>
        </w:rPr>
        <w:t xml:space="preserve">    a) 生产厂名称；</w:t>
      </w:r>
    </w:p>
    <w:p>
      <w:pPr>
        <w:spacing w:line="360" w:lineRule="auto"/>
        <w:rPr>
          <w:rFonts w:ascii="宋体" w:hAnsi="宋体"/>
          <w:szCs w:val="21"/>
        </w:rPr>
      </w:pPr>
      <w:r>
        <w:rPr>
          <w:rFonts w:ascii="宋体" w:hAnsi="宋体" w:hint="eastAsia"/>
          <w:szCs w:val="21"/>
        </w:rPr>
        <w:t xml:space="preserve">    b) 产品规格；</w:t>
      </w:r>
    </w:p>
    <w:p>
      <w:pPr>
        <w:spacing w:line="360" w:lineRule="auto"/>
        <w:rPr>
          <w:rFonts w:ascii="宋体" w:hAnsi="宋体"/>
          <w:szCs w:val="21"/>
        </w:rPr>
      </w:pPr>
      <w:r>
        <w:rPr>
          <w:rFonts w:ascii="宋体" w:hAnsi="宋体" w:hint="eastAsia"/>
          <w:szCs w:val="21"/>
        </w:rPr>
        <w:t xml:space="preserve">    c) 生产日期；</w:t>
      </w:r>
    </w:p>
    <w:p>
      <w:pPr>
        <w:spacing w:line="360" w:lineRule="auto"/>
        <w:rPr>
          <w:rFonts w:ascii="宋体" w:hAnsi="宋体"/>
          <w:szCs w:val="21"/>
        </w:rPr>
      </w:pPr>
      <w:r>
        <w:rPr>
          <w:rFonts w:ascii="宋体" w:hAnsi="宋体" w:hint="eastAsia"/>
          <w:szCs w:val="21"/>
        </w:rPr>
        <w:t xml:space="preserve">    d）检验报告。</w:t>
      </w:r>
    </w:p>
    <w:p>
      <w:pPr>
        <w:pStyle w:val="Heading1"/>
        <w:spacing w:before="156" w:after="156"/>
        <w:ind w:right="960"/>
        <w:rPr>
          <w:rFonts w:ascii="Times New Roman" w:hAnsi="Times New Roman"/>
          <w:szCs w:val="24"/>
        </w:rPr>
      </w:pPr>
      <w:bookmarkStart w:id="56" w:name="_Toc504574720"/>
      <w:r>
        <w:rPr>
          <w:rFonts w:ascii="Times New Roman" w:hAnsi="Times New Roman" w:hint="eastAsia"/>
          <w:szCs w:val="24"/>
        </w:rPr>
        <w:t>10 其他</w:t>
      </w:r>
      <w:bookmarkEnd w:id="56"/>
    </w:p>
    <w:p>
      <w:pPr>
        <w:pStyle w:val="Subtitle"/>
      </w:pPr>
      <w:bookmarkStart w:id="57" w:name="_Toc504574721"/>
      <w:r>
        <w:rPr>
          <w:rFonts w:hint="eastAsia"/>
        </w:rPr>
        <w:t>10.1 设计与制作要求参见附录B。</w:t>
      </w:r>
      <w:bookmarkEnd w:id="57"/>
    </w:p>
    <w:p>
      <w:pPr>
        <w:pStyle w:val="Subtitle"/>
      </w:pPr>
      <w:bookmarkStart w:id="58" w:name="_Toc504574722"/>
      <w:r>
        <w:rPr>
          <w:rFonts w:hint="eastAsia"/>
        </w:rPr>
        <w:t>10.2管道接头连接操作方法参见附录C。</w:t>
      </w:r>
      <w:bookmarkEnd w:id="58"/>
    </w:p>
    <w:p>
      <w:pPr>
        <w:pStyle w:val="TOC1"/>
        <w:rPr>
          <w:rFonts w:ascii="宋体" w:hAnsi="宋体"/>
          <w:b/>
          <w:bCs/>
          <w:kern w:val="28"/>
          <w:sz w:val="24"/>
          <w:szCs w:val="32"/>
        </w:rPr>
      </w:pPr>
      <w:bookmarkStart w:id="59" w:name="_Toc504574723"/>
      <w:r>
        <w:rPr>
          <w:rFonts w:ascii="宋体" w:hAnsi="宋体" w:hint="eastAsia"/>
          <w:b/>
          <w:bCs/>
          <w:kern w:val="28"/>
          <w:sz w:val="24"/>
          <w:szCs w:val="32"/>
        </w:rPr>
        <w:t>10.3密封圈参见附录D。</w:t>
      </w:r>
      <w:bookmarkEnd w:id="59"/>
    </w:p>
    <w:p>
      <w:pPr>
        <w:pStyle w:val="Subtitle"/>
      </w:pPr>
      <w:bookmarkStart w:id="60" w:name="_Toc504574724"/>
      <w:r>
        <w:rPr>
          <w:rFonts w:hint="eastAsia"/>
        </w:rPr>
        <w:t>10.4管道及管件的安装工艺参见附录E。</w:t>
      </w:r>
      <w:bookmarkEnd w:id="60"/>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sectPr>
          <w:headerReference w:type="default" r:id="rId35"/>
          <w:footerReference w:type="default" r:id="rId36"/>
          <w:type w:val="nextPage"/>
          <w:pgSz w:w="11906" w:h="16838"/>
          <w:pgMar w:top="1440" w:right="1800" w:bottom="1440" w:left="1800" w:header="851" w:footer="992" w:gutter="0"/>
          <w:pgNumType w:start="12"/>
          <w:cols w:num="1" w:space="720"/>
          <w:titlePg w:val="0"/>
          <w:docGrid w:type="lines" w:linePitch="312" w:charSpace="0"/>
        </w:sectPr>
      </w:pPr>
    </w:p>
    <w:p>
      <w:pPr>
        <w:spacing w:line="360" w:lineRule="auto"/>
        <w:jc w:val="center"/>
      </w:pPr>
      <w:r>
        <w:rPr>
          <w:rFonts w:hint="eastAsia"/>
        </w:rPr>
        <w:t>附录A</w:t>
      </w:r>
    </w:p>
    <w:p>
      <w:pPr>
        <w:spacing w:line="360" w:lineRule="auto"/>
        <w:jc w:val="center"/>
      </w:pPr>
      <w:r>
        <w:rPr>
          <w:rFonts w:hint="eastAsia"/>
        </w:rPr>
        <w:t>（规范性附录）</w:t>
      </w:r>
    </w:p>
    <w:p>
      <w:pPr>
        <w:spacing w:line="360" w:lineRule="auto"/>
        <w:jc w:val="center"/>
      </w:pPr>
      <w:r>
        <w:rPr>
          <w:rFonts w:hint="eastAsia"/>
        </w:rPr>
        <w:t>环向拉伸强度试样</w:t>
      </w:r>
    </w:p>
    <w:p>
      <w:pPr>
        <w:spacing w:line="360" w:lineRule="auto"/>
      </w:pPr>
      <w:r>
        <w:rPr>
          <w:rFonts w:hint="eastAsia"/>
        </w:rPr>
        <w:t>A.1  BFRP管的环向拉伸强度试样如图A.1所示，试样尺寸见表A.1。</w:t>
      </w:r>
    </w:p>
    <w:p>
      <w:pPr>
        <w:spacing w:line="360" w:lineRule="auto"/>
      </w:pPr>
      <w:r>
        <w:rPr>
          <w:rFonts w:hint="eastAsia"/>
        </w:rPr>
        <w:t>A.2首先沿管的环向切割出符合规定宽度的板条，然后在其两侧的中间部位开半椭圆形槽，试验时夹持面为试样的侧面。</w:t>
      </w:r>
    </w:p>
    <w:p>
      <w:pPr>
        <w:spacing w:line="360" w:lineRule="auto"/>
        <w:ind w:firstLine="360" w:firstLineChars="200"/>
        <w:rPr>
          <w:sz w:val="18"/>
          <w:szCs w:val="18"/>
        </w:rPr>
      </w:pPr>
      <w:r>
        <w:rPr>
          <w:rFonts w:hint="eastAsia"/>
          <w:sz w:val="18"/>
          <w:szCs w:val="18"/>
        </w:rPr>
        <w:t>注：若需提高试样夹持段的强度，可对试样夹持面进行加强。</w:t>
      </w:r>
    </w:p>
    <w:p>
      <w:pPr>
        <w:jc w:val="center"/>
        <w:rPr>
          <w:rFonts w:ascii="宋体" w:hAnsi="宋体"/>
          <w:sz w:val="18"/>
          <w:szCs w:val="18"/>
        </w:rPr>
      </w:pPr>
      <w:r>
        <w:rPr>
          <w:rFonts w:ascii="宋体" w:hAnsi="宋体" w:hint="eastAsia"/>
          <w:sz w:val="18"/>
          <w:szCs w:val="18"/>
        </w:rPr>
        <w:drawing>
          <wp:inline distT="0" distB="0" distL="0" distR="0">
            <wp:extent cx="2298700" cy="749300"/>
            <wp:effectExtent l="1905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37" cstate="print"/>
                    <a:stretch>
                      <a:fillRect/>
                    </a:stretch>
                  </pic:blipFill>
                  <pic:spPr>
                    <a:xfrm>
                      <a:off x="0" y="0"/>
                      <a:ext cx="2298700" cy="749300"/>
                    </a:xfrm>
                    <a:prstGeom prst="rect">
                      <a:avLst/>
                    </a:prstGeom>
                    <a:noFill/>
                    <a:ln w="9525">
                      <a:noFill/>
                      <a:miter lim="800000"/>
                      <a:headEnd/>
                      <a:tailEnd/>
                    </a:ln>
                  </pic:spPr>
                </pic:pic>
              </a:graphicData>
            </a:graphic>
          </wp:inline>
        </w:drawing>
      </w:r>
    </w:p>
    <w:p>
      <w:pPr>
        <w:rPr>
          <w:rFonts w:ascii="宋体" w:hAnsi="宋体"/>
          <w:sz w:val="18"/>
          <w:szCs w:val="18"/>
        </w:rPr>
      </w:pPr>
    </w:p>
    <w:p>
      <w:pPr>
        <w:rPr>
          <w:rFonts w:ascii="宋体" w:hAnsi="宋体"/>
          <w:sz w:val="18"/>
          <w:szCs w:val="18"/>
        </w:rPr>
      </w:pPr>
      <w:r>
        <w:rPr>
          <w:rFonts w:ascii="宋体" w:hAnsi="宋体" w:hint="eastAsia"/>
          <w:sz w:val="18"/>
          <w:szCs w:val="18"/>
        </w:rPr>
        <w:t>说明：</w:t>
      </w:r>
    </w:p>
    <w:p>
      <w:pPr>
        <w:rPr>
          <w:sz w:val="18"/>
          <w:szCs w:val="18"/>
        </w:rPr>
      </w:pPr>
      <w:r>
        <w:rPr>
          <w:rFonts w:ascii="宋体" w:hAnsi="宋体" w:hint="eastAsia"/>
          <w:sz w:val="18"/>
          <w:szCs w:val="18"/>
        </w:rPr>
        <w:t>L</w:t>
      </w:r>
      <w:r>
        <w:rPr>
          <w:sz w:val="18"/>
          <w:szCs w:val="18"/>
        </w:rPr>
        <w:t>——</w:t>
      </w:r>
      <w:r>
        <w:rPr>
          <w:rFonts w:hint="eastAsia"/>
          <w:sz w:val="18"/>
          <w:szCs w:val="18"/>
        </w:rPr>
        <w:t>试样长度；</w:t>
      </w:r>
    </w:p>
    <w:p>
      <w:pPr>
        <w:rPr>
          <w:sz w:val="18"/>
          <w:szCs w:val="18"/>
        </w:rPr>
      </w:pPr>
      <w:r>
        <w:rPr>
          <w:rFonts w:hint="eastAsia"/>
          <w:sz w:val="18"/>
          <w:szCs w:val="18"/>
        </w:rPr>
        <w:t>W</w:t>
      </w:r>
      <w:r>
        <w:rPr>
          <w:sz w:val="18"/>
          <w:szCs w:val="18"/>
        </w:rPr>
        <w:t>——</w:t>
      </w:r>
      <w:r>
        <w:rPr>
          <w:rFonts w:hint="eastAsia"/>
          <w:sz w:val="18"/>
          <w:szCs w:val="18"/>
        </w:rPr>
        <w:t>开口长度；</w:t>
      </w:r>
    </w:p>
    <w:p>
      <w:pPr>
        <w:rPr>
          <w:sz w:val="18"/>
          <w:szCs w:val="18"/>
        </w:rPr>
      </w:pPr>
      <w:r>
        <w:rPr>
          <w:rFonts w:hint="eastAsia"/>
          <w:sz w:val="18"/>
          <w:szCs w:val="18"/>
        </w:rPr>
        <w:t>B</w:t>
      </w:r>
      <w:r>
        <w:rPr>
          <w:sz w:val="18"/>
          <w:szCs w:val="18"/>
        </w:rPr>
        <w:t>——</w:t>
      </w:r>
      <w:r>
        <w:rPr>
          <w:rFonts w:hint="eastAsia"/>
          <w:sz w:val="18"/>
          <w:szCs w:val="18"/>
        </w:rPr>
        <w:t>试样宽度；</w:t>
      </w:r>
    </w:p>
    <w:p>
      <w:pPr>
        <w:rPr>
          <w:sz w:val="18"/>
          <w:szCs w:val="18"/>
        </w:rPr>
      </w:pPr>
      <w:r>
        <w:rPr>
          <w:rFonts w:hint="eastAsia"/>
          <w:sz w:val="18"/>
          <w:szCs w:val="18"/>
        </w:rPr>
        <w:t>b</w:t>
      </w:r>
      <w:r>
        <w:rPr>
          <w:sz w:val="18"/>
          <w:szCs w:val="18"/>
        </w:rPr>
        <w:t>——</w:t>
      </w:r>
      <w:r>
        <w:rPr>
          <w:rFonts w:hint="eastAsia"/>
          <w:sz w:val="18"/>
          <w:szCs w:val="18"/>
        </w:rPr>
        <w:t>开口处宽度。</w:t>
      </w:r>
    </w:p>
    <w:p>
      <w:pPr>
        <w:jc w:val="center"/>
        <w:rPr>
          <w:sz w:val="18"/>
          <w:szCs w:val="18"/>
        </w:rPr>
      </w:pPr>
      <w:r>
        <w:rPr>
          <w:rFonts w:hint="eastAsia"/>
          <w:sz w:val="18"/>
          <w:szCs w:val="18"/>
        </w:rPr>
        <w:t>图A.1 环向拉伸强度试样</w:t>
      </w:r>
    </w:p>
    <w:p>
      <w:pPr>
        <w:jc w:val="right"/>
        <w:rPr>
          <w:sz w:val="18"/>
          <w:szCs w:val="18"/>
        </w:rPr>
      </w:pPr>
      <w:r>
        <w:rPr>
          <w:rFonts w:hint="eastAsia"/>
          <w:sz w:val="18"/>
          <w:szCs w:val="18"/>
        </w:rPr>
        <w:t>表A.1 环向拉伸强度试样尺寸                       单位为毫米</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04"/>
        <w:gridCol w:w="1704"/>
        <w:gridCol w:w="1704"/>
        <w:gridCol w:w="1705"/>
        <w:gridCol w:w="170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704" w:type="dxa"/>
            <w:vAlign w:val="center"/>
          </w:tcPr>
          <w:p>
            <w:pPr>
              <w:jc w:val="center"/>
              <w:rPr>
                <w:sz w:val="18"/>
                <w:szCs w:val="18"/>
              </w:rPr>
            </w:pPr>
            <w:r>
              <w:rPr>
                <w:rFonts w:hint="eastAsia"/>
                <w:sz w:val="18"/>
                <w:szCs w:val="18"/>
              </w:rPr>
              <w:t>公称直径范围DN</w:t>
            </w:r>
          </w:p>
        </w:tc>
        <w:tc>
          <w:tcPr>
            <w:tcW w:w="1704" w:type="dxa"/>
            <w:vAlign w:val="center"/>
          </w:tcPr>
          <w:p>
            <w:pPr>
              <w:jc w:val="center"/>
              <w:rPr>
                <w:sz w:val="18"/>
                <w:szCs w:val="18"/>
              </w:rPr>
            </w:pPr>
            <w:r>
              <w:rPr>
                <w:rFonts w:hint="eastAsia"/>
                <w:sz w:val="18"/>
                <w:szCs w:val="18"/>
              </w:rPr>
              <w:t>试样长度L</w:t>
            </w:r>
          </w:p>
        </w:tc>
        <w:tc>
          <w:tcPr>
            <w:tcW w:w="1704" w:type="dxa"/>
            <w:vAlign w:val="center"/>
          </w:tcPr>
          <w:p>
            <w:pPr>
              <w:jc w:val="center"/>
              <w:rPr>
                <w:sz w:val="18"/>
                <w:szCs w:val="18"/>
              </w:rPr>
            </w:pPr>
            <w:r>
              <w:rPr>
                <w:rFonts w:hint="eastAsia"/>
                <w:sz w:val="18"/>
                <w:szCs w:val="18"/>
              </w:rPr>
              <w:t>试样宽度B</w:t>
            </w:r>
          </w:p>
        </w:tc>
        <w:tc>
          <w:tcPr>
            <w:tcW w:w="1705" w:type="dxa"/>
            <w:vAlign w:val="center"/>
          </w:tcPr>
          <w:p>
            <w:pPr>
              <w:jc w:val="center"/>
              <w:rPr>
                <w:sz w:val="18"/>
                <w:szCs w:val="18"/>
              </w:rPr>
            </w:pPr>
            <w:r>
              <w:rPr>
                <w:rFonts w:hint="eastAsia"/>
                <w:sz w:val="18"/>
                <w:szCs w:val="18"/>
              </w:rPr>
              <w:t>开口长度W</w:t>
            </w:r>
          </w:p>
        </w:tc>
        <w:tc>
          <w:tcPr>
            <w:tcW w:w="1705" w:type="dxa"/>
            <w:vAlign w:val="center"/>
          </w:tcPr>
          <w:p>
            <w:pPr>
              <w:jc w:val="center"/>
              <w:rPr>
                <w:sz w:val="18"/>
                <w:szCs w:val="18"/>
              </w:rPr>
            </w:pPr>
            <w:r>
              <w:rPr>
                <w:rFonts w:hint="eastAsia"/>
                <w:sz w:val="18"/>
                <w:szCs w:val="18"/>
              </w:rPr>
              <w:t>开口处宽度b</w:t>
            </w:r>
          </w:p>
        </w:tc>
      </w:tr>
      <w:tr>
        <w:tblPrEx>
          <w:tblW w:w="0" w:type="auto"/>
          <w:tblInd w:w="0" w:type="dxa"/>
          <w:tblCellMar>
            <w:top w:w="0" w:type="dxa"/>
            <w:left w:w="108" w:type="dxa"/>
            <w:bottom w:w="0" w:type="dxa"/>
            <w:right w:w="108" w:type="dxa"/>
          </w:tblCellMar>
        </w:tblPrEx>
        <w:tc>
          <w:tcPr>
            <w:tcW w:w="1704" w:type="dxa"/>
            <w:vAlign w:val="center"/>
          </w:tcPr>
          <w:p>
            <w:pPr>
              <w:jc w:val="center"/>
              <w:rPr>
                <w:sz w:val="18"/>
                <w:szCs w:val="18"/>
              </w:rPr>
            </w:pPr>
            <w:r>
              <w:rPr>
                <w:rFonts w:hint="eastAsia"/>
                <w:sz w:val="18"/>
                <w:szCs w:val="18"/>
              </w:rPr>
              <w:t>DN≤600</w:t>
            </w:r>
          </w:p>
        </w:tc>
        <w:tc>
          <w:tcPr>
            <w:tcW w:w="1704" w:type="dxa"/>
            <w:vAlign w:val="center"/>
          </w:tcPr>
          <w:p>
            <w:pPr>
              <w:jc w:val="center"/>
              <w:rPr>
                <w:sz w:val="18"/>
                <w:szCs w:val="18"/>
              </w:rPr>
            </w:pPr>
            <w:r>
              <w:rPr>
                <w:rFonts w:hint="eastAsia"/>
                <w:sz w:val="18"/>
                <w:szCs w:val="18"/>
              </w:rPr>
              <w:t>110～130</w:t>
            </w:r>
          </w:p>
        </w:tc>
        <w:tc>
          <w:tcPr>
            <w:tcW w:w="1704" w:type="dxa"/>
            <w:vAlign w:val="center"/>
          </w:tcPr>
          <w:p>
            <w:pPr>
              <w:jc w:val="center"/>
              <w:rPr>
                <w:sz w:val="18"/>
                <w:szCs w:val="18"/>
              </w:rPr>
            </w:pPr>
            <w:r>
              <w:rPr>
                <w:rFonts w:hint="eastAsia"/>
                <w:sz w:val="18"/>
                <w:szCs w:val="18"/>
              </w:rPr>
              <w:t>15</w:t>
            </w:r>
          </w:p>
        </w:tc>
        <w:tc>
          <w:tcPr>
            <w:tcW w:w="1705" w:type="dxa"/>
            <w:vAlign w:val="center"/>
          </w:tcPr>
          <w:p>
            <w:pPr>
              <w:jc w:val="center"/>
              <w:rPr>
                <w:sz w:val="18"/>
                <w:szCs w:val="18"/>
              </w:rPr>
            </w:pPr>
            <w:r>
              <w:rPr>
                <w:rFonts w:hint="eastAsia"/>
                <w:sz w:val="18"/>
                <w:szCs w:val="18"/>
              </w:rPr>
              <w:t>10</w:t>
            </w:r>
          </w:p>
        </w:tc>
        <w:tc>
          <w:tcPr>
            <w:tcW w:w="1705" w:type="dxa"/>
            <w:vAlign w:val="center"/>
          </w:tcPr>
          <w:p>
            <w:pPr>
              <w:jc w:val="center"/>
              <w:rPr>
                <w:sz w:val="18"/>
                <w:szCs w:val="18"/>
              </w:rPr>
            </w:pPr>
            <w:r>
              <w:rPr>
                <w:rFonts w:hint="eastAsia"/>
                <w:sz w:val="18"/>
                <w:szCs w:val="18"/>
              </w:rPr>
              <w:t>6</w:t>
            </w:r>
          </w:p>
        </w:tc>
      </w:tr>
      <w:tr>
        <w:tblPrEx>
          <w:tblW w:w="0" w:type="auto"/>
          <w:tblInd w:w="0" w:type="dxa"/>
          <w:tblCellMar>
            <w:top w:w="0" w:type="dxa"/>
            <w:left w:w="108" w:type="dxa"/>
            <w:bottom w:w="0" w:type="dxa"/>
            <w:right w:w="108" w:type="dxa"/>
          </w:tblCellMar>
        </w:tblPrEx>
        <w:tc>
          <w:tcPr>
            <w:tcW w:w="1704" w:type="dxa"/>
            <w:vAlign w:val="center"/>
          </w:tcPr>
          <w:p>
            <w:pPr>
              <w:jc w:val="center"/>
              <w:rPr>
                <w:sz w:val="18"/>
                <w:szCs w:val="18"/>
              </w:rPr>
            </w:pPr>
            <w:r>
              <w:rPr>
                <w:rFonts w:hint="eastAsia"/>
                <w:sz w:val="18"/>
                <w:szCs w:val="18"/>
              </w:rPr>
              <w:t>600＜DN≤1200</w:t>
            </w:r>
          </w:p>
        </w:tc>
        <w:tc>
          <w:tcPr>
            <w:tcW w:w="1704" w:type="dxa"/>
            <w:vAlign w:val="center"/>
          </w:tcPr>
          <w:p>
            <w:pPr>
              <w:jc w:val="center"/>
              <w:rPr>
                <w:sz w:val="18"/>
                <w:szCs w:val="18"/>
              </w:rPr>
            </w:pPr>
            <w:r>
              <w:rPr>
                <w:rFonts w:hint="eastAsia"/>
                <w:sz w:val="18"/>
                <w:szCs w:val="18"/>
              </w:rPr>
              <w:t>120～140</w:t>
            </w:r>
          </w:p>
        </w:tc>
        <w:tc>
          <w:tcPr>
            <w:tcW w:w="1704" w:type="dxa"/>
            <w:vAlign w:val="center"/>
          </w:tcPr>
          <w:p>
            <w:pPr>
              <w:jc w:val="center"/>
              <w:rPr>
                <w:sz w:val="18"/>
                <w:szCs w:val="18"/>
              </w:rPr>
            </w:pPr>
            <w:r>
              <w:rPr>
                <w:rFonts w:hint="eastAsia"/>
                <w:sz w:val="18"/>
                <w:szCs w:val="18"/>
              </w:rPr>
              <w:t>20</w:t>
            </w:r>
          </w:p>
        </w:tc>
        <w:tc>
          <w:tcPr>
            <w:tcW w:w="1705" w:type="dxa"/>
            <w:vAlign w:val="center"/>
          </w:tcPr>
          <w:p>
            <w:pPr>
              <w:jc w:val="center"/>
              <w:rPr>
                <w:sz w:val="18"/>
                <w:szCs w:val="18"/>
              </w:rPr>
            </w:pPr>
            <w:r>
              <w:rPr>
                <w:rFonts w:hint="eastAsia"/>
                <w:sz w:val="18"/>
                <w:szCs w:val="18"/>
              </w:rPr>
              <w:t>15</w:t>
            </w:r>
          </w:p>
        </w:tc>
        <w:tc>
          <w:tcPr>
            <w:tcW w:w="1705" w:type="dxa"/>
            <w:vAlign w:val="center"/>
          </w:tcPr>
          <w:p>
            <w:pPr>
              <w:jc w:val="center"/>
              <w:rPr>
                <w:sz w:val="18"/>
                <w:szCs w:val="18"/>
              </w:rPr>
            </w:pPr>
            <w:r>
              <w:rPr>
                <w:rFonts w:hint="eastAsia"/>
                <w:sz w:val="18"/>
                <w:szCs w:val="18"/>
              </w:rPr>
              <w:t>8</w:t>
            </w:r>
          </w:p>
        </w:tc>
      </w:tr>
      <w:tr>
        <w:tblPrEx>
          <w:tblW w:w="0" w:type="auto"/>
          <w:tblInd w:w="0" w:type="dxa"/>
          <w:tblCellMar>
            <w:top w:w="0" w:type="dxa"/>
            <w:left w:w="108" w:type="dxa"/>
            <w:bottom w:w="0" w:type="dxa"/>
            <w:right w:w="108" w:type="dxa"/>
          </w:tblCellMar>
        </w:tblPrEx>
        <w:tc>
          <w:tcPr>
            <w:tcW w:w="1704" w:type="dxa"/>
            <w:vAlign w:val="center"/>
          </w:tcPr>
          <w:p>
            <w:pPr>
              <w:jc w:val="center"/>
              <w:rPr>
                <w:sz w:val="18"/>
                <w:szCs w:val="18"/>
              </w:rPr>
            </w:pPr>
            <w:r>
              <w:rPr>
                <w:rFonts w:hint="eastAsia"/>
                <w:sz w:val="18"/>
                <w:szCs w:val="18"/>
              </w:rPr>
              <w:t>DN＞1200</w:t>
            </w:r>
          </w:p>
        </w:tc>
        <w:tc>
          <w:tcPr>
            <w:tcW w:w="1704" w:type="dxa"/>
            <w:vAlign w:val="center"/>
          </w:tcPr>
          <w:p>
            <w:pPr>
              <w:jc w:val="center"/>
              <w:rPr>
                <w:sz w:val="18"/>
                <w:szCs w:val="18"/>
              </w:rPr>
            </w:pPr>
            <w:r>
              <w:rPr>
                <w:rFonts w:hint="eastAsia"/>
                <w:sz w:val="18"/>
                <w:szCs w:val="18"/>
              </w:rPr>
              <w:t>140～160</w:t>
            </w:r>
          </w:p>
        </w:tc>
        <w:tc>
          <w:tcPr>
            <w:tcW w:w="1704" w:type="dxa"/>
            <w:vAlign w:val="center"/>
          </w:tcPr>
          <w:p>
            <w:pPr>
              <w:jc w:val="center"/>
              <w:rPr>
                <w:sz w:val="18"/>
                <w:szCs w:val="18"/>
              </w:rPr>
            </w:pPr>
            <w:r>
              <w:rPr>
                <w:rFonts w:hint="eastAsia"/>
                <w:sz w:val="18"/>
                <w:szCs w:val="18"/>
              </w:rPr>
              <w:t>20</w:t>
            </w:r>
          </w:p>
        </w:tc>
        <w:tc>
          <w:tcPr>
            <w:tcW w:w="1705" w:type="dxa"/>
            <w:vAlign w:val="center"/>
          </w:tcPr>
          <w:p>
            <w:pPr>
              <w:jc w:val="center"/>
              <w:rPr>
                <w:sz w:val="18"/>
                <w:szCs w:val="18"/>
              </w:rPr>
            </w:pPr>
            <w:r>
              <w:rPr>
                <w:rFonts w:hint="eastAsia"/>
                <w:sz w:val="18"/>
                <w:szCs w:val="18"/>
              </w:rPr>
              <w:t>20</w:t>
            </w:r>
          </w:p>
        </w:tc>
        <w:tc>
          <w:tcPr>
            <w:tcW w:w="1705" w:type="dxa"/>
            <w:vAlign w:val="center"/>
          </w:tcPr>
          <w:p>
            <w:pPr>
              <w:jc w:val="center"/>
              <w:rPr>
                <w:sz w:val="18"/>
                <w:szCs w:val="18"/>
              </w:rPr>
            </w:pPr>
            <w:r>
              <w:rPr>
                <w:rFonts w:hint="eastAsia"/>
                <w:sz w:val="18"/>
                <w:szCs w:val="18"/>
              </w:rPr>
              <w:t>10</w:t>
            </w:r>
          </w:p>
        </w:tc>
      </w:tr>
    </w:tbl>
    <w:p>
      <w:pPr>
        <w:rPr>
          <w:sz w:val="18"/>
          <w:szCs w:val="18"/>
        </w:rPr>
      </w:pPr>
    </w:p>
    <w:p>
      <w:pPr>
        <w:rPr>
          <w:sz w:val="18"/>
          <w:szCs w:val="18"/>
        </w:rPr>
      </w:pPr>
    </w:p>
    <w:p>
      <w:pPr>
        <w:rPr>
          <w:sz w:val="18"/>
          <w:szCs w:val="18"/>
        </w:rPr>
      </w:pPr>
    </w:p>
    <w:p>
      <w:pPr>
        <w:rPr>
          <w:sz w:val="18"/>
          <w:szCs w:val="18"/>
        </w:rPr>
      </w:pPr>
    </w:p>
    <w:p>
      <w:pPr>
        <w:rPr>
          <w:sz w:val="18"/>
          <w:szCs w:val="18"/>
        </w:rPr>
      </w:pPr>
    </w:p>
    <w:p>
      <w:pPr>
        <w:rPr>
          <w:sz w:val="18"/>
          <w:szCs w:val="18"/>
        </w:rPr>
      </w:pPr>
    </w:p>
    <w:p>
      <w:pPr>
        <w:rPr>
          <w:sz w:val="18"/>
          <w:szCs w:val="18"/>
        </w:rPr>
      </w:pPr>
    </w:p>
    <w:p>
      <w:pPr>
        <w:rPr>
          <w:sz w:val="18"/>
          <w:szCs w:val="18"/>
        </w:rPr>
      </w:pPr>
    </w:p>
    <w:p>
      <w:pPr>
        <w:rPr>
          <w:sz w:val="18"/>
          <w:szCs w:val="18"/>
        </w:rPr>
      </w:pPr>
    </w:p>
    <w:p>
      <w:pPr>
        <w:rPr>
          <w:sz w:val="18"/>
          <w:szCs w:val="18"/>
        </w:rPr>
      </w:pPr>
    </w:p>
    <w:p>
      <w:pPr>
        <w:rPr>
          <w:sz w:val="18"/>
          <w:szCs w:val="18"/>
        </w:rPr>
      </w:pPr>
    </w:p>
    <w:p>
      <w:pPr>
        <w:rPr>
          <w:sz w:val="18"/>
          <w:szCs w:val="18"/>
        </w:rPr>
      </w:pPr>
    </w:p>
    <w:p>
      <w:pPr>
        <w:rPr>
          <w:sz w:val="18"/>
          <w:szCs w:val="18"/>
        </w:rPr>
      </w:pPr>
    </w:p>
    <w:p>
      <w:pPr>
        <w:rPr>
          <w:sz w:val="18"/>
          <w:szCs w:val="18"/>
        </w:rPr>
      </w:pPr>
    </w:p>
    <w:p>
      <w:pPr>
        <w:rPr>
          <w:rFonts w:ascii="宋体" w:hAnsi="宋体"/>
          <w:sz w:val="18"/>
          <w:szCs w:val="18"/>
        </w:rPr>
        <w:sectPr>
          <w:headerReference w:type="default" r:id="rId38"/>
          <w:footerReference w:type="default" r:id="rId39"/>
          <w:type w:val="nextPage"/>
          <w:pgSz w:w="11906" w:h="16838"/>
          <w:pgMar w:top="1440" w:right="1800" w:bottom="1440" w:left="1800" w:header="851" w:footer="992" w:gutter="0"/>
          <w:pgNumType w:start="13"/>
          <w:cols w:num="1" w:space="720"/>
          <w:titlePg w:val="0"/>
          <w:docGrid w:type="lines" w:linePitch="312" w:charSpace="0"/>
        </w:sectPr>
      </w:pPr>
    </w:p>
    <w:p>
      <w:pPr>
        <w:pStyle w:val="Heading1"/>
        <w:spacing w:before="156" w:after="156"/>
        <w:ind w:right="960"/>
        <w:jc w:val="center"/>
        <w:rPr>
          <w:rFonts w:ascii="Times New Roman" w:hAnsi="Times New Roman"/>
          <w:szCs w:val="24"/>
        </w:rPr>
      </w:pPr>
      <w:r>
        <w:rPr>
          <w:rFonts w:ascii="Times New Roman" w:hAnsi="Times New Roman" w:hint="eastAsia"/>
          <w:szCs w:val="24"/>
        </w:rPr>
        <w:t xml:space="preserve">        </w:t>
      </w:r>
      <w:bookmarkStart w:id="61" w:name="_Toc504574725"/>
      <w:r>
        <w:rPr>
          <w:rFonts w:ascii="Times New Roman" w:hAnsi="Times New Roman" w:hint="eastAsia"/>
          <w:szCs w:val="24"/>
        </w:rPr>
        <w:t>附录</w:t>
      </w:r>
      <w:bookmarkEnd w:id="61"/>
      <w:r>
        <w:rPr>
          <w:rFonts w:ascii="Times New Roman" w:hAnsi="Times New Roman" w:hint="eastAsia"/>
          <w:szCs w:val="24"/>
        </w:rPr>
        <w:t>B</w:t>
      </w:r>
    </w:p>
    <w:p>
      <w:pPr>
        <w:spacing w:line="360" w:lineRule="auto"/>
        <w:jc w:val="center"/>
        <w:rPr>
          <w:rFonts w:ascii="宋体" w:hAnsi="宋体"/>
          <w:szCs w:val="21"/>
        </w:rPr>
      </w:pPr>
      <w:r>
        <w:rPr>
          <w:rFonts w:ascii="宋体" w:hAnsi="宋体" w:hint="eastAsia"/>
          <w:szCs w:val="21"/>
        </w:rPr>
        <w:t>（资料性附录）</w:t>
      </w:r>
    </w:p>
    <w:p>
      <w:pPr>
        <w:spacing w:line="360" w:lineRule="auto"/>
        <w:jc w:val="center"/>
        <w:rPr>
          <w:rFonts w:ascii="宋体" w:hAnsi="宋体"/>
          <w:szCs w:val="21"/>
        </w:rPr>
      </w:pPr>
      <w:r>
        <w:rPr>
          <w:rFonts w:ascii="宋体" w:hAnsi="宋体" w:hint="eastAsia"/>
          <w:szCs w:val="21"/>
        </w:rPr>
        <w:t>设计及制作要求</w:t>
      </w:r>
    </w:p>
    <w:p>
      <w:pPr>
        <w:pStyle w:val="Subtitle"/>
      </w:pPr>
      <w:bookmarkStart w:id="62" w:name="_Toc504574726"/>
      <w:r>
        <w:rPr>
          <w:rFonts w:hint="eastAsia"/>
        </w:rPr>
        <w:t>B.1 层合结构</w:t>
      </w:r>
      <w:bookmarkEnd w:id="62"/>
    </w:p>
    <w:p>
      <w:pPr>
        <w:spacing w:line="360" w:lineRule="auto"/>
        <w:rPr>
          <w:rFonts w:ascii="宋体" w:hAnsi="宋体"/>
          <w:b/>
          <w:szCs w:val="21"/>
        </w:rPr>
      </w:pPr>
      <w:r>
        <w:rPr>
          <w:rFonts w:ascii="宋体" w:hAnsi="宋体" w:hint="eastAsia"/>
          <w:b/>
          <w:szCs w:val="21"/>
        </w:rPr>
        <w:t>B.1.1 组成</w:t>
      </w:r>
    </w:p>
    <w:p>
      <w:pPr>
        <w:spacing w:line="360" w:lineRule="auto"/>
        <w:rPr>
          <w:rFonts w:ascii="宋体" w:hAnsi="宋体"/>
          <w:szCs w:val="21"/>
        </w:rPr>
      </w:pPr>
      <w:r>
        <w:rPr>
          <w:rFonts w:ascii="宋体" w:hAnsi="宋体" w:hint="eastAsia"/>
          <w:szCs w:val="21"/>
        </w:rPr>
        <w:t xml:space="preserve">    组成管体的层合结构应由内衬层、结构层和外保护层构成。不饱和聚酯树脂或乙烯基树脂管道及管件压力在0.6mpa及以下的管道内衬层厚度不少于1mm；压力在0.6mpa以上的管件内衬层总厚度不应少于1.5.mm。环氧树脂管道及管件内衬层不应少于0.3mm。</w:t>
      </w:r>
    </w:p>
    <w:p>
      <w:pPr>
        <w:spacing w:line="360" w:lineRule="auto"/>
        <w:rPr>
          <w:rFonts w:ascii="宋体" w:hAnsi="宋体"/>
          <w:b/>
          <w:szCs w:val="21"/>
        </w:rPr>
      </w:pPr>
      <w:r>
        <w:rPr>
          <w:rFonts w:ascii="宋体" w:hAnsi="宋体" w:hint="eastAsia"/>
          <w:b/>
          <w:szCs w:val="21"/>
        </w:rPr>
        <w:t>B.1.2 结构层</w:t>
      </w:r>
    </w:p>
    <w:p>
      <w:pPr>
        <w:spacing w:line="360" w:lineRule="auto"/>
        <w:rPr>
          <w:rFonts w:ascii="宋体" w:hAnsi="宋体"/>
          <w:szCs w:val="21"/>
        </w:rPr>
      </w:pPr>
      <w:r>
        <w:rPr>
          <w:rFonts w:ascii="宋体" w:hAnsi="宋体" w:hint="eastAsia"/>
          <w:szCs w:val="21"/>
        </w:rPr>
        <w:t xml:space="preserve">    管道结构层采用连续玄武岩无捻粗纱增强，必要时可以采用玄武岩纤维单向织物增加轴向强度。管件结构层采用玄武岩纤维方格布或毡增强。</w:t>
      </w:r>
    </w:p>
    <w:p>
      <w:pPr>
        <w:spacing w:line="360" w:lineRule="auto"/>
        <w:rPr>
          <w:rFonts w:ascii="宋体" w:hAnsi="宋体"/>
          <w:b/>
          <w:szCs w:val="21"/>
        </w:rPr>
      </w:pPr>
      <w:r>
        <w:rPr>
          <w:rFonts w:ascii="宋体" w:hAnsi="宋体" w:hint="eastAsia"/>
          <w:b/>
          <w:szCs w:val="21"/>
        </w:rPr>
        <w:t>B.1.3 外保护层</w:t>
      </w:r>
    </w:p>
    <w:p>
      <w:pPr>
        <w:spacing w:line="360" w:lineRule="auto"/>
        <w:rPr>
          <w:rFonts w:ascii="宋体" w:hAnsi="宋体"/>
          <w:szCs w:val="21"/>
        </w:rPr>
      </w:pPr>
      <w:r>
        <w:rPr>
          <w:rFonts w:ascii="宋体" w:hAnsi="宋体" w:hint="eastAsia"/>
          <w:szCs w:val="21"/>
        </w:rPr>
        <w:t xml:space="preserve">    在户外使用或其他暴露在紫外线条件下的管道及管件，应采取防紫外线老化措施。可在管道及管件外表面添加紫外线吸收剂或遮掩剂，或在外表面涂上不透明颜料糊或采用本身具有抗紫外线老化性能的树脂。</w:t>
      </w:r>
    </w:p>
    <w:p>
      <w:pPr>
        <w:spacing w:line="360" w:lineRule="auto"/>
        <w:ind w:firstLine="420" w:firstLineChars="200"/>
        <w:rPr>
          <w:rFonts w:ascii="宋体" w:hAnsi="宋体"/>
          <w:szCs w:val="21"/>
        </w:rPr>
      </w:pPr>
      <w:r>
        <w:rPr>
          <w:rFonts w:ascii="宋体" w:hAnsi="宋体" w:hint="eastAsia"/>
          <w:szCs w:val="21"/>
        </w:rPr>
        <w:t>外保护层的厚度应不小于0.3mm。</w:t>
      </w:r>
    </w:p>
    <w:p>
      <w:pPr>
        <w:pStyle w:val="Subtitle"/>
      </w:pPr>
      <w:bookmarkStart w:id="63" w:name="_Toc504574727"/>
      <w:r>
        <w:rPr>
          <w:rFonts w:hint="eastAsia"/>
        </w:rPr>
        <w:t>B.2 管道</w:t>
      </w:r>
      <w:bookmarkEnd w:id="63"/>
    </w:p>
    <w:p>
      <w:pPr>
        <w:pStyle w:val="Title"/>
      </w:pPr>
      <w:bookmarkStart w:id="64" w:name="_Toc504574728"/>
      <w:r>
        <w:rPr>
          <w:rFonts w:hint="eastAsia"/>
        </w:rPr>
        <w:t>B.2.1 壁厚计算</w:t>
      </w:r>
      <w:bookmarkEnd w:id="64"/>
    </w:p>
    <w:p>
      <w:pPr>
        <w:spacing w:line="360" w:lineRule="auto"/>
        <w:rPr>
          <w:rFonts w:ascii="宋体" w:hAnsi="宋体"/>
          <w:szCs w:val="21"/>
        </w:rPr>
      </w:pPr>
      <w:r>
        <w:rPr>
          <w:rFonts w:ascii="宋体" w:hAnsi="宋体" w:hint="eastAsia"/>
          <w:szCs w:val="21"/>
        </w:rPr>
        <w:t xml:space="preserve">    内压下玄武岩纤维管道壁厚下式计算：</w:t>
      </w:r>
    </w:p>
    <w:p>
      <w:pPr>
        <w:spacing w:line="360" w:lineRule="auto"/>
        <w:rPr>
          <w:rFonts w:ascii="宋体" w:hAnsi="宋体"/>
          <w:szCs w:val="21"/>
        </w:rPr>
      </w:pPr>
      <w:r>
        <w:rPr>
          <w:rFonts w:ascii="宋体" w:hAnsi="宋体" w:hint="eastAsia"/>
          <w:szCs w:val="21"/>
        </w:rPr>
        <w:t xml:space="preserve">                                      </w:t>
      </w:r>
      <w:r>
        <w:rPr>
          <w:rFonts w:ascii="宋体" w:hAnsi="宋体"/>
          <w:position w:val="-24"/>
          <w:szCs w:val="21"/>
        </w:rPr>
        <w:object>
          <v:shape id="_x0000_i1038" type="#_x0000_t75" style="width:69.75pt;height:30.75pt" o:ole="" coordsize="21600,21600" o:preferrelative="t" filled="f" stroked="f">
            <v:stroke joinstyle="miter"/>
            <v:imagedata r:id="rId40" o:title=""/>
            <o:lock v:ext="edit" aspectratio="t"/>
            <w10:anchorlock/>
          </v:shape>
          <o:OLEObject Type="Embed" ProgID="Equation.DSMT4" ShapeID="_x0000_i1038" DrawAspect="Content" ObjectID="_1468075728" r:id="rId41"/>
        </w:object>
      </w:r>
      <w:r>
        <w:rPr>
          <w:rFonts w:ascii="宋体" w:hAnsi="宋体" w:hint="eastAsia"/>
          <w:szCs w:val="21"/>
        </w:rPr>
        <w:t xml:space="preserve">   </w:t>
      </w:r>
      <w:r>
        <w:rPr>
          <w:rFonts w:hint="eastAsia"/>
        </w:rPr>
        <w:t>···················（B.1）</w:t>
      </w:r>
    </w:p>
    <w:p>
      <w:pPr>
        <w:spacing w:line="360" w:lineRule="auto"/>
        <w:rPr>
          <w:rFonts w:ascii="宋体" w:hAnsi="宋体"/>
          <w:szCs w:val="21"/>
        </w:rPr>
      </w:pPr>
      <w:r>
        <w:rPr>
          <w:rFonts w:ascii="宋体" w:hAnsi="宋体"/>
          <w:position w:val="-4"/>
          <w:szCs w:val="21"/>
        </w:rPr>
        <w:object>
          <v:shape id="_x0000_i1039" type="#_x0000_t75" style="width:9pt;height:14.25pt" o:ole="" coordsize="21600,21600" o:preferrelative="t" filled="f" stroked="f">
            <v:stroke joinstyle="miter"/>
            <v:imagedata r:id="rId42" o:title=""/>
            <o:lock v:ext="edit" aspectratio="t"/>
            <w10:anchorlock/>
          </v:shape>
          <o:OLEObject Type="Embed" ProgID="Equation.DSMT4" ShapeID="_x0000_i1039" DrawAspect="Content" ObjectID="_1468075729" r:id="rId43"/>
        </w:object>
      </w:r>
      <w:r>
        <w:rPr>
          <w:rFonts w:ascii="宋体" w:hAnsi="宋体"/>
          <w:szCs w:val="21"/>
        </w:rPr>
        <w:t xml:space="preserve"> </w:t>
      </w:r>
      <w:r>
        <w:rPr>
          <w:rFonts w:ascii="宋体" w:hAnsi="宋体" w:hint="eastAsia"/>
          <w:szCs w:val="21"/>
        </w:rPr>
        <w:t>式中：</w:t>
      </w:r>
    </w:p>
    <w:p>
      <w:pPr>
        <w:spacing w:line="360" w:lineRule="auto"/>
        <w:rPr>
          <w:rFonts w:ascii="宋体" w:hAnsi="宋体"/>
          <w:szCs w:val="21"/>
        </w:rPr>
      </w:pPr>
      <w:r>
        <w:rPr>
          <w:rFonts w:ascii="宋体" w:hAnsi="宋体"/>
          <w:position w:val="-6"/>
          <w:szCs w:val="21"/>
        </w:rPr>
        <w:object>
          <v:shape id="_x0000_i1040" type="#_x0000_t75" style="width:6.75pt;height:12pt" o:ole="" coordsize="21600,21600" o:preferrelative="t" filled="f" stroked="f">
            <v:stroke joinstyle="miter"/>
            <v:imagedata r:id="rId44" o:title=""/>
            <o:lock v:ext="edit" aspectratio="t"/>
            <w10:anchorlock/>
          </v:shape>
          <o:OLEObject Type="Embed" ProgID="Equation.DSMT4" ShapeID="_x0000_i1040" DrawAspect="Content" ObjectID="_1468075730" r:id="rId45"/>
        </w:object>
      </w:r>
      <w:r>
        <w:rPr>
          <w:rFonts w:ascii="宋体" w:hAnsi="宋体" w:hint="eastAsia"/>
          <w:szCs w:val="21"/>
        </w:rPr>
        <w:t>——管道厚度，单位为毫米（mm）；</w:t>
      </w:r>
    </w:p>
    <w:p>
      <w:pPr>
        <w:spacing w:line="360" w:lineRule="auto"/>
        <w:rPr>
          <w:rFonts w:ascii="宋体" w:hAnsi="宋体"/>
          <w:szCs w:val="21"/>
        </w:rPr>
      </w:pPr>
      <w:r>
        <w:rPr>
          <w:rFonts w:ascii="宋体" w:hAnsi="宋体"/>
          <w:position w:val="-10"/>
          <w:szCs w:val="21"/>
        </w:rPr>
        <w:object>
          <v:shape id="_x0000_i1041" type="#_x0000_t75" style="width:12pt;height:12.75pt" o:ole="" coordsize="21600,21600" o:preferrelative="t" filled="f" stroked="f">
            <v:stroke joinstyle="miter"/>
            <v:imagedata r:id="rId46" o:title=""/>
            <o:lock v:ext="edit" aspectratio="t"/>
            <w10:anchorlock/>
          </v:shape>
          <o:OLEObject Type="Embed" ProgID="Equation.DSMT4" ShapeID="_x0000_i1041" DrawAspect="Content" ObjectID="_1468075731" r:id="rId47"/>
        </w:object>
      </w:r>
      <w:r>
        <w:rPr>
          <w:rFonts w:ascii="宋体" w:hAnsi="宋体" w:hint="eastAsia"/>
          <w:szCs w:val="21"/>
        </w:rPr>
        <w:t>——设计压力，单位为兆帕（MPa）；</w:t>
      </w:r>
    </w:p>
    <w:p>
      <w:pPr>
        <w:spacing w:line="360" w:lineRule="auto"/>
        <w:rPr>
          <w:rFonts w:ascii="宋体" w:hAnsi="宋体"/>
          <w:szCs w:val="21"/>
        </w:rPr>
      </w:pPr>
      <w:r>
        <w:rPr>
          <w:rFonts w:ascii="宋体" w:hAnsi="宋体"/>
          <w:position w:val="-6"/>
          <w:szCs w:val="21"/>
        </w:rPr>
        <w:object>
          <v:shape id="_x0000_i1042" type="#_x0000_t75" style="width:11.25pt;height:14.25pt" o:ole="" coordsize="21600,21600" o:preferrelative="t" filled="f" stroked="f">
            <v:stroke joinstyle="miter"/>
            <v:imagedata r:id="rId48" o:title=""/>
            <o:lock v:ext="edit" aspectratio="t"/>
            <w10:anchorlock/>
          </v:shape>
          <o:OLEObject Type="Embed" ProgID="Equation.DSMT4" ShapeID="_x0000_i1042" DrawAspect="Content" ObjectID="_1468075732" r:id="rId49"/>
        </w:object>
      </w:r>
      <w:r>
        <w:rPr>
          <w:rFonts w:ascii="宋体" w:hAnsi="宋体" w:hint="eastAsia"/>
          <w:szCs w:val="21"/>
        </w:rPr>
        <w:t>——管道内径，单位为毫米（mm）；</w:t>
      </w:r>
    </w:p>
    <w:p>
      <w:pPr>
        <w:spacing w:line="360" w:lineRule="auto"/>
        <w:rPr>
          <w:rFonts w:ascii="宋体" w:hAnsi="宋体"/>
          <w:szCs w:val="21"/>
        </w:rPr>
      </w:pPr>
      <w:r>
        <w:rPr>
          <w:rFonts w:ascii="宋体" w:hAnsi="宋体"/>
          <w:position w:val="-4"/>
          <w:szCs w:val="21"/>
        </w:rPr>
        <w:object>
          <v:shape id="_x0000_i1043" type="#_x0000_t75" style="width:12.75pt;height:12.75pt" o:ole="" coordsize="21600,21600" o:preferrelative="t" filled="f" stroked="f">
            <v:stroke joinstyle="miter"/>
            <v:imagedata r:id="rId50" o:title=""/>
            <o:lock v:ext="edit" aspectratio="t"/>
            <w10:anchorlock/>
          </v:shape>
          <o:OLEObject Type="Embed" ProgID="Equation.DSMT4" ShapeID="_x0000_i1043" DrawAspect="Content" ObjectID="_1468075733" r:id="rId51"/>
        </w:object>
      </w:r>
      <w:r>
        <w:rPr>
          <w:rFonts w:ascii="宋体" w:hAnsi="宋体" w:hint="eastAsia"/>
          <w:szCs w:val="21"/>
        </w:rPr>
        <w:t>——安全系数，安全系数不低于6.3；</w:t>
      </w:r>
    </w:p>
    <w:p>
      <w:pPr>
        <w:spacing w:line="360" w:lineRule="auto"/>
        <w:rPr>
          <w:rFonts w:ascii="宋体" w:hAnsi="宋体"/>
          <w:szCs w:val="21"/>
        </w:rPr>
      </w:pPr>
      <w:r>
        <w:rPr>
          <w:rFonts w:ascii="宋体" w:hAnsi="宋体"/>
          <w:position w:val="-6"/>
          <w:szCs w:val="21"/>
        </w:rPr>
        <w:object>
          <v:shape id="_x0000_i1044" type="#_x0000_t75" style="width:12pt;height:11.25pt" o:ole="" coordsize="21600,21600" o:preferrelative="t" filled="f" stroked="f">
            <v:stroke joinstyle="miter"/>
            <v:imagedata r:id="rId52" o:title=""/>
            <o:lock v:ext="edit" aspectratio="t"/>
            <w10:anchorlock/>
          </v:shape>
          <o:OLEObject Type="Embed" ProgID="Equation.DSMT4" ShapeID="_x0000_i1044" DrawAspect="Content" ObjectID="_1468075734" r:id="rId53"/>
        </w:object>
      </w:r>
      <w:r>
        <w:rPr>
          <w:rFonts w:ascii="宋体" w:hAnsi="宋体" w:hint="eastAsia"/>
          <w:szCs w:val="21"/>
        </w:rPr>
        <w:t>——内压失效环向应力，单位为兆帕（MPa）；</w:t>
      </w:r>
    </w:p>
    <w:p>
      <w:pPr>
        <w:spacing w:line="360" w:lineRule="auto"/>
        <w:rPr>
          <w:rFonts w:ascii="宋体" w:hAnsi="宋体"/>
          <w:szCs w:val="21"/>
        </w:rPr>
      </w:pPr>
      <w:r>
        <w:rPr>
          <w:rFonts w:ascii="宋体" w:hAnsi="宋体"/>
          <w:position w:val="-12"/>
          <w:szCs w:val="21"/>
        </w:rPr>
        <w:object>
          <v:shape id="_x0000_i1045" type="#_x0000_t75" style="width:9pt;height:18pt" o:ole="" coordsize="21600,21600" o:preferrelative="t" filled="f" stroked="f">
            <v:stroke joinstyle="miter"/>
            <v:imagedata r:id="rId54" o:title=""/>
            <o:lock v:ext="edit" aspectratio="t"/>
            <w10:anchorlock/>
          </v:shape>
          <o:OLEObject Type="Embed" ProgID="Equation.DSMT4" ShapeID="_x0000_i1045" DrawAspect="Content" ObjectID="_1468075735" r:id="rId55"/>
        </w:object>
      </w:r>
      <w:r>
        <w:rPr>
          <w:rFonts w:ascii="宋体" w:hAnsi="宋体" w:hint="eastAsia"/>
          <w:szCs w:val="21"/>
        </w:rPr>
        <w:t>——内衬层厚度，单位为毫米（mm）。</w:t>
      </w:r>
    </w:p>
    <w:p>
      <w:pPr>
        <w:pStyle w:val="Title"/>
      </w:pPr>
      <w:bookmarkStart w:id="65" w:name="_Toc504574729"/>
      <w:r>
        <w:rPr>
          <w:rFonts w:hint="eastAsia"/>
        </w:rPr>
        <w:t>B.2.2 管道最小厚度</w:t>
      </w:r>
      <w:bookmarkEnd w:id="65"/>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https://d.book118.com/048101066000006042</w:t>
        </w:r>
      </w:hyperlink>
    </w:p>
    <w:p>
      <w:pPr>
        <w:pStyle w:val="Title"/>
      </w:pPr>
    </w:p>
    <w:sectPr>
      <w:headerReference w:type="default" r:id="rId57"/>
      <w:footerReference w:type="default" r:id="rId58"/>
      <w:type w:val="nextPage"/>
      <w:pgSz w:w="11906" w:h="16838"/>
      <w:pgMar w:top="1440" w:right="1800" w:bottom="1440" w:left="1800" w:header="851" w:footer="992" w:gutter="0"/>
      <w:pgNumType w:start="1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Eurostile Bold">
    <w:altName w:val="Arial"/>
    <w:panose1 w:val="00000000000000000000"/>
    <w:charset w:val="00"/>
    <w:family w:val="swiss"/>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GreekC">
    <w:altName w:val="Courier New"/>
    <w:panose1 w:val="00000000000000000000"/>
    <w:charset w:val="00"/>
    <w:family w:val="auto"/>
    <w:pitch w:val="default"/>
    <w:sig w:usb0="00000000" w:usb1="00000000" w:usb2="00000000" w:usb3="00000000" w:csb0="000001FF" w:csb1="0000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49" type="#_x0000_t202" style="width:2in;height:2in;margin-top:6.6pt;margin-left:401.45pt;mso-height-relative:page;mso-position-horizontal-relative:margin;mso-width-relative:page;mso-wrap-style:none;position:absolute;z-index:251658240"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50" type="#_x0000_t202" style="width:2in;height:2in;margin-top:6.6pt;margin-left:401.45pt;mso-height-relative:page;mso-position-horizontal-relative:margin;mso-width-relative:page;mso-wrap-style:none;position:absolute;z-index:251659264"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51" type="#_x0000_t202" style="width:2in;height:2in;margin-top:6.6pt;margin-left:401.45pt;mso-height-relative:page;mso-position-horizontal-relative:margin;mso-width-relative:page;mso-wrap-style:none;position:absolute;z-index:251660288"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52" type="#_x0000_t202" style="width:2in;height:2in;margin-top:6.6pt;margin-left:401.45pt;mso-height-relative:page;mso-position-horizontal-relative:margin;mso-width-relative:page;mso-wrap-style:none;position:absolute;z-index:251661312"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53" type="#_x0000_t202" style="width:2in;height:2in;margin-top:6.6pt;margin-left:401.45pt;mso-height-relative:page;mso-position-horizontal-relative:margin;mso-width-relative:page;mso-wrap-style:none;position:absolute;z-index:251662336"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54" type="#_x0000_t202" style="width:2in;height:2in;margin-top:6.6pt;margin-left:401.45pt;mso-height-relative:page;mso-position-horizontal-relative:margin;mso-width-relative:page;mso-wrap-style:none;position:absolute;z-index:251663360"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55" type="#_x0000_t202" style="width:2in;height:2in;margin-top:6.6pt;margin-left:401.45pt;mso-height-relative:page;mso-position-horizontal-relative:margin;mso-width-relative:page;mso-wrap-style:none;position:absolute;z-index:251664384"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56" type="#_x0000_t202" style="width:2in;height:2in;margin-top:6.6pt;margin-left:401.45pt;mso-height-relative:page;mso-position-horizontal-relative:margin;mso-width-relative:page;mso-wrap-style:none;position:absolute;z-index:251665408"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9</w:t>
                </w:r>
                <w:r>
                  <w:rPr>
                    <w:rFonts w:hint="eastAsia"/>
                    <w:sz w:val="18"/>
                  </w:rPr>
                  <w:fldChar w:fldCharType="end"/>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57" type="#_x0000_t202" style="width:2in;height:2in;margin-top:6.6pt;margin-left:401.45pt;mso-height-relative:page;mso-position-horizontal-relative:margin;mso-width-relative:page;mso-wrap-style:none;position:absolute;z-index:251666432"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9</w:t>
                </w:r>
                <w:r>
                  <w:rPr>
                    <w:rFonts w:hint="eastAsia"/>
                    <w:sz w:val="18"/>
                  </w:rPr>
                  <w:fldChar w:fldCharType="end"/>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58" type="#_x0000_t202" style="width:2in;height:2in;margin-top:6.6pt;margin-left:401.45pt;mso-height-relative:page;mso-position-horizontal-relative:margin;mso-width-relative:page;mso-wrap-style:none;position:absolute;z-index:251667456"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10</w:t>
                </w:r>
                <w:r>
                  <w:rPr>
                    <w:rFonts w:hint="eastAsia"/>
                    <w:sz w:val="18"/>
                  </w:rPr>
                  <w:fldChar w:fldCharType="end"/>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59" type="#_x0000_t202" style="width:2in;height:2in;margin-top:6.6pt;margin-left:401.45pt;mso-height-relative:page;mso-position-horizontal-relative:margin;mso-width-relative:page;mso-wrap-style:none;position:absolute;z-index:251668480"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60" type="#_x0000_t202" style="width:2in;height:2in;margin-top:6.6pt;margin-left:401.45pt;mso-height-relative:page;mso-position-horizontal-relative:margin;mso-width-relative:page;mso-wrap-style:none;position:absolute;z-index:251669504"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61" type="#_x0000_t202" style="width:2in;height:2in;margin-top:6.6pt;margin-left:401.45pt;mso-height-relative:page;mso-position-horizontal-relative:margin;mso-width-relative:page;mso-wrap-style:none;position:absolute;z-index:251670528"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pPr>
    <w:r>
      <w:pict>
        <v:shapetype id="_x0000_t202" coordsize="21600,21600" o:spt="202" path="m,l,21600r21600,l21600,xe">
          <v:stroke joinstyle="miter"/>
          <v:path gradientshapeok="t" o:connecttype="rect"/>
        </v:shapetype>
        <v:shape id="_x0000_s2054" o:spid="_x0000_s2062" type="#_x0000_t202" style="width:2in;height:2in;margin-top:6.6pt;margin-left:401.45pt;mso-height-relative:page;mso-position-horizontal-relative:margin;mso-width-relative:page;mso-wrap-style:none;position:absolute;z-index:251671552" coordsize="21600,21600" filled="f" stroked="f">
          <v:stroke joinstyle="miter"/>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rPr>
        <w:rFonts w:hint="eastAsia"/>
      </w:rPr>
      <w:t>CMCA</w:t>
    </w:r>
    <w:r>
      <w:t xml:space="preserve"> </w:t>
    </w:r>
    <w:r>
      <w:rPr>
        <w:rFonts w:hint="eastAsia"/>
      </w:rPr>
      <w:t>XXX</w:t>
    </w:r>
    <w:r>
      <w:t>—</w:t>
    </w:r>
    <w:r>
      <w:rPr>
        <w:rFonts w:hint="eastAsia"/>
      </w:rPr>
      <w:t>20XX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EEE"/>
    <w:rsid w:val="00000500"/>
    <w:rsid w:val="0000057D"/>
    <w:rsid w:val="00001A8C"/>
    <w:rsid w:val="00001C71"/>
    <w:rsid w:val="00002B59"/>
    <w:rsid w:val="0000370D"/>
    <w:rsid w:val="000037A6"/>
    <w:rsid w:val="000041C7"/>
    <w:rsid w:val="000044F7"/>
    <w:rsid w:val="00005632"/>
    <w:rsid w:val="000056A1"/>
    <w:rsid w:val="00006169"/>
    <w:rsid w:val="0000770F"/>
    <w:rsid w:val="000106EE"/>
    <w:rsid w:val="00012075"/>
    <w:rsid w:val="00014634"/>
    <w:rsid w:val="000220D1"/>
    <w:rsid w:val="00022A82"/>
    <w:rsid w:val="000255E1"/>
    <w:rsid w:val="00030A21"/>
    <w:rsid w:val="000318E8"/>
    <w:rsid w:val="00032EDC"/>
    <w:rsid w:val="00034C02"/>
    <w:rsid w:val="0003558C"/>
    <w:rsid w:val="00037592"/>
    <w:rsid w:val="00040A3E"/>
    <w:rsid w:val="0004102C"/>
    <w:rsid w:val="00041C41"/>
    <w:rsid w:val="00043334"/>
    <w:rsid w:val="0004359B"/>
    <w:rsid w:val="00044A8D"/>
    <w:rsid w:val="000457BA"/>
    <w:rsid w:val="00045B00"/>
    <w:rsid w:val="00051819"/>
    <w:rsid w:val="00051E69"/>
    <w:rsid w:val="000522AC"/>
    <w:rsid w:val="000528F7"/>
    <w:rsid w:val="00054AB7"/>
    <w:rsid w:val="000558A8"/>
    <w:rsid w:val="00056193"/>
    <w:rsid w:val="0005625C"/>
    <w:rsid w:val="000571C4"/>
    <w:rsid w:val="000605CD"/>
    <w:rsid w:val="00060605"/>
    <w:rsid w:val="000616A7"/>
    <w:rsid w:val="000625B8"/>
    <w:rsid w:val="00063453"/>
    <w:rsid w:val="00065377"/>
    <w:rsid w:val="0006584F"/>
    <w:rsid w:val="00070290"/>
    <w:rsid w:val="000709C2"/>
    <w:rsid w:val="00070FBC"/>
    <w:rsid w:val="000717DE"/>
    <w:rsid w:val="00072F10"/>
    <w:rsid w:val="00076414"/>
    <w:rsid w:val="00076C97"/>
    <w:rsid w:val="00080BC8"/>
    <w:rsid w:val="0008102D"/>
    <w:rsid w:val="000815D8"/>
    <w:rsid w:val="00082304"/>
    <w:rsid w:val="0008399B"/>
    <w:rsid w:val="00083CA5"/>
    <w:rsid w:val="00084602"/>
    <w:rsid w:val="00085D09"/>
    <w:rsid w:val="00086391"/>
    <w:rsid w:val="000928C0"/>
    <w:rsid w:val="00094BE9"/>
    <w:rsid w:val="00095C73"/>
    <w:rsid w:val="00096D7A"/>
    <w:rsid w:val="000972AE"/>
    <w:rsid w:val="000973CC"/>
    <w:rsid w:val="000A14D6"/>
    <w:rsid w:val="000A160B"/>
    <w:rsid w:val="000A29F6"/>
    <w:rsid w:val="000A2BD2"/>
    <w:rsid w:val="000A62EF"/>
    <w:rsid w:val="000A6C14"/>
    <w:rsid w:val="000A7B13"/>
    <w:rsid w:val="000B02C9"/>
    <w:rsid w:val="000B0F03"/>
    <w:rsid w:val="000B1A86"/>
    <w:rsid w:val="000B1DC5"/>
    <w:rsid w:val="000B411A"/>
    <w:rsid w:val="000B4191"/>
    <w:rsid w:val="000B5571"/>
    <w:rsid w:val="000B5BD0"/>
    <w:rsid w:val="000B6A5C"/>
    <w:rsid w:val="000B7F30"/>
    <w:rsid w:val="000C3C13"/>
    <w:rsid w:val="000C45FB"/>
    <w:rsid w:val="000C612D"/>
    <w:rsid w:val="000C749B"/>
    <w:rsid w:val="000C7B64"/>
    <w:rsid w:val="000D057C"/>
    <w:rsid w:val="000D1F47"/>
    <w:rsid w:val="000D3CD7"/>
    <w:rsid w:val="000D7386"/>
    <w:rsid w:val="000D748E"/>
    <w:rsid w:val="000E19E2"/>
    <w:rsid w:val="000E2031"/>
    <w:rsid w:val="000E3675"/>
    <w:rsid w:val="000E48A0"/>
    <w:rsid w:val="000E4F75"/>
    <w:rsid w:val="000E5FD8"/>
    <w:rsid w:val="000E7039"/>
    <w:rsid w:val="000F0E40"/>
    <w:rsid w:val="000F0E49"/>
    <w:rsid w:val="000F2EA7"/>
    <w:rsid w:val="000F3D59"/>
    <w:rsid w:val="000F4D07"/>
    <w:rsid w:val="000F55D5"/>
    <w:rsid w:val="000F5A2E"/>
    <w:rsid w:val="000F663A"/>
    <w:rsid w:val="00101334"/>
    <w:rsid w:val="0010277E"/>
    <w:rsid w:val="001069BD"/>
    <w:rsid w:val="00106FC7"/>
    <w:rsid w:val="00107444"/>
    <w:rsid w:val="001077E9"/>
    <w:rsid w:val="00113803"/>
    <w:rsid w:val="001138A3"/>
    <w:rsid w:val="00113AA5"/>
    <w:rsid w:val="00113C77"/>
    <w:rsid w:val="00114F61"/>
    <w:rsid w:val="00115178"/>
    <w:rsid w:val="001154DF"/>
    <w:rsid w:val="0011685D"/>
    <w:rsid w:val="00116FA3"/>
    <w:rsid w:val="00120BF0"/>
    <w:rsid w:val="00122304"/>
    <w:rsid w:val="0012235A"/>
    <w:rsid w:val="00122AC3"/>
    <w:rsid w:val="00122BF0"/>
    <w:rsid w:val="00124281"/>
    <w:rsid w:val="001260C8"/>
    <w:rsid w:val="00127D66"/>
    <w:rsid w:val="00130736"/>
    <w:rsid w:val="00131A1F"/>
    <w:rsid w:val="00131DC0"/>
    <w:rsid w:val="0013378E"/>
    <w:rsid w:val="00135225"/>
    <w:rsid w:val="00135B7E"/>
    <w:rsid w:val="001373A4"/>
    <w:rsid w:val="00140D5B"/>
    <w:rsid w:val="00141CE0"/>
    <w:rsid w:val="00142AF3"/>
    <w:rsid w:val="001445B7"/>
    <w:rsid w:val="00145D2A"/>
    <w:rsid w:val="0014667F"/>
    <w:rsid w:val="00150BF0"/>
    <w:rsid w:val="00151B93"/>
    <w:rsid w:val="001528C8"/>
    <w:rsid w:val="00154A77"/>
    <w:rsid w:val="001556CF"/>
    <w:rsid w:val="00155F11"/>
    <w:rsid w:val="00161754"/>
    <w:rsid w:val="001629F9"/>
    <w:rsid w:val="0016454B"/>
    <w:rsid w:val="00165EEE"/>
    <w:rsid w:val="00167E26"/>
    <w:rsid w:val="001726A8"/>
    <w:rsid w:val="00172E30"/>
    <w:rsid w:val="001735E8"/>
    <w:rsid w:val="00173920"/>
    <w:rsid w:val="00174375"/>
    <w:rsid w:val="00177510"/>
    <w:rsid w:val="001805EA"/>
    <w:rsid w:val="00180612"/>
    <w:rsid w:val="0018110E"/>
    <w:rsid w:val="001813C7"/>
    <w:rsid w:val="0018140A"/>
    <w:rsid w:val="00182090"/>
    <w:rsid w:val="00186EDB"/>
    <w:rsid w:val="001875F8"/>
    <w:rsid w:val="001903D8"/>
    <w:rsid w:val="00192206"/>
    <w:rsid w:val="00192F16"/>
    <w:rsid w:val="001931D1"/>
    <w:rsid w:val="00193836"/>
    <w:rsid w:val="00194372"/>
    <w:rsid w:val="001944F9"/>
    <w:rsid w:val="00194B86"/>
    <w:rsid w:val="00194E2C"/>
    <w:rsid w:val="00195F73"/>
    <w:rsid w:val="001A00FC"/>
    <w:rsid w:val="001A248F"/>
    <w:rsid w:val="001A2515"/>
    <w:rsid w:val="001A2629"/>
    <w:rsid w:val="001A2953"/>
    <w:rsid w:val="001A3BDA"/>
    <w:rsid w:val="001A3C12"/>
    <w:rsid w:val="001A3F45"/>
    <w:rsid w:val="001A56F4"/>
    <w:rsid w:val="001A5DCD"/>
    <w:rsid w:val="001A70C3"/>
    <w:rsid w:val="001A7BC4"/>
    <w:rsid w:val="001B1B86"/>
    <w:rsid w:val="001B23D5"/>
    <w:rsid w:val="001B2A04"/>
    <w:rsid w:val="001B3D6A"/>
    <w:rsid w:val="001B451C"/>
    <w:rsid w:val="001B45F0"/>
    <w:rsid w:val="001B4757"/>
    <w:rsid w:val="001B4777"/>
    <w:rsid w:val="001B489E"/>
    <w:rsid w:val="001B4D79"/>
    <w:rsid w:val="001C036B"/>
    <w:rsid w:val="001C0A75"/>
    <w:rsid w:val="001C0B84"/>
    <w:rsid w:val="001C261A"/>
    <w:rsid w:val="001C2E8A"/>
    <w:rsid w:val="001C398F"/>
    <w:rsid w:val="001C5DC9"/>
    <w:rsid w:val="001C5ECF"/>
    <w:rsid w:val="001C7BF5"/>
    <w:rsid w:val="001D0630"/>
    <w:rsid w:val="001D08D9"/>
    <w:rsid w:val="001D356E"/>
    <w:rsid w:val="001D4711"/>
    <w:rsid w:val="001D6F4A"/>
    <w:rsid w:val="001D71AA"/>
    <w:rsid w:val="001D7B26"/>
    <w:rsid w:val="001E0854"/>
    <w:rsid w:val="001E20D1"/>
    <w:rsid w:val="001E3307"/>
    <w:rsid w:val="001E3624"/>
    <w:rsid w:val="001E3760"/>
    <w:rsid w:val="001E38A9"/>
    <w:rsid w:val="001E40FB"/>
    <w:rsid w:val="001E74AC"/>
    <w:rsid w:val="001E7A77"/>
    <w:rsid w:val="001E7D99"/>
    <w:rsid w:val="001F0428"/>
    <w:rsid w:val="001F1268"/>
    <w:rsid w:val="001F3244"/>
    <w:rsid w:val="001F3801"/>
    <w:rsid w:val="001F5166"/>
    <w:rsid w:val="001F59B6"/>
    <w:rsid w:val="001F7180"/>
    <w:rsid w:val="00200B4E"/>
    <w:rsid w:val="00200C8E"/>
    <w:rsid w:val="00200EC2"/>
    <w:rsid w:val="0020100B"/>
    <w:rsid w:val="00201AB5"/>
    <w:rsid w:val="00203324"/>
    <w:rsid w:val="00205EFF"/>
    <w:rsid w:val="00206CBF"/>
    <w:rsid w:val="00206EE8"/>
    <w:rsid w:val="00210811"/>
    <w:rsid w:val="002127E7"/>
    <w:rsid w:val="00213882"/>
    <w:rsid w:val="00215FE6"/>
    <w:rsid w:val="002163AC"/>
    <w:rsid w:val="002172E0"/>
    <w:rsid w:val="0021731B"/>
    <w:rsid w:val="00220407"/>
    <w:rsid w:val="002206D1"/>
    <w:rsid w:val="00220E12"/>
    <w:rsid w:val="00221A9E"/>
    <w:rsid w:val="00221BDE"/>
    <w:rsid w:val="00224350"/>
    <w:rsid w:val="002254A9"/>
    <w:rsid w:val="00225FF1"/>
    <w:rsid w:val="00226628"/>
    <w:rsid w:val="00232525"/>
    <w:rsid w:val="00234D2F"/>
    <w:rsid w:val="00236757"/>
    <w:rsid w:val="002374BD"/>
    <w:rsid w:val="0024147B"/>
    <w:rsid w:val="00243FCA"/>
    <w:rsid w:val="00244E0D"/>
    <w:rsid w:val="002456CF"/>
    <w:rsid w:val="00245F23"/>
    <w:rsid w:val="002461D8"/>
    <w:rsid w:val="00247752"/>
    <w:rsid w:val="002477BB"/>
    <w:rsid w:val="00250E25"/>
    <w:rsid w:val="00251A4F"/>
    <w:rsid w:val="00253591"/>
    <w:rsid w:val="002539BF"/>
    <w:rsid w:val="00253A3E"/>
    <w:rsid w:val="0025438B"/>
    <w:rsid w:val="00255A24"/>
    <w:rsid w:val="00257BF7"/>
    <w:rsid w:val="0026064D"/>
    <w:rsid w:val="00260AB8"/>
    <w:rsid w:val="00270256"/>
    <w:rsid w:val="002711ED"/>
    <w:rsid w:val="002712CD"/>
    <w:rsid w:val="0027135A"/>
    <w:rsid w:val="00271F2D"/>
    <w:rsid w:val="002734D1"/>
    <w:rsid w:val="00273C4E"/>
    <w:rsid w:val="0027651C"/>
    <w:rsid w:val="00280399"/>
    <w:rsid w:val="00280998"/>
    <w:rsid w:val="00281AAA"/>
    <w:rsid w:val="00282030"/>
    <w:rsid w:val="0028259D"/>
    <w:rsid w:val="002825E7"/>
    <w:rsid w:val="00282BE5"/>
    <w:rsid w:val="002838CB"/>
    <w:rsid w:val="00286F19"/>
    <w:rsid w:val="00287556"/>
    <w:rsid w:val="00290A95"/>
    <w:rsid w:val="00290BFE"/>
    <w:rsid w:val="002914AA"/>
    <w:rsid w:val="00293F09"/>
    <w:rsid w:val="00294417"/>
    <w:rsid w:val="0029512A"/>
    <w:rsid w:val="0029609B"/>
    <w:rsid w:val="00296B6A"/>
    <w:rsid w:val="002A0202"/>
    <w:rsid w:val="002A34F2"/>
    <w:rsid w:val="002A4417"/>
    <w:rsid w:val="002A5A1C"/>
    <w:rsid w:val="002A657D"/>
    <w:rsid w:val="002A6B31"/>
    <w:rsid w:val="002A6C50"/>
    <w:rsid w:val="002A7D36"/>
    <w:rsid w:val="002B0C6F"/>
    <w:rsid w:val="002B2308"/>
    <w:rsid w:val="002B2653"/>
    <w:rsid w:val="002C104B"/>
    <w:rsid w:val="002C1FAD"/>
    <w:rsid w:val="002C2BA1"/>
    <w:rsid w:val="002C5EAF"/>
    <w:rsid w:val="002C7A5F"/>
    <w:rsid w:val="002D0062"/>
    <w:rsid w:val="002D11E0"/>
    <w:rsid w:val="002D175D"/>
    <w:rsid w:val="002D1B23"/>
    <w:rsid w:val="002D2608"/>
    <w:rsid w:val="002D43FD"/>
    <w:rsid w:val="002D58C7"/>
    <w:rsid w:val="002D7CD6"/>
    <w:rsid w:val="002E04C7"/>
    <w:rsid w:val="002E061F"/>
    <w:rsid w:val="002E086A"/>
    <w:rsid w:val="002E1200"/>
    <w:rsid w:val="002E2829"/>
    <w:rsid w:val="002E3536"/>
    <w:rsid w:val="002E71B0"/>
    <w:rsid w:val="002F1FE4"/>
    <w:rsid w:val="002F3EDE"/>
    <w:rsid w:val="002F57C2"/>
    <w:rsid w:val="002F5955"/>
    <w:rsid w:val="002F7972"/>
    <w:rsid w:val="00300114"/>
    <w:rsid w:val="003008B3"/>
    <w:rsid w:val="00300BD3"/>
    <w:rsid w:val="00300F81"/>
    <w:rsid w:val="003015BF"/>
    <w:rsid w:val="00302421"/>
    <w:rsid w:val="003032A4"/>
    <w:rsid w:val="00303881"/>
    <w:rsid w:val="0030604D"/>
    <w:rsid w:val="003067EB"/>
    <w:rsid w:val="00306AD9"/>
    <w:rsid w:val="0031016B"/>
    <w:rsid w:val="00310B57"/>
    <w:rsid w:val="003111DE"/>
    <w:rsid w:val="00312E56"/>
    <w:rsid w:val="00313F08"/>
    <w:rsid w:val="0031443C"/>
    <w:rsid w:val="00314B73"/>
    <w:rsid w:val="00321A1C"/>
    <w:rsid w:val="00322D54"/>
    <w:rsid w:val="00323388"/>
    <w:rsid w:val="003233C0"/>
    <w:rsid w:val="00324C01"/>
    <w:rsid w:val="003253B2"/>
    <w:rsid w:val="0032622B"/>
    <w:rsid w:val="00327F3A"/>
    <w:rsid w:val="003331E4"/>
    <w:rsid w:val="003334AD"/>
    <w:rsid w:val="003338FD"/>
    <w:rsid w:val="00334841"/>
    <w:rsid w:val="0033639D"/>
    <w:rsid w:val="00336AA9"/>
    <w:rsid w:val="00337080"/>
    <w:rsid w:val="003414A6"/>
    <w:rsid w:val="003428FB"/>
    <w:rsid w:val="00343074"/>
    <w:rsid w:val="003430DA"/>
    <w:rsid w:val="00344619"/>
    <w:rsid w:val="00345414"/>
    <w:rsid w:val="00345FBA"/>
    <w:rsid w:val="00350BF6"/>
    <w:rsid w:val="00351AC3"/>
    <w:rsid w:val="00351DE4"/>
    <w:rsid w:val="00353023"/>
    <w:rsid w:val="00360985"/>
    <w:rsid w:val="0036335B"/>
    <w:rsid w:val="003646EE"/>
    <w:rsid w:val="00364A58"/>
    <w:rsid w:val="00366A4E"/>
    <w:rsid w:val="003674A0"/>
    <w:rsid w:val="003709DB"/>
    <w:rsid w:val="00370C3C"/>
    <w:rsid w:val="00370C52"/>
    <w:rsid w:val="00374C88"/>
    <w:rsid w:val="00375DBF"/>
    <w:rsid w:val="00375E0A"/>
    <w:rsid w:val="00376B51"/>
    <w:rsid w:val="00380288"/>
    <w:rsid w:val="00380EAD"/>
    <w:rsid w:val="00381AC9"/>
    <w:rsid w:val="00381D89"/>
    <w:rsid w:val="00382CB8"/>
    <w:rsid w:val="0038330F"/>
    <w:rsid w:val="00384706"/>
    <w:rsid w:val="00384E33"/>
    <w:rsid w:val="00384E4B"/>
    <w:rsid w:val="00385000"/>
    <w:rsid w:val="00386EEB"/>
    <w:rsid w:val="00387C6B"/>
    <w:rsid w:val="00387EF3"/>
    <w:rsid w:val="003916C0"/>
    <w:rsid w:val="00391C1D"/>
    <w:rsid w:val="00392807"/>
    <w:rsid w:val="00392DF6"/>
    <w:rsid w:val="003972DD"/>
    <w:rsid w:val="003A0369"/>
    <w:rsid w:val="003A12A8"/>
    <w:rsid w:val="003A17BA"/>
    <w:rsid w:val="003A21AE"/>
    <w:rsid w:val="003A32A2"/>
    <w:rsid w:val="003A5522"/>
    <w:rsid w:val="003A557D"/>
    <w:rsid w:val="003A5B45"/>
    <w:rsid w:val="003A5C53"/>
    <w:rsid w:val="003A5DF5"/>
    <w:rsid w:val="003A73DD"/>
    <w:rsid w:val="003A7A9E"/>
    <w:rsid w:val="003A7CAC"/>
    <w:rsid w:val="003A7CBE"/>
    <w:rsid w:val="003B0028"/>
    <w:rsid w:val="003B0901"/>
    <w:rsid w:val="003B1023"/>
    <w:rsid w:val="003B2636"/>
    <w:rsid w:val="003B2F41"/>
    <w:rsid w:val="003B3730"/>
    <w:rsid w:val="003B3A22"/>
    <w:rsid w:val="003B6311"/>
    <w:rsid w:val="003C066F"/>
    <w:rsid w:val="003C20A7"/>
    <w:rsid w:val="003C22CF"/>
    <w:rsid w:val="003C3BB7"/>
    <w:rsid w:val="003C61A3"/>
    <w:rsid w:val="003C65DC"/>
    <w:rsid w:val="003D12B1"/>
    <w:rsid w:val="003D131E"/>
    <w:rsid w:val="003D23EB"/>
    <w:rsid w:val="003D692D"/>
    <w:rsid w:val="003E08B1"/>
    <w:rsid w:val="003E2454"/>
    <w:rsid w:val="003E42C9"/>
    <w:rsid w:val="003E471C"/>
    <w:rsid w:val="003E4FC3"/>
    <w:rsid w:val="003E6775"/>
    <w:rsid w:val="003E6F18"/>
    <w:rsid w:val="003F2E40"/>
    <w:rsid w:val="003F3851"/>
    <w:rsid w:val="003F6B56"/>
    <w:rsid w:val="003F7533"/>
    <w:rsid w:val="00400177"/>
    <w:rsid w:val="004037B5"/>
    <w:rsid w:val="00403DF6"/>
    <w:rsid w:val="0040513B"/>
    <w:rsid w:val="004063C7"/>
    <w:rsid w:val="00407AD8"/>
    <w:rsid w:val="00410B47"/>
    <w:rsid w:val="00412728"/>
    <w:rsid w:val="00414E19"/>
    <w:rsid w:val="00416F69"/>
    <w:rsid w:val="004177D1"/>
    <w:rsid w:val="004203FE"/>
    <w:rsid w:val="00422B34"/>
    <w:rsid w:val="00424A7B"/>
    <w:rsid w:val="00425096"/>
    <w:rsid w:val="00425EC0"/>
    <w:rsid w:val="00427431"/>
    <w:rsid w:val="0042768E"/>
    <w:rsid w:val="0043008F"/>
    <w:rsid w:val="0043027F"/>
    <w:rsid w:val="00430A4C"/>
    <w:rsid w:val="0043390B"/>
    <w:rsid w:val="0043737C"/>
    <w:rsid w:val="004373B6"/>
    <w:rsid w:val="00440C3B"/>
    <w:rsid w:val="004416D9"/>
    <w:rsid w:val="004439D3"/>
    <w:rsid w:val="0044423E"/>
    <w:rsid w:val="004445A1"/>
    <w:rsid w:val="00444B36"/>
    <w:rsid w:val="00445596"/>
    <w:rsid w:val="00445E2F"/>
    <w:rsid w:val="00451977"/>
    <w:rsid w:val="00451F26"/>
    <w:rsid w:val="00452BE5"/>
    <w:rsid w:val="004557DB"/>
    <w:rsid w:val="00456A47"/>
    <w:rsid w:val="004573A8"/>
    <w:rsid w:val="00457E81"/>
    <w:rsid w:val="00460FAD"/>
    <w:rsid w:val="00461252"/>
    <w:rsid w:val="004619B7"/>
    <w:rsid w:val="00462CCB"/>
    <w:rsid w:val="0046388F"/>
    <w:rsid w:val="0046514B"/>
    <w:rsid w:val="0046763F"/>
    <w:rsid w:val="00470019"/>
    <w:rsid w:val="0047284D"/>
    <w:rsid w:val="004739D3"/>
    <w:rsid w:val="0047664F"/>
    <w:rsid w:val="00476C4F"/>
    <w:rsid w:val="00481D78"/>
    <w:rsid w:val="00484CBA"/>
    <w:rsid w:val="00485131"/>
    <w:rsid w:val="00485D66"/>
    <w:rsid w:val="004861B5"/>
    <w:rsid w:val="004862B9"/>
    <w:rsid w:val="00486E6D"/>
    <w:rsid w:val="00491125"/>
    <w:rsid w:val="00492A49"/>
    <w:rsid w:val="00496CC7"/>
    <w:rsid w:val="00496E33"/>
    <w:rsid w:val="004972C6"/>
    <w:rsid w:val="004A107A"/>
    <w:rsid w:val="004A2594"/>
    <w:rsid w:val="004A3C22"/>
    <w:rsid w:val="004A3F7E"/>
    <w:rsid w:val="004A4560"/>
    <w:rsid w:val="004B03A9"/>
    <w:rsid w:val="004B0DE5"/>
    <w:rsid w:val="004B2909"/>
    <w:rsid w:val="004B46A6"/>
    <w:rsid w:val="004B5D15"/>
    <w:rsid w:val="004B7E6A"/>
    <w:rsid w:val="004C06FF"/>
    <w:rsid w:val="004C084E"/>
    <w:rsid w:val="004C2014"/>
    <w:rsid w:val="004C2EEF"/>
    <w:rsid w:val="004C3C3C"/>
    <w:rsid w:val="004C3F69"/>
    <w:rsid w:val="004C43CB"/>
    <w:rsid w:val="004C5002"/>
    <w:rsid w:val="004C62C0"/>
    <w:rsid w:val="004C7227"/>
    <w:rsid w:val="004C75D9"/>
    <w:rsid w:val="004D14EE"/>
    <w:rsid w:val="004D190B"/>
    <w:rsid w:val="004D29FD"/>
    <w:rsid w:val="004D366C"/>
    <w:rsid w:val="004D531C"/>
    <w:rsid w:val="004D594D"/>
    <w:rsid w:val="004D65C8"/>
    <w:rsid w:val="004D65FD"/>
    <w:rsid w:val="004E0194"/>
    <w:rsid w:val="004E275F"/>
    <w:rsid w:val="004E3188"/>
    <w:rsid w:val="004E44C9"/>
    <w:rsid w:val="004E4D11"/>
    <w:rsid w:val="004E582E"/>
    <w:rsid w:val="004E5AE0"/>
    <w:rsid w:val="004E5D15"/>
    <w:rsid w:val="004E717B"/>
    <w:rsid w:val="004E76BC"/>
    <w:rsid w:val="004E7867"/>
    <w:rsid w:val="004E7A00"/>
    <w:rsid w:val="004E7D23"/>
    <w:rsid w:val="004F0548"/>
    <w:rsid w:val="004F2C51"/>
    <w:rsid w:val="004F5BCA"/>
    <w:rsid w:val="004F6BBA"/>
    <w:rsid w:val="0050057F"/>
    <w:rsid w:val="00502EA1"/>
    <w:rsid w:val="005053E9"/>
    <w:rsid w:val="0050605C"/>
    <w:rsid w:val="005064F4"/>
    <w:rsid w:val="00507243"/>
    <w:rsid w:val="00507675"/>
    <w:rsid w:val="00507A3D"/>
    <w:rsid w:val="00507F6D"/>
    <w:rsid w:val="0051003D"/>
    <w:rsid w:val="00511FB1"/>
    <w:rsid w:val="00514309"/>
    <w:rsid w:val="0051554A"/>
    <w:rsid w:val="00516F4D"/>
    <w:rsid w:val="005177FB"/>
    <w:rsid w:val="00520E40"/>
    <w:rsid w:val="005225CE"/>
    <w:rsid w:val="00524A66"/>
    <w:rsid w:val="00524B74"/>
    <w:rsid w:val="005259A3"/>
    <w:rsid w:val="00525F82"/>
    <w:rsid w:val="0053063C"/>
    <w:rsid w:val="00530EEE"/>
    <w:rsid w:val="005310AB"/>
    <w:rsid w:val="005317C9"/>
    <w:rsid w:val="00531AE6"/>
    <w:rsid w:val="00531E96"/>
    <w:rsid w:val="00532293"/>
    <w:rsid w:val="00533371"/>
    <w:rsid w:val="005349E5"/>
    <w:rsid w:val="00535248"/>
    <w:rsid w:val="00537AB1"/>
    <w:rsid w:val="005406B7"/>
    <w:rsid w:val="00541919"/>
    <w:rsid w:val="00543007"/>
    <w:rsid w:val="00543080"/>
    <w:rsid w:val="005440AC"/>
    <w:rsid w:val="00544F35"/>
    <w:rsid w:val="0054667A"/>
    <w:rsid w:val="00547482"/>
    <w:rsid w:val="00547E4E"/>
    <w:rsid w:val="005507A0"/>
    <w:rsid w:val="00553F90"/>
    <w:rsid w:val="00556572"/>
    <w:rsid w:val="00560467"/>
    <w:rsid w:val="00561F82"/>
    <w:rsid w:val="005644A8"/>
    <w:rsid w:val="00565156"/>
    <w:rsid w:val="00565334"/>
    <w:rsid w:val="00566B61"/>
    <w:rsid w:val="00567930"/>
    <w:rsid w:val="00567ACE"/>
    <w:rsid w:val="005700D0"/>
    <w:rsid w:val="00570A94"/>
    <w:rsid w:val="00570C22"/>
    <w:rsid w:val="0057411C"/>
    <w:rsid w:val="00574E05"/>
    <w:rsid w:val="00576FE0"/>
    <w:rsid w:val="00577B8B"/>
    <w:rsid w:val="005800D3"/>
    <w:rsid w:val="005817F4"/>
    <w:rsid w:val="00581A47"/>
    <w:rsid w:val="00581BF7"/>
    <w:rsid w:val="0058210D"/>
    <w:rsid w:val="00584593"/>
    <w:rsid w:val="0058620B"/>
    <w:rsid w:val="00590060"/>
    <w:rsid w:val="005903C9"/>
    <w:rsid w:val="00590574"/>
    <w:rsid w:val="00590C77"/>
    <w:rsid w:val="00592D85"/>
    <w:rsid w:val="0059421C"/>
    <w:rsid w:val="00596616"/>
    <w:rsid w:val="00596B20"/>
    <w:rsid w:val="00596F96"/>
    <w:rsid w:val="005973A6"/>
    <w:rsid w:val="00597F70"/>
    <w:rsid w:val="005A0608"/>
    <w:rsid w:val="005A140B"/>
    <w:rsid w:val="005A2F19"/>
    <w:rsid w:val="005A492E"/>
    <w:rsid w:val="005A7E24"/>
    <w:rsid w:val="005A7E3B"/>
    <w:rsid w:val="005B128A"/>
    <w:rsid w:val="005B19C3"/>
    <w:rsid w:val="005B37B6"/>
    <w:rsid w:val="005B3DB8"/>
    <w:rsid w:val="005B5B66"/>
    <w:rsid w:val="005B5E06"/>
    <w:rsid w:val="005C5AC5"/>
    <w:rsid w:val="005C637A"/>
    <w:rsid w:val="005C70FC"/>
    <w:rsid w:val="005D1FBB"/>
    <w:rsid w:val="005D3E44"/>
    <w:rsid w:val="005D528F"/>
    <w:rsid w:val="005D5938"/>
    <w:rsid w:val="005D5DF3"/>
    <w:rsid w:val="005D7409"/>
    <w:rsid w:val="005E0667"/>
    <w:rsid w:val="005E143F"/>
    <w:rsid w:val="005E1C35"/>
    <w:rsid w:val="005E3770"/>
    <w:rsid w:val="005E48FC"/>
    <w:rsid w:val="005E5047"/>
    <w:rsid w:val="005E6126"/>
    <w:rsid w:val="005E7DB2"/>
    <w:rsid w:val="005F1346"/>
    <w:rsid w:val="005F1567"/>
    <w:rsid w:val="005F1845"/>
    <w:rsid w:val="005F1F6B"/>
    <w:rsid w:val="005F6C9B"/>
    <w:rsid w:val="005F7C45"/>
    <w:rsid w:val="00600B2C"/>
    <w:rsid w:val="006029C2"/>
    <w:rsid w:val="006041A0"/>
    <w:rsid w:val="00604370"/>
    <w:rsid w:val="00604A20"/>
    <w:rsid w:val="00606902"/>
    <w:rsid w:val="0060697D"/>
    <w:rsid w:val="00607117"/>
    <w:rsid w:val="00607647"/>
    <w:rsid w:val="006100E6"/>
    <w:rsid w:val="006118D9"/>
    <w:rsid w:val="006121A9"/>
    <w:rsid w:val="00612E47"/>
    <w:rsid w:val="006175C0"/>
    <w:rsid w:val="00621782"/>
    <w:rsid w:val="00622156"/>
    <w:rsid w:val="006222E8"/>
    <w:rsid w:val="00622C4F"/>
    <w:rsid w:val="00623F3A"/>
    <w:rsid w:val="006263A5"/>
    <w:rsid w:val="0062709D"/>
    <w:rsid w:val="0063037F"/>
    <w:rsid w:val="00630712"/>
    <w:rsid w:val="006323A0"/>
    <w:rsid w:val="0063454D"/>
    <w:rsid w:val="006352C9"/>
    <w:rsid w:val="006414E7"/>
    <w:rsid w:val="00641C5D"/>
    <w:rsid w:val="0064356C"/>
    <w:rsid w:val="00643697"/>
    <w:rsid w:val="006442B1"/>
    <w:rsid w:val="006451C6"/>
    <w:rsid w:val="006472A0"/>
    <w:rsid w:val="0064789D"/>
    <w:rsid w:val="006505BB"/>
    <w:rsid w:val="00650E53"/>
    <w:rsid w:val="00650EE3"/>
    <w:rsid w:val="006511D0"/>
    <w:rsid w:val="0065394D"/>
    <w:rsid w:val="00660B1A"/>
    <w:rsid w:val="00661215"/>
    <w:rsid w:val="0066328A"/>
    <w:rsid w:val="006651F9"/>
    <w:rsid w:val="00671739"/>
    <w:rsid w:val="00672C25"/>
    <w:rsid w:val="00672D9D"/>
    <w:rsid w:val="00673509"/>
    <w:rsid w:val="0067367C"/>
    <w:rsid w:val="0067383D"/>
    <w:rsid w:val="0067397F"/>
    <w:rsid w:val="006744F0"/>
    <w:rsid w:val="00674C7F"/>
    <w:rsid w:val="00675826"/>
    <w:rsid w:val="00676805"/>
    <w:rsid w:val="006769BF"/>
    <w:rsid w:val="00676E37"/>
    <w:rsid w:val="00676ED4"/>
    <w:rsid w:val="006772CA"/>
    <w:rsid w:val="00680072"/>
    <w:rsid w:val="0068340D"/>
    <w:rsid w:val="00683EA0"/>
    <w:rsid w:val="00684049"/>
    <w:rsid w:val="00684649"/>
    <w:rsid w:val="006856CF"/>
    <w:rsid w:val="00685B60"/>
    <w:rsid w:val="006860BA"/>
    <w:rsid w:val="0068614F"/>
    <w:rsid w:val="00687B2B"/>
    <w:rsid w:val="00687BF4"/>
    <w:rsid w:val="0069235D"/>
    <w:rsid w:val="00692783"/>
    <w:rsid w:val="00694FE3"/>
    <w:rsid w:val="006960A0"/>
    <w:rsid w:val="00696CC4"/>
    <w:rsid w:val="00697A2B"/>
    <w:rsid w:val="006A1E72"/>
    <w:rsid w:val="006A24ED"/>
    <w:rsid w:val="006A298C"/>
    <w:rsid w:val="006A2A98"/>
    <w:rsid w:val="006A6ABF"/>
    <w:rsid w:val="006A73E3"/>
    <w:rsid w:val="006B0959"/>
    <w:rsid w:val="006B5B09"/>
    <w:rsid w:val="006B66BF"/>
    <w:rsid w:val="006B739C"/>
    <w:rsid w:val="006C146E"/>
    <w:rsid w:val="006C38A7"/>
    <w:rsid w:val="006C5EE5"/>
    <w:rsid w:val="006C6D70"/>
    <w:rsid w:val="006C6F05"/>
    <w:rsid w:val="006D0D50"/>
    <w:rsid w:val="006D2379"/>
    <w:rsid w:val="006D2C5D"/>
    <w:rsid w:val="006D3223"/>
    <w:rsid w:val="006D4786"/>
    <w:rsid w:val="006D500B"/>
    <w:rsid w:val="006D5984"/>
    <w:rsid w:val="006D61E8"/>
    <w:rsid w:val="006D6769"/>
    <w:rsid w:val="006D6E46"/>
    <w:rsid w:val="006D7FCE"/>
    <w:rsid w:val="006E05EA"/>
    <w:rsid w:val="006E1464"/>
    <w:rsid w:val="006E1820"/>
    <w:rsid w:val="006E1B1A"/>
    <w:rsid w:val="006E2A80"/>
    <w:rsid w:val="006E7FE7"/>
    <w:rsid w:val="006F05ED"/>
    <w:rsid w:val="006F1A13"/>
    <w:rsid w:val="006F312E"/>
    <w:rsid w:val="006F3332"/>
    <w:rsid w:val="006F4143"/>
    <w:rsid w:val="006F42BE"/>
    <w:rsid w:val="006F46F1"/>
    <w:rsid w:val="006F55ED"/>
    <w:rsid w:val="006F56B6"/>
    <w:rsid w:val="006F58FC"/>
    <w:rsid w:val="006F5FDB"/>
    <w:rsid w:val="006F74F9"/>
    <w:rsid w:val="00700CEF"/>
    <w:rsid w:val="0070137B"/>
    <w:rsid w:val="007016F1"/>
    <w:rsid w:val="00703D67"/>
    <w:rsid w:val="00704C63"/>
    <w:rsid w:val="007057A7"/>
    <w:rsid w:val="00705AC5"/>
    <w:rsid w:val="00705BE8"/>
    <w:rsid w:val="00706872"/>
    <w:rsid w:val="0071044F"/>
    <w:rsid w:val="0071233D"/>
    <w:rsid w:val="00713DB0"/>
    <w:rsid w:val="00717E07"/>
    <w:rsid w:val="00721F7A"/>
    <w:rsid w:val="00722B66"/>
    <w:rsid w:val="00724D59"/>
    <w:rsid w:val="007255CB"/>
    <w:rsid w:val="00727E64"/>
    <w:rsid w:val="007305D6"/>
    <w:rsid w:val="00731732"/>
    <w:rsid w:val="00732B07"/>
    <w:rsid w:val="00733203"/>
    <w:rsid w:val="007342B8"/>
    <w:rsid w:val="00736EF2"/>
    <w:rsid w:val="00737802"/>
    <w:rsid w:val="007423D5"/>
    <w:rsid w:val="00742EDF"/>
    <w:rsid w:val="00743F8C"/>
    <w:rsid w:val="00746207"/>
    <w:rsid w:val="007464EC"/>
    <w:rsid w:val="0074735B"/>
    <w:rsid w:val="00747376"/>
    <w:rsid w:val="007513D3"/>
    <w:rsid w:val="00753FE1"/>
    <w:rsid w:val="00755D86"/>
    <w:rsid w:val="0075644F"/>
    <w:rsid w:val="00757F66"/>
    <w:rsid w:val="00761F22"/>
    <w:rsid w:val="00763430"/>
    <w:rsid w:val="00763B72"/>
    <w:rsid w:val="00763EFF"/>
    <w:rsid w:val="0076442C"/>
    <w:rsid w:val="0076468B"/>
    <w:rsid w:val="00764DFD"/>
    <w:rsid w:val="007709FC"/>
    <w:rsid w:val="00770C02"/>
    <w:rsid w:val="0077116E"/>
    <w:rsid w:val="007764B3"/>
    <w:rsid w:val="007778A6"/>
    <w:rsid w:val="00777C52"/>
    <w:rsid w:val="0078011C"/>
    <w:rsid w:val="00780122"/>
    <w:rsid w:val="00781D0D"/>
    <w:rsid w:val="00781E75"/>
    <w:rsid w:val="00782A1F"/>
    <w:rsid w:val="00784788"/>
    <w:rsid w:val="00784D29"/>
    <w:rsid w:val="00784FF9"/>
    <w:rsid w:val="00785867"/>
    <w:rsid w:val="00785B04"/>
    <w:rsid w:val="0078761A"/>
    <w:rsid w:val="0079312F"/>
    <w:rsid w:val="0079487A"/>
    <w:rsid w:val="0079535D"/>
    <w:rsid w:val="00795BE9"/>
    <w:rsid w:val="00795F3F"/>
    <w:rsid w:val="00797D23"/>
    <w:rsid w:val="007A01FC"/>
    <w:rsid w:val="007A1610"/>
    <w:rsid w:val="007A268A"/>
    <w:rsid w:val="007A26CD"/>
    <w:rsid w:val="007A3332"/>
    <w:rsid w:val="007A3B06"/>
    <w:rsid w:val="007A5400"/>
    <w:rsid w:val="007A5508"/>
    <w:rsid w:val="007A57B4"/>
    <w:rsid w:val="007A5CC3"/>
    <w:rsid w:val="007A672C"/>
    <w:rsid w:val="007A6F8D"/>
    <w:rsid w:val="007B01E8"/>
    <w:rsid w:val="007B0DF3"/>
    <w:rsid w:val="007B2271"/>
    <w:rsid w:val="007B2703"/>
    <w:rsid w:val="007B3294"/>
    <w:rsid w:val="007B5E42"/>
    <w:rsid w:val="007B60EA"/>
    <w:rsid w:val="007B75E5"/>
    <w:rsid w:val="007C0A28"/>
    <w:rsid w:val="007C1B61"/>
    <w:rsid w:val="007C362B"/>
    <w:rsid w:val="007C3FEE"/>
    <w:rsid w:val="007C6345"/>
    <w:rsid w:val="007D1914"/>
    <w:rsid w:val="007D381D"/>
    <w:rsid w:val="007D3CE7"/>
    <w:rsid w:val="007D53FD"/>
    <w:rsid w:val="007D651E"/>
    <w:rsid w:val="007D71D5"/>
    <w:rsid w:val="007E11BC"/>
    <w:rsid w:val="007E1905"/>
    <w:rsid w:val="007E2502"/>
    <w:rsid w:val="007E32CB"/>
    <w:rsid w:val="007E3E3C"/>
    <w:rsid w:val="007E46F6"/>
    <w:rsid w:val="007E4BFB"/>
    <w:rsid w:val="007E675B"/>
    <w:rsid w:val="007E6CEA"/>
    <w:rsid w:val="007F1030"/>
    <w:rsid w:val="007F2D0B"/>
    <w:rsid w:val="007F3E66"/>
    <w:rsid w:val="007F736F"/>
    <w:rsid w:val="00800757"/>
    <w:rsid w:val="0080075B"/>
    <w:rsid w:val="00800963"/>
    <w:rsid w:val="00801E3F"/>
    <w:rsid w:val="00801EB2"/>
    <w:rsid w:val="00804D8A"/>
    <w:rsid w:val="00806806"/>
    <w:rsid w:val="008070E8"/>
    <w:rsid w:val="0081043C"/>
    <w:rsid w:val="008107E4"/>
    <w:rsid w:val="00812D2F"/>
    <w:rsid w:val="00813C80"/>
    <w:rsid w:val="00816EAD"/>
    <w:rsid w:val="00820235"/>
    <w:rsid w:val="00820EB7"/>
    <w:rsid w:val="00820EE8"/>
    <w:rsid w:val="008211FC"/>
    <w:rsid w:val="00821C33"/>
    <w:rsid w:val="00824668"/>
    <w:rsid w:val="0082570B"/>
    <w:rsid w:val="00825B29"/>
    <w:rsid w:val="008269F8"/>
    <w:rsid w:val="00830022"/>
    <w:rsid w:val="00831433"/>
    <w:rsid w:val="00835113"/>
    <w:rsid w:val="00835905"/>
    <w:rsid w:val="00835DC1"/>
    <w:rsid w:val="00835FCE"/>
    <w:rsid w:val="00835FEC"/>
    <w:rsid w:val="00841DE6"/>
    <w:rsid w:val="00842125"/>
    <w:rsid w:val="00843036"/>
    <w:rsid w:val="00843DE5"/>
    <w:rsid w:val="0084429C"/>
    <w:rsid w:val="0084510D"/>
    <w:rsid w:val="00845CEB"/>
    <w:rsid w:val="00846893"/>
    <w:rsid w:val="0084695C"/>
    <w:rsid w:val="00847077"/>
    <w:rsid w:val="00851605"/>
    <w:rsid w:val="00851A87"/>
    <w:rsid w:val="00852925"/>
    <w:rsid w:val="00853EE0"/>
    <w:rsid w:val="008540FF"/>
    <w:rsid w:val="008550BE"/>
    <w:rsid w:val="00860785"/>
    <w:rsid w:val="00861948"/>
    <w:rsid w:val="00861B2B"/>
    <w:rsid w:val="00863626"/>
    <w:rsid w:val="00864D65"/>
    <w:rsid w:val="00864FAF"/>
    <w:rsid w:val="008660BC"/>
    <w:rsid w:val="00871697"/>
    <w:rsid w:val="0087224A"/>
    <w:rsid w:val="00872F8A"/>
    <w:rsid w:val="00874619"/>
    <w:rsid w:val="00874924"/>
    <w:rsid w:val="00874EAC"/>
    <w:rsid w:val="0087566B"/>
    <w:rsid w:val="00876446"/>
    <w:rsid w:val="00876A64"/>
    <w:rsid w:val="0088065F"/>
    <w:rsid w:val="0088186E"/>
    <w:rsid w:val="00882657"/>
    <w:rsid w:val="00882A15"/>
    <w:rsid w:val="00883136"/>
    <w:rsid w:val="008834DD"/>
    <w:rsid w:val="00886D8C"/>
    <w:rsid w:val="008876DC"/>
    <w:rsid w:val="008921C3"/>
    <w:rsid w:val="00893BE4"/>
    <w:rsid w:val="00895425"/>
    <w:rsid w:val="00896A14"/>
    <w:rsid w:val="00897160"/>
    <w:rsid w:val="00897E91"/>
    <w:rsid w:val="008A0896"/>
    <w:rsid w:val="008A1D2C"/>
    <w:rsid w:val="008A370D"/>
    <w:rsid w:val="008A4185"/>
    <w:rsid w:val="008A461C"/>
    <w:rsid w:val="008A5E6F"/>
    <w:rsid w:val="008A6286"/>
    <w:rsid w:val="008A6E4F"/>
    <w:rsid w:val="008B0202"/>
    <w:rsid w:val="008B42B9"/>
    <w:rsid w:val="008B5004"/>
    <w:rsid w:val="008B5622"/>
    <w:rsid w:val="008B6C28"/>
    <w:rsid w:val="008C40D9"/>
    <w:rsid w:val="008C523B"/>
    <w:rsid w:val="008D07CF"/>
    <w:rsid w:val="008D2657"/>
    <w:rsid w:val="008D3482"/>
    <w:rsid w:val="008D3DC4"/>
    <w:rsid w:val="008D4D54"/>
    <w:rsid w:val="008D5FB7"/>
    <w:rsid w:val="008D64AA"/>
    <w:rsid w:val="008D659E"/>
    <w:rsid w:val="008D6D82"/>
    <w:rsid w:val="008D7725"/>
    <w:rsid w:val="008D7A12"/>
    <w:rsid w:val="008E1600"/>
    <w:rsid w:val="008E1EA2"/>
    <w:rsid w:val="008E3EDF"/>
    <w:rsid w:val="008E4779"/>
    <w:rsid w:val="008E494C"/>
    <w:rsid w:val="008E5646"/>
    <w:rsid w:val="008E5E88"/>
    <w:rsid w:val="008E654F"/>
    <w:rsid w:val="008E760B"/>
    <w:rsid w:val="008E7E1B"/>
    <w:rsid w:val="008F0ECF"/>
    <w:rsid w:val="008F17FE"/>
    <w:rsid w:val="008F1BB7"/>
    <w:rsid w:val="008F26EE"/>
    <w:rsid w:val="008F6C2A"/>
    <w:rsid w:val="008F6CED"/>
    <w:rsid w:val="008F72C3"/>
    <w:rsid w:val="009005D6"/>
    <w:rsid w:val="00901898"/>
    <w:rsid w:val="0090232D"/>
    <w:rsid w:val="009043C2"/>
    <w:rsid w:val="009060F9"/>
    <w:rsid w:val="00906331"/>
    <w:rsid w:val="00907DE7"/>
    <w:rsid w:val="0091157F"/>
    <w:rsid w:val="00911FC3"/>
    <w:rsid w:val="00914F17"/>
    <w:rsid w:val="00915DE8"/>
    <w:rsid w:val="00917011"/>
    <w:rsid w:val="00917AA1"/>
    <w:rsid w:val="009208C0"/>
    <w:rsid w:val="00921BB7"/>
    <w:rsid w:val="009224EB"/>
    <w:rsid w:val="0092290C"/>
    <w:rsid w:val="00924F5F"/>
    <w:rsid w:val="009260ED"/>
    <w:rsid w:val="00931776"/>
    <w:rsid w:val="00931A40"/>
    <w:rsid w:val="0093636C"/>
    <w:rsid w:val="00937166"/>
    <w:rsid w:val="00940F98"/>
    <w:rsid w:val="00940FFF"/>
    <w:rsid w:val="00943C71"/>
    <w:rsid w:val="00944065"/>
    <w:rsid w:val="00944C7A"/>
    <w:rsid w:val="00944CBF"/>
    <w:rsid w:val="009459F8"/>
    <w:rsid w:val="00945A18"/>
    <w:rsid w:val="00946B13"/>
    <w:rsid w:val="0094750D"/>
    <w:rsid w:val="00947AFC"/>
    <w:rsid w:val="00951779"/>
    <w:rsid w:val="009543D6"/>
    <w:rsid w:val="0095507B"/>
    <w:rsid w:val="00955740"/>
    <w:rsid w:val="00955ABA"/>
    <w:rsid w:val="00956018"/>
    <w:rsid w:val="009563F2"/>
    <w:rsid w:val="00956AD1"/>
    <w:rsid w:val="00961C9C"/>
    <w:rsid w:val="00962A47"/>
    <w:rsid w:val="00963C41"/>
    <w:rsid w:val="00963F54"/>
    <w:rsid w:val="00964DA9"/>
    <w:rsid w:val="009667AC"/>
    <w:rsid w:val="00966CD6"/>
    <w:rsid w:val="00970FE0"/>
    <w:rsid w:val="0097154D"/>
    <w:rsid w:val="00971AC0"/>
    <w:rsid w:val="00972242"/>
    <w:rsid w:val="0097280B"/>
    <w:rsid w:val="009732D7"/>
    <w:rsid w:val="009736B6"/>
    <w:rsid w:val="0097479F"/>
    <w:rsid w:val="0097487D"/>
    <w:rsid w:val="00976AA4"/>
    <w:rsid w:val="00981D61"/>
    <w:rsid w:val="009839FC"/>
    <w:rsid w:val="00984233"/>
    <w:rsid w:val="009843C9"/>
    <w:rsid w:val="00984FCB"/>
    <w:rsid w:val="00986361"/>
    <w:rsid w:val="00990B20"/>
    <w:rsid w:val="00991706"/>
    <w:rsid w:val="00991808"/>
    <w:rsid w:val="009940E3"/>
    <w:rsid w:val="0099438F"/>
    <w:rsid w:val="00995B96"/>
    <w:rsid w:val="00996725"/>
    <w:rsid w:val="00996DCB"/>
    <w:rsid w:val="00996DD6"/>
    <w:rsid w:val="00996E68"/>
    <w:rsid w:val="009A2045"/>
    <w:rsid w:val="009A5AF0"/>
    <w:rsid w:val="009B0C93"/>
    <w:rsid w:val="009B0F2A"/>
    <w:rsid w:val="009B139D"/>
    <w:rsid w:val="009B29B5"/>
    <w:rsid w:val="009B2AC3"/>
    <w:rsid w:val="009B5E10"/>
    <w:rsid w:val="009B6D7B"/>
    <w:rsid w:val="009B7096"/>
    <w:rsid w:val="009C0486"/>
    <w:rsid w:val="009C0DD9"/>
    <w:rsid w:val="009C37D1"/>
    <w:rsid w:val="009C3D97"/>
    <w:rsid w:val="009C57F4"/>
    <w:rsid w:val="009C744F"/>
    <w:rsid w:val="009C7FE7"/>
    <w:rsid w:val="009D0458"/>
    <w:rsid w:val="009D1ECC"/>
    <w:rsid w:val="009D41B4"/>
    <w:rsid w:val="009D4435"/>
    <w:rsid w:val="009D5B78"/>
    <w:rsid w:val="009D696A"/>
    <w:rsid w:val="009D742B"/>
    <w:rsid w:val="009D7CDA"/>
    <w:rsid w:val="009E0DEE"/>
    <w:rsid w:val="009E1497"/>
    <w:rsid w:val="009E164E"/>
    <w:rsid w:val="009E3BD4"/>
    <w:rsid w:val="009E5678"/>
    <w:rsid w:val="009E5936"/>
    <w:rsid w:val="009E6FC1"/>
    <w:rsid w:val="009F0318"/>
    <w:rsid w:val="009F2516"/>
    <w:rsid w:val="009F3828"/>
    <w:rsid w:val="009F4F67"/>
    <w:rsid w:val="009F5BD0"/>
    <w:rsid w:val="009F6A11"/>
    <w:rsid w:val="009F6CC2"/>
    <w:rsid w:val="00A00F44"/>
    <w:rsid w:val="00A01084"/>
    <w:rsid w:val="00A05265"/>
    <w:rsid w:val="00A10723"/>
    <w:rsid w:val="00A12D7C"/>
    <w:rsid w:val="00A138D9"/>
    <w:rsid w:val="00A15C77"/>
    <w:rsid w:val="00A173D8"/>
    <w:rsid w:val="00A201A5"/>
    <w:rsid w:val="00A21FD6"/>
    <w:rsid w:val="00A22348"/>
    <w:rsid w:val="00A239CE"/>
    <w:rsid w:val="00A24117"/>
    <w:rsid w:val="00A25B65"/>
    <w:rsid w:val="00A27584"/>
    <w:rsid w:val="00A279C8"/>
    <w:rsid w:val="00A30E7B"/>
    <w:rsid w:val="00A31B47"/>
    <w:rsid w:val="00A320F9"/>
    <w:rsid w:val="00A32C24"/>
    <w:rsid w:val="00A32E3B"/>
    <w:rsid w:val="00A32EB3"/>
    <w:rsid w:val="00A344C2"/>
    <w:rsid w:val="00A348DA"/>
    <w:rsid w:val="00A35DDA"/>
    <w:rsid w:val="00A35FAB"/>
    <w:rsid w:val="00A366AB"/>
    <w:rsid w:val="00A36ADA"/>
    <w:rsid w:val="00A36DA3"/>
    <w:rsid w:val="00A37454"/>
    <w:rsid w:val="00A378F8"/>
    <w:rsid w:val="00A379AE"/>
    <w:rsid w:val="00A40098"/>
    <w:rsid w:val="00A40B90"/>
    <w:rsid w:val="00A42CB6"/>
    <w:rsid w:val="00A42DB4"/>
    <w:rsid w:val="00A430D6"/>
    <w:rsid w:val="00A4383A"/>
    <w:rsid w:val="00A44951"/>
    <w:rsid w:val="00A46AC0"/>
    <w:rsid w:val="00A5035A"/>
    <w:rsid w:val="00A51F13"/>
    <w:rsid w:val="00A531B2"/>
    <w:rsid w:val="00A5433B"/>
    <w:rsid w:val="00A56630"/>
    <w:rsid w:val="00A56CAC"/>
    <w:rsid w:val="00A60081"/>
    <w:rsid w:val="00A61143"/>
    <w:rsid w:val="00A65EA0"/>
    <w:rsid w:val="00A67FC1"/>
    <w:rsid w:val="00A70026"/>
    <w:rsid w:val="00A72A11"/>
    <w:rsid w:val="00A7341B"/>
    <w:rsid w:val="00A7370D"/>
    <w:rsid w:val="00A77292"/>
    <w:rsid w:val="00A7764A"/>
    <w:rsid w:val="00A801B5"/>
    <w:rsid w:val="00A80532"/>
    <w:rsid w:val="00A80687"/>
    <w:rsid w:val="00A80842"/>
    <w:rsid w:val="00A80E07"/>
    <w:rsid w:val="00A823B7"/>
    <w:rsid w:val="00A82618"/>
    <w:rsid w:val="00A82EF6"/>
    <w:rsid w:val="00A83D96"/>
    <w:rsid w:val="00A85025"/>
    <w:rsid w:val="00A866D1"/>
    <w:rsid w:val="00A86CC7"/>
    <w:rsid w:val="00A87524"/>
    <w:rsid w:val="00A90FED"/>
    <w:rsid w:val="00A910EE"/>
    <w:rsid w:val="00A9224B"/>
    <w:rsid w:val="00A95146"/>
    <w:rsid w:val="00A967D8"/>
    <w:rsid w:val="00A975D9"/>
    <w:rsid w:val="00AA1D72"/>
    <w:rsid w:val="00AA2EC8"/>
    <w:rsid w:val="00AA4B07"/>
    <w:rsid w:val="00AA700F"/>
    <w:rsid w:val="00AA737A"/>
    <w:rsid w:val="00AA7D99"/>
    <w:rsid w:val="00AA7E0D"/>
    <w:rsid w:val="00AB13F8"/>
    <w:rsid w:val="00AB3CD2"/>
    <w:rsid w:val="00AB4488"/>
    <w:rsid w:val="00AB478D"/>
    <w:rsid w:val="00AB484D"/>
    <w:rsid w:val="00AB4903"/>
    <w:rsid w:val="00AB4E12"/>
    <w:rsid w:val="00AB4F0F"/>
    <w:rsid w:val="00AC01C8"/>
    <w:rsid w:val="00AC1701"/>
    <w:rsid w:val="00AC1AB4"/>
    <w:rsid w:val="00AC4BF9"/>
    <w:rsid w:val="00AC5AA4"/>
    <w:rsid w:val="00AC60BD"/>
    <w:rsid w:val="00AC6FF7"/>
    <w:rsid w:val="00AC7E68"/>
    <w:rsid w:val="00AD021A"/>
    <w:rsid w:val="00AD10FC"/>
    <w:rsid w:val="00AD3411"/>
    <w:rsid w:val="00AD589C"/>
    <w:rsid w:val="00AE2BDF"/>
    <w:rsid w:val="00AE35F5"/>
    <w:rsid w:val="00AE4A43"/>
    <w:rsid w:val="00AE4AEA"/>
    <w:rsid w:val="00AE4EF2"/>
    <w:rsid w:val="00AE51A9"/>
    <w:rsid w:val="00AE600E"/>
    <w:rsid w:val="00AE6FB9"/>
    <w:rsid w:val="00AF18A2"/>
    <w:rsid w:val="00AF19EC"/>
    <w:rsid w:val="00AF20C5"/>
    <w:rsid w:val="00AF20E3"/>
    <w:rsid w:val="00AF2376"/>
    <w:rsid w:val="00AF55C0"/>
    <w:rsid w:val="00AF59AF"/>
    <w:rsid w:val="00AF7C8B"/>
    <w:rsid w:val="00B01E4D"/>
    <w:rsid w:val="00B0248A"/>
    <w:rsid w:val="00B03142"/>
    <w:rsid w:val="00B03741"/>
    <w:rsid w:val="00B03F90"/>
    <w:rsid w:val="00B0455D"/>
    <w:rsid w:val="00B0562D"/>
    <w:rsid w:val="00B067D2"/>
    <w:rsid w:val="00B06C3B"/>
    <w:rsid w:val="00B07B29"/>
    <w:rsid w:val="00B07CA0"/>
    <w:rsid w:val="00B11BDD"/>
    <w:rsid w:val="00B11D3D"/>
    <w:rsid w:val="00B12FF5"/>
    <w:rsid w:val="00B13325"/>
    <w:rsid w:val="00B144C8"/>
    <w:rsid w:val="00B14884"/>
    <w:rsid w:val="00B1532F"/>
    <w:rsid w:val="00B15496"/>
    <w:rsid w:val="00B154DC"/>
    <w:rsid w:val="00B169D4"/>
    <w:rsid w:val="00B210B3"/>
    <w:rsid w:val="00B231BB"/>
    <w:rsid w:val="00B23EF8"/>
    <w:rsid w:val="00B24F3C"/>
    <w:rsid w:val="00B25697"/>
    <w:rsid w:val="00B267F0"/>
    <w:rsid w:val="00B26EAB"/>
    <w:rsid w:val="00B2774C"/>
    <w:rsid w:val="00B30158"/>
    <w:rsid w:val="00B30F40"/>
    <w:rsid w:val="00B32010"/>
    <w:rsid w:val="00B32304"/>
    <w:rsid w:val="00B33054"/>
    <w:rsid w:val="00B3600C"/>
    <w:rsid w:val="00B36607"/>
    <w:rsid w:val="00B3717D"/>
    <w:rsid w:val="00B40D09"/>
    <w:rsid w:val="00B44BC3"/>
    <w:rsid w:val="00B453E8"/>
    <w:rsid w:val="00B45FF5"/>
    <w:rsid w:val="00B510B7"/>
    <w:rsid w:val="00B5115E"/>
    <w:rsid w:val="00B511A0"/>
    <w:rsid w:val="00B51CBC"/>
    <w:rsid w:val="00B53073"/>
    <w:rsid w:val="00B53F6B"/>
    <w:rsid w:val="00B56A6D"/>
    <w:rsid w:val="00B606F8"/>
    <w:rsid w:val="00B60801"/>
    <w:rsid w:val="00B62DE3"/>
    <w:rsid w:val="00B64818"/>
    <w:rsid w:val="00B64FFF"/>
    <w:rsid w:val="00B655BE"/>
    <w:rsid w:val="00B70DB0"/>
    <w:rsid w:val="00B71451"/>
    <w:rsid w:val="00B75486"/>
    <w:rsid w:val="00B75DEE"/>
    <w:rsid w:val="00B77B21"/>
    <w:rsid w:val="00B80D47"/>
    <w:rsid w:val="00B80F9B"/>
    <w:rsid w:val="00B8132A"/>
    <w:rsid w:val="00B81B6E"/>
    <w:rsid w:val="00B82870"/>
    <w:rsid w:val="00B828EF"/>
    <w:rsid w:val="00B831AE"/>
    <w:rsid w:val="00B83360"/>
    <w:rsid w:val="00B84175"/>
    <w:rsid w:val="00B84549"/>
    <w:rsid w:val="00B85F70"/>
    <w:rsid w:val="00B86122"/>
    <w:rsid w:val="00B86A6A"/>
    <w:rsid w:val="00B87323"/>
    <w:rsid w:val="00B90692"/>
    <w:rsid w:val="00B907DB"/>
    <w:rsid w:val="00B92C9E"/>
    <w:rsid w:val="00B946B0"/>
    <w:rsid w:val="00B94B1B"/>
    <w:rsid w:val="00B94FB3"/>
    <w:rsid w:val="00B951F3"/>
    <w:rsid w:val="00BA3D14"/>
    <w:rsid w:val="00BA4FD2"/>
    <w:rsid w:val="00BA60FD"/>
    <w:rsid w:val="00BA7CFA"/>
    <w:rsid w:val="00BB020D"/>
    <w:rsid w:val="00BB0B2A"/>
    <w:rsid w:val="00BB2D85"/>
    <w:rsid w:val="00BB3A85"/>
    <w:rsid w:val="00BB568F"/>
    <w:rsid w:val="00BB5889"/>
    <w:rsid w:val="00BB62A9"/>
    <w:rsid w:val="00BB6327"/>
    <w:rsid w:val="00BB680B"/>
    <w:rsid w:val="00BB7417"/>
    <w:rsid w:val="00BB7584"/>
    <w:rsid w:val="00BC05E7"/>
    <w:rsid w:val="00BC1577"/>
    <w:rsid w:val="00BC1A02"/>
    <w:rsid w:val="00BC382F"/>
    <w:rsid w:val="00BC3B66"/>
    <w:rsid w:val="00BC54AC"/>
    <w:rsid w:val="00BC5D22"/>
    <w:rsid w:val="00BC6358"/>
    <w:rsid w:val="00BC699C"/>
    <w:rsid w:val="00BC72C7"/>
    <w:rsid w:val="00BD1304"/>
    <w:rsid w:val="00BD1CE7"/>
    <w:rsid w:val="00BD1DE0"/>
    <w:rsid w:val="00BD3A6B"/>
    <w:rsid w:val="00BD4461"/>
    <w:rsid w:val="00BD4E57"/>
    <w:rsid w:val="00BD4EFF"/>
    <w:rsid w:val="00BD5714"/>
    <w:rsid w:val="00BD6852"/>
    <w:rsid w:val="00BD7D4C"/>
    <w:rsid w:val="00BD7DF9"/>
    <w:rsid w:val="00BE19E4"/>
    <w:rsid w:val="00BE1B11"/>
    <w:rsid w:val="00BE21A0"/>
    <w:rsid w:val="00BE2C7C"/>
    <w:rsid w:val="00BE40F8"/>
    <w:rsid w:val="00BE4916"/>
    <w:rsid w:val="00BE65C5"/>
    <w:rsid w:val="00BE71EF"/>
    <w:rsid w:val="00BF03EB"/>
    <w:rsid w:val="00BF0923"/>
    <w:rsid w:val="00BF1B3A"/>
    <w:rsid w:val="00BF20F7"/>
    <w:rsid w:val="00BF2FE4"/>
    <w:rsid w:val="00BF7E6E"/>
    <w:rsid w:val="00C005B5"/>
    <w:rsid w:val="00C0073F"/>
    <w:rsid w:val="00C0135C"/>
    <w:rsid w:val="00C01ECA"/>
    <w:rsid w:val="00C01F21"/>
    <w:rsid w:val="00C05069"/>
    <w:rsid w:val="00C05653"/>
    <w:rsid w:val="00C0599F"/>
    <w:rsid w:val="00C062EF"/>
    <w:rsid w:val="00C067BE"/>
    <w:rsid w:val="00C06E59"/>
    <w:rsid w:val="00C06FB4"/>
    <w:rsid w:val="00C07F33"/>
    <w:rsid w:val="00C11199"/>
    <w:rsid w:val="00C1155B"/>
    <w:rsid w:val="00C11939"/>
    <w:rsid w:val="00C1220D"/>
    <w:rsid w:val="00C13A6F"/>
    <w:rsid w:val="00C149EB"/>
    <w:rsid w:val="00C157FD"/>
    <w:rsid w:val="00C17D17"/>
    <w:rsid w:val="00C17D43"/>
    <w:rsid w:val="00C20509"/>
    <w:rsid w:val="00C23454"/>
    <w:rsid w:val="00C243F3"/>
    <w:rsid w:val="00C25964"/>
    <w:rsid w:val="00C26BB3"/>
    <w:rsid w:val="00C30D48"/>
    <w:rsid w:val="00C339B8"/>
    <w:rsid w:val="00C34954"/>
    <w:rsid w:val="00C35741"/>
    <w:rsid w:val="00C36A6C"/>
    <w:rsid w:val="00C40163"/>
    <w:rsid w:val="00C44AFA"/>
    <w:rsid w:val="00C45E58"/>
    <w:rsid w:val="00C45E65"/>
    <w:rsid w:val="00C45F85"/>
    <w:rsid w:val="00C46F02"/>
    <w:rsid w:val="00C50CA3"/>
    <w:rsid w:val="00C51C54"/>
    <w:rsid w:val="00C52425"/>
    <w:rsid w:val="00C5497B"/>
    <w:rsid w:val="00C54F14"/>
    <w:rsid w:val="00C56735"/>
    <w:rsid w:val="00C56776"/>
    <w:rsid w:val="00C637E1"/>
    <w:rsid w:val="00C65721"/>
    <w:rsid w:val="00C66D16"/>
    <w:rsid w:val="00C72209"/>
    <w:rsid w:val="00C73FC6"/>
    <w:rsid w:val="00C745DC"/>
    <w:rsid w:val="00C752BE"/>
    <w:rsid w:val="00C75677"/>
    <w:rsid w:val="00C75864"/>
    <w:rsid w:val="00C767C4"/>
    <w:rsid w:val="00C76CA8"/>
    <w:rsid w:val="00C81526"/>
    <w:rsid w:val="00C81581"/>
    <w:rsid w:val="00C827E5"/>
    <w:rsid w:val="00C82A36"/>
    <w:rsid w:val="00C84F25"/>
    <w:rsid w:val="00C85619"/>
    <w:rsid w:val="00C85C6E"/>
    <w:rsid w:val="00C86664"/>
    <w:rsid w:val="00C9014F"/>
    <w:rsid w:val="00C91B74"/>
    <w:rsid w:val="00C92B86"/>
    <w:rsid w:val="00C92CCF"/>
    <w:rsid w:val="00C92D90"/>
    <w:rsid w:val="00C94EE6"/>
    <w:rsid w:val="00C9525E"/>
    <w:rsid w:val="00C958B2"/>
    <w:rsid w:val="00C95FFC"/>
    <w:rsid w:val="00C9677B"/>
    <w:rsid w:val="00C972A9"/>
    <w:rsid w:val="00C97DEB"/>
    <w:rsid w:val="00CA303B"/>
    <w:rsid w:val="00CA38E6"/>
    <w:rsid w:val="00CA3AA5"/>
    <w:rsid w:val="00CA64E3"/>
    <w:rsid w:val="00CA6E13"/>
    <w:rsid w:val="00CA6F5C"/>
    <w:rsid w:val="00CA745A"/>
    <w:rsid w:val="00CB283A"/>
    <w:rsid w:val="00CB4B1B"/>
    <w:rsid w:val="00CB4F96"/>
    <w:rsid w:val="00CB6BEA"/>
    <w:rsid w:val="00CB772A"/>
    <w:rsid w:val="00CC0714"/>
    <w:rsid w:val="00CC0BB9"/>
    <w:rsid w:val="00CC0DAC"/>
    <w:rsid w:val="00CC12E4"/>
    <w:rsid w:val="00CC14DB"/>
    <w:rsid w:val="00CC14EA"/>
    <w:rsid w:val="00CC18C9"/>
    <w:rsid w:val="00CC329E"/>
    <w:rsid w:val="00CC51F6"/>
    <w:rsid w:val="00CC6203"/>
    <w:rsid w:val="00CD0DA1"/>
    <w:rsid w:val="00CD1E5F"/>
    <w:rsid w:val="00CD2A05"/>
    <w:rsid w:val="00CD3105"/>
    <w:rsid w:val="00CD7B8B"/>
    <w:rsid w:val="00CE445A"/>
    <w:rsid w:val="00CE5A7C"/>
    <w:rsid w:val="00CE6D88"/>
    <w:rsid w:val="00CE6D8A"/>
    <w:rsid w:val="00CF111A"/>
    <w:rsid w:val="00CF1F70"/>
    <w:rsid w:val="00CF200D"/>
    <w:rsid w:val="00CF2CD1"/>
    <w:rsid w:val="00CF2EF9"/>
    <w:rsid w:val="00CF3538"/>
    <w:rsid w:val="00CF3652"/>
    <w:rsid w:val="00CF3FA0"/>
    <w:rsid w:val="00CF452F"/>
    <w:rsid w:val="00CF47A2"/>
    <w:rsid w:val="00CF5D16"/>
    <w:rsid w:val="00CF7BBE"/>
    <w:rsid w:val="00CF7E16"/>
    <w:rsid w:val="00D00CC3"/>
    <w:rsid w:val="00D01981"/>
    <w:rsid w:val="00D03995"/>
    <w:rsid w:val="00D050F5"/>
    <w:rsid w:val="00D06086"/>
    <w:rsid w:val="00D067D7"/>
    <w:rsid w:val="00D07045"/>
    <w:rsid w:val="00D1114A"/>
    <w:rsid w:val="00D111F3"/>
    <w:rsid w:val="00D12E2A"/>
    <w:rsid w:val="00D1303F"/>
    <w:rsid w:val="00D151C2"/>
    <w:rsid w:val="00D1591D"/>
    <w:rsid w:val="00D16ADA"/>
    <w:rsid w:val="00D16C39"/>
    <w:rsid w:val="00D16D55"/>
    <w:rsid w:val="00D1745C"/>
    <w:rsid w:val="00D175EE"/>
    <w:rsid w:val="00D1786C"/>
    <w:rsid w:val="00D209B9"/>
    <w:rsid w:val="00D2132D"/>
    <w:rsid w:val="00D2258F"/>
    <w:rsid w:val="00D2278A"/>
    <w:rsid w:val="00D24F57"/>
    <w:rsid w:val="00D2658C"/>
    <w:rsid w:val="00D26678"/>
    <w:rsid w:val="00D2680F"/>
    <w:rsid w:val="00D27ADE"/>
    <w:rsid w:val="00D30860"/>
    <w:rsid w:val="00D30AAD"/>
    <w:rsid w:val="00D30B0B"/>
    <w:rsid w:val="00D35128"/>
    <w:rsid w:val="00D3638B"/>
    <w:rsid w:val="00D36641"/>
    <w:rsid w:val="00D36F33"/>
    <w:rsid w:val="00D370D3"/>
    <w:rsid w:val="00D44153"/>
    <w:rsid w:val="00D45522"/>
    <w:rsid w:val="00D46232"/>
    <w:rsid w:val="00D51A7C"/>
    <w:rsid w:val="00D51FF4"/>
    <w:rsid w:val="00D54386"/>
    <w:rsid w:val="00D55892"/>
    <w:rsid w:val="00D571DB"/>
    <w:rsid w:val="00D600EF"/>
    <w:rsid w:val="00D62274"/>
    <w:rsid w:val="00D639D8"/>
    <w:rsid w:val="00D63CA4"/>
    <w:rsid w:val="00D6432C"/>
    <w:rsid w:val="00D64A63"/>
    <w:rsid w:val="00D65585"/>
    <w:rsid w:val="00D717F5"/>
    <w:rsid w:val="00D72AFA"/>
    <w:rsid w:val="00D72B5F"/>
    <w:rsid w:val="00D72CE4"/>
    <w:rsid w:val="00D76065"/>
    <w:rsid w:val="00D76359"/>
    <w:rsid w:val="00D768E6"/>
    <w:rsid w:val="00D77039"/>
    <w:rsid w:val="00D77556"/>
    <w:rsid w:val="00D80CF7"/>
    <w:rsid w:val="00D81DD5"/>
    <w:rsid w:val="00D8416A"/>
    <w:rsid w:val="00D84E1D"/>
    <w:rsid w:val="00D86C41"/>
    <w:rsid w:val="00D90246"/>
    <w:rsid w:val="00D913A7"/>
    <w:rsid w:val="00D91B38"/>
    <w:rsid w:val="00D92A83"/>
    <w:rsid w:val="00D9783F"/>
    <w:rsid w:val="00DA10B9"/>
    <w:rsid w:val="00DA1D5C"/>
    <w:rsid w:val="00DA1D91"/>
    <w:rsid w:val="00DA2824"/>
    <w:rsid w:val="00DA3F0B"/>
    <w:rsid w:val="00DA4680"/>
    <w:rsid w:val="00DA533A"/>
    <w:rsid w:val="00DA5F2E"/>
    <w:rsid w:val="00DA6AAE"/>
    <w:rsid w:val="00DA7772"/>
    <w:rsid w:val="00DB0A74"/>
    <w:rsid w:val="00DB423D"/>
    <w:rsid w:val="00DB6616"/>
    <w:rsid w:val="00DB74B1"/>
    <w:rsid w:val="00DC096B"/>
    <w:rsid w:val="00DC138E"/>
    <w:rsid w:val="00DC2ECE"/>
    <w:rsid w:val="00DC5257"/>
    <w:rsid w:val="00DD271E"/>
    <w:rsid w:val="00DD2F66"/>
    <w:rsid w:val="00DD3FD2"/>
    <w:rsid w:val="00DD4C9A"/>
    <w:rsid w:val="00DD5986"/>
    <w:rsid w:val="00DD5FCE"/>
    <w:rsid w:val="00DD6AB0"/>
    <w:rsid w:val="00DD7A30"/>
    <w:rsid w:val="00DD7ED0"/>
    <w:rsid w:val="00DE15AF"/>
    <w:rsid w:val="00DE2F92"/>
    <w:rsid w:val="00DE349A"/>
    <w:rsid w:val="00DE3A0F"/>
    <w:rsid w:val="00DE3C6C"/>
    <w:rsid w:val="00DE591F"/>
    <w:rsid w:val="00DE5B5B"/>
    <w:rsid w:val="00DE69ED"/>
    <w:rsid w:val="00DE6A57"/>
    <w:rsid w:val="00DE74BF"/>
    <w:rsid w:val="00DE7B03"/>
    <w:rsid w:val="00DE7BDB"/>
    <w:rsid w:val="00DF22DD"/>
    <w:rsid w:val="00DF2E6D"/>
    <w:rsid w:val="00DF3806"/>
    <w:rsid w:val="00DF5721"/>
    <w:rsid w:val="00DF58FF"/>
    <w:rsid w:val="00DF6CE3"/>
    <w:rsid w:val="00DF77BB"/>
    <w:rsid w:val="00E00D51"/>
    <w:rsid w:val="00E02DC9"/>
    <w:rsid w:val="00E04747"/>
    <w:rsid w:val="00E05F7F"/>
    <w:rsid w:val="00E06735"/>
    <w:rsid w:val="00E06D2A"/>
    <w:rsid w:val="00E07D32"/>
    <w:rsid w:val="00E106D0"/>
    <w:rsid w:val="00E10BEE"/>
    <w:rsid w:val="00E10CB3"/>
    <w:rsid w:val="00E110DB"/>
    <w:rsid w:val="00E11547"/>
    <w:rsid w:val="00E14204"/>
    <w:rsid w:val="00E14378"/>
    <w:rsid w:val="00E14792"/>
    <w:rsid w:val="00E17CC5"/>
    <w:rsid w:val="00E20949"/>
    <w:rsid w:val="00E21849"/>
    <w:rsid w:val="00E22C35"/>
    <w:rsid w:val="00E232C0"/>
    <w:rsid w:val="00E250F0"/>
    <w:rsid w:val="00E2614D"/>
    <w:rsid w:val="00E263D8"/>
    <w:rsid w:val="00E26B8D"/>
    <w:rsid w:val="00E27F9D"/>
    <w:rsid w:val="00E31F3F"/>
    <w:rsid w:val="00E31F67"/>
    <w:rsid w:val="00E35358"/>
    <w:rsid w:val="00E35664"/>
    <w:rsid w:val="00E373E4"/>
    <w:rsid w:val="00E37607"/>
    <w:rsid w:val="00E40F5C"/>
    <w:rsid w:val="00E428D1"/>
    <w:rsid w:val="00E43977"/>
    <w:rsid w:val="00E43CD6"/>
    <w:rsid w:val="00E44AE2"/>
    <w:rsid w:val="00E5012A"/>
    <w:rsid w:val="00E507B5"/>
    <w:rsid w:val="00E512F0"/>
    <w:rsid w:val="00E52392"/>
    <w:rsid w:val="00E55E33"/>
    <w:rsid w:val="00E55FB1"/>
    <w:rsid w:val="00E57C15"/>
    <w:rsid w:val="00E60A08"/>
    <w:rsid w:val="00E640A6"/>
    <w:rsid w:val="00E667EC"/>
    <w:rsid w:val="00E66A65"/>
    <w:rsid w:val="00E66F48"/>
    <w:rsid w:val="00E67527"/>
    <w:rsid w:val="00E7158A"/>
    <w:rsid w:val="00E7177E"/>
    <w:rsid w:val="00E722C3"/>
    <w:rsid w:val="00E73AAF"/>
    <w:rsid w:val="00E76266"/>
    <w:rsid w:val="00E764C4"/>
    <w:rsid w:val="00E76B25"/>
    <w:rsid w:val="00E80A60"/>
    <w:rsid w:val="00E85ED7"/>
    <w:rsid w:val="00E867E6"/>
    <w:rsid w:val="00E90F83"/>
    <w:rsid w:val="00E91FC6"/>
    <w:rsid w:val="00E92CB9"/>
    <w:rsid w:val="00E93EB4"/>
    <w:rsid w:val="00E94D8D"/>
    <w:rsid w:val="00E9516C"/>
    <w:rsid w:val="00E95CF8"/>
    <w:rsid w:val="00E96BA1"/>
    <w:rsid w:val="00E96FF4"/>
    <w:rsid w:val="00EA04F7"/>
    <w:rsid w:val="00EA1C61"/>
    <w:rsid w:val="00EA3359"/>
    <w:rsid w:val="00EA3979"/>
    <w:rsid w:val="00EA3B07"/>
    <w:rsid w:val="00EA4394"/>
    <w:rsid w:val="00EA4C8D"/>
    <w:rsid w:val="00EA6023"/>
    <w:rsid w:val="00EA6616"/>
    <w:rsid w:val="00EB20B7"/>
    <w:rsid w:val="00EB236E"/>
    <w:rsid w:val="00EB4E77"/>
    <w:rsid w:val="00EB530D"/>
    <w:rsid w:val="00EB542E"/>
    <w:rsid w:val="00EB6DB2"/>
    <w:rsid w:val="00EB79CC"/>
    <w:rsid w:val="00EC0346"/>
    <w:rsid w:val="00EC4200"/>
    <w:rsid w:val="00EC60AC"/>
    <w:rsid w:val="00EC6C17"/>
    <w:rsid w:val="00EC7CBC"/>
    <w:rsid w:val="00EC7ED8"/>
    <w:rsid w:val="00ED00CB"/>
    <w:rsid w:val="00ED0FAD"/>
    <w:rsid w:val="00ED1341"/>
    <w:rsid w:val="00ED2122"/>
    <w:rsid w:val="00ED3351"/>
    <w:rsid w:val="00ED3B26"/>
    <w:rsid w:val="00EE2342"/>
    <w:rsid w:val="00EE2B72"/>
    <w:rsid w:val="00EE5093"/>
    <w:rsid w:val="00EE6731"/>
    <w:rsid w:val="00EF0955"/>
    <w:rsid w:val="00EF1717"/>
    <w:rsid w:val="00EF245E"/>
    <w:rsid w:val="00EF290A"/>
    <w:rsid w:val="00EF309E"/>
    <w:rsid w:val="00EF32E2"/>
    <w:rsid w:val="00EF6689"/>
    <w:rsid w:val="00F00C58"/>
    <w:rsid w:val="00F0247B"/>
    <w:rsid w:val="00F033CA"/>
    <w:rsid w:val="00F04837"/>
    <w:rsid w:val="00F04E63"/>
    <w:rsid w:val="00F053A1"/>
    <w:rsid w:val="00F05E18"/>
    <w:rsid w:val="00F06F94"/>
    <w:rsid w:val="00F11C39"/>
    <w:rsid w:val="00F122F6"/>
    <w:rsid w:val="00F125C4"/>
    <w:rsid w:val="00F12A3F"/>
    <w:rsid w:val="00F12C13"/>
    <w:rsid w:val="00F137B6"/>
    <w:rsid w:val="00F14EA0"/>
    <w:rsid w:val="00F15534"/>
    <w:rsid w:val="00F16406"/>
    <w:rsid w:val="00F16787"/>
    <w:rsid w:val="00F17B0D"/>
    <w:rsid w:val="00F20A50"/>
    <w:rsid w:val="00F21405"/>
    <w:rsid w:val="00F236BF"/>
    <w:rsid w:val="00F237DC"/>
    <w:rsid w:val="00F25956"/>
    <w:rsid w:val="00F27362"/>
    <w:rsid w:val="00F30D15"/>
    <w:rsid w:val="00F30E14"/>
    <w:rsid w:val="00F33A80"/>
    <w:rsid w:val="00F356E1"/>
    <w:rsid w:val="00F376D7"/>
    <w:rsid w:val="00F378EC"/>
    <w:rsid w:val="00F432E7"/>
    <w:rsid w:val="00F445CE"/>
    <w:rsid w:val="00F4503A"/>
    <w:rsid w:val="00F462A5"/>
    <w:rsid w:val="00F47BCF"/>
    <w:rsid w:val="00F53F83"/>
    <w:rsid w:val="00F57A3C"/>
    <w:rsid w:val="00F600F5"/>
    <w:rsid w:val="00F6090B"/>
    <w:rsid w:val="00F61585"/>
    <w:rsid w:val="00F61FE4"/>
    <w:rsid w:val="00F65EBE"/>
    <w:rsid w:val="00F7090C"/>
    <w:rsid w:val="00F710BE"/>
    <w:rsid w:val="00F72791"/>
    <w:rsid w:val="00F73088"/>
    <w:rsid w:val="00F73464"/>
    <w:rsid w:val="00F73541"/>
    <w:rsid w:val="00F74F24"/>
    <w:rsid w:val="00F753F2"/>
    <w:rsid w:val="00F77399"/>
    <w:rsid w:val="00F778DD"/>
    <w:rsid w:val="00F8384A"/>
    <w:rsid w:val="00F84550"/>
    <w:rsid w:val="00F87182"/>
    <w:rsid w:val="00F875F1"/>
    <w:rsid w:val="00F900AA"/>
    <w:rsid w:val="00F906CC"/>
    <w:rsid w:val="00F90CB1"/>
    <w:rsid w:val="00F91088"/>
    <w:rsid w:val="00F936CE"/>
    <w:rsid w:val="00F943E8"/>
    <w:rsid w:val="00F95C90"/>
    <w:rsid w:val="00F95DD0"/>
    <w:rsid w:val="00F964E8"/>
    <w:rsid w:val="00FA0BF2"/>
    <w:rsid w:val="00FA1406"/>
    <w:rsid w:val="00FA1BE8"/>
    <w:rsid w:val="00FA3C2A"/>
    <w:rsid w:val="00FA3F78"/>
    <w:rsid w:val="00FA3FA7"/>
    <w:rsid w:val="00FA4C2F"/>
    <w:rsid w:val="00FA5AA4"/>
    <w:rsid w:val="00FA67C6"/>
    <w:rsid w:val="00FA79DE"/>
    <w:rsid w:val="00FA7CC9"/>
    <w:rsid w:val="00FB0B7A"/>
    <w:rsid w:val="00FB16AB"/>
    <w:rsid w:val="00FB18A1"/>
    <w:rsid w:val="00FB1F65"/>
    <w:rsid w:val="00FB369B"/>
    <w:rsid w:val="00FB495F"/>
    <w:rsid w:val="00FB4EFF"/>
    <w:rsid w:val="00FB517C"/>
    <w:rsid w:val="00FB57FE"/>
    <w:rsid w:val="00FB7736"/>
    <w:rsid w:val="00FB78E6"/>
    <w:rsid w:val="00FB7F54"/>
    <w:rsid w:val="00FC1711"/>
    <w:rsid w:val="00FC1AFB"/>
    <w:rsid w:val="00FC3D92"/>
    <w:rsid w:val="00FC6439"/>
    <w:rsid w:val="00FC6888"/>
    <w:rsid w:val="00FD02DD"/>
    <w:rsid w:val="00FD1759"/>
    <w:rsid w:val="00FD1861"/>
    <w:rsid w:val="00FD3760"/>
    <w:rsid w:val="00FD3803"/>
    <w:rsid w:val="00FD55D3"/>
    <w:rsid w:val="00FD5663"/>
    <w:rsid w:val="00FD5BBB"/>
    <w:rsid w:val="00FD6BE3"/>
    <w:rsid w:val="00FD74BA"/>
    <w:rsid w:val="00FD7DBE"/>
    <w:rsid w:val="00FE176F"/>
    <w:rsid w:val="00FE1BD0"/>
    <w:rsid w:val="00FE5780"/>
    <w:rsid w:val="00FE5A79"/>
    <w:rsid w:val="00FE608F"/>
    <w:rsid w:val="00FE7DD0"/>
    <w:rsid w:val="00FF0B6C"/>
    <w:rsid w:val="00FF1925"/>
    <w:rsid w:val="00FF20A5"/>
    <w:rsid w:val="00FF2B79"/>
    <w:rsid w:val="00FF2FA8"/>
    <w:rsid w:val="00FF4890"/>
    <w:rsid w:val="00FF4A10"/>
    <w:rsid w:val="00FF4C11"/>
    <w:rsid w:val="00FF5850"/>
    <w:rsid w:val="00FF65EC"/>
    <w:rsid w:val="00FF6CC3"/>
    <w:rsid w:val="00FF6DDA"/>
    <w:rsid w:val="00FF7977"/>
    <w:rsid w:val="00FF7D84"/>
    <w:rsid w:val="037E66FB"/>
    <w:rsid w:val="04EE4A34"/>
    <w:rsid w:val="061631BA"/>
    <w:rsid w:val="06762560"/>
    <w:rsid w:val="078E3DAC"/>
    <w:rsid w:val="0B2F11BC"/>
    <w:rsid w:val="0F6D3582"/>
    <w:rsid w:val="12FF6CCA"/>
    <w:rsid w:val="131B507E"/>
    <w:rsid w:val="13CF7365"/>
    <w:rsid w:val="16EF5621"/>
    <w:rsid w:val="176F1EA8"/>
    <w:rsid w:val="1A102461"/>
    <w:rsid w:val="1CF11139"/>
    <w:rsid w:val="1DB343A9"/>
    <w:rsid w:val="206D6B95"/>
    <w:rsid w:val="23AF3819"/>
    <w:rsid w:val="251670FD"/>
    <w:rsid w:val="2B7F4F29"/>
    <w:rsid w:val="2EE608A4"/>
    <w:rsid w:val="302D36E8"/>
    <w:rsid w:val="30D321C0"/>
    <w:rsid w:val="362A4B82"/>
    <w:rsid w:val="36F51CCC"/>
    <w:rsid w:val="38B01817"/>
    <w:rsid w:val="39133029"/>
    <w:rsid w:val="391F127C"/>
    <w:rsid w:val="3A921B28"/>
    <w:rsid w:val="41182491"/>
    <w:rsid w:val="41AB7367"/>
    <w:rsid w:val="424C0970"/>
    <w:rsid w:val="43BA0435"/>
    <w:rsid w:val="44537E2F"/>
    <w:rsid w:val="44A35DBB"/>
    <w:rsid w:val="44E32C6E"/>
    <w:rsid w:val="456F230E"/>
    <w:rsid w:val="48527EF3"/>
    <w:rsid w:val="49F075F2"/>
    <w:rsid w:val="4BFB6111"/>
    <w:rsid w:val="50FE5F17"/>
    <w:rsid w:val="5523535B"/>
    <w:rsid w:val="554E6F13"/>
    <w:rsid w:val="57F53627"/>
    <w:rsid w:val="5A324D1E"/>
    <w:rsid w:val="5B2042D8"/>
    <w:rsid w:val="5BB34746"/>
    <w:rsid w:val="5D841469"/>
    <w:rsid w:val="5DD76456"/>
    <w:rsid w:val="60F94EC8"/>
    <w:rsid w:val="623E6459"/>
    <w:rsid w:val="65804DE8"/>
    <w:rsid w:val="66C008F7"/>
    <w:rsid w:val="69151856"/>
    <w:rsid w:val="6E632B90"/>
    <w:rsid w:val="6F8F100C"/>
    <w:rsid w:val="70D23FB3"/>
    <w:rsid w:val="71A7591A"/>
    <w:rsid w:val="72C9346E"/>
    <w:rsid w:val="72E770D7"/>
    <w:rsid w:val="772F0298"/>
    <w:rsid w:val="7ECE0550"/>
    <w:rsid w:val="7ED224F2"/>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lsdException w:name="toc 2" w:semiHidden="0" w:uiPriority="39" w:unhideWhenUsed="0" w:qFormat="1"/>
    <w:lsdException w:name="toc 3" w:semiHidden="0" w:uiPriority="39" w:unhideWhenUsed="0" w:qFormat="1"/>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adjustRightInd w:val="0"/>
      <w:snapToGrid w:val="0"/>
      <w:spacing w:beforeLines="50" w:afterLines="50" w:line="420" w:lineRule="atLeast"/>
      <w:jc w:val="left"/>
      <w:outlineLvl w:val="0"/>
    </w:pPr>
    <w:rPr>
      <w:rFonts w:ascii="Eurostile Bold" w:hAnsi="Eurostile Bold"/>
      <w:b/>
      <w:sz w:val="24"/>
      <w:szCs w:val="21"/>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3"/>
    <w:autoRedefine/>
    <w:qFormat/>
    <w:pPr>
      <w:jc w:val="left"/>
    </w:pPr>
  </w:style>
  <w:style w:type="paragraph" w:styleId="TOC3">
    <w:name w:val="toc 3"/>
    <w:basedOn w:val="Normal"/>
    <w:next w:val="Normal"/>
    <w:autoRedefine/>
    <w:uiPriority w:val="39"/>
    <w:qFormat/>
    <w:pPr>
      <w:ind w:left="840" w:leftChars="400"/>
    </w:pPr>
  </w:style>
  <w:style w:type="paragraph" w:styleId="Date">
    <w:name w:val="Date"/>
    <w:basedOn w:val="Normal"/>
    <w:next w:val="Normal"/>
    <w:pPr>
      <w:ind w:left="100" w:leftChars="2500"/>
    </w:pPr>
  </w:style>
  <w:style w:type="paragraph" w:styleId="BalloonText">
    <w:name w:val="Balloon Text"/>
    <w:basedOn w:val="Normal"/>
    <w:link w:val="Char2"/>
    <w:rPr>
      <w:sz w:val="18"/>
      <w:szCs w:val="18"/>
    </w:rPr>
  </w:style>
  <w:style w:type="paragraph" w:styleId="Footer">
    <w:name w:val="footer"/>
    <w:basedOn w:val="Normal"/>
    <w:link w:val="Char"/>
    <w:pPr>
      <w:tabs>
        <w:tab w:val="center" w:pos="4153"/>
        <w:tab w:val="right" w:pos="8306"/>
      </w:tabs>
      <w:snapToGrid w:val="0"/>
      <w:jc w:val="left"/>
    </w:pPr>
    <w:rPr>
      <w:sz w:val="18"/>
      <w:szCs w:val="18"/>
    </w:rPr>
  </w:style>
  <w:style w:type="paragraph" w:styleId="Header">
    <w:name w:val="header"/>
    <w:basedOn w:val="Normal"/>
    <w:link w:val="Char0"/>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style>
  <w:style w:type="paragraph" w:styleId="Subtitle">
    <w:name w:val="Subtitle"/>
    <w:basedOn w:val="Normal"/>
    <w:next w:val="Normal"/>
    <w:link w:val="Char1"/>
    <w:qFormat/>
    <w:pPr>
      <w:spacing w:line="312" w:lineRule="auto"/>
      <w:jc w:val="left"/>
      <w:outlineLvl w:val="1"/>
    </w:pPr>
    <w:rPr>
      <w:rFonts w:ascii="宋体" w:hAnsi="宋体"/>
      <w:b/>
      <w:bCs/>
      <w:kern w:val="28"/>
      <w:sz w:val="24"/>
      <w:szCs w:val="32"/>
    </w:rPr>
  </w:style>
  <w:style w:type="paragraph" w:styleId="TOC2">
    <w:name w:val="toc 2"/>
    <w:basedOn w:val="Normal"/>
    <w:next w:val="Normal"/>
    <w:autoRedefine/>
    <w:uiPriority w:val="39"/>
    <w:qFormat/>
    <w:pPr>
      <w:ind w:left="420" w:leftChars="200"/>
    </w:pPr>
  </w:style>
  <w:style w:type="paragraph" w:styleId="HTMLPreformatted">
    <w:name w:val="HTML Preformatted"/>
    <w:basedOn w:val="Normal"/>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NormalWeb">
    <w:name w:val="Normal (Web)"/>
    <w:basedOn w:val="Normal"/>
    <w:autoRedefine/>
    <w:uiPriority w:val="99"/>
    <w:unhideWhenUsed/>
    <w:qFormat/>
    <w:pPr>
      <w:spacing w:before="100" w:beforeAutospacing="1" w:after="100" w:afterAutospacing="1" w:line="330" w:lineRule="atLeast"/>
      <w:jc w:val="left"/>
    </w:pPr>
    <w:rPr>
      <w:rFonts w:ascii="Calibri" w:hAnsi="Calibri"/>
      <w:kern w:val="0"/>
      <w:sz w:val="22"/>
      <w:szCs w:val="22"/>
    </w:rPr>
  </w:style>
  <w:style w:type="paragraph" w:styleId="Title">
    <w:name w:val="Title"/>
    <w:basedOn w:val="Normal"/>
    <w:next w:val="Normal"/>
    <w:autoRedefine/>
    <w:qFormat/>
    <w:pPr>
      <w:jc w:val="left"/>
      <w:outlineLvl w:val="2"/>
    </w:pPr>
    <w:rPr>
      <w:rFonts w:ascii="宋体" w:hAnsi="宋体"/>
      <w:b/>
      <w:bCs/>
      <w:sz w:val="24"/>
      <w:szCs w:val="32"/>
    </w:rPr>
  </w:style>
  <w:style w:type="paragraph" w:styleId="CommentSubject">
    <w:name w:val="annotation subject"/>
    <w:basedOn w:val="CommentText"/>
    <w:next w:val="CommentText"/>
    <w:link w:val="Char4"/>
    <w:autoRedefine/>
    <w:qFormat/>
    <w:rPr>
      <w:b/>
      <w:bCs/>
    </w:rPr>
  </w:style>
  <w:style w:type="table" w:styleId="TableGrid">
    <w:name w:val="Table Grid"/>
    <w:basedOn w:val="TableNormal"/>
    <w:autoRedefine/>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autoRedefine/>
    <w:uiPriority w:val="20"/>
    <w:qFormat/>
    <w:rPr>
      <w:i/>
      <w:iCs/>
    </w:rPr>
  </w:style>
  <w:style w:type="character" w:styleId="Hyperlink">
    <w:name w:val="Hyperlink"/>
    <w:uiPriority w:val="99"/>
    <w:unhideWhenUsed/>
    <w:rPr>
      <w:color w:val="0000FF"/>
      <w:u w:val="single"/>
    </w:rPr>
  </w:style>
  <w:style w:type="character" w:styleId="CommentReference">
    <w:name w:val="annotation reference"/>
    <w:autoRedefine/>
    <w:qFormat/>
    <w:rPr>
      <w:sz w:val="21"/>
      <w:szCs w:val="21"/>
    </w:rPr>
  </w:style>
  <w:style w:type="character" w:customStyle="1" w:styleId="Char">
    <w:name w:val="页脚 Char"/>
    <w:link w:val="Footer"/>
    <w:autoRedefine/>
    <w:qFormat/>
    <w:rPr>
      <w:kern w:val="2"/>
      <w:sz w:val="18"/>
      <w:szCs w:val="18"/>
    </w:rPr>
  </w:style>
  <w:style w:type="character" w:customStyle="1" w:styleId="Char0">
    <w:name w:val="页眉 Char"/>
    <w:link w:val="Header"/>
    <w:rPr>
      <w:kern w:val="2"/>
      <w:sz w:val="18"/>
      <w:szCs w:val="18"/>
    </w:rPr>
  </w:style>
  <w:style w:type="character" w:customStyle="1" w:styleId="HTMLChar">
    <w:name w:val="HTML 预设格式 Char"/>
    <w:link w:val="HTMLPreformatted"/>
    <w:autoRedefine/>
    <w:qFormat/>
    <w:locked/>
    <w:rPr>
      <w:rFonts w:ascii="宋体" w:eastAsia="宋体" w:hAnsi="宋体" w:cs="宋体"/>
      <w:sz w:val="24"/>
      <w:szCs w:val="24"/>
      <w:lang w:val="en-US" w:eastAsia="zh-CN" w:bidi="ar-SA"/>
    </w:rPr>
  </w:style>
  <w:style w:type="character" w:customStyle="1" w:styleId="Char1">
    <w:name w:val="副标题 Char"/>
    <w:link w:val="Subtitle"/>
    <w:rPr>
      <w:rFonts w:ascii="宋体" w:hAnsi="宋体"/>
      <w:b/>
      <w:bCs/>
      <w:kern w:val="28"/>
      <w:sz w:val="24"/>
      <w:szCs w:val="32"/>
    </w:rPr>
  </w:style>
  <w:style w:type="paragraph" w:customStyle="1" w:styleId="a">
    <w:name w:val="前言、引言标题"/>
    <w:next w:val="a0"/>
    <w:autoRedefine/>
    <w:qFormat/>
    <w:pPr>
      <w:keepNext/>
      <w:pageBreakBefore/>
      <w:shd w:val="clear" w:color="FFFFFF" w:fill="FFFFFF"/>
      <w:spacing w:before="640" w:after="560"/>
      <w:jc w:val="center"/>
      <w:outlineLvl w:val="0"/>
    </w:pPr>
    <w:rPr>
      <w:rFonts w:ascii="黑体" w:eastAsia="黑体" w:hAnsi="Times New Roman" w:cs="Times New Roman"/>
      <w:sz w:val="32"/>
      <w:lang w:val="en-US" w:eastAsia="zh-CN" w:bidi="ar-SA"/>
    </w:rPr>
  </w:style>
  <w:style w:type="paragraph" w:customStyle="1" w:styleId="a0">
    <w:name w:val="段"/>
    <w:autoRedefine/>
    <w:qFormat/>
    <w:pPr>
      <w:autoSpaceDE w:val="0"/>
      <w:autoSpaceDN w:val="0"/>
      <w:ind w:firstLine="420" w:firstLineChars="200"/>
      <w:jc w:val="both"/>
    </w:pPr>
    <w:rPr>
      <w:rFonts w:ascii="宋体" w:eastAsia="宋体" w:hAnsi="Times New Roman" w:cs="Times New Roman"/>
      <w:sz w:val="21"/>
      <w:lang w:val="en-US" w:eastAsia="zh-CN" w:bidi="ar-SA"/>
    </w:rPr>
  </w:style>
  <w:style w:type="paragraph" w:customStyle="1" w:styleId="a1">
    <w:name w:val="标准书眉_奇数页"/>
    <w:next w:val="Normal"/>
    <w:qFormat/>
    <w:pPr>
      <w:tabs>
        <w:tab w:val="center" w:pos="4154"/>
        <w:tab w:val="right" w:pos="8306"/>
      </w:tabs>
      <w:spacing w:after="220"/>
      <w:jc w:val="right"/>
    </w:pPr>
    <w:rPr>
      <w:rFonts w:ascii="黑体" w:eastAsia="黑体" w:hAnsi="Times New Roman" w:cs="Times New Roman"/>
      <w:sz w:val="21"/>
      <w:szCs w:val="21"/>
      <w:lang w:val="en-US" w:eastAsia="zh-CN" w:bidi="ar-SA"/>
    </w:rPr>
  </w:style>
  <w:style w:type="paragraph" w:customStyle="1" w:styleId="a2">
    <w:name w:val="标准书脚_奇数页"/>
    <w:autoRedefine/>
    <w:qFormat/>
    <w:pPr>
      <w:spacing w:before="120"/>
      <w:ind w:right="198"/>
      <w:jc w:val="right"/>
    </w:pPr>
    <w:rPr>
      <w:rFonts w:ascii="宋体" w:eastAsia="宋体" w:hAnsi="Times New Roman" w:cs="Times New Roman"/>
      <w:sz w:val="18"/>
      <w:szCs w:val="18"/>
      <w:lang w:val="en-US" w:eastAsia="zh-CN" w:bidi="ar-SA"/>
    </w:rPr>
  </w:style>
  <w:style w:type="character" w:customStyle="1" w:styleId="Char2">
    <w:name w:val="批注框文本 Char"/>
    <w:link w:val="BalloonText"/>
    <w:autoRedefine/>
    <w:qFormat/>
    <w:rPr>
      <w:kern w:val="2"/>
      <w:sz w:val="18"/>
      <w:szCs w:val="18"/>
    </w:rPr>
  </w:style>
  <w:style w:type="character" w:customStyle="1" w:styleId="Char3">
    <w:name w:val="批注文字 Char"/>
    <w:link w:val="CommentText"/>
    <w:autoRedefine/>
    <w:qFormat/>
    <w:rPr>
      <w:kern w:val="2"/>
      <w:sz w:val="21"/>
      <w:szCs w:val="24"/>
    </w:rPr>
  </w:style>
  <w:style w:type="character" w:customStyle="1" w:styleId="Char4">
    <w:name w:val="批注主题 Char"/>
    <w:link w:val="CommentSubject"/>
    <w:autoRedefine/>
    <w:qFormat/>
    <w:rPr>
      <w:b/>
      <w:bCs/>
      <w:kern w:val="2"/>
      <w:sz w:val="21"/>
      <w:szCs w:val="24"/>
    </w:rPr>
  </w:style>
  <w:style w:type="character" w:customStyle="1" w:styleId="apple-converted-space">
    <w:name w:val="apple-converted-space"/>
    <w:basedOn w:val="DefaultParagraphFont"/>
    <w:autoRedefine/>
    <w:qFormat/>
  </w:style>
  <w:style w:type="paragraph" w:customStyle="1" w:styleId="Revision">
    <w:name w:val="Revision"/>
    <w:autoRedefine/>
    <w:hidden/>
    <w:uiPriority w:val="99"/>
    <w:unhideWhenUsed/>
    <w:qFormat/>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image" Target="media/image2.wmf" /><Relationship Id="rId22" Type="http://schemas.openxmlformats.org/officeDocument/2006/relationships/oleObject" Target="embeddings/oleObject1.bin" /><Relationship Id="rId23" Type="http://schemas.openxmlformats.org/officeDocument/2006/relationships/image" Target="media/image3.wmf" /><Relationship Id="rId24" Type="http://schemas.openxmlformats.org/officeDocument/2006/relationships/oleObject" Target="embeddings/oleObject2.bin"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image" Target="media/image4.wmf" /><Relationship Id="rId28" Type="http://schemas.openxmlformats.org/officeDocument/2006/relationships/oleObject" Target="embeddings/oleObject3.bin"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image" Target="media/image5.png" /><Relationship Id="rId38" Type="http://schemas.openxmlformats.org/officeDocument/2006/relationships/header" Target="header13.xml" /><Relationship Id="rId39" Type="http://schemas.openxmlformats.org/officeDocument/2006/relationships/footer" Target="footer13.xml" /><Relationship Id="rId4" Type="http://schemas.openxmlformats.org/officeDocument/2006/relationships/customXml" Target="../customXml/item1.xml" /><Relationship Id="rId40" Type="http://schemas.openxmlformats.org/officeDocument/2006/relationships/image" Target="media/image6.wmf" /><Relationship Id="rId41" Type="http://schemas.openxmlformats.org/officeDocument/2006/relationships/oleObject" Target="embeddings/oleObject4.bin" /><Relationship Id="rId42" Type="http://schemas.openxmlformats.org/officeDocument/2006/relationships/image" Target="media/image7.wmf" /><Relationship Id="rId43" Type="http://schemas.openxmlformats.org/officeDocument/2006/relationships/oleObject" Target="embeddings/oleObject5.bin" /><Relationship Id="rId44" Type="http://schemas.openxmlformats.org/officeDocument/2006/relationships/image" Target="media/image8.wmf" /><Relationship Id="rId45" Type="http://schemas.openxmlformats.org/officeDocument/2006/relationships/oleObject" Target="embeddings/oleObject6.bin" /><Relationship Id="rId46" Type="http://schemas.openxmlformats.org/officeDocument/2006/relationships/image" Target="media/image9.wmf" /><Relationship Id="rId47" Type="http://schemas.openxmlformats.org/officeDocument/2006/relationships/oleObject" Target="embeddings/oleObject7.bin" /><Relationship Id="rId48" Type="http://schemas.openxmlformats.org/officeDocument/2006/relationships/image" Target="media/image10.wmf" /><Relationship Id="rId49" Type="http://schemas.openxmlformats.org/officeDocument/2006/relationships/oleObject" Target="embeddings/oleObject8.bin" /><Relationship Id="rId5" Type="http://schemas.openxmlformats.org/officeDocument/2006/relationships/customXml" Target="../customXml/item2.xml" /><Relationship Id="rId50" Type="http://schemas.openxmlformats.org/officeDocument/2006/relationships/image" Target="media/image11.wmf" /><Relationship Id="rId51" Type="http://schemas.openxmlformats.org/officeDocument/2006/relationships/oleObject" Target="embeddings/oleObject9.bin" /><Relationship Id="rId52" Type="http://schemas.openxmlformats.org/officeDocument/2006/relationships/image" Target="media/image12.wmf" /><Relationship Id="rId53" Type="http://schemas.openxmlformats.org/officeDocument/2006/relationships/oleObject" Target="embeddings/oleObject10.bin" /><Relationship Id="rId54" Type="http://schemas.openxmlformats.org/officeDocument/2006/relationships/image" Target="media/image13.wmf" /><Relationship Id="rId55" Type="http://schemas.openxmlformats.org/officeDocument/2006/relationships/oleObject" Target="embeddings/oleObject11.bin" /><Relationship Id="rId56" Type="http://schemas.openxmlformats.org/officeDocument/2006/relationships/hyperlink" Target="https://d.book118.com/048101066000006042" TargetMode="External" /><Relationship Id="rId57" Type="http://schemas.openxmlformats.org/officeDocument/2006/relationships/header" Target="header14.xml" /><Relationship Id="rId58" Type="http://schemas.openxmlformats.org/officeDocument/2006/relationships/footer" Target="footer14.xml" /><Relationship Id="rId59" Type="http://schemas.openxmlformats.org/officeDocument/2006/relationships/theme" Target="theme/theme1.xml" /><Relationship Id="rId6" Type="http://schemas.openxmlformats.org/officeDocument/2006/relationships/image" Target="media/image1.png" /><Relationship Id="rId60" Type="http://schemas.openxmlformats.org/officeDocument/2006/relationships/styles" Target="styles.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2054"/>
    <customShpInfo spid="_x0000_s1039"/>
    <customShpInfo spid="_x0000_s1029"/>
    <customShpInfo spid="_x0000_s1035"/>
    <customShpInfo spid="_x0000_s1037"/>
    <customShpInfo spid="_x0000_s1031"/>
    <customShpInfo spid="_x0000_s1030"/>
    <customShpInfo spid="_x0000_s1032"/>
    <customShpInfo spid="_x0000_s1034"/>
    <customShpInfo spid="_x0000_s1036"/>
    <customShpInfo spid="_x0000_s103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06633C-DF9B-44BE-A286-D5088E69CB86}">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16</Pages>
  <Words>4263</Words>
  <Characters>24304</Characters>
  <Application>Microsoft Office Word</Application>
  <DocSecurity>0</DocSecurity>
  <Lines>202</Lines>
  <Paragraphs>57</Paragraphs>
  <ScaleCrop>false</ScaleCrop>
  <Company/>
  <LinksUpToDate>false</LinksUpToDate>
  <CharactersWithSpaces>28510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xwbjl</cp:lastModifiedBy>
  <cp:revision>23</cp:revision>
  <cp:lastPrinted>2018-01-24T08:36:00Z</cp:lastPrinted>
  <dcterms:created xsi:type="dcterms:W3CDTF">2018-05-22T07:35:00Z</dcterms:created>
  <dcterms:modified xsi:type="dcterms:W3CDTF">2024-02-18T06:50:50Z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7D17D82A03154991B066CD41ACF7E540_12</vt:lpwstr>
  </property>
  <property fmtid="{D5CDD505-2E9C-101B-9397-08002B2CF9AE}" pid="3" name="KSOProductBuildVer">
    <vt:lpwstr>2052-12.1.0.16120</vt:lpwstr>
  </property>
  <property fmtid="{D5CDD505-2E9C-101B-9397-08002B2CF9AE}" pid="4" name="MTWinEqns">
    <vt:bool>true</vt:bool>
  </property>
</Properties>
</file>